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方正小标宋简体" w:hAnsi="方正小标宋简体" w:eastAsia="方正小标宋简体" w:cs="方正小标宋简体"/>
          <w:b/>
          <w:sz w:val="44"/>
          <w:szCs w:val="44"/>
        </w:rPr>
      </w:pPr>
      <w:r>
        <w:rPr>
          <w:rFonts w:hint="eastAsia" w:ascii="宋体" w:hAnsi="宋体" w:cs="宋体"/>
          <w:b/>
          <w:bCs/>
          <w:sz w:val="48"/>
          <w:szCs w:val="48"/>
        </w:rPr>
        <w:drawing>
          <wp:inline distT="0" distB="0" distL="114300" distR="114300">
            <wp:extent cx="5347335" cy="630555"/>
            <wp:effectExtent l="0" t="0" r="12065" b="4445"/>
            <wp:docPr id="5" name="图片 5" descr="828f7ba50ad1d84eaff4ae79095e7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28f7ba50ad1d84eaff4ae79095e7ae9"/>
                    <pic:cNvPicPr>
                      <a:picLocks noChangeAspect="1"/>
                    </pic:cNvPicPr>
                  </pic:nvPicPr>
                  <pic:blipFill>
                    <a:blip r:embed="rId15"/>
                    <a:stretch>
                      <a:fillRect/>
                    </a:stretch>
                  </pic:blipFill>
                  <pic:spPr>
                    <a:xfrm>
                      <a:off x="0" y="0"/>
                      <a:ext cx="5347335" cy="630555"/>
                    </a:xfrm>
                    <a:prstGeom prst="rect">
                      <a:avLst/>
                    </a:prstGeom>
                  </pic:spPr>
                </pic:pic>
              </a:graphicData>
            </a:graphic>
          </wp:inline>
        </w:drawing>
      </w:r>
    </w:p>
    <w:p>
      <w:pPr>
        <w:snapToGrid w:val="0"/>
        <w:spacing w:before="120" w:beforeLines="50" w:line="360" w:lineRule="auto"/>
        <w:jc w:val="center"/>
        <w:rPr>
          <w:rFonts w:ascii="华文新魏" w:hAnsi="宋体" w:eastAsia="华文新魏"/>
          <w:sz w:val="120"/>
          <w:szCs w:val="120"/>
        </w:rPr>
      </w:pPr>
    </w:p>
    <w:p>
      <w:pPr>
        <w:snapToGrid w:val="0"/>
        <w:spacing w:before="120" w:beforeLines="50" w:line="360" w:lineRule="auto"/>
        <w:jc w:val="center"/>
        <w:rPr>
          <w:rFonts w:ascii="仿宋_GB2312" w:hAnsi="宋体" w:eastAsia="仿宋_GB2312"/>
          <w:b/>
          <w:sz w:val="48"/>
          <w:szCs w:val="48"/>
        </w:rPr>
      </w:pPr>
      <w:r>
        <w:rPr>
          <w:rFonts w:hint="eastAsia" w:ascii="华文新魏" w:hAnsi="宋体" w:eastAsia="华文新魏"/>
          <w:sz w:val="120"/>
          <w:szCs w:val="120"/>
        </w:rPr>
        <w:t>招 标 文 件</w:t>
      </w:r>
    </w:p>
    <w:p>
      <w:pPr>
        <w:pStyle w:val="24"/>
        <w:snapToGrid w:val="0"/>
        <w:spacing w:line="360" w:lineRule="auto"/>
        <w:ind w:left="2757" w:leftChars="540" w:hanging="1623" w:hangingChars="539"/>
        <w:rPr>
          <w:rFonts w:ascii="仿宋_GB2312" w:hAnsi="宋体" w:eastAsia="仿宋_GB2312"/>
          <w:b/>
          <w:bCs/>
          <w:sz w:val="30"/>
          <w:szCs w:val="30"/>
        </w:rPr>
      </w:pPr>
      <w:r>
        <w:rPr>
          <w:rFonts w:hint="eastAsia" w:ascii="仿宋_GB2312" w:hAnsi="宋体" w:eastAsia="仿宋_GB2312"/>
          <w:b/>
          <w:bCs/>
          <w:sz w:val="30"/>
          <w:szCs w:val="30"/>
        </w:rPr>
        <w:t>项目</w:t>
      </w:r>
      <w:r>
        <w:rPr>
          <w:rFonts w:hint="eastAsia" w:ascii="仿宋_GB2312" w:hAnsi="宋体" w:eastAsia="仿宋_GB2312" w:cs="Courier New"/>
          <w:b/>
          <w:bCs/>
          <w:w w:val="95"/>
          <w:sz w:val="30"/>
          <w:szCs w:val="30"/>
        </w:rPr>
        <w:t>名称</w:t>
      </w:r>
      <w:r>
        <w:rPr>
          <w:rFonts w:hint="eastAsia" w:ascii="仿宋_GB2312" w:hAnsi="宋体" w:eastAsia="仿宋_GB2312"/>
          <w:b/>
          <w:bCs/>
          <w:sz w:val="30"/>
          <w:szCs w:val="30"/>
        </w:rPr>
        <w:t>：</w:t>
      </w:r>
      <w:r>
        <w:rPr>
          <w:rFonts w:hint="eastAsia" w:ascii="仿宋_GB2312" w:hAnsi="宋体" w:eastAsia="仿宋_GB2312"/>
          <w:b/>
          <w:bCs/>
          <w:spacing w:val="-6"/>
          <w:sz w:val="30"/>
          <w:szCs w:val="30"/>
        </w:rPr>
        <w:t>广西 AI人才培养基地暨广西未来人工智能工业设计创新中心设备采购项目</w:t>
      </w:r>
    </w:p>
    <w:p>
      <w:pPr>
        <w:snapToGrid w:val="0"/>
        <w:spacing w:line="360" w:lineRule="auto"/>
        <w:ind w:firstLine="1145" w:firstLineChars="400"/>
        <w:rPr>
          <w:rFonts w:hint="eastAsia" w:ascii="仿宋_GB2312" w:hAnsi="宋体" w:eastAsia="仿宋_GB2312"/>
          <w:sz w:val="30"/>
          <w:szCs w:val="72"/>
          <w:lang w:eastAsia="zh-CN"/>
        </w:rPr>
      </w:pPr>
      <w:r>
        <w:rPr>
          <w:rFonts w:hint="eastAsia" w:ascii="仿宋_GB2312" w:hAnsi="宋体" w:eastAsia="仿宋_GB2312" w:cs="Courier New"/>
          <w:b/>
          <w:bCs/>
          <w:w w:val="95"/>
          <w:sz w:val="30"/>
          <w:szCs w:val="30"/>
        </w:rPr>
        <w:t>项目</w:t>
      </w:r>
      <w:r>
        <w:rPr>
          <w:rFonts w:hint="eastAsia" w:ascii="仿宋_GB2312" w:hAnsi="宋体" w:eastAsia="仿宋_GB2312"/>
          <w:b/>
          <w:bCs/>
          <w:sz w:val="30"/>
          <w:szCs w:val="30"/>
        </w:rPr>
        <w:t>编号</w:t>
      </w:r>
      <w:r>
        <w:rPr>
          <w:rFonts w:hint="eastAsia" w:ascii="仿宋_GB2312" w:hAnsi="宋体" w:eastAsia="仿宋_GB2312" w:cs="Courier New"/>
          <w:b/>
          <w:bCs/>
          <w:w w:val="95"/>
          <w:sz w:val="30"/>
          <w:szCs w:val="30"/>
        </w:rPr>
        <w:t>：</w:t>
      </w:r>
      <w:r>
        <w:rPr>
          <w:rFonts w:hint="eastAsia" w:ascii="仿宋_GB2312" w:hAnsi="宋体" w:eastAsia="仿宋_GB2312" w:cs="Courier New"/>
          <w:b/>
          <w:bCs/>
          <w:w w:val="95"/>
          <w:sz w:val="30"/>
          <w:szCs w:val="30"/>
          <w:lang w:eastAsia="zh-CN"/>
        </w:rPr>
        <w:t>GXZC2026-G1-000857-JGID</w:t>
      </w:r>
    </w:p>
    <w:p>
      <w:pPr>
        <w:pStyle w:val="24"/>
        <w:snapToGrid w:val="0"/>
        <w:spacing w:line="360" w:lineRule="auto"/>
        <w:ind w:firstLine="1125" w:firstLineChars="393"/>
        <w:rPr>
          <w:rFonts w:ascii="仿宋_GB2312" w:hAnsi="宋体" w:eastAsia="仿宋_GB2312"/>
          <w:b/>
          <w:bCs/>
          <w:w w:val="95"/>
          <w:sz w:val="30"/>
          <w:szCs w:val="30"/>
        </w:rPr>
      </w:pPr>
      <w:r>
        <w:rPr>
          <w:rFonts w:hint="eastAsia" w:ascii="仿宋_GB2312" w:hAnsi="宋体" w:eastAsia="仿宋_GB2312"/>
          <w:b/>
          <w:bCs/>
          <w:w w:val="95"/>
          <w:sz w:val="30"/>
          <w:szCs w:val="30"/>
        </w:rPr>
        <w:t>采 购 人：广西工业职业技术学院</w:t>
      </w:r>
    </w:p>
    <w:p>
      <w:pPr>
        <w:pStyle w:val="24"/>
        <w:snapToGrid w:val="0"/>
        <w:spacing w:line="360" w:lineRule="auto"/>
        <w:ind w:firstLine="1125" w:firstLineChars="393"/>
        <w:rPr>
          <w:rFonts w:ascii="仿宋_GB2312" w:hAnsi="宋体" w:eastAsia="仿宋_GB2312"/>
          <w:b/>
          <w:bCs/>
          <w:w w:val="95"/>
          <w:sz w:val="30"/>
          <w:szCs w:val="30"/>
        </w:rPr>
      </w:pPr>
      <w:r>
        <w:rPr>
          <w:rFonts w:hint="eastAsia" w:ascii="仿宋_GB2312" w:hAnsi="宋体" w:eastAsia="仿宋_GB2312"/>
          <w:b/>
          <w:bCs/>
          <w:w w:val="95"/>
          <w:sz w:val="30"/>
          <w:szCs w:val="30"/>
        </w:rPr>
        <w:t>采购代理机构：广西建设机电设备招标中心有限公司</w:t>
      </w:r>
    </w:p>
    <w:p>
      <w:pPr>
        <w:pStyle w:val="24"/>
        <w:snapToGrid w:val="0"/>
        <w:spacing w:line="360" w:lineRule="auto"/>
        <w:rPr>
          <w:rFonts w:ascii="仿宋_GB2312" w:hAnsi="宋体" w:eastAsia="仿宋_GB2312"/>
          <w:b/>
          <w:bCs/>
          <w:w w:val="95"/>
          <w:sz w:val="30"/>
          <w:szCs w:val="30"/>
        </w:rPr>
      </w:pPr>
    </w:p>
    <w:p>
      <w:pPr>
        <w:pStyle w:val="24"/>
        <w:snapToGrid w:val="0"/>
        <w:spacing w:line="360" w:lineRule="auto"/>
        <w:jc w:val="center"/>
        <w:rPr>
          <w:rFonts w:ascii="仿宋_GB2312" w:eastAsia="仿宋_GB2312"/>
          <w:szCs w:val="20"/>
        </w:rPr>
      </w:pPr>
      <w:r>
        <w:rPr>
          <w:rFonts w:ascii="仿宋_GB2312" w:hAnsi="宋体" w:eastAsia="仿宋_GB2312"/>
          <w:b/>
          <w:bCs/>
          <w:w w:val="95"/>
          <w:sz w:val="30"/>
          <w:szCs w:val="30"/>
        </w:rPr>
        <w:t>202</w:t>
      </w:r>
      <w:r>
        <w:rPr>
          <w:rFonts w:hint="eastAsia" w:ascii="仿宋_GB2312" w:hAnsi="宋体" w:eastAsia="仿宋_GB2312"/>
          <w:b/>
          <w:bCs/>
          <w:w w:val="95"/>
          <w:sz w:val="30"/>
          <w:szCs w:val="30"/>
        </w:rPr>
        <w:t>6年</w:t>
      </w:r>
      <w:r>
        <w:rPr>
          <w:rFonts w:hint="eastAsia" w:ascii="仿宋_GB2312" w:hAnsi="宋体" w:eastAsia="仿宋_GB2312"/>
          <w:b/>
          <w:bCs/>
          <w:w w:val="95"/>
          <w:sz w:val="30"/>
          <w:szCs w:val="30"/>
          <w:lang w:val="en-US" w:eastAsia="zh-CN"/>
        </w:rPr>
        <w:t>4</w:t>
      </w:r>
      <w:r>
        <w:rPr>
          <w:rFonts w:hint="eastAsia" w:ascii="仿宋_GB2312" w:hAnsi="宋体" w:eastAsia="仿宋_GB2312"/>
          <w:b/>
          <w:bCs/>
          <w:w w:val="95"/>
          <w:sz w:val="30"/>
          <w:szCs w:val="30"/>
        </w:rPr>
        <w:t>月</w:t>
      </w:r>
    </w:p>
    <w:p>
      <w:pPr>
        <w:pStyle w:val="24"/>
        <w:spacing w:before="120" w:after="120" w:line="360" w:lineRule="auto"/>
        <w:jc w:val="center"/>
        <w:rPr>
          <w:rFonts w:ascii="仿宋_GB2312" w:hAnsi="宋体" w:eastAsia="仿宋_GB2312"/>
        </w:rPr>
      </w:pPr>
    </w:p>
    <w:p>
      <w:pPr>
        <w:pStyle w:val="24"/>
        <w:spacing w:before="120" w:after="120" w:line="360" w:lineRule="auto"/>
        <w:jc w:val="center"/>
        <w:rPr>
          <w:rFonts w:ascii="仿宋_GB2312" w:hAnsi="宋体" w:eastAsia="仿宋_GB2312"/>
        </w:rPr>
      </w:pPr>
      <w:r>
        <w:rPr>
          <w:rFonts w:ascii="仿宋_GB2312" w:hAnsi="宋体" w:eastAsia="仿宋_GB2312"/>
        </w:rPr>
        <w:br w:type="page"/>
      </w:r>
    </w:p>
    <w:p>
      <w:pPr>
        <w:spacing w:line="360" w:lineRule="auto"/>
        <w:jc w:val="center"/>
        <w:rPr>
          <w:rFonts w:ascii="宋体" w:hAnsi="宋体"/>
          <w:b/>
          <w:sz w:val="44"/>
          <w:szCs w:val="44"/>
        </w:rPr>
      </w:pPr>
      <w:r>
        <w:rPr>
          <w:rFonts w:hint="eastAsia" w:ascii="宋体" w:hAnsi="宋体"/>
          <w:b/>
          <w:sz w:val="44"/>
          <w:szCs w:val="44"/>
        </w:rPr>
        <w:t>目  录</w:t>
      </w:r>
    </w:p>
    <w:p>
      <w:pPr>
        <w:spacing w:line="400" w:lineRule="exact"/>
        <w:jc w:val="center"/>
        <w:rPr>
          <w:rFonts w:ascii="宋体" w:hAnsi="宋体"/>
          <w:b/>
          <w:sz w:val="44"/>
          <w:szCs w:val="44"/>
        </w:rPr>
      </w:pPr>
    </w:p>
    <w:p>
      <w:pPr>
        <w:pStyle w:val="32"/>
        <w:tabs>
          <w:tab w:val="right" w:leader="dot" w:pos="8730"/>
          <w:tab w:val="clear" w:pos="8398"/>
        </w:tabs>
        <w:spacing w:line="480" w:lineRule="auto"/>
      </w:pPr>
      <w:r>
        <w:rPr>
          <w:rFonts w:ascii="仿宋_GB2312" w:eastAsia="仿宋_GB2312"/>
          <w:b w:val="0"/>
        </w:rPr>
        <w:fldChar w:fldCharType="begin"/>
      </w:r>
      <w:r>
        <w:rPr>
          <w:rFonts w:ascii="仿宋_GB2312" w:eastAsia="仿宋_GB2312"/>
          <w:b w:val="0"/>
        </w:rPr>
        <w:instrText xml:space="preserve"> </w:instrText>
      </w:r>
      <w:r>
        <w:rPr>
          <w:rFonts w:hint="eastAsia" w:ascii="仿宋_GB2312" w:eastAsia="仿宋_GB2312"/>
          <w:b w:val="0"/>
        </w:rPr>
        <w:instrText xml:space="preserve">TOC \o "1-2" \h \z \u</w:instrText>
      </w:r>
      <w:r>
        <w:rPr>
          <w:rFonts w:ascii="仿宋_GB2312" w:eastAsia="仿宋_GB2312"/>
          <w:b w:val="0"/>
        </w:rPr>
        <w:instrText xml:space="preserve"> </w:instrText>
      </w:r>
      <w:r>
        <w:rPr>
          <w:rFonts w:ascii="仿宋_GB2312" w:eastAsia="仿宋_GB2312"/>
          <w:b w:val="0"/>
        </w:rPr>
        <w:fldChar w:fldCharType="separate"/>
      </w:r>
      <w:r>
        <w:fldChar w:fldCharType="begin"/>
      </w:r>
      <w:r>
        <w:instrText xml:space="preserve"> HYPERLINK \l "_Toc26956" </w:instrText>
      </w:r>
      <w:r>
        <w:fldChar w:fldCharType="separate"/>
      </w:r>
      <w:r>
        <w:rPr>
          <w:rFonts w:hint="eastAsia"/>
        </w:rPr>
        <w:t>第一章 招标公告</w:t>
      </w:r>
      <w:r>
        <w:tab/>
      </w:r>
      <w:r>
        <w:fldChar w:fldCharType="begin"/>
      </w:r>
      <w:r>
        <w:instrText xml:space="preserve"> PAGEREF _Toc26956 \h </w:instrText>
      </w:r>
      <w:r>
        <w:fldChar w:fldCharType="separate"/>
      </w:r>
      <w:r>
        <w:t>3</w:t>
      </w:r>
      <w:r>
        <w:fldChar w:fldCharType="end"/>
      </w:r>
      <w:r>
        <w:fldChar w:fldCharType="end"/>
      </w:r>
    </w:p>
    <w:p>
      <w:pPr>
        <w:pStyle w:val="32"/>
        <w:tabs>
          <w:tab w:val="right" w:leader="dot" w:pos="8730"/>
          <w:tab w:val="clear" w:pos="8398"/>
        </w:tabs>
        <w:spacing w:line="480" w:lineRule="auto"/>
        <w:ind w:firstLine="241"/>
      </w:pPr>
      <w:r>
        <w:fldChar w:fldCharType="begin"/>
      </w:r>
      <w:r>
        <w:instrText xml:space="preserve"> HYPERLINK \l "_Toc27979" </w:instrText>
      </w:r>
      <w:r>
        <w:fldChar w:fldCharType="separate"/>
      </w:r>
      <w:r>
        <w:rPr>
          <w:rFonts w:hint="eastAsia"/>
        </w:rPr>
        <w:t>第二章  采购</w:t>
      </w:r>
      <w:bookmarkStart w:id="0" w:name="_Hlt117186116"/>
      <w:bookmarkStart w:id="1" w:name="_Hlt117186117"/>
      <w:bookmarkStart w:id="2" w:name="_Hlt136533568"/>
      <w:r>
        <w:rPr>
          <w:rFonts w:hint="eastAsia"/>
        </w:rPr>
        <w:t>需</w:t>
      </w:r>
      <w:bookmarkEnd w:id="0"/>
      <w:bookmarkEnd w:id="1"/>
      <w:bookmarkEnd w:id="2"/>
      <w:bookmarkStart w:id="3" w:name="_Hlt113464975"/>
      <w:bookmarkStart w:id="4" w:name="_Hlt168310410"/>
      <w:bookmarkStart w:id="5" w:name="_Hlt191881697"/>
      <w:bookmarkStart w:id="6" w:name="_Hlt123804813"/>
      <w:bookmarkStart w:id="7" w:name="_Hlt191881696"/>
      <w:bookmarkStart w:id="8" w:name="_Hlt136881812"/>
      <w:bookmarkStart w:id="9" w:name="_Hlt137572974"/>
      <w:bookmarkStart w:id="10" w:name="_Hlt123804812"/>
      <w:bookmarkStart w:id="11" w:name="_Hlt136881813"/>
      <w:bookmarkStart w:id="12" w:name="_Hlt168310409"/>
      <w:bookmarkStart w:id="13" w:name="_Hlt113464974"/>
      <w:r>
        <w:rPr>
          <w:rFonts w:hint="eastAsia"/>
        </w:rPr>
        <w:t>求</w:t>
      </w:r>
      <w:bookmarkEnd w:id="3"/>
      <w:bookmarkEnd w:id="4"/>
      <w:bookmarkEnd w:id="5"/>
      <w:bookmarkEnd w:id="6"/>
      <w:bookmarkEnd w:id="7"/>
      <w:bookmarkEnd w:id="8"/>
      <w:bookmarkEnd w:id="9"/>
      <w:bookmarkEnd w:id="10"/>
      <w:bookmarkEnd w:id="11"/>
      <w:bookmarkEnd w:id="12"/>
      <w:bookmarkEnd w:id="13"/>
      <w:r>
        <w:tab/>
      </w:r>
      <w:r>
        <w:fldChar w:fldCharType="begin"/>
      </w:r>
      <w:r>
        <w:instrText xml:space="preserve"> PAGEREF _Toc27979 \h </w:instrText>
      </w:r>
      <w:r>
        <w:fldChar w:fldCharType="separate"/>
      </w:r>
      <w:r>
        <w:t>6</w:t>
      </w:r>
      <w:r>
        <w:fldChar w:fldCharType="end"/>
      </w:r>
      <w:r>
        <w:fldChar w:fldCharType="end"/>
      </w:r>
    </w:p>
    <w:p>
      <w:pPr>
        <w:pStyle w:val="32"/>
        <w:tabs>
          <w:tab w:val="right" w:leader="dot" w:pos="8730"/>
          <w:tab w:val="clear" w:pos="8398"/>
        </w:tabs>
        <w:spacing w:line="480" w:lineRule="auto"/>
        <w:ind w:firstLine="241"/>
      </w:pPr>
      <w:r>
        <w:fldChar w:fldCharType="begin"/>
      </w:r>
      <w:r>
        <w:instrText xml:space="preserve"> HYPERLINK \l "_Toc25688" </w:instrText>
      </w:r>
      <w:r>
        <w:fldChar w:fldCharType="separate"/>
      </w:r>
      <w:r>
        <w:rPr>
          <w:rFonts w:hint="eastAsia"/>
        </w:rPr>
        <w:t>第三章  投标</w:t>
      </w:r>
      <w:bookmarkStart w:id="14" w:name="_Hlt171508834"/>
      <w:bookmarkStart w:id="15" w:name="_Hlt141364352"/>
      <w:r>
        <w:rPr>
          <w:rFonts w:hint="eastAsia"/>
        </w:rPr>
        <w:t>人</w:t>
      </w:r>
      <w:bookmarkEnd w:id="14"/>
      <w:bookmarkEnd w:id="15"/>
      <w:bookmarkStart w:id="16" w:name="_Hlt115422054"/>
      <w:bookmarkStart w:id="17" w:name="_Hlt144300659"/>
      <w:bookmarkStart w:id="18" w:name="_Hlt136530927"/>
      <w:bookmarkStart w:id="19" w:name="_Hlt144300658"/>
      <w:r>
        <w:rPr>
          <w:rFonts w:hint="eastAsia"/>
        </w:rPr>
        <w:t>须</w:t>
      </w:r>
      <w:bookmarkEnd w:id="16"/>
      <w:bookmarkEnd w:id="17"/>
      <w:bookmarkEnd w:id="18"/>
      <w:bookmarkEnd w:id="19"/>
      <w:bookmarkStart w:id="20" w:name="_Hlt178278999"/>
      <w:r>
        <w:rPr>
          <w:rFonts w:hint="eastAsia"/>
        </w:rPr>
        <w:t>知</w:t>
      </w:r>
      <w:bookmarkEnd w:id="20"/>
      <w:r>
        <w:tab/>
      </w:r>
      <w:r>
        <w:fldChar w:fldCharType="begin"/>
      </w:r>
      <w:r>
        <w:instrText xml:space="preserve"> PAGEREF _Toc25688 \h </w:instrText>
      </w:r>
      <w:r>
        <w:fldChar w:fldCharType="separate"/>
      </w:r>
      <w:r>
        <w:t>125</w:t>
      </w:r>
      <w:r>
        <w:fldChar w:fldCharType="end"/>
      </w:r>
      <w:r>
        <w:fldChar w:fldCharType="end"/>
      </w:r>
    </w:p>
    <w:p>
      <w:pPr>
        <w:pStyle w:val="32"/>
        <w:tabs>
          <w:tab w:val="right" w:leader="dot" w:pos="8730"/>
          <w:tab w:val="clear" w:pos="8398"/>
        </w:tabs>
        <w:spacing w:line="480" w:lineRule="auto"/>
        <w:ind w:firstLine="241"/>
      </w:pPr>
      <w:r>
        <w:fldChar w:fldCharType="begin"/>
      </w:r>
      <w:r>
        <w:instrText xml:space="preserve"> HYPERLINK \l "_Toc15687" </w:instrText>
      </w:r>
      <w:r>
        <w:fldChar w:fldCharType="separate"/>
      </w:r>
      <w:r>
        <w:rPr>
          <w:rFonts w:hint="eastAsia"/>
        </w:rPr>
        <w:t>第四章  评标</w:t>
      </w:r>
      <w:bookmarkStart w:id="21" w:name="_Hlt218877419"/>
      <w:r>
        <w:rPr>
          <w:rFonts w:hint="eastAsia"/>
        </w:rPr>
        <w:t>方</w:t>
      </w:r>
      <w:bookmarkEnd w:id="21"/>
      <w:r>
        <w:rPr>
          <w:rFonts w:hint="eastAsia"/>
        </w:rPr>
        <w:t>法</w:t>
      </w:r>
      <w:bookmarkStart w:id="22" w:name="_Hlt176428077"/>
      <w:r>
        <w:rPr>
          <w:rFonts w:hint="eastAsia"/>
        </w:rPr>
        <w:t>及</w:t>
      </w:r>
      <w:bookmarkEnd w:id="22"/>
      <w:r>
        <w:rPr>
          <w:rFonts w:hint="eastAsia"/>
        </w:rPr>
        <w:t>评标标准</w:t>
      </w:r>
      <w:r>
        <w:tab/>
      </w:r>
      <w:r>
        <w:fldChar w:fldCharType="begin"/>
      </w:r>
      <w:r>
        <w:instrText xml:space="preserve"> PAGEREF _Toc15687 \h </w:instrText>
      </w:r>
      <w:r>
        <w:fldChar w:fldCharType="separate"/>
      </w:r>
      <w:r>
        <w:t>150</w:t>
      </w:r>
      <w:r>
        <w:fldChar w:fldCharType="end"/>
      </w:r>
      <w:r>
        <w:fldChar w:fldCharType="end"/>
      </w:r>
    </w:p>
    <w:p>
      <w:pPr>
        <w:pStyle w:val="32"/>
        <w:tabs>
          <w:tab w:val="right" w:leader="dot" w:pos="8730"/>
          <w:tab w:val="clear" w:pos="8398"/>
        </w:tabs>
        <w:spacing w:line="480" w:lineRule="auto"/>
        <w:ind w:firstLine="241"/>
      </w:pPr>
      <w:r>
        <w:fldChar w:fldCharType="begin"/>
      </w:r>
      <w:r>
        <w:instrText xml:space="preserve"> HYPERLINK \l "_Toc25250" </w:instrText>
      </w:r>
      <w:r>
        <w:fldChar w:fldCharType="separate"/>
      </w:r>
      <w:r>
        <w:rPr>
          <w:rFonts w:hint="eastAsia"/>
        </w:rPr>
        <w:t>第五章  拟签订</w:t>
      </w:r>
      <w:bookmarkStart w:id="23" w:name="_Hlt144201230"/>
      <w:bookmarkStart w:id="24" w:name="_Hlt142670202"/>
      <w:bookmarkStart w:id="25" w:name="_Hlt144201231"/>
      <w:r>
        <w:rPr>
          <w:rFonts w:hint="eastAsia"/>
        </w:rPr>
        <w:t>的</w:t>
      </w:r>
      <w:bookmarkEnd w:id="23"/>
      <w:bookmarkEnd w:id="24"/>
      <w:bookmarkEnd w:id="25"/>
      <w:bookmarkStart w:id="26" w:name="_Hlt135207598"/>
      <w:bookmarkStart w:id="27" w:name="_Hlt135207597"/>
      <w:bookmarkStart w:id="28" w:name="_Hlt150795587"/>
      <w:bookmarkStart w:id="29" w:name="_Hlt172744689"/>
      <w:bookmarkStart w:id="30" w:name="_Hlt172744690"/>
      <w:r>
        <w:rPr>
          <w:rFonts w:hint="eastAsia"/>
        </w:rPr>
        <w:t>合</w:t>
      </w:r>
      <w:bookmarkEnd w:id="26"/>
      <w:bookmarkEnd w:id="27"/>
      <w:bookmarkEnd w:id="28"/>
      <w:bookmarkEnd w:id="29"/>
      <w:bookmarkEnd w:id="30"/>
      <w:bookmarkStart w:id="31" w:name="_Hlt156849082"/>
      <w:bookmarkStart w:id="32" w:name="_Hlt144322969"/>
      <w:r>
        <w:rPr>
          <w:rFonts w:hint="eastAsia"/>
        </w:rPr>
        <w:t>同</w:t>
      </w:r>
      <w:bookmarkEnd w:id="31"/>
      <w:bookmarkEnd w:id="32"/>
      <w:r>
        <w:rPr>
          <w:rFonts w:hint="eastAsia"/>
        </w:rPr>
        <w:t>文本</w:t>
      </w:r>
      <w:r>
        <w:tab/>
      </w:r>
      <w:r>
        <w:fldChar w:fldCharType="begin"/>
      </w:r>
      <w:r>
        <w:instrText xml:space="preserve"> PAGEREF _Toc25250 \h </w:instrText>
      </w:r>
      <w:r>
        <w:fldChar w:fldCharType="separate"/>
      </w:r>
      <w:r>
        <w:t>160</w:t>
      </w:r>
      <w:r>
        <w:fldChar w:fldCharType="end"/>
      </w:r>
      <w:r>
        <w:fldChar w:fldCharType="end"/>
      </w:r>
    </w:p>
    <w:p>
      <w:pPr>
        <w:pStyle w:val="32"/>
        <w:tabs>
          <w:tab w:val="right" w:leader="dot" w:pos="8730"/>
          <w:tab w:val="clear" w:pos="8398"/>
        </w:tabs>
        <w:spacing w:line="480" w:lineRule="auto"/>
        <w:ind w:firstLine="241"/>
      </w:pPr>
      <w:r>
        <w:fldChar w:fldCharType="begin"/>
      </w:r>
      <w:r>
        <w:instrText xml:space="preserve"> HYPERLINK \l "_Toc25289" </w:instrText>
      </w:r>
      <w:r>
        <w:fldChar w:fldCharType="separate"/>
      </w:r>
      <w:r>
        <w:rPr>
          <w:rFonts w:hint="eastAsia"/>
        </w:rPr>
        <w:t>第六章　投标文件格式</w:t>
      </w:r>
      <w:r>
        <w:tab/>
      </w:r>
      <w:r>
        <w:fldChar w:fldCharType="begin"/>
      </w:r>
      <w:r>
        <w:instrText xml:space="preserve"> PAGEREF _Toc25289 \h </w:instrText>
      </w:r>
      <w:r>
        <w:fldChar w:fldCharType="separate"/>
      </w:r>
      <w:r>
        <w:t>167</w:t>
      </w:r>
      <w:r>
        <w:fldChar w:fldCharType="end"/>
      </w:r>
      <w:r>
        <w:fldChar w:fldCharType="end"/>
      </w:r>
    </w:p>
    <w:p>
      <w:pPr>
        <w:tabs>
          <w:tab w:val="right" w:leader="dot" w:pos="8789"/>
        </w:tabs>
        <w:snapToGrid w:val="0"/>
        <w:spacing w:line="480" w:lineRule="auto"/>
        <w:rPr>
          <w:rFonts w:ascii="仿宋_GB2312" w:hAnsi="宋体" w:eastAsia="仿宋_GB2312"/>
          <w:sz w:val="24"/>
        </w:rPr>
      </w:pPr>
      <w:r>
        <w:rPr>
          <w:rFonts w:ascii="仿宋_GB2312" w:hAnsi="宋体" w:eastAsia="仿宋_GB2312"/>
        </w:rPr>
        <w:fldChar w:fldCharType="end"/>
      </w:r>
    </w:p>
    <w:p>
      <w:pPr>
        <w:spacing w:before="120" w:beforeLines="50" w:line="480" w:lineRule="exact"/>
        <w:rPr>
          <w:rFonts w:ascii="仿宋_GB2312" w:hAnsi="宋体" w:eastAsia="仿宋_GB2312"/>
          <w:sz w:val="30"/>
        </w:rPr>
      </w:pPr>
    </w:p>
    <w:p/>
    <w:p>
      <w:pPr>
        <w:spacing w:before="120" w:beforeLines="50" w:line="480" w:lineRule="exact"/>
        <w:rPr>
          <w:rFonts w:ascii="仿宋_GB2312" w:hAnsi="宋体" w:eastAsia="仿宋_GB2312"/>
          <w:sz w:val="30"/>
        </w:rPr>
      </w:pPr>
    </w:p>
    <w:p>
      <w:pPr>
        <w:spacing w:before="120" w:beforeLines="50" w:line="480" w:lineRule="exact"/>
        <w:rPr>
          <w:rFonts w:ascii="仿宋_GB2312" w:hAnsi="宋体" w:eastAsia="仿宋_GB2312"/>
          <w:sz w:val="30"/>
        </w:rPr>
      </w:pPr>
    </w:p>
    <w:p>
      <w:pPr>
        <w:pStyle w:val="16"/>
        <w:rPr>
          <w:rFonts w:ascii="宋体" w:hAnsi="宋体" w:cs="宋体"/>
          <w:b/>
          <w:bCs/>
        </w:rPr>
      </w:pPr>
      <w:bookmarkStart w:id="33" w:name="_Toc254970630"/>
      <w:bookmarkStart w:id="34" w:name="_Toc254970489"/>
    </w:p>
    <w:p>
      <w:pPr>
        <w:pStyle w:val="2"/>
        <w:keepNext w:val="0"/>
        <w:keepLines w:val="0"/>
        <w:tabs>
          <w:tab w:val="left" w:pos="0"/>
          <w:tab w:val="left" w:pos="3165"/>
          <w:tab w:val="center" w:pos="4153"/>
        </w:tabs>
        <w:autoSpaceDE w:val="0"/>
        <w:autoSpaceDN w:val="0"/>
        <w:adjustRightInd w:val="0"/>
        <w:spacing w:before="0" w:after="0" w:line="360" w:lineRule="auto"/>
        <w:jc w:val="center"/>
      </w:pPr>
      <w:r>
        <w:rPr>
          <w:rFonts w:ascii="宋体" w:hAnsi="宋体" w:cs="宋体"/>
          <w:b w:val="0"/>
          <w:bCs w:val="0"/>
        </w:rPr>
        <w:br w:type="page"/>
      </w:r>
      <w:bookmarkStart w:id="35" w:name="_Toc26956"/>
      <w:r>
        <w:rPr>
          <w:rFonts w:hint="eastAsia"/>
        </w:rPr>
        <w:t>第一章</w:t>
      </w:r>
      <w:bookmarkEnd w:id="33"/>
      <w:bookmarkEnd w:id="34"/>
      <w:bookmarkStart w:id="36" w:name="_Toc28359001"/>
      <w:bookmarkStart w:id="37" w:name="_Toc35393789"/>
      <w:r>
        <w:rPr>
          <w:rFonts w:hint="eastAsia"/>
        </w:rPr>
        <w:t xml:space="preserve"> 招标公告</w:t>
      </w:r>
      <w:bookmarkEnd w:id="35"/>
      <w:bookmarkEnd w:id="36"/>
      <w:bookmarkEnd w:id="37"/>
    </w:p>
    <w:p>
      <w:pPr>
        <w:spacing w:line="360" w:lineRule="auto"/>
        <w:rPr>
          <w:rFonts w:ascii="宋体" w:hAnsi="宋体"/>
          <w:szCs w:val="21"/>
        </w:rPr>
      </w:pPr>
    </w:p>
    <w:p>
      <w:pPr>
        <w:pBdr>
          <w:top w:val="single" w:color="auto" w:sz="4" w:space="1"/>
          <w:left w:val="single" w:color="auto" w:sz="4" w:space="4"/>
          <w:bottom w:val="single" w:color="auto" w:sz="4" w:space="1"/>
          <w:right w:val="single" w:color="auto" w:sz="4" w:space="4"/>
        </w:pBdr>
        <w:spacing w:line="360" w:lineRule="exact"/>
        <w:ind w:firstLine="420" w:firstLineChars="200"/>
        <w:rPr>
          <w:rFonts w:ascii="宋体" w:hAnsi="宋体" w:cs="宋体"/>
          <w:szCs w:val="21"/>
        </w:rPr>
      </w:pPr>
      <w:r>
        <w:rPr>
          <w:rFonts w:hint="eastAsia" w:ascii="宋体" w:hAnsi="宋体" w:cs="宋体"/>
          <w:szCs w:val="21"/>
        </w:rPr>
        <w:t>项目概况</w:t>
      </w:r>
    </w:p>
    <w:p>
      <w:pPr>
        <w:pBdr>
          <w:top w:val="single" w:color="auto" w:sz="4" w:space="1"/>
          <w:left w:val="single" w:color="auto" w:sz="4" w:space="4"/>
          <w:bottom w:val="single" w:color="auto" w:sz="4" w:space="1"/>
          <w:right w:val="single" w:color="auto" w:sz="4" w:space="4"/>
        </w:pBdr>
        <w:spacing w:line="360" w:lineRule="exact"/>
        <w:ind w:firstLine="420" w:firstLineChars="200"/>
        <w:rPr>
          <w:rFonts w:ascii="宋体" w:hAnsi="宋体" w:cs="宋体"/>
          <w:szCs w:val="21"/>
        </w:rPr>
      </w:pPr>
      <w:r>
        <w:rPr>
          <w:rFonts w:hint="eastAsia" w:ascii="宋体" w:hAnsi="宋体" w:cs="宋体"/>
          <w:szCs w:val="21"/>
          <w:u w:val="single"/>
        </w:rPr>
        <w:t>广西 AI人才培养基地暨广西未来人工智能工业设计创新中心设备采购项目</w:t>
      </w:r>
      <w:r>
        <w:rPr>
          <w:rFonts w:hint="eastAsia" w:ascii="宋体" w:hAnsi="宋体" w:cs="宋体"/>
          <w:szCs w:val="21"/>
        </w:rPr>
        <w:t>招标项目的潜在投标人应在广西政府采购云平台（https://www.gcy.zfcg.gxzf.gov.cn/）获取（下载）招标文件，并于</w:t>
      </w:r>
      <w:r>
        <w:rPr>
          <w:rFonts w:hint="eastAsia" w:ascii="宋体" w:hAnsi="宋体" w:cs="宋体"/>
          <w:szCs w:val="21"/>
          <w:u w:val="single"/>
        </w:rPr>
        <w:t>2026</w:t>
      </w:r>
      <w:r>
        <w:rPr>
          <w:rFonts w:hint="eastAsia" w:ascii="宋体" w:hAnsi="宋体" w:cs="宋体"/>
          <w:bCs/>
          <w:szCs w:val="21"/>
          <w:u w:val="single"/>
        </w:rPr>
        <w:t>年</w:t>
      </w:r>
      <w:r>
        <w:rPr>
          <w:rFonts w:hint="eastAsia" w:ascii="宋体" w:hAnsi="宋体" w:cs="宋体"/>
          <w:bCs/>
          <w:szCs w:val="21"/>
          <w:u w:val="single"/>
          <w:lang w:val="en-US" w:eastAsia="zh-CN"/>
        </w:rPr>
        <w:t>5</w:t>
      </w:r>
      <w:r>
        <w:rPr>
          <w:rFonts w:hint="eastAsia" w:ascii="宋体" w:hAnsi="宋体" w:cs="宋体"/>
          <w:bCs/>
          <w:szCs w:val="21"/>
          <w:u w:val="single"/>
        </w:rPr>
        <w:t>月</w:t>
      </w:r>
      <w:r>
        <w:rPr>
          <w:rFonts w:hint="eastAsia" w:ascii="宋体" w:hAnsi="宋体" w:cs="宋体"/>
          <w:bCs/>
          <w:szCs w:val="21"/>
          <w:u w:val="single"/>
          <w:lang w:val="en-US" w:eastAsia="zh-CN"/>
        </w:rPr>
        <w:t>18</w:t>
      </w:r>
      <w:r>
        <w:rPr>
          <w:rFonts w:hint="eastAsia" w:ascii="宋体" w:hAnsi="宋体" w:cs="宋体"/>
          <w:bCs/>
          <w:szCs w:val="21"/>
          <w:u w:val="single"/>
        </w:rPr>
        <w:t>日上午9时30分（</w:t>
      </w:r>
      <w:r>
        <w:rPr>
          <w:rFonts w:hint="eastAsia" w:ascii="宋体" w:hAnsi="宋体" w:cs="宋体"/>
          <w:bCs/>
          <w:szCs w:val="21"/>
        </w:rPr>
        <w:t>北京时间）前按要求递交（上传）投标文件</w:t>
      </w:r>
      <w:r>
        <w:rPr>
          <w:rFonts w:hint="eastAsia" w:ascii="宋体" w:hAnsi="宋体" w:cs="宋体"/>
          <w:szCs w:val="21"/>
        </w:rPr>
        <w:t>。</w:t>
      </w:r>
    </w:p>
    <w:p>
      <w:pPr>
        <w:spacing w:line="360" w:lineRule="exact"/>
        <w:rPr>
          <w:rFonts w:ascii="宋体" w:hAnsi="宋体" w:cs="宋体"/>
          <w:szCs w:val="21"/>
        </w:rPr>
      </w:pPr>
    </w:p>
    <w:p>
      <w:pPr>
        <w:spacing w:line="360" w:lineRule="exact"/>
        <w:rPr>
          <w:rFonts w:ascii="宋体" w:hAnsi="宋体" w:cs="宋体"/>
          <w:b/>
          <w:bCs/>
          <w:szCs w:val="21"/>
        </w:rPr>
      </w:pPr>
      <w:bookmarkStart w:id="38" w:name="_Toc28359079"/>
      <w:bookmarkStart w:id="39" w:name="_Toc35393790"/>
      <w:bookmarkStart w:id="40" w:name="_Toc35393621"/>
      <w:bookmarkStart w:id="41" w:name="_Toc28359002"/>
      <w:bookmarkStart w:id="42" w:name="_Hlk24379207"/>
      <w:r>
        <w:rPr>
          <w:rFonts w:hint="eastAsia" w:ascii="宋体" w:hAnsi="宋体" w:cs="宋体"/>
          <w:b/>
          <w:bCs/>
          <w:szCs w:val="21"/>
        </w:rPr>
        <w:t>一、项目基本情况</w:t>
      </w:r>
      <w:bookmarkEnd w:id="38"/>
      <w:bookmarkEnd w:id="39"/>
      <w:bookmarkEnd w:id="40"/>
      <w:bookmarkEnd w:id="41"/>
    </w:p>
    <w:bookmarkEnd w:id="42"/>
    <w:p>
      <w:pPr>
        <w:spacing w:line="360" w:lineRule="exact"/>
        <w:ind w:firstLine="420" w:firstLineChars="200"/>
        <w:rPr>
          <w:rFonts w:ascii="宋体" w:hAnsi="宋体" w:cs="宋体"/>
          <w:szCs w:val="21"/>
        </w:rPr>
      </w:pPr>
      <w:r>
        <w:rPr>
          <w:rFonts w:hint="eastAsia" w:ascii="宋体" w:hAnsi="宋体" w:cs="宋体"/>
          <w:szCs w:val="21"/>
        </w:rPr>
        <w:t>项目编号：</w:t>
      </w:r>
      <w:r>
        <w:rPr>
          <w:rFonts w:hint="eastAsia" w:ascii="宋体" w:hAnsi="宋体" w:cs="宋体"/>
          <w:szCs w:val="21"/>
          <w:lang w:eastAsia="zh-CN"/>
        </w:rPr>
        <w:t>GXZC2026-G1-000857-JGID</w:t>
      </w:r>
      <w:r>
        <w:rPr>
          <w:rFonts w:hint="eastAsia" w:ascii="宋体" w:hAnsi="宋体" w:cs="宋体"/>
          <w:szCs w:val="21"/>
        </w:rPr>
        <w:t>；政府采购计划编号：广西政采[2026]6785号</w:t>
      </w:r>
    </w:p>
    <w:p>
      <w:pPr>
        <w:spacing w:line="360" w:lineRule="exact"/>
        <w:ind w:firstLine="420" w:firstLineChars="200"/>
        <w:rPr>
          <w:rFonts w:ascii="宋体" w:hAnsi="宋体" w:cs="宋体"/>
          <w:szCs w:val="21"/>
        </w:rPr>
      </w:pPr>
      <w:r>
        <w:rPr>
          <w:rFonts w:hint="eastAsia" w:ascii="宋体" w:hAnsi="宋体" w:cs="宋体"/>
          <w:szCs w:val="21"/>
        </w:rPr>
        <w:t>项目名称：广西 AI人才培养基地暨广西未来人工智能工业设计创新中心设备采购项目</w:t>
      </w:r>
    </w:p>
    <w:p>
      <w:pPr>
        <w:spacing w:line="360" w:lineRule="exact"/>
        <w:ind w:firstLine="420" w:firstLineChars="200"/>
        <w:rPr>
          <w:rFonts w:hint="eastAsia" w:ascii="宋体" w:hAnsi="宋体" w:eastAsia="宋体" w:cs="宋体"/>
          <w:szCs w:val="21"/>
          <w:lang w:eastAsia="zh-CN"/>
        </w:rPr>
      </w:pPr>
      <w:r>
        <w:rPr>
          <w:rFonts w:hint="eastAsia" w:ascii="宋体" w:hAnsi="宋体" w:cs="宋体"/>
          <w:szCs w:val="21"/>
        </w:rPr>
        <w:t>预算金额：</w:t>
      </w:r>
      <w:bookmarkStart w:id="43" w:name="OLE_LINK2"/>
      <w:r>
        <w:rPr>
          <w:rFonts w:hint="eastAsia" w:ascii="宋体" w:hAnsi="宋体" w:cs="宋体"/>
          <w:szCs w:val="21"/>
          <w:lang w:eastAsia="zh-CN"/>
        </w:rPr>
        <w:t>5383709</w:t>
      </w:r>
      <w:bookmarkEnd w:id="43"/>
      <w:r>
        <w:rPr>
          <w:rFonts w:hint="eastAsia" w:ascii="宋体" w:hAnsi="宋体" w:cs="宋体"/>
          <w:szCs w:val="21"/>
          <w:lang w:eastAsia="zh-CN"/>
        </w:rPr>
        <w:t>.00元</w:t>
      </w:r>
    </w:p>
    <w:p>
      <w:pPr>
        <w:spacing w:line="360" w:lineRule="exact"/>
        <w:ind w:firstLine="420" w:firstLineChars="200"/>
        <w:rPr>
          <w:rFonts w:hint="eastAsia" w:ascii="宋体" w:hAnsi="宋体" w:eastAsia="宋体" w:cs="宋体"/>
          <w:szCs w:val="21"/>
          <w:lang w:eastAsia="zh-CN"/>
        </w:rPr>
      </w:pPr>
      <w:r>
        <w:rPr>
          <w:rFonts w:hint="eastAsia" w:ascii="宋体" w:hAnsi="宋体" w:cs="宋体"/>
          <w:szCs w:val="21"/>
        </w:rPr>
        <w:t>最高限价：</w:t>
      </w:r>
      <w:bookmarkStart w:id="44" w:name="OLE_LINK5"/>
      <w:r>
        <w:rPr>
          <w:rFonts w:hint="eastAsia" w:ascii="宋体" w:hAnsi="宋体" w:cs="宋体"/>
          <w:szCs w:val="21"/>
          <w:lang w:eastAsia="zh-CN"/>
        </w:rPr>
        <w:t>53837</w:t>
      </w:r>
      <w:r>
        <w:rPr>
          <w:rFonts w:hint="eastAsia" w:ascii="宋体" w:hAnsi="宋体" w:cs="宋体"/>
          <w:szCs w:val="21"/>
          <w:highlight w:val="none"/>
          <w:lang w:eastAsia="zh-CN"/>
        </w:rPr>
        <w:t>09</w:t>
      </w:r>
      <w:bookmarkEnd w:id="44"/>
      <w:r>
        <w:rPr>
          <w:rFonts w:hint="eastAsia" w:ascii="宋体" w:hAnsi="宋体" w:cs="宋体"/>
          <w:szCs w:val="21"/>
          <w:highlight w:val="none"/>
          <w:lang w:eastAsia="zh-CN"/>
        </w:rPr>
        <w:t>.00元（</w:t>
      </w:r>
      <w:r>
        <w:rPr>
          <w:rFonts w:hint="eastAsia" w:ascii="宋体" w:hAnsi="宋体" w:cs="宋体"/>
          <w:szCs w:val="21"/>
          <w:highlight w:val="none"/>
          <w:lang w:val="en-US" w:eastAsia="zh-CN"/>
        </w:rPr>
        <w:t>其中“二、信息化系统”部分控制价为：2416900.00元</w:t>
      </w:r>
      <w:r>
        <w:rPr>
          <w:rFonts w:hint="eastAsia" w:ascii="宋体" w:hAnsi="宋体" w:cs="宋体"/>
          <w:szCs w:val="21"/>
          <w:highlight w:val="none"/>
          <w:lang w:eastAsia="zh-CN"/>
        </w:rPr>
        <w:t>）</w:t>
      </w:r>
    </w:p>
    <w:p>
      <w:pPr>
        <w:spacing w:line="360" w:lineRule="exact"/>
        <w:ind w:firstLine="420" w:firstLineChars="200"/>
        <w:rPr>
          <w:rFonts w:ascii="宋体" w:hAnsi="宋体" w:cs="宋体"/>
          <w:szCs w:val="21"/>
        </w:rPr>
      </w:pPr>
      <w:r>
        <w:rPr>
          <w:rFonts w:hint="eastAsia" w:ascii="宋体" w:hAnsi="宋体" w:cs="宋体"/>
          <w:szCs w:val="21"/>
        </w:rPr>
        <w:t>采购需求：</w:t>
      </w:r>
    </w:p>
    <w:tbl>
      <w:tblPr>
        <w:tblStyle w:val="49"/>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71"/>
        <w:gridCol w:w="1543"/>
        <w:gridCol w:w="1061"/>
        <w:gridCol w:w="649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37"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textAlignment w:val="top"/>
              <w:rPr>
                <w:rFonts w:ascii="宋体" w:hAnsi="宋体" w:cs="宋体"/>
                <w:szCs w:val="21"/>
              </w:rPr>
            </w:pPr>
            <w:r>
              <w:rPr>
                <w:rFonts w:hint="eastAsia" w:ascii="宋体" w:hAnsi="宋体" w:cs="宋体"/>
                <w:szCs w:val="21"/>
              </w:rPr>
              <w:t>序号</w:t>
            </w:r>
          </w:p>
        </w:tc>
        <w:tc>
          <w:tcPr>
            <w:tcW w:w="77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textAlignment w:val="top"/>
              <w:rPr>
                <w:rFonts w:ascii="宋体" w:hAnsi="宋体" w:cs="宋体"/>
                <w:szCs w:val="21"/>
              </w:rPr>
            </w:pPr>
            <w:r>
              <w:rPr>
                <w:rFonts w:hint="eastAsia" w:ascii="宋体" w:hAnsi="宋体" w:cs="宋体"/>
                <w:szCs w:val="21"/>
              </w:rPr>
              <w:t>标的名称</w:t>
            </w:r>
          </w:p>
        </w:tc>
        <w:tc>
          <w:tcPr>
            <w:tcW w:w="532"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textAlignment w:val="top"/>
              <w:rPr>
                <w:rFonts w:ascii="宋体" w:hAnsi="宋体" w:cs="宋体"/>
                <w:szCs w:val="21"/>
              </w:rPr>
            </w:pPr>
            <w:r>
              <w:rPr>
                <w:rFonts w:hint="eastAsia" w:ascii="宋体" w:hAnsi="宋体" w:cs="宋体"/>
                <w:szCs w:val="21"/>
              </w:rPr>
              <w:t>数量及单位</w:t>
            </w:r>
          </w:p>
        </w:tc>
        <w:tc>
          <w:tcPr>
            <w:tcW w:w="3256"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textAlignment w:val="top"/>
              <w:rPr>
                <w:rFonts w:ascii="宋体" w:hAnsi="宋体" w:cs="宋体"/>
                <w:szCs w:val="21"/>
              </w:rPr>
            </w:pPr>
            <w:r>
              <w:rPr>
                <w:rFonts w:hint="eastAsia" w:ascii="宋体" w:hAnsi="宋体" w:cs="宋体"/>
                <w:szCs w:val="21"/>
              </w:rPr>
              <w:t>简要技术需求或者服务要求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37" w:type="pct"/>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textAlignment w:val="center"/>
              <w:rPr>
                <w:rFonts w:ascii="宋体" w:hAnsi="宋体" w:cs="宋体"/>
                <w:szCs w:val="21"/>
              </w:rPr>
            </w:pPr>
            <w:r>
              <w:rPr>
                <w:rFonts w:hint="eastAsia" w:ascii="宋体" w:hAnsi="宋体" w:cs="宋体"/>
                <w:color w:val="000000"/>
                <w:kern w:val="0"/>
                <w:szCs w:val="21"/>
                <w:lang w:bidi="ar"/>
              </w:rPr>
              <w:t>1</w:t>
            </w:r>
          </w:p>
        </w:tc>
        <w:tc>
          <w:tcPr>
            <w:tcW w:w="138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宋体" w:hAnsi="宋体" w:cs="宋体"/>
                <w:szCs w:val="21"/>
              </w:rPr>
            </w:pPr>
            <w:r>
              <w:rPr>
                <w:rFonts w:hint="eastAsia" w:ascii="宋体" w:hAnsi="宋体" w:eastAsia="宋体" w:cs="宋体"/>
                <w:i w:val="0"/>
                <w:iCs w:val="0"/>
                <w:color w:val="000000"/>
                <w:kern w:val="0"/>
                <w:sz w:val="20"/>
                <w:szCs w:val="20"/>
                <w:u w:val="none"/>
                <w:lang w:val="en-US" w:eastAsia="zh-CN" w:bidi="ar"/>
              </w:rPr>
              <w:t>备用交互终端</w:t>
            </w:r>
          </w:p>
        </w:tc>
        <w:tc>
          <w:tcPr>
            <w:tcW w:w="532" w:type="pct"/>
            <w:tcBorders>
              <w:top w:val="single" w:color="auto" w:sz="4" w:space="0"/>
              <w:left w:val="single" w:color="auto" w:sz="4" w:space="0"/>
              <w:bottom w:val="single" w:color="auto" w:sz="4" w:space="0"/>
              <w:right w:val="single" w:color="auto" w:sz="4" w:space="0"/>
            </w:tcBorders>
            <w:vAlign w:val="center"/>
          </w:tcPr>
          <w:p>
            <w:pPr>
              <w:widowControl/>
              <w:spacing w:line="360" w:lineRule="exact"/>
              <w:textAlignment w:val="center"/>
              <w:rPr>
                <w:rFonts w:hint="default" w:ascii="宋体" w:hAnsi="宋体" w:eastAsia="宋体" w:cs="宋体"/>
                <w:szCs w:val="21"/>
                <w:lang w:val="en-US" w:eastAsia="zh-CN"/>
              </w:rPr>
            </w:pPr>
            <w:r>
              <w:rPr>
                <w:rFonts w:hint="eastAsia" w:ascii="宋体" w:hAnsi="宋体" w:cs="宋体"/>
                <w:szCs w:val="21"/>
                <w:lang w:val="en-US" w:eastAsia="zh-CN"/>
              </w:rPr>
              <w:t>2台</w:t>
            </w:r>
          </w:p>
        </w:tc>
        <w:tc>
          <w:tcPr>
            <w:tcW w:w="582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一、硬件配置</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▲1、屏幕：≥13.2英寸OLED，分辨率≥2880×1920，刷新率≥120Hz；</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处理器：</w:t>
            </w:r>
            <w:r>
              <w:rPr>
                <w:rFonts w:hint="eastAsia" w:ascii="宋体" w:hAnsi="宋体" w:cs="宋体"/>
                <w:i w:val="0"/>
                <w:iCs w:val="0"/>
                <w:color w:val="000000"/>
                <w:kern w:val="0"/>
                <w:sz w:val="20"/>
                <w:szCs w:val="20"/>
                <w:u w:val="none"/>
                <w:lang w:val="en-US" w:eastAsia="zh-CN" w:bidi="ar"/>
              </w:rPr>
              <w:t>≥10 核 CPU + 16 核 GPU，参照【苹果 iPad Pro 12.9英寸（M4芯片）、三星 Galaxy Tab S9 Ultra、华为 MatePad Pro 13.2】；</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内存与存储：≥12GBRAM+512GBROM；</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系统：支持多任务处理、分屏操作 Samsung DeX 桌面模式，兼容 Windows/Mac 投屏</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参照</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苹果 iPad Pro 12.9英寸（M4芯片）</w:t>
            </w:r>
            <w:r>
              <w:rPr>
                <w:rFonts w:hint="eastAsia" w:ascii="宋体" w:hAnsi="宋体" w:cs="宋体"/>
                <w:i w:val="0"/>
                <w:iCs w:val="0"/>
                <w:color w:val="000000"/>
                <w:kern w:val="0"/>
                <w:sz w:val="20"/>
                <w:szCs w:val="20"/>
                <w:u w:val="none"/>
                <w:lang w:val="en-US" w:eastAsia="zh-CN" w:bidi="ar"/>
              </w:rPr>
              <w:t>、三星 Galaxy Tab S9 Ultra、华为 MatePad Pro 13.2】</w:t>
            </w:r>
            <w:r>
              <w:rPr>
                <w:rFonts w:hint="eastAsia" w:ascii="宋体" w:hAnsi="宋体" w:eastAsia="宋体" w:cs="宋体"/>
                <w:i w:val="0"/>
                <w:iCs w:val="0"/>
                <w:color w:val="000000"/>
                <w:kern w:val="0"/>
                <w:sz w:val="20"/>
                <w:szCs w:val="20"/>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二、功能用途</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控制功能：支持远程投屏、语音指令、子系统应急控制；</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网络：Wi-Fi6，蓝牙5.2；</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续航：电池容量≥10000mAh，支持40W快充；</w:t>
            </w:r>
          </w:p>
          <w:p>
            <w:pPr>
              <w:keepNext w:val="0"/>
              <w:keepLines w:val="0"/>
              <w:widowControl/>
              <w:suppressLineNumbers w:val="0"/>
              <w:jc w:val="left"/>
              <w:textAlignment w:val="center"/>
              <w:rPr>
                <w:rFonts w:ascii="宋体" w:hAnsi="宋体" w:cs="宋体"/>
                <w:szCs w:val="21"/>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供货时提供原厂发票及电子三包凭证。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37" w:type="pct"/>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textAlignment w:val="center"/>
              <w:rPr>
                <w:rFonts w:ascii="宋体" w:hAnsi="宋体" w:cs="宋体"/>
                <w:szCs w:val="21"/>
              </w:rPr>
            </w:pPr>
            <w:r>
              <w:rPr>
                <w:rFonts w:hint="eastAsia" w:ascii="宋体" w:hAnsi="宋体" w:cs="宋体"/>
                <w:color w:val="000000"/>
                <w:kern w:val="0"/>
                <w:szCs w:val="21"/>
                <w:lang w:bidi="ar"/>
              </w:rPr>
              <w:t>2</w:t>
            </w:r>
          </w:p>
        </w:tc>
        <w:tc>
          <w:tcPr>
            <w:tcW w:w="138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宋体" w:hAnsi="宋体" w:cs="宋体"/>
                <w:szCs w:val="21"/>
                <w:u w:val="single"/>
              </w:rPr>
            </w:pPr>
            <w:r>
              <w:rPr>
                <w:rFonts w:hint="eastAsia" w:ascii="宋体" w:hAnsi="宋体" w:eastAsia="宋体" w:cs="宋体"/>
                <w:i w:val="0"/>
                <w:iCs w:val="0"/>
                <w:color w:val="000000"/>
                <w:kern w:val="0"/>
                <w:sz w:val="20"/>
                <w:szCs w:val="20"/>
                <w:u w:val="none"/>
                <w:lang w:val="en-US" w:eastAsia="zh-CN" w:bidi="ar"/>
              </w:rPr>
              <w:t>智能吉他</w:t>
            </w:r>
          </w:p>
        </w:tc>
        <w:tc>
          <w:tcPr>
            <w:tcW w:w="532" w:type="pct"/>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textAlignment w:val="center"/>
              <w:rPr>
                <w:rFonts w:ascii="宋体" w:hAnsi="宋体" w:cs="宋体"/>
                <w:szCs w:val="21"/>
              </w:rPr>
            </w:pPr>
            <w:r>
              <w:rPr>
                <w:rFonts w:hint="eastAsia" w:ascii="宋体" w:hAnsi="宋体" w:cs="宋体"/>
                <w:szCs w:val="21"/>
                <w:lang w:val="en-US" w:eastAsia="zh-CN"/>
              </w:rPr>
              <w:t>3</w:t>
            </w:r>
            <w:r>
              <w:rPr>
                <w:rFonts w:hint="eastAsia" w:ascii="宋体" w:hAnsi="宋体" w:cs="宋体"/>
                <w:szCs w:val="21"/>
              </w:rPr>
              <w:t>套</w:t>
            </w:r>
          </w:p>
        </w:tc>
        <w:tc>
          <w:tcPr>
            <w:tcW w:w="582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碳纤维一体成型琴身，重量≤1.8kg，支持折叠收纳；</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配备智能触控指板，支持和弦/音阶可视化教学，响应延迟≤20ms；</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内置双全频喇叭系统（含≥3英寸低音单元），输出功率≥10W；</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提供6.35mm标准音频输出接口及蓝牙5.0无线音频传输；</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配套App支持AI智能制谱、节奏训练、≥500种音色切换及录音功能；</w:t>
            </w:r>
          </w:p>
          <w:p>
            <w:pPr>
              <w:keepNext w:val="0"/>
              <w:keepLines w:val="0"/>
              <w:widowControl/>
              <w:suppressLineNumbers w:val="0"/>
              <w:jc w:val="left"/>
              <w:textAlignment w:val="center"/>
              <w:rPr>
                <w:rFonts w:ascii="宋体" w:hAnsi="宋体" w:cs="宋体"/>
                <w:szCs w:val="21"/>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电池续航≥10小时，Type-C快充，充电1小时可使用≥6小时。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37" w:type="pct"/>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textAlignment w:val="center"/>
              <w:rPr>
                <w:rFonts w:ascii="宋体" w:hAnsi="宋体" w:cs="宋体"/>
                <w:szCs w:val="21"/>
              </w:rPr>
            </w:pPr>
            <w:r>
              <w:rPr>
                <w:rFonts w:hint="eastAsia" w:ascii="宋体" w:hAnsi="宋体" w:cs="宋体"/>
                <w:color w:val="000000"/>
                <w:kern w:val="0"/>
                <w:szCs w:val="21"/>
                <w:lang w:bidi="ar"/>
              </w:rPr>
              <w:t>3</w:t>
            </w:r>
          </w:p>
        </w:tc>
        <w:tc>
          <w:tcPr>
            <w:tcW w:w="138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宋体" w:hAnsi="宋体" w:cs="宋体"/>
                <w:szCs w:val="21"/>
                <w:u w:val="single"/>
              </w:rPr>
            </w:pPr>
            <w:r>
              <w:rPr>
                <w:rFonts w:hint="eastAsia" w:ascii="宋体" w:hAnsi="宋体" w:eastAsia="宋体" w:cs="宋体"/>
                <w:i w:val="0"/>
                <w:iCs w:val="0"/>
                <w:color w:val="000000"/>
                <w:kern w:val="0"/>
                <w:sz w:val="20"/>
                <w:szCs w:val="20"/>
                <w:u w:val="none"/>
                <w:lang w:val="en-US" w:eastAsia="zh-CN" w:bidi="ar"/>
              </w:rPr>
              <w:t>学习机</w:t>
            </w:r>
          </w:p>
        </w:tc>
        <w:tc>
          <w:tcPr>
            <w:tcW w:w="532" w:type="pct"/>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textAlignment w:val="center"/>
              <w:rPr>
                <w:rFonts w:ascii="宋体" w:hAnsi="宋体" w:cs="宋体"/>
                <w:szCs w:val="21"/>
              </w:rPr>
            </w:pPr>
            <w:r>
              <w:rPr>
                <w:rFonts w:hint="eastAsia" w:ascii="宋体" w:hAnsi="宋体" w:cs="宋体"/>
                <w:szCs w:val="21"/>
              </w:rPr>
              <w:t>1套</w:t>
            </w:r>
          </w:p>
        </w:tc>
        <w:tc>
          <w:tcPr>
            <w:tcW w:w="582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≥14.7英寸2.5K超清护眼屏，通过TÜV低蓝光与无频闪认证；</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配置≥8GBRAM+1TBROM，搭载参照科大讯飞</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 xml:space="preserve"> iFLYTEK T30 Pro</w:t>
            </w:r>
            <w:r>
              <w:rPr>
                <w:rFonts w:hint="eastAsia" w:ascii="宋体" w:hAnsi="宋体" w:cs="宋体"/>
                <w:i w:val="0"/>
                <w:iCs w:val="0"/>
                <w:color w:val="000000"/>
                <w:kern w:val="0"/>
                <w:sz w:val="20"/>
                <w:szCs w:val="20"/>
                <w:u w:val="none"/>
                <w:lang w:val="en-US" w:eastAsia="zh-CN" w:bidi="ar"/>
              </w:rPr>
              <w:t>、步步高家教机 S6 Pro、读书郎 C30 Pro）</w:t>
            </w:r>
            <w:r>
              <w:rPr>
                <w:rFonts w:hint="eastAsia" w:ascii="宋体" w:hAnsi="宋体" w:eastAsia="宋体" w:cs="宋体"/>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内置小学至高中全学科同步辅导，支持教材点读、错题整理</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AI 智能答疑，拍照搜题秒出解析，支持手写解题</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参照科大讯飞</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 xml:space="preserve"> iFLYTEK T30 Pro</w:t>
            </w:r>
            <w:r>
              <w:rPr>
                <w:rFonts w:hint="eastAsia" w:ascii="宋体" w:hAnsi="宋体" w:cs="宋体"/>
                <w:i w:val="0"/>
                <w:iCs w:val="0"/>
                <w:color w:val="000000"/>
                <w:kern w:val="0"/>
                <w:sz w:val="20"/>
                <w:szCs w:val="20"/>
                <w:u w:val="none"/>
                <w:lang w:val="en-US" w:eastAsia="zh-CN" w:bidi="ar"/>
              </w:rPr>
              <w:t>、步步高家教机 S6 Pro、读书郎 C30 Pro）</w:t>
            </w:r>
            <w:r>
              <w:rPr>
                <w:rFonts w:hint="eastAsia" w:ascii="宋体" w:hAnsi="宋体" w:eastAsia="宋体" w:cs="宋体"/>
                <w:i w:val="0"/>
                <w:iCs w:val="0"/>
                <w:color w:val="000000"/>
                <w:kern w:val="0"/>
                <w:sz w:val="20"/>
                <w:szCs w:val="20"/>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内置参照科大讯飞</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iFLYTEK T30 Pro</w:t>
            </w:r>
            <w:r>
              <w:rPr>
                <w:rFonts w:hint="eastAsia" w:ascii="宋体" w:hAnsi="宋体" w:cs="宋体"/>
                <w:i w:val="0"/>
                <w:iCs w:val="0"/>
                <w:color w:val="000000"/>
                <w:kern w:val="0"/>
                <w:sz w:val="20"/>
                <w:szCs w:val="20"/>
                <w:u w:val="none"/>
                <w:lang w:val="en-US" w:eastAsia="zh-CN" w:bidi="ar"/>
              </w:rPr>
              <w:t>、步步高家教机 S6 Pro、读书郎 C30 Pro）</w:t>
            </w:r>
            <w:r>
              <w:rPr>
                <w:rFonts w:hint="eastAsia" w:ascii="宋体" w:hAnsi="宋体" w:eastAsia="宋体" w:cs="宋体"/>
                <w:i w:val="0"/>
                <w:iCs w:val="0"/>
                <w:color w:val="000000"/>
                <w:kern w:val="0"/>
                <w:sz w:val="20"/>
                <w:szCs w:val="20"/>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具有覆盖中高考同源题库，支持AI作文批改（评分误差≤5分）、口语评测（准确率≥95%）；</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支持家长远程管控、使用时长统计与内容过滤；</w:t>
            </w:r>
          </w:p>
          <w:p>
            <w:pPr>
              <w:keepNext w:val="0"/>
              <w:keepLines w:val="0"/>
              <w:widowControl/>
              <w:suppressLineNumbers w:val="0"/>
              <w:jc w:val="left"/>
              <w:textAlignment w:val="center"/>
              <w:rPr>
                <w:rFonts w:ascii="宋体" w:hAnsi="宋体" w:cs="宋体"/>
                <w:szCs w:val="21"/>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电池容量≥10000mAh，续航≥8小时。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3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Cs w:val="21"/>
              </w:rPr>
            </w:pPr>
            <w:r>
              <w:rPr>
                <w:rFonts w:hint="eastAsia" w:ascii="宋体" w:hAnsi="宋体" w:cs="宋体"/>
                <w:szCs w:val="21"/>
              </w:rPr>
              <w:t>……</w:t>
            </w:r>
          </w:p>
        </w:tc>
        <w:tc>
          <w:tcPr>
            <w:tcW w:w="774" w:type="pct"/>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textAlignment w:val="center"/>
              <w:rPr>
                <w:rFonts w:ascii="宋体" w:hAnsi="宋体" w:cs="宋体"/>
                <w:szCs w:val="21"/>
                <w:u w:val="single"/>
              </w:rPr>
            </w:pPr>
            <w:r>
              <w:rPr>
                <w:rFonts w:hint="eastAsia" w:ascii="宋体" w:hAnsi="宋体" w:cs="宋体"/>
                <w:szCs w:val="21"/>
                <w:u w:val="none"/>
              </w:rPr>
              <w:t>……</w:t>
            </w:r>
          </w:p>
        </w:tc>
        <w:tc>
          <w:tcPr>
            <w:tcW w:w="532" w:type="pct"/>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textAlignment w:val="center"/>
              <w:rPr>
                <w:rFonts w:ascii="宋体" w:hAnsi="宋体" w:cs="宋体"/>
                <w:szCs w:val="21"/>
              </w:rPr>
            </w:pPr>
            <w:r>
              <w:rPr>
                <w:rFonts w:hint="eastAsia" w:ascii="宋体" w:hAnsi="宋体" w:cs="宋体"/>
                <w:szCs w:val="21"/>
              </w:rPr>
              <w:t>……</w:t>
            </w:r>
          </w:p>
        </w:tc>
        <w:tc>
          <w:tcPr>
            <w:tcW w:w="3256" w:type="pct"/>
            <w:tcBorders>
              <w:top w:val="single" w:color="auto" w:sz="4" w:space="0"/>
              <w:left w:val="single" w:color="auto" w:sz="4" w:space="0"/>
              <w:bottom w:val="single" w:color="auto" w:sz="4" w:space="0"/>
              <w:right w:val="single" w:color="auto" w:sz="4" w:space="0"/>
            </w:tcBorders>
            <w:vAlign w:val="center"/>
          </w:tcPr>
          <w:p>
            <w:pPr>
              <w:tabs>
                <w:tab w:val="left" w:pos="180"/>
                <w:tab w:val="left" w:pos="1620"/>
              </w:tabs>
              <w:spacing w:line="360" w:lineRule="exact"/>
              <w:rPr>
                <w:rFonts w:ascii="宋体" w:hAnsi="宋体" w:cs="宋体"/>
                <w:szCs w:val="21"/>
              </w:rPr>
            </w:pPr>
            <w:r>
              <w:rPr>
                <w:rFonts w:hint="eastAsia" w:ascii="宋体" w:hAnsi="宋体" w:cs="宋体"/>
                <w:kern w:val="0"/>
                <w:szCs w:val="21"/>
                <w:lang w:bidi="ar"/>
              </w:rPr>
              <w:t>具体详见招标文件采购需求</w:t>
            </w:r>
          </w:p>
        </w:tc>
      </w:tr>
    </w:tbl>
    <w:p>
      <w:pPr>
        <w:spacing w:line="360" w:lineRule="exact"/>
        <w:ind w:firstLine="420" w:firstLineChars="200"/>
        <w:rPr>
          <w:rFonts w:ascii="宋体" w:hAnsi="宋体" w:cs="宋体"/>
          <w:szCs w:val="21"/>
          <w:u w:val="single"/>
        </w:rPr>
      </w:pPr>
      <w:r>
        <w:rPr>
          <w:rFonts w:hint="eastAsia" w:ascii="宋体" w:hAnsi="宋体" w:cs="宋体"/>
          <w:szCs w:val="21"/>
        </w:rPr>
        <w:t>合同履行期限：自合同签订之日起至合同履约完毕（即售后服务期结束）。</w:t>
      </w:r>
    </w:p>
    <w:p>
      <w:pPr>
        <w:spacing w:line="360" w:lineRule="exact"/>
        <w:ind w:firstLine="422" w:firstLineChars="200"/>
        <w:rPr>
          <w:rFonts w:ascii="宋体" w:hAnsi="宋体" w:cs="宋体"/>
          <w:szCs w:val="21"/>
          <w:highlight w:val="none"/>
        </w:rPr>
      </w:pPr>
      <w:r>
        <w:rPr>
          <w:rFonts w:hint="eastAsia" w:ascii="宋体" w:hAnsi="宋体" w:cs="宋体"/>
          <w:b/>
          <w:szCs w:val="21"/>
          <w:highlight w:val="none"/>
          <w:u w:val="single"/>
        </w:rPr>
        <w:t>本项目接受联合体投标</w:t>
      </w:r>
      <w:r>
        <w:rPr>
          <w:rFonts w:hint="eastAsia" w:ascii="宋体" w:hAnsi="宋体" w:cs="宋体"/>
          <w:szCs w:val="21"/>
          <w:highlight w:val="none"/>
        </w:rPr>
        <w:t>。</w:t>
      </w:r>
    </w:p>
    <w:p>
      <w:pPr>
        <w:spacing w:line="360" w:lineRule="exact"/>
        <w:rPr>
          <w:rFonts w:ascii="宋体" w:hAnsi="宋体" w:cs="宋体"/>
          <w:b/>
          <w:bCs/>
          <w:szCs w:val="21"/>
        </w:rPr>
      </w:pPr>
      <w:bookmarkStart w:id="45" w:name="_Toc28359080"/>
      <w:bookmarkStart w:id="46" w:name="_Toc35393622"/>
      <w:bookmarkStart w:id="47" w:name="_Toc35393791"/>
      <w:bookmarkStart w:id="48" w:name="_Toc28359003"/>
      <w:r>
        <w:rPr>
          <w:rFonts w:hint="eastAsia" w:ascii="宋体" w:hAnsi="宋体" w:cs="宋体"/>
          <w:b/>
          <w:bCs/>
          <w:szCs w:val="21"/>
        </w:rPr>
        <w:t>二、申请人的资格要求：</w:t>
      </w:r>
      <w:bookmarkEnd w:id="45"/>
      <w:bookmarkEnd w:id="46"/>
      <w:bookmarkEnd w:id="47"/>
      <w:bookmarkEnd w:id="48"/>
    </w:p>
    <w:p>
      <w:pPr>
        <w:spacing w:line="360" w:lineRule="exact"/>
        <w:ind w:firstLine="420" w:firstLineChars="200"/>
        <w:rPr>
          <w:rFonts w:ascii="宋体" w:hAnsi="宋体" w:cs="宋体"/>
          <w:szCs w:val="21"/>
        </w:rPr>
      </w:pPr>
      <w:bookmarkStart w:id="49" w:name="_Hlk51746371"/>
      <w:bookmarkStart w:id="50" w:name="_Toc35393792"/>
      <w:bookmarkStart w:id="51" w:name="_Toc28359004"/>
      <w:bookmarkStart w:id="52" w:name="_Toc28359081"/>
      <w:bookmarkStart w:id="53" w:name="_Toc35393623"/>
      <w:r>
        <w:rPr>
          <w:rFonts w:hint="eastAsia" w:ascii="宋体" w:hAnsi="宋体" w:cs="宋体"/>
          <w:szCs w:val="21"/>
        </w:rPr>
        <w:t>1.满足《中华人民共和国政府采购法》第二十二条规定；</w:t>
      </w:r>
    </w:p>
    <w:p>
      <w:pPr>
        <w:spacing w:line="360" w:lineRule="exact"/>
        <w:ind w:firstLine="420" w:firstLineChars="200"/>
        <w:rPr>
          <w:rFonts w:ascii="宋体" w:hAnsi="宋体" w:cs="宋体"/>
          <w:szCs w:val="21"/>
        </w:rPr>
      </w:pPr>
      <w:r>
        <w:rPr>
          <w:rFonts w:hint="eastAsia" w:ascii="宋体" w:hAnsi="宋体" w:cs="宋体"/>
          <w:szCs w:val="21"/>
        </w:rPr>
        <w:t>2.落实政府采购政策需满足的资格要求：</w:t>
      </w:r>
    </w:p>
    <w:p>
      <w:pPr>
        <w:spacing w:line="360" w:lineRule="exact"/>
        <w:ind w:firstLine="420" w:firstLineChars="200"/>
        <w:rPr>
          <w:rFonts w:ascii="宋体" w:hAnsi="宋体" w:cs="宋体"/>
          <w:szCs w:val="21"/>
        </w:rPr>
      </w:pPr>
      <w:r>
        <w:rPr>
          <w:rFonts w:hint="eastAsia" w:ascii="宋体" w:hAnsi="宋体" w:cs="宋体"/>
          <w:szCs w:val="21"/>
        </w:rPr>
        <w:t>□专门面向中小企业采购的项目（供应商应为中小微企业、监狱企业、残疾人福利性单位)</w:t>
      </w:r>
    </w:p>
    <w:p>
      <w:pPr>
        <w:spacing w:line="360" w:lineRule="exact"/>
        <w:ind w:firstLine="420" w:firstLineChars="200"/>
        <w:rPr>
          <w:rFonts w:ascii="宋体" w:hAnsi="宋体" w:cs="宋体"/>
          <w:szCs w:val="21"/>
          <w:highlight w:val="yellow"/>
        </w:rPr>
      </w:pPr>
      <w:r>
        <w:rPr>
          <w:rFonts w:hint="eastAsia" w:ascii="宋体" w:hAnsi="宋体" w:cs="宋体"/>
          <w:szCs w:val="21"/>
        </w:rPr>
        <w:t>☑</w:t>
      </w:r>
      <w:bookmarkStart w:id="54" w:name="OLE_LINK6"/>
      <w:r>
        <w:rPr>
          <w:rFonts w:hint="eastAsia" w:ascii="宋体" w:hAnsi="宋体" w:cs="宋体"/>
          <w:szCs w:val="21"/>
        </w:rPr>
        <w:t>非专门面向中小企业采购的项目</w:t>
      </w:r>
      <w:bookmarkEnd w:id="54"/>
    </w:p>
    <w:p>
      <w:pPr>
        <w:spacing w:line="360" w:lineRule="exact"/>
        <w:ind w:firstLine="420" w:firstLineChars="200"/>
        <w:rPr>
          <w:rFonts w:ascii="宋体" w:hAnsi="宋体" w:cs="宋体"/>
          <w:szCs w:val="21"/>
        </w:rPr>
      </w:pPr>
      <w:r>
        <w:rPr>
          <w:rFonts w:hint="eastAsia" w:ascii="宋体" w:hAnsi="宋体" w:cs="宋体"/>
          <w:szCs w:val="21"/>
        </w:rPr>
        <w:t>3.本项目的特定资格要求：无。</w:t>
      </w:r>
    </w:p>
    <w:bookmarkEnd w:id="49"/>
    <w:p>
      <w:pPr>
        <w:spacing w:line="360" w:lineRule="exact"/>
        <w:rPr>
          <w:rFonts w:ascii="宋体" w:hAnsi="宋体" w:cs="宋体"/>
          <w:b/>
          <w:bCs/>
          <w:szCs w:val="21"/>
        </w:rPr>
      </w:pPr>
      <w:r>
        <w:rPr>
          <w:rFonts w:hint="eastAsia" w:ascii="宋体" w:hAnsi="宋体" w:cs="宋体"/>
          <w:b/>
          <w:bCs/>
          <w:szCs w:val="21"/>
        </w:rPr>
        <w:t>三、获取招标文件</w:t>
      </w:r>
      <w:bookmarkEnd w:id="50"/>
      <w:bookmarkEnd w:id="51"/>
      <w:bookmarkEnd w:id="52"/>
      <w:bookmarkEnd w:id="53"/>
    </w:p>
    <w:p>
      <w:pPr>
        <w:spacing w:line="360" w:lineRule="exact"/>
        <w:ind w:firstLine="540"/>
        <w:rPr>
          <w:rFonts w:ascii="宋体" w:hAnsi="宋体" w:cs="宋体"/>
          <w:bCs/>
          <w:kern w:val="0"/>
          <w:szCs w:val="21"/>
        </w:rPr>
      </w:pPr>
      <w:r>
        <w:rPr>
          <w:rFonts w:hint="eastAsia" w:ascii="宋体" w:hAnsi="宋体" w:cs="宋体"/>
          <w:bCs/>
          <w:kern w:val="0"/>
          <w:szCs w:val="21"/>
        </w:rPr>
        <w:t>时间：</w:t>
      </w:r>
      <w:r>
        <w:rPr>
          <w:rFonts w:hint="eastAsia" w:ascii="宋体" w:hAnsi="宋体" w:cs="宋体"/>
          <w:bCs/>
          <w:kern w:val="0"/>
          <w:szCs w:val="21"/>
          <w:u w:val="single"/>
        </w:rPr>
        <w:t>2026年</w:t>
      </w:r>
      <w:r>
        <w:rPr>
          <w:rFonts w:hint="eastAsia" w:ascii="宋体" w:hAnsi="宋体" w:cs="宋体"/>
          <w:bCs/>
          <w:kern w:val="0"/>
          <w:szCs w:val="21"/>
          <w:u w:val="single"/>
          <w:lang w:val="en-US" w:eastAsia="zh-CN"/>
        </w:rPr>
        <w:t>4</w:t>
      </w:r>
      <w:r>
        <w:rPr>
          <w:rFonts w:hint="eastAsia" w:ascii="宋体" w:hAnsi="宋体" w:cs="宋体"/>
          <w:bCs/>
          <w:kern w:val="0"/>
          <w:szCs w:val="21"/>
          <w:u w:val="single"/>
        </w:rPr>
        <w:t>月</w:t>
      </w:r>
      <w:r>
        <w:rPr>
          <w:rFonts w:hint="eastAsia" w:ascii="宋体" w:hAnsi="宋体" w:cs="宋体"/>
          <w:bCs/>
          <w:kern w:val="0"/>
          <w:szCs w:val="21"/>
          <w:u w:val="single"/>
          <w:lang w:val="en-US" w:eastAsia="zh-CN"/>
        </w:rPr>
        <w:t>27</w:t>
      </w:r>
      <w:r>
        <w:rPr>
          <w:rFonts w:hint="eastAsia" w:ascii="宋体" w:hAnsi="宋体" w:cs="宋体"/>
          <w:bCs/>
          <w:kern w:val="0"/>
          <w:szCs w:val="21"/>
          <w:u w:val="single"/>
        </w:rPr>
        <w:t>日</w:t>
      </w:r>
      <w:r>
        <w:rPr>
          <w:rFonts w:hint="eastAsia" w:ascii="宋体" w:hAnsi="宋体" w:cs="宋体"/>
          <w:bCs/>
          <w:kern w:val="0"/>
          <w:szCs w:val="21"/>
        </w:rPr>
        <w:t>至</w:t>
      </w:r>
      <w:r>
        <w:rPr>
          <w:rFonts w:hint="eastAsia" w:ascii="宋体" w:hAnsi="宋体" w:cs="宋体"/>
          <w:bCs/>
          <w:kern w:val="0"/>
          <w:szCs w:val="21"/>
          <w:u w:val="single"/>
        </w:rPr>
        <w:t>2026年</w:t>
      </w:r>
      <w:r>
        <w:rPr>
          <w:rFonts w:hint="eastAsia" w:ascii="宋体" w:hAnsi="宋体" w:cs="宋体"/>
          <w:bCs/>
          <w:kern w:val="0"/>
          <w:szCs w:val="21"/>
          <w:u w:val="single"/>
          <w:lang w:val="en-US" w:eastAsia="zh-CN"/>
        </w:rPr>
        <w:t>5</w:t>
      </w:r>
      <w:r>
        <w:rPr>
          <w:rFonts w:hint="eastAsia" w:ascii="宋体" w:hAnsi="宋体" w:cs="宋体"/>
          <w:bCs/>
          <w:kern w:val="0"/>
          <w:szCs w:val="21"/>
          <w:u w:val="single"/>
        </w:rPr>
        <w:t>月</w:t>
      </w:r>
      <w:r>
        <w:rPr>
          <w:rFonts w:hint="eastAsia" w:ascii="宋体" w:hAnsi="宋体" w:cs="宋体"/>
          <w:bCs/>
          <w:kern w:val="0"/>
          <w:szCs w:val="21"/>
          <w:u w:val="single"/>
          <w:lang w:val="en-US" w:eastAsia="zh-CN"/>
        </w:rPr>
        <w:t>7</w:t>
      </w:r>
      <w:r>
        <w:rPr>
          <w:rFonts w:hint="eastAsia" w:ascii="宋体" w:hAnsi="宋体" w:cs="宋体"/>
          <w:bCs/>
          <w:kern w:val="0"/>
          <w:szCs w:val="21"/>
          <w:u w:val="single"/>
        </w:rPr>
        <w:t>日</w:t>
      </w:r>
      <w:r>
        <w:rPr>
          <w:rFonts w:hint="eastAsia" w:ascii="宋体" w:hAnsi="宋体" w:cs="宋体"/>
          <w:bCs/>
          <w:kern w:val="0"/>
          <w:szCs w:val="21"/>
        </w:rPr>
        <w:t>，每天</w:t>
      </w:r>
      <w:r>
        <w:rPr>
          <w:rFonts w:hint="eastAsia" w:ascii="宋体" w:hAnsi="宋体" w:cs="宋体"/>
          <w:bCs/>
          <w:kern w:val="0"/>
          <w:szCs w:val="21"/>
          <w:u w:val="single"/>
        </w:rPr>
        <w:t>0:00至23:59</w:t>
      </w:r>
      <w:r>
        <w:rPr>
          <w:rFonts w:hint="eastAsia" w:ascii="宋体" w:hAnsi="宋体" w:cs="宋体"/>
          <w:bCs/>
          <w:kern w:val="0"/>
          <w:szCs w:val="21"/>
        </w:rPr>
        <w:t>（北京时间）</w:t>
      </w:r>
    </w:p>
    <w:p>
      <w:pPr>
        <w:spacing w:line="360" w:lineRule="exact"/>
        <w:ind w:firstLine="540"/>
        <w:rPr>
          <w:rFonts w:ascii="宋体" w:hAnsi="宋体" w:cs="宋体"/>
          <w:bCs/>
          <w:kern w:val="0"/>
          <w:szCs w:val="21"/>
        </w:rPr>
      </w:pPr>
      <w:r>
        <w:rPr>
          <w:rFonts w:hint="eastAsia" w:ascii="宋体" w:hAnsi="宋体" w:cs="宋体"/>
          <w:bCs/>
          <w:kern w:val="0"/>
          <w:szCs w:val="21"/>
        </w:rPr>
        <w:t>地点：广西政府采购云平台（https://www.gcy.zfcg.gxzf.gov.cn/）</w:t>
      </w:r>
    </w:p>
    <w:p>
      <w:pPr>
        <w:spacing w:line="360" w:lineRule="exact"/>
        <w:ind w:firstLine="540"/>
        <w:rPr>
          <w:rFonts w:ascii="宋体" w:hAnsi="宋体" w:cs="宋体"/>
          <w:bCs/>
          <w:kern w:val="0"/>
          <w:szCs w:val="21"/>
        </w:rPr>
      </w:pPr>
      <w:r>
        <w:rPr>
          <w:rFonts w:hint="eastAsia" w:ascii="宋体" w:hAnsi="宋体" w:cs="宋体"/>
          <w:bCs/>
          <w:kern w:val="0"/>
          <w:szCs w:val="21"/>
        </w:rPr>
        <w:t>方式：网上下载。本项目不提供纸质文件，潜在供应商需使用账号登录或者使用CA登录广西政府采购云平台（https://www.gcy.zfcg.gxzf.gov.cn/）-进入“项目采购”应用，在获取采购文件菜单中选择项目，并按系统操作获取招标文件（或在“广西政府采购云平台电子投标客户端-获取采购文件”跳转到</w:t>
      </w:r>
      <w:r>
        <w:rPr>
          <w:rFonts w:hint="eastAsia" w:ascii="宋体" w:hAnsi="宋体" w:cs="宋体"/>
          <w:szCs w:val="21"/>
        </w:rPr>
        <w:t>广西政府采购云平台</w:t>
      </w:r>
      <w:r>
        <w:rPr>
          <w:rFonts w:hint="eastAsia" w:ascii="宋体" w:hAnsi="宋体" w:cs="宋体"/>
          <w:bCs/>
          <w:kern w:val="0"/>
          <w:szCs w:val="21"/>
        </w:rPr>
        <w:t>系统获取）。</w:t>
      </w:r>
      <w:r>
        <w:rPr>
          <w:rFonts w:hint="eastAsia" w:ascii="宋体" w:hAnsi="宋体" w:cs="宋体"/>
          <w:szCs w:val="21"/>
        </w:rPr>
        <w:t>电子投标文件制作需要基于广西政府采购云平台获取的招标文件编制，</w:t>
      </w:r>
      <w:r>
        <w:rPr>
          <w:rFonts w:hint="eastAsia" w:ascii="宋体" w:hAnsi="宋体" w:cs="宋体"/>
          <w:bCs/>
          <w:kern w:val="0"/>
          <w:szCs w:val="21"/>
        </w:rPr>
        <w:t>通过其他方式获取招标文件的，将有可能导致供应商无法在</w:t>
      </w:r>
      <w:r>
        <w:rPr>
          <w:rFonts w:hint="eastAsia" w:ascii="宋体" w:hAnsi="宋体" w:cs="宋体"/>
          <w:szCs w:val="21"/>
        </w:rPr>
        <w:t>广西政府采购云平台</w:t>
      </w:r>
      <w:r>
        <w:rPr>
          <w:rFonts w:hint="eastAsia" w:ascii="宋体" w:hAnsi="宋体" w:cs="宋体"/>
          <w:bCs/>
          <w:kern w:val="0"/>
          <w:szCs w:val="21"/>
        </w:rPr>
        <w:t>编制及上传投标文件。</w:t>
      </w:r>
    </w:p>
    <w:p>
      <w:pPr>
        <w:spacing w:line="360" w:lineRule="exact"/>
        <w:ind w:firstLine="420" w:firstLineChars="200"/>
        <w:rPr>
          <w:rFonts w:ascii="宋体" w:hAnsi="宋体" w:cs="宋体"/>
          <w:szCs w:val="21"/>
        </w:rPr>
      </w:pPr>
      <w:r>
        <w:rPr>
          <w:rFonts w:hint="eastAsia" w:ascii="宋体" w:hAnsi="宋体" w:cs="宋体"/>
          <w:bCs/>
          <w:kern w:val="0"/>
          <w:szCs w:val="21"/>
        </w:rPr>
        <w:t>售价：</w:t>
      </w:r>
      <w:r>
        <w:rPr>
          <w:rFonts w:hint="eastAsia" w:ascii="宋体" w:hAnsi="宋体" w:cs="宋体"/>
          <w:szCs w:val="21"/>
          <w:u w:val="single"/>
        </w:rPr>
        <w:t>0</w:t>
      </w:r>
      <w:r>
        <w:rPr>
          <w:rFonts w:hint="eastAsia" w:ascii="宋体" w:hAnsi="宋体" w:cs="宋体"/>
          <w:szCs w:val="21"/>
        </w:rPr>
        <w:t>元。</w:t>
      </w:r>
    </w:p>
    <w:p>
      <w:pPr>
        <w:spacing w:line="360" w:lineRule="exact"/>
        <w:rPr>
          <w:rFonts w:ascii="宋体" w:hAnsi="宋体" w:cs="宋体"/>
          <w:b/>
          <w:bCs/>
          <w:szCs w:val="21"/>
        </w:rPr>
      </w:pPr>
      <w:bookmarkStart w:id="55" w:name="_Toc28359005"/>
      <w:bookmarkStart w:id="56" w:name="_Toc28359082"/>
      <w:bookmarkStart w:id="57" w:name="_Toc35393624"/>
      <w:bookmarkStart w:id="58" w:name="_Toc35393793"/>
      <w:r>
        <w:rPr>
          <w:rFonts w:hint="eastAsia" w:ascii="宋体" w:hAnsi="宋体" w:cs="宋体"/>
          <w:b/>
          <w:bCs/>
          <w:szCs w:val="21"/>
        </w:rPr>
        <w:t>四、提交投标文件</w:t>
      </w:r>
      <w:bookmarkEnd w:id="55"/>
      <w:bookmarkEnd w:id="56"/>
      <w:r>
        <w:rPr>
          <w:rFonts w:hint="eastAsia" w:ascii="宋体" w:hAnsi="宋体" w:cs="宋体"/>
          <w:b/>
          <w:bCs/>
          <w:szCs w:val="21"/>
        </w:rPr>
        <w:t>截止时间、开标时间和地点</w:t>
      </w:r>
      <w:bookmarkEnd w:id="57"/>
      <w:bookmarkEnd w:id="58"/>
    </w:p>
    <w:p>
      <w:pPr>
        <w:spacing w:line="360" w:lineRule="exact"/>
        <w:ind w:firstLine="420" w:firstLineChars="200"/>
        <w:rPr>
          <w:rFonts w:ascii="宋体" w:hAnsi="宋体" w:cs="宋体"/>
          <w:szCs w:val="21"/>
          <w:u w:val="single"/>
        </w:rPr>
      </w:pPr>
      <w:bookmarkStart w:id="59" w:name="_Toc35393625"/>
      <w:bookmarkStart w:id="60" w:name="_Toc28359007"/>
      <w:bookmarkStart w:id="61" w:name="_Toc28359084"/>
      <w:bookmarkStart w:id="62" w:name="_Toc35393794"/>
      <w:r>
        <w:rPr>
          <w:rFonts w:hint="eastAsia" w:ascii="宋体" w:hAnsi="宋体" w:cs="宋体"/>
          <w:bCs/>
          <w:szCs w:val="21"/>
          <w:u w:val="single"/>
        </w:rPr>
        <w:t>2026年</w:t>
      </w:r>
      <w:r>
        <w:rPr>
          <w:rFonts w:hint="eastAsia" w:ascii="宋体" w:hAnsi="宋体" w:cs="宋体"/>
          <w:bCs/>
          <w:szCs w:val="21"/>
          <w:u w:val="single"/>
          <w:lang w:val="en-US" w:eastAsia="zh-CN"/>
        </w:rPr>
        <w:t>5</w:t>
      </w:r>
      <w:r>
        <w:rPr>
          <w:rFonts w:hint="eastAsia" w:ascii="宋体" w:hAnsi="宋体" w:cs="宋体"/>
          <w:bCs/>
          <w:szCs w:val="21"/>
          <w:u w:val="single"/>
        </w:rPr>
        <w:t>月</w:t>
      </w:r>
      <w:r>
        <w:rPr>
          <w:rFonts w:hint="eastAsia" w:ascii="宋体" w:hAnsi="宋体" w:cs="宋体"/>
          <w:bCs/>
          <w:szCs w:val="21"/>
          <w:u w:val="single"/>
          <w:lang w:val="en-US" w:eastAsia="zh-CN"/>
        </w:rPr>
        <w:t>18</w:t>
      </w:r>
      <w:r>
        <w:rPr>
          <w:rFonts w:hint="eastAsia" w:ascii="宋体" w:hAnsi="宋体" w:cs="宋体"/>
          <w:bCs/>
          <w:szCs w:val="21"/>
          <w:u w:val="single"/>
        </w:rPr>
        <w:t>日上午9时30分</w:t>
      </w:r>
      <w:r>
        <w:rPr>
          <w:rFonts w:hint="eastAsia" w:ascii="宋体" w:hAnsi="宋体" w:cs="宋体"/>
          <w:bCs/>
          <w:szCs w:val="21"/>
        </w:rPr>
        <w:t>（北京时间）</w:t>
      </w:r>
    </w:p>
    <w:p>
      <w:pPr>
        <w:spacing w:line="360" w:lineRule="exact"/>
        <w:ind w:firstLine="420" w:firstLineChars="200"/>
        <w:rPr>
          <w:rFonts w:ascii="宋体" w:hAnsi="宋体" w:cs="宋体"/>
          <w:szCs w:val="21"/>
        </w:rPr>
      </w:pPr>
      <w:r>
        <w:rPr>
          <w:rFonts w:hint="eastAsia" w:ascii="宋体" w:hAnsi="宋体" w:cs="宋体"/>
          <w:szCs w:val="21"/>
        </w:rPr>
        <w:t>投标地点：广西政府采购云平台（https://www.gcy.zfcg.gxzf.gov.cn/）</w:t>
      </w:r>
    </w:p>
    <w:p>
      <w:pPr>
        <w:spacing w:line="360" w:lineRule="exact"/>
        <w:ind w:firstLine="420" w:firstLineChars="200"/>
        <w:rPr>
          <w:rFonts w:ascii="宋体" w:hAnsi="宋体" w:cs="宋体"/>
          <w:szCs w:val="21"/>
        </w:rPr>
      </w:pPr>
      <w:r>
        <w:rPr>
          <w:rFonts w:hint="eastAsia" w:ascii="宋体" w:hAnsi="宋体" w:cs="宋体"/>
          <w:szCs w:val="21"/>
        </w:rPr>
        <w:t>开标地点：广西政府采购云平台电子开标大厅</w:t>
      </w:r>
    </w:p>
    <w:p>
      <w:pPr>
        <w:spacing w:line="360" w:lineRule="exact"/>
        <w:rPr>
          <w:rFonts w:ascii="宋体" w:hAnsi="宋体" w:cs="宋体"/>
          <w:b/>
          <w:bCs/>
          <w:szCs w:val="21"/>
        </w:rPr>
      </w:pPr>
      <w:r>
        <w:rPr>
          <w:rFonts w:hint="eastAsia" w:ascii="宋体" w:hAnsi="宋体" w:cs="宋体"/>
          <w:b/>
          <w:bCs/>
          <w:szCs w:val="21"/>
        </w:rPr>
        <w:t>五、公告期限</w:t>
      </w:r>
      <w:bookmarkEnd w:id="59"/>
      <w:bookmarkEnd w:id="60"/>
      <w:bookmarkEnd w:id="61"/>
      <w:bookmarkEnd w:id="62"/>
    </w:p>
    <w:p>
      <w:pPr>
        <w:spacing w:line="360" w:lineRule="exact"/>
        <w:ind w:firstLine="420" w:firstLineChars="200"/>
        <w:rPr>
          <w:rFonts w:ascii="宋体" w:hAnsi="宋体" w:cs="宋体"/>
          <w:kern w:val="0"/>
          <w:szCs w:val="21"/>
        </w:rPr>
      </w:pPr>
      <w:r>
        <w:rPr>
          <w:rFonts w:hint="eastAsia" w:ascii="宋体" w:hAnsi="宋体" w:cs="宋体"/>
          <w:kern w:val="0"/>
          <w:szCs w:val="21"/>
        </w:rPr>
        <w:t>自本公告发布之日起5个工作日。</w:t>
      </w:r>
    </w:p>
    <w:p>
      <w:pPr>
        <w:spacing w:line="360" w:lineRule="exact"/>
        <w:rPr>
          <w:rFonts w:ascii="宋体" w:hAnsi="宋体" w:cs="宋体"/>
          <w:b/>
          <w:bCs/>
          <w:szCs w:val="21"/>
        </w:rPr>
      </w:pPr>
      <w:bookmarkStart w:id="63" w:name="_Toc35393795"/>
      <w:bookmarkStart w:id="64" w:name="_Toc35393626"/>
      <w:r>
        <w:rPr>
          <w:rFonts w:hint="eastAsia" w:ascii="宋体" w:hAnsi="宋体" w:cs="宋体"/>
          <w:b/>
          <w:bCs/>
          <w:szCs w:val="21"/>
        </w:rPr>
        <w:t>六、其他补充事宜</w:t>
      </w:r>
      <w:bookmarkEnd w:id="63"/>
      <w:bookmarkEnd w:id="64"/>
    </w:p>
    <w:p>
      <w:pPr>
        <w:spacing w:line="360" w:lineRule="exact"/>
        <w:ind w:firstLine="420" w:firstLineChars="200"/>
        <w:rPr>
          <w:rFonts w:ascii="宋体" w:hAnsi="宋体" w:cs="宋体"/>
          <w:kern w:val="0"/>
          <w:szCs w:val="21"/>
        </w:rPr>
      </w:pPr>
      <w:bookmarkStart w:id="65" w:name="_Hlk37429595"/>
      <w:bookmarkStart w:id="66" w:name="_Hlk37429585"/>
      <w:bookmarkStart w:id="67" w:name="_Toc35393796"/>
      <w:bookmarkStart w:id="68" w:name="_Toc28359008"/>
      <w:bookmarkStart w:id="69" w:name="_Toc28359085"/>
      <w:bookmarkStart w:id="70" w:name="_Toc35393627"/>
      <w:r>
        <w:rPr>
          <w:rFonts w:hint="eastAsia" w:ascii="宋体" w:hAnsi="宋体" w:cs="宋体"/>
          <w:kern w:val="0"/>
          <w:szCs w:val="21"/>
        </w:rPr>
        <w:t>1.网上查询地址</w:t>
      </w:r>
    </w:p>
    <w:bookmarkEnd w:id="65"/>
    <w:bookmarkEnd w:id="66"/>
    <w:p>
      <w:pPr>
        <w:spacing w:line="360" w:lineRule="exact"/>
        <w:ind w:firstLine="424" w:firstLineChars="202"/>
        <w:rPr>
          <w:rFonts w:ascii="宋体" w:hAnsi="宋体" w:cs="宋体"/>
          <w:kern w:val="0"/>
          <w:szCs w:val="21"/>
        </w:rPr>
      </w:pPr>
      <w:bookmarkStart w:id="71" w:name="_Hlk37429674"/>
      <w:r>
        <w:rPr>
          <w:rFonts w:hint="eastAsia" w:ascii="宋体" w:hAnsi="宋体" w:cs="宋体"/>
          <w:kern w:val="0"/>
          <w:szCs w:val="21"/>
        </w:rPr>
        <w:t>http://www.ccgp.gov.cn/（中国政府采购网）、http://www.ccgp-guangxi.gov.cn/ (广西政府采购网)、http://gxggzy.gxzf.gov.cn/（广西壮族自治区公共资源交易中心），http://www.guangxibid.com.cn/（广西招标网）</w:t>
      </w:r>
    </w:p>
    <w:p>
      <w:pPr>
        <w:spacing w:line="360" w:lineRule="exact"/>
        <w:ind w:firstLine="424" w:firstLineChars="202"/>
        <w:rPr>
          <w:rFonts w:ascii="宋体" w:hAnsi="宋体" w:cs="宋体"/>
          <w:kern w:val="0"/>
          <w:szCs w:val="21"/>
        </w:rPr>
      </w:pPr>
      <w:r>
        <w:rPr>
          <w:rFonts w:hint="eastAsia" w:ascii="宋体" w:hAnsi="宋体" w:cs="宋体"/>
          <w:szCs w:val="21"/>
        </w:rPr>
        <w:t>2.</w:t>
      </w:r>
      <w:r>
        <w:rPr>
          <w:rFonts w:hint="eastAsia" w:ascii="宋体" w:hAnsi="宋体" w:cs="宋体"/>
          <w:kern w:val="0"/>
          <w:szCs w:val="21"/>
        </w:rPr>
        <w:t>本项目需要落实的政府采购政策</w:t>
      </w:r>
    </w:p>
    <w:p>
      <w:pPr>
        <w:spacing w:line="360" w:lineRule="exact"/>
        <w:ind w:firstLine="420" w:firstLineChars="200"/>
        <w:rPr>
          <w:rFonts w:ascii="宋体" w:hAnsi="宋体" w:cs="宋体"/>
          <w:iCs/>
          <w:kern w:val="0"/>
          <w:szCs w:val="21"/>
        </w:rPr>
      </w:pPr>
      <w:r>
        <w:rPr>
          <w:rFonts w:hint="eastAsia" w:ascii="宋体" w:hAnsi="宋体" w:cs="宋体"/>
          <w:iCs/>
          <w:kern w:val="0"/>
          <w:szCs w:val="21"/>
        </w:rPr>
        <w:t>（1）政府采购促进中小企业发展。</w:t>
      </w:r>
    </w:p>
    <w:p>
      <w:pPr>
        <w:spacing w:line="360" w:lineRule="exact"/>
        <w:ind w:firstLine="420" w:firstLineChars="200"/>
        <w:rPr>
          <w:rFonts w:ascii="宋体" w:hAnsi="宋体" w:cs="宋体"/>
          <w:iCs/>
          <w:kern w:val="0"/>
          <w:szCs w:val="21"/>
        </w:rPr>
      </w:pPr>
      <w:r>
        <w:rPr>
          <w:rFonts w:hint="eastAsia" w:ascii="宋体" w:hAnsi="宋体" w:cs="宋体"/>
          <w:iCs/>
          <w:kern w:val="0"/>
          <w:szCs w:val="21"/>
        </w:rPr>
        <w:t>（2）政府采购支持采用本国产品的政策。</w:t>
      </w:r>
    </w:p>
    <w:p>
      <w:pPr>
        <w:spacing w:line="360" w:lineRule="exact"/>
        <w:ind w:firstLine="420" w:firstLineChars="200"/>
        <w:rPr>
          <w:rFonts w:ascii="宋体" w:hAnsi="宋体" w:cs="宋体"/>
          <w:iCs/>
          <w:kern w:val="0"/>
          <w:szCs w:val="21"/>
        </w:rPr>
      </w:pPr>
      <w:r>
        <w:rPr>
          <w:rFonts w:hint="eastAsia" w:ascii="宋体" w:hAnsi="宋体" w:cs="宋体"/>
          <w:iCs/>
          <w:kern w:val="0"/>
          <w:szCs w:val="21"/>
        </w:rPr>
        <w:t>（3）强制采购节能产品；优先采购节能产品、环境标志产品。</w:t>
      </w:r>
    </w:p>
    <w:p>
      <w:pPr>
        <w:spacing w:line="360" w:lineRule="exact"/>
        <w:ind w:firstLine="420" w:firstLineChars="200"/>
        <w:rPr>
          <w:rFonts w:ascii="宋体" w:hAnsi="宋体" w:cs="宋体"/>
          <w:iCs/>
          <w:kern w:val="0"/>
          <w:szCs w:val="21"/>
        </w:rPr>
      </w:pPr>
      <w:r>
        <w:rPr>
          <w:rFonts w:hint="eastAsia" w:ascii="宋体" w:hAnsi="宋体" w:cs="宋体"/>
          <w:iCs/>
          <w:kern w:val="0"/>
          <w:szCs w:val="21"/>
        </w:rPr>
        <w:t>（4）政府采购促进残疾人就业政策。</w:t>
      </w:r>
    </w:p>
    <w:p>
      <w:pPr>
        <w:spacing w:line="360" w:lineRule="exact"/>
        <w:ind w:firstLine="420" w:firstLineChars="200"/>
        <w:rPr>
          <w:rFonts w:ascii="宋体" w:hAnsi="宋体" w:cs="宋体"/>
          <w:i/>
          <w:iCs/>
          <w:kern w:val="0"/>
          <w:szCs w:val="21"/>
        </w:rPr>
      </w:pPr>
      <w:r>
        <w:rPr>
          <w:rFonts w:hint="eastAsia" w:ascii="宋体" w:hAnsi="宋体" w:cs="宋体"/>
          <w:iCs/>
          <w:kern w:val="0"/>
          <w:szCs w:val="21"/>
        </w:rPr>
        <w:t>（5）政府采购支持监狱企业发展。</w:t>
      </w:r>
    </w:p>
    <w:bookmarkEnd w:id="71"/>
    <w:p>
      <w:pPr>
        <w:widowControl/>
        <w:spacing w:line="360" w:lineRule="exact"/>
        <w:ind w:firstLine="422" w:firstLineChars="200"/>
        <w:jc w:val="left"/>
        <w:rPr>
          <w:rFonts w:ascii="宋体" w:hAnsi="宋体" w:cs="宋体"/>
          <w:b/>
          <w:szCs w:val="21"/>
        </w:rPr>
      </w:pPr>
      <w:r>
        <w:rPr>
          <w:rFonts w:hint="eastAsia" w:ascii="宋体" w:hAnsi="宋体" w:cs="宋体"/>
          <w:b/>
          <w:kern w:val="0"/>
          <w:szCs w:val="21"/>
        </w:rPr>
        <w:t>3.投标人</w:t>
      </w:r>
      <w:r>
        <w:rPr>
          <w:rFonts w:hint="eastAsia" w:ascii="宋体" w:hAnsi="宋体" w:cs="宋体"/>
          <w:b/>
          <w:szCs w:val="21"/>
        </w:rPr>
        <w:t>投标注意事项</w:t>
      </w:r>
    </w:p>
    <w:p>
      <w:pPr>
        <w:widowControl/>
        <w:spacing w:line="360" w:lineRule="exact"/>
        <w:ind w:firstLine="422" w:firstLineChars="200"/>
        <w:jc w:val="left"/>
        <w:rPr>
          <w:rFonts w:ascii="宋体" w:hAnsi="宋体" w:cs="宋体"/>
          <w:b/>
          <w:szCs w:val="21"/>
        </w:rPr>
      </w:pPr>
      <w:r>
        <w:rPr>
          <w:rFonts w:hint="eastAsia" w:ascii="宋体" w:hAnsi="宋体" w:cs="宋体"/>
          <w:b/>
          <w:szCs w:val="21"/>
        </w:rPr>
        <w:t>（1）本项目为全流程电子化采购项目，通过广西政府采购云平台（https://www.gcy.zfcg.gxzf.gov.cn/）实行在线电子投标，投标人应先安装“广西政府采购云平台电子投标客户端”（请自行前往广西政府采购云平台进行下载），并按照本项目招标文件和广西政府采购云平台的要求编制、加密后在投标截止时间前通过网络上传至 广西政府采购云平台（</w:t>
      </w:r>
      <w:r>
        <w:rPr>
          <w:rFonts w:hint="eastAsia" w:ascii="宋体" w:hAnsi="宋体" w:cs="宋体"/>
          <w:b/>
          <w:szCs w:val="21"/>
          <w:u w:val="single"/>
        </w:rPr>
        <w:t>加密的电子投标文件是指后缀名为“jmbs”的文件</w:t>
      </w:r>
      <w:r>
        <w:rPr>
          <w:rFonts w:hint="eastAsia" w:ascii="宋体" w:hAnsi="宋体" w:cs="宋体"/>
          <w:b/>
          <w:szCs w:val="21"/>
        </w:rPr>
        <w:t>），投标人在广西政府采购云平台提交电子投标文件时，请填写参加远程开标活动经办人联系方式。投标人登录广西政府采购云平台，依次进入“服务中心-项目采购-操作流程-电子招投标-政府采购项目电子交易管理操作指南-供应商”查看电子投标具体操作流程。</w:t>
      </w:r>
    </w:p>
    <w:p>
      <w:pPr>
        <w:widowControl/>
        <w:spacing w:line="360" w:lineRule="exact"/>
        <w:ind w:firstLine="422" w:firstLineChars="200"/>
        <w:jc w:val="left"/>
        <w:rPr>
          <w:rFonts w:ascii="宋体" w:hAnsi="宋体" w:cs="宋体"/>
          <w:b/>
          <w:szCs w:val="21"/>
        </w:rPr>
      </w:pPr>
      <w:r>
        <w:rPr>
          <w:rFonts w:hint="eastAsia" w:ascii="宋体" w:hAnsi="宋体" w:cs="宋体"/>
          <w:b/>
          <w:szCs w:val="21"/>
        </w:rPr>
        <w:t>（2）未进行网上注册并办理数字证书（CA认证）的投标人将无法参与本项目政府采购活动，投标人应当在投标截止时间前，完成电子交易平台上的CA数字证书办理及投标文件的提交（投标人可登录“广西政府采购网”，依次进入“办事服务-下载专区”或者登录</w:t>
      </w:r>
      <w:r>
        <w:rPr>
          <w:rFonts w:hint="eastAsia" w:ascii="宋体" w:hAnsi="宋体" w:cs="宋体"/>
          <w:b/>
          <w:kern w:val="0"/>
          <w:szCs w:val="21"/>
        </w:rPr>
        <w:t>广西政府采购云平台，</w:t>
      </w:r>
      <w:r>
        <w:rPr>
          <w:rFonts w:hint="eastAsia" w:ascii="宋体" w:hAnsi="宋体" w:cs="宋体"/>
          <w:b/>
          <w:szCs w:val="21"/>
        </w:rPr>
        <w:t>依次进入“服务中心-入驻与配置”中查看CA数字证书办理操作流程。</w:t>
      </w:r>
      <w:r>
        <w:rPr>
          <w:rFonts w:hint="eastAsia" w:ascii="宋体" w:hAnsi="宋体" w:cs="宋体"/>
          <w:b/>
          <w:bCs/>
          <w:kern w:val="0"/>
          <w:szCs w:val="21"/>
        </w:rPr>
        <w:t>如在操作过程中遇到问题或者需要技术支持，请致电广西政府采购云平台客服热线：</w:t>
      </w:r>
      <w:r>
        <w:rPr>
          <w:rFonts w:hint="eastAsia" w:ascii="宋体" w:hAnsi="宋体" w:cs="宋体"/>
          <w:b/>
          <w:szCs w:val="21"/>
        </w:rPr>
        <w:t>95763或0771-3381253）。</w:t>
      </w:r>
    </w:p>
    <w:p>
      <w:pPr>
        <w:snapToGrid w:val="0"/>
        <w:spacing w:line="360" w:lineRule="exact"/>
        <w:ind w:firstLine="422" w:firstLineChars="200"/>
        <w:rPr>
          <w:rFonts w:ascii="宋体" w:hAnsi="宋体" w:cs="宋体"/>
          <w:b/>
          <w:kern w:val="0"/>
          <w:szCs w:val="21"/>
        </w:rPr>
      </w:pPr>
      <w:r>
        <w:rPr>
          <w:rFonts w:hint="eastAsia" w:ascii="宋体" w:hAnsi="宋体" w:cs="宋体"/>
          <w:b/>
          <w:kern w:val="0"/>
          <w:szCs w:val="21"/>
        </w:rPr>
        <w:t>（3）CA证书在线解密：投标人投标时，需凭制作投标文件时用来加密的有效数字证书（CA认证）登录广西政府采购云平台电子开标大厅现场按规定时间对加密的投标文件进行解密，否则后果自负。</w:t>
      </w:r>
    </w:p>
    <w:p>
      <w:pPr>
        <w:spacing w:line="360" w:lineRule="exact"/>
        <w:ind w:firstLine="426" w:firstLineChars="202"/>
        <w:rPr>
          <w:rFonts w:ascii="宋体" w:hAnsi="宋体" w:cs="宋体"/>
          <w:b/>
          <w:szCs w:val="21"/>
        </w:rPr>
      </w:pPr>
      <w:r>
        <w:rPr>
          <w:rFonts w:hint="eastAsia" w:ascii="宋体" w:hAnsi="宋体" w:cs="宋体"/>
          <w:b/>
          <w:szCs w:val="21"/>
        </w:rPr>
        <w:t>注：</w:t>
      </w:r>
    </w:p>
    <w:p>
      <w:pPr>
        <w:spacing w:line="360" w:lineRule="exact"/>
        <w:ind w:firstLine="426" w:firstLineChars="202"/>
        <w:rPr>
          <w:rFonts w:ascii="宋体" w:hAnsi="宋体" w:cs="宋体"/>
          <w:b/>
          <w:szCs w:val="21"/>
        </w:rPr>
      </w:pPr>
      <w:r>
        <w:rPr>
          <w:rFonts w:hint="eastAsia" w:ascii="宋体" w:hAnsi="宋体" w:cs="宋体"/>
          <w:b/>
          <w:szCs w:val="21"/>
        </w:rPr>
        <w:fldChar w:fldCharType="begin"/>
      </w:r>
      <w:r>
        <w:rPr>
          <w:rFonts w:hint="eastAsia" w:ascii="宋体" w:hAnsi="宋体" w:cs="宋体"/>
          <w:b/>
          <w:szCs w:val="21"/>
        </w:rPr>
        <w:instrText xml:space="preserve"> = 1 \* GB3 </w:instrText>
      </w:r>
      <w:r>
        <w:rPr>
          <w:rFonts w:hint="eastAsia" w:ascii="宋体" w:hAnsi="宋体" w:cs="宋体"/>
          <w:b/>
          <w:szCs w:val="21"/>
        </w:rPr>
        <w:fldChar w:fldCharType="separate"/>
      </w:r>
      <w:r>
        <w:rPr>
          <w:rFonts w:hint="eastAsia" w:ascii="宋体" w:hAnsi="宋体" w:cs="宋体"/>
          <w:b/>
          <w:szCs w:val="21"/>
        </w:rPr>
        <w:t>①</w:t>
      </w:r>
      <w:r>
        <w:rPr>
          <w:rFonts w:hint="eastAsia" w:ascii="宋体" w:hAnsi="宋体" w:cs="宋体"/>
          <w:b/>
          <w:szCs w:val="21"/>
        </w:rPr>
        <w:fldChar w:fldCharType="end"/>
      </w:r>
      <w:r>
        <w:rPr>
          <w:rFonts w:hint="eastAsia" w:ascii="宋体" w:hAnsi="宋体" w:cs="宋体"/>
          <w:b/>
          <w:szCs w:val="21"/>
        </w:rPr>
        <w:t>为确保网上操作合法、有效和安全，请投标人确保在电子投标过程中能够对相关数据电文进行加密和使用电子签章，妥善保管CA数字证书并使用有效的CA数字证书参与整个招标活动。</w:t>
      </w:r>
    </w:p>
    <w:p>
      <w:pPr>
        <w:spacing w:line="360" w:lineRule="exact"/>
        <w:ind w:firstLine="426" w:firstLineChars="202"/>
        <w:rPr>
          <w:rFonts w:ascii="宋体" w:hAnsi="宋体" w:cs="宋体"/>
          <w:b/>
          <w:bCs/>
          <w:szCs w:val="21"/>
        </w:rPr>
      </w:pPr>
      <w:r>
        <w:rPr>
          <w:rFonts w:hint="eastAsia" w:ascii="宋体" w:hAnsi="宋体" w:cs="宋体"/>
          <w:b/>
          <w:szCs w:val="21"/>
        </w:rPr>
        <w:fldChar w:fldCharType="begin"/>
      </w:r>
      <w:r>
        <w:rPr>
          <w:rFonts w:hint="eastAsia" w:ascii="宋体" w:hAnsi="宋体" w:cs="宋体"/>
          <w:b/>
          <w:szCs w:val="21"/>
        </w:rPr>
        <w:instrText xml:space="preserve"> = 2 \* GB3 </w:instrText>
      </w:r>
      <w:r>
        <w:rPr>
          <w:rFonts w:hint="eastAsia" w:ascii="宋体" w:hAnsi="宋体" w:cs="宋体"/>
          <w:b/>
          <w:szCs w:val="21"/>
        </w:rPr>
        <w:fldChar w:fldCharType="separate"/>
      </w:r>
      <w:r>
        <w:rPr>
          <w:rFonts w:hint="eastAsia" w:ascii="宋体" w:hAnsi="宋体" w:cs="宋体"/>
          <w:b/>
          <w:szCs w:val="21"/>
        </w:rPr>
        <w:t>②</w:t>
      </w:r>
      <w:r>
        <w:rPr>
          <w:rFonts w:hint="eastAsia" w:ascii="宋体" w:hAnsi="宋体" w:cs="宋体"/>
          <w:b/>
          <w:szCs w:val="21"/>
        </w:rPr>
        <w:fldChar w:fldCharType="end"/>
      </w:r>
      <w:r>
        <w:rPr>
          <w:rFonts w:hint="eastAsia" w:ascii="宋体" w:hAnsi="宋体" w:cs="宋体"/>
          <w:b/>
          <w:bCs/>
          <w:szCs w:val="21"/>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广西政府采购云平台将予以拒收。</w:t>
      </w:r>
    </w:p>
    <w:p>
      <w:pPr>
        <w:spacing w:line="360" w:lineRule="exact"/>
        <w:rPr>
          <w:rFonts w:ascii="宋体" w:hAnsi="宋体" w:cs="宋体"/>
          <w:b/>
          <w:bCs/>
          <w:szCs w:val="21"/>
        </w:rPr>
      </w:pPr>
      <w:r>
        <w:rPr>
          <w:rFonts w:hint="eastAsia" w:ascii="宋体" w:hAnsi="宋体" w:cs="宋体"/>
          <w:b/>
          <w:bCs/>
          <w:szCs w:val="21"/>
        </w:rPr>
        <w:t>七、对本次招标提出询问，请按以下方式联系。</w:t>
      </w:r>
      <w:bookmarkEnd w:id="67"/>
      <w:bookmarkEnd w:id="68"/>
      <w:bookmarkEnd w:id="69"/>
      <w:bookmarkEnd w:id="70"/>
    </w:p>
    <w:p>
      <w:pPr>
        <w:spacing w:line="360" w:lineRule="exact"/>
        <w:ind w:firstLine="424" w:firstLineChars="202"/>
        <w:jc w:val="left"/>
        <w:rPr>
          <w:rFonts w:ascii="宋体" w:hAnsi="宋体" w:cs="宋体"/>
          <w:szCs w:val="21"/>
        </w:rPr>
      </w:pPr>
      <w:r>
        <w:rPr>
          <w:rFonts w:hint="eastAsia" w:ascii="宋体" w:hAnsi="宋体" w:cs="宋体"/>
          <w:szCs w:val="21"/>
        </w:rPr>
        <w:t>1.采购人信息</w:t>
      </w:r>
    </w:p>
    <w:p>
      <w:pPr>
        <w:spacing w:line="360" w:lineRule="exact"/>
        <w:ind w:firstLine="424" w:firstLineChars="202"/>
        <w:jc w:val="left"/>
        <w:rPr>
          <w:rFonts w:ascii="宋体" w:hAnsi="宋体" w:cs="宋体"/>
          <w:szCs w:val="21"/>
        </w:rPr>
      </w:pPr>
      <w:bookmarkStart w:id="72" w:name="_Toc28359086"/>
      <w:bookmarkStart w:id="73" w:name="_Toc28359009"/>
      <w:r>
        <w:rPr>
          <w:rFonts w:hint="eastAsia" w:ascii="宋体" w:hAnsi="宋体" w:cs="宋体"/>
          <w:szCs w:val="21"/>
        </w:rPr>
        <w:t>名称：</w:t>
      </w:r>
      <w:r>
        <w:rPr>
          <w:rFonts w:hint="eastAsia" w:ascii="宋体" w:hAnsi="宋体" w:cs="宋体"/>
          <w:szCs w:val="21"/>
          <w:u w:val="single"/>
        </w:rPr>
        <w:t>广西工业职业技术学院</w:t>
      </w:r>
    </w:p>
    <w:p>
      <w:pPr>
        <w:spacing w:line="360" w:lineRule="exact"/>
        <w:ind w:firstLine="424" w:firstLineChars="202"/>
        <w:jc w:val="left"/>
        <w:rPr>
          <w:rFonts w:ascii="宋体" w:hAnsi="宋体" w:cs="宋体"/>
          <w:szCs w:val="21"/>
        </w:rPr>
      </w:pPr>
      <w:r>
        <w:rPr>
          <w:rFonts w:hint="eastAsia" w:ascii="宋体" w:hAnsi="宋体" w:cs="宋体"/>
          <w:szCs w:val="21"/>
        </w:rPr>
        <w:t>地址：</w:t>
      </w:r>
      <w:bookmarkStart w:id="74" w:name="OLE_LINK10"/>
      <w:r>
        <w:rPr>
          <w:rFonts w:hint="eastAsia" w:ascii="宋体" w:hAnsi="宋体" w:cs="宋体"/>
          <w:szCs w:val="21"/>
          <w:u w:val="single"/>
        </w:rPr>
        <w:t>广西南宁市西乡塘区秀灵路37号</w:t>
      </w:r>
      <w:bookmarkEnd w:id="74"/>
    </w:p>
    <w:p>
      <w:pPr>
        <w:spacing w:line="360" w:lineRule="exact"/>
        <w:ind w:firstLine="424" w:firstLineChars="202"/>
        <w:jc w:val="left"/>
        <w:rPr>
          <w:rFonts w:ascii="宋体" w:hAnsi="宋体" w:cs="宋体"/>
          <w:szCs w:val="21"/>
          <w:u w:val="single"/>
        </w:rPr>
      </w:pPr>
      <w:r>
        <w:rPr>
          <w:rFonts w:hint="eastAsia" w:ascii="宋体" w:hAnsi="宋体" w:cs="宋体"/>
          <w:szCs w:val="21"/>
        </w:rPr>
        <w:t>联系方式：</w:t>
      </w:r>
      <w:r>
        <w:rPr>
          <w:rFonts w:hint="eastAsia" w:ascii="宋体" w:hAnsi="宋体" w:cs="宋体"/>
          <w:szCs w:val="21"/>
          <w:u w:val="single"/>
        </w:rPr>
        <w:t xml:space="preserve"> </w:t>
      </w:r>
      <w:bookmarkStart w:id="75" w:name="OLE_LINK8"/>
      <w:r>
        <w:rPr>
          <w:rFonts w:hint="eastAsia" w:ascii="宋体" w:hAnsi="宋体" w:cs="宋体"/>
          <w:szCs w:val="21"/>
          <w:u w:val="single"/>
        </w:rPr>
        <w:t>黄淑娟</w:t>
      </w:r>
      <w:bookmarkEnd w:id="75"/>
      <w:r>
        <w:rPr>
          <w:rFonts w:hint="eastAsia" w:ascii="宋体" w:hAnsi="宋体" w:cs="宋体"/>
          <w:szCs w:val="21"/>
          <w:u w:val="single"/>
        </w:rPr>
        <w:t>，</w:t>
      </w:r>
      <w:bookmarkStart w:id="76" w:name="OLE_LINK9"/>
      <w:r>
        <w:rPr>
          <w:rFonts w:hint="eastAsia" w:ascii="宋体" w:hAnsi="宋体" w:cs="宋体"/>
          <w:szCs w:val="21"/>
          <w:u w:val="single"/>
        </w:rPr>
        <w:t>0771-3828335</w:t>
      </w:r>
      <w:bookmarkEnd w:id="76"/>
    </w:p>
    <w:p>
      <w:pPr>
        <w:spacing w:line="360" w:lineRule="exact"/>
        <w:ind w:firstLine="424" w:firstLineChars="202"/>
        <w:jc w:val="left"/>
        <w:rPr>
          <w:rFonts w:ascii="宋体" w:hAnsi="宋体" w:cs="宋体"/>
          <w:szCs w:val="21"/>
        </w:rPr>
      </w:pPr>
      <w:r>
        <w:rPr>
          <w:rFonts w:hint="eastAsia" w:ascii="宋体" w:hAnsi="宋体" w:cs="宋体"/>
          <w:szCs w:val="21"/>
        </w:rPr>
        <w:t>2.采购代理机构信息</w:t>
      </w:r>
      <w:bookmarkEnd w:id="72"/>
      <w:bookmarkEnd w:id="73"/>
    </w:p>
    <w:p>
      <w:pPr>
        <w:spacing w:line="360" w:lineRule="exact"/>
        <w:ind w:firstLine="424" w:firstLineChars="202"/>
        <w:rPr>
          <w:rFonts w:ascii="宋体" w:hAnsi="宋体" w:cs="宋体"/>
          <w:szCs w:val="21"/>
        </w:rPr>
      </w:pPr>
      <w:r>
        <w:rPr>
          <w:rFonts w:hint="eastAsia" w:ascii="宋体" w:hAnsi="宋体" w:cs="宋体"/>
          <w:szCs w:val="21"/>
        </w:rPr>
        <w:t>名称：</w:t>
      </w:r>
      <w:bookmarkStart w:id="77" w:name="OLE_LINK22"/>
      <w:r>
        <w:rPr>
          <w:rFonts w:hint="eastAsia" w:ascii="宋体" w:hAnsi="宋体" w:cs="宋体"/>
          <w:szCs w:val="21"/>
          <w:u w:val="single"/>
        </w:rPr>
        <w:t>广西建设机电设备招标中心有限公司</w:t>
      </w:r>
    </w:p>
    <w:p>
      <w:pPr>
        <w:spacing w:line="360" w:lineRule="exact"/>
        <w:ind w:firstLine="424" w:firstLineChars="202"/>
        <w:rPr>
          <w:rFonts w:ascii="宋体" w:hAnsi="宋体" w:cs="宋体"/>
          <w:szCs w:val="21"/>
        </w:rPr>
      </w:pPr>
      <w:r>
        <w:rPr>
          <w:rFonts w:hint="eastAsia" w:ascii="宋体" w:hAnsi="宋体" w:cs="宋体"/>
          <w:szCs w:val="21"/>
        </w:rPr>
        <w:t>地址：</w:t>
      </w:r>
      <w:r>
        <w:rPr>
          <w:rFonts w:hint="eastAsia" w:ascii="宋体" w:hAnsi="宋体" w:cs="宋体"/>
          <w:szCs w:val="21"/>
          <w:u w:val="single"/>
        </w:rPr>
        <w:t>南宁市青秀区枫林路18号广西国控集团（枫林路办公区）裙楼三层</w:t>
      </w:r>
    </w:p>
    <w:p>
      <w:pPr>
        <w:spacing w:line="360" w:lineRule="exact"/>
        <w:ind w:firstLine="424" w:firstLineChars="202"/>
        <w:rPr>
          <w:rFonts w:ascii="宋体" w:hAnsi="宋体" w:cs="宋体"/>
          <w:szCs w:val="21"/>
        </w:rPr>
      </w:pPr>
      <w:r>
        <w:rPr>
          <w:rFonts w:hint="eastAsia" w:ascii="宋体" w:hAnsi="宋体" w:cs="宋体"/>
          <w:szCs w:val="21"/>
        </w:rPr>
        <w:t>联系方式：</w:t>
      </w:r>
      <w:bookmarkStart w:id="78" w:name="OLE_LINK1"/>
      <w:bookmarkStart w:id="79" w:name="_Toc28359010"/>
      <w:bookmarkStart w:id="80" w:name="_Toc28359087"/>
      <w:r>
        <w:rPr>
          <w:rFonts w:hint="eastAsia" w:ascii="宋体" w:hAnsi="宋体" w:cs="宋体"/>
          <w:szCs w:val="21"/>
          <w:u w:val="single"/>
        </w:rPr>
        <w:t>陈泰东</w:t>
      </w:r>
      <w:bookmarkEnd w:id="78"/>
      <w:r>
        <w:rPr>
          <w:rFonts w:hint="eastAsia" w:ascii="宋体" w:hAnsi="宋体" w:cs="宋体"/>
          <w:szCs w:val="21"/>
          <w:u w:val="single"/>
        </w:rPr>
        <w:t>、黄艳颀、王剑，0771-5824250</w:t>
      </w:r>
    </w:p>
    <w:bookmarkEnd w:id="77"/>
    <w:p>
      <w:pPr>
        <w:spacing w:line="360" w:lineRule="exact"/>
        <w:ind w:firstLine="424" w:firstLineChars="202"/>
        <w:rPr>
          <w:rFonts w:ascii="宋体" w:hAnsi="宋体" w:cs="宋体"/>
          <w:szCs w:val="21"/>
          <w:u w:val="single"/>
        </w:rPr>
      </w:pPr>
      <w:r>
        <w:rPr>
          <w:rFonts w:hint="eastAsia" w:ascii="宋体" w:hAnsi="宋体" w:cs="宋体"/>
          <w:szCs w:val="21"/>
        </w:rPr>
        <w:t>3.项目联系方式</w:t>
      </w:r>
      <w:bookmarkEnd w:id="79"/>
      <w:bookmarkEnd w:id="80"/>
    </w:p>
    <w:p>
      <w:pPr>
        <w:pStyle w:val="24"/>
        <w:spacing w:line="360" w:lineRule="exact"/>
        <w:ind w:firstLine="424" w:firstLineChars="202"/>
        <w:rPr>
          <w:rFonts w:hAnsi="宋体" w:cs="宋体"/>
          <w:sz w:val="21"/>
        </w:rPr>
      </w:pPr>
      <w:r>
        <w:rPr>
          <w:rFonts w:hint="eastAsia" w:hAnsi="宋体" w:cs="宋体"/>
          <w:sz w:val="21"/>
        </w:rPr>
        <w:t>项目联系人：</w:t>
      </w:r>
      <w:bookmarkStart w:id="81" w:name="OLE_LINK11"/>
      <w:bookmarkStart w:id="82" w:name="OLE_LINK12"/>
      <w:r>
        <w:rPr>
          <w:rFonts w:hint="eastAsia" w:hAnsi="宋体" w:cs="宋体"/>
          <w:sz w:val="21"/>
          <w:u w:val="single"/>
        </w:rPr>
        <w:t>陈泰东</w:t>
      </w:r>
      <w:bookmarkEnd w:id="81"/>
      <w:r>
        <w:rPr>
          <w:rFonts w:hint="eastAsia" w:hAnsi="宋体" w:cs="宋体"/>
          <w:sz w:val="21"/>
          <w:u w:val="single"/>
        </w:rPr>
        <w:t>、黄艳颀、王剑</w:t>
      </w:r>
      <w:bookmarkEnd w:id="82"/>
    </w:p>
    <w:p>
      <w:pPr>
        <w:spacing w:line="360" w:lineRule="exact"/>
        <w:ind w:firstLine="424" w:firstLineChars="202"/>
        <w:rPr>
          <w:rFonts w:ascii="宋体" w:hAnsi="宋体" w:cs="宋体"/>
          <w:szCs w:val="21"/>
          <w:u w:val="single"/>
        </w:rPr>
      </w:pPr>
      <w:r>
        <w:rPr>
          <w:rFonts w:hint="eastAsia" w:ascii="宋体" w:hAnsi="宋体" w:cs="宋体"/>
          <w:szCs w:val="21"/>
        </w:rPr>
        <w:t>电话：</w:t>
      </w:r>
      <w:bookmarkStart w:id="83" w:name="OLE_LINK13"/>
      <w:r>
        <w:rPr>
          <w:rFonts w:hint="eastAsia" w:ascii="宋体" w:hAnsi="宋体" w:cs="宋体"/>
          <w:szCs w:val="21"/>
          <w:u w:val="single"/>
        </w:rPr>
        <w:t>0771-5824250</w:t>
      </w:r>
      <w:bookmarkEnd w:id="83"/>
    </w:p>
    <w:p>
      <w:pPr>
        <w:spacing w:line="360" w:lineRule="auto"/>
        <w:rPr>
          <w:rFonts w:ascii="宋体" w:hAnsi="宋体"/>
          <w:szCs w:val="21"/>
        </w:rPr>
      </w:pPr>
    </w:p>
    <w:p>
      <w:pPr>
        <w:pStyle w:val="2"/>
        <w:keepNext w:val="0"/>
        <w:keepLines w:val="0"/>
        <w:tabs>
          <w:tab w:val="left" w:pos="0"/>
          <w:tab w:val="left" w:pos="3165"/>
          <w:tab w:val="center" w:pos="4153"/>
        </w:tabs>
        <w:autoSpaceDE w:val="0"/>
        <w:autoSpaceDN w:val="0"/>
        <w:adjustRightInd w:val="0"/>
        <w:spacing w:before="0" w:after="0" w:line="360" w:lineRule="auto"/>
        <w:jc w:val="center"/>
      </w:pPr>
      <w:r>
        <w:rPr>
          <w:rFonts w:ascii="仿宋_GB2312" w:hAnsi="宋体" w:eastAsia="仿宋_GB2312"/>
          <w:sz w:val="24"/>
          <w:szCs w:val="20"/>
        </w:rPr>
        <w:br w:type="page"/>
      </w:r>
      <w:bookmarkStart w:id="84" w:name="_Toc27979"/>
      <w:r>
        <w:rPr>
          <w:rFonts w:hint="eastAsia"/>
        </w:rPr>
        <w:t>第二章  采购需求</w:t>
      </w:r>
      <w:bookmarkEnd w:id="84"/>
    </w:p>
    <w:p>
      <w:pPr>
        <w:spacing w:line="360" w:lineRule="auto"/>
        <w:jc w:val="left"/>
        <w:rPr>
          <w:rFonts w:ascii="宋体" w:hAnsi="宋体" w:cs="宋体"/>
          <w:szCs w:val="21"/>
        </w:rPr>
      </w:pPr>
      <w:bookmarkStart w:id="85" w:name="_Toc254970490"/>
      <w:bookmarkStart w:id="86" w:name="_Toc254970631"/>
    </w:p>
    <w:p>
      <w:pPr>
        <w:spacing w:line="380" w:lineRule="exact"/>
        <w:jc w:val="left"/>
        <w:rPr>
          <w:rFonts w:ascii="宋体" w:hAnsi="宋体" w:cs="宋体"/>
          <w:szCs w:val="21"/>
        </w:rPr>
      </w:pPr>
      <w:r>
        <w:rPr>
          <w:rFonts w:hint="eastAsia" w:ascii="宋体" w:hAnsi="宋体" w:cs="宋体"/>
          <w:szCs w:val="21"/>
        </w:rPr>
        <w:t>说明：</w:t>
      </w:r>
    </w:p>
    <w:p>
      <w:pPr>
        <w:spacing w:line="380" w:lineRule="exact"/>
        <w:ind w:firstLine="420" w:firstLineChars="200"/>
        <w:jc w:val="left"/>
        <w:rPr>
          <w:rFonts w:ascii="宋体" w:hAnsi="宋体" w:cs="宋体"/>
          <w:szCs w:val="21"/>
        </w:rPr>
      </w:pPr>
      <w:r>
        <w:rPr>
          <w:rFonts w:hint="eastAsia" w:ascii="宋体" w:hAnsi="宋体" w:cs="宋体"/>
          <w:szCs w:val="21"/>
        </w:rPr>
        <w:t>1.为落实政府采购政策需满足的要求</w:t>
      </w:r>
    </w:p>
    <w:p>
      <w:pPr>
        <w:spacing w:line="380" w:lineRule="exact"/>
        <w:ind w:firstLine="420" w:firstLineChars="200"/>
        <w:jc w:val="left"/>
        <w:rPr>
          <w:rFonts w:ascii="宋体" w:hAnsi="宋体" w:cs="宋体"/>
          <w:szCs w:val="21"/>
        </w:rPr>
      </w:pPr>
      <w:r>
        <w:rPr>
          <w:rFonts w:hint="eastAsia" w:ascii="宋体" w:hAnsi="宋体" w:cs="宋体"/>
          <w:szCs w:val="21"/>
        </w:rPr>
        <w:t>（1）本招标文件（以下或简称为“采购文件”）所称中小企业必须符合《政府采购促进中小企业发展管理办法》（财库〔2020〕46号）的规定。</w:t>
      </w:r>
    </w:p>
    <w:p>
      <w:pPr>
        <w:spacing w:line="380" w:lineRule="exact"/>
        <w:ind w:firstLine="420" w:firstLineChars="200"/>
        <w:jc w:val="left"/>
        <w:rPr>
          <w:rFonts w:ascii="宋体" w:hAnsi="宋体" w:cs="宋体"/>
          <w:szCs w:val="21"/>
        </w:rPr>
      </w:pPr>
      <w:r>
        <w:rPr>
          <w:rFonts w:hint="eastAsia" w:ascii="宋体" w:hAnsi="宋体" w:cs="宋体"/>
          <w:szCs w:val="21"/>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投标人的投标货物必须使用政府强制采购的节能产品，投标人必须在投标文件（商务及技术文件）中提供所投标产品的节能产品认证证书复印件（加盖投标人电子签章），</w:t>
      </w:r>
      <w:r>
        <w:rPr>
          <w:rFonts w:hint="eastAsia" w:ascii="宋体" w:hAnsi="宋体" w:cs="宋体"/>
          <w:b/>
          <w:bCs/>
          <w:szCs w:val="21"/>
        </w:rPr>
        <w:t>否则按无效投标处理</w:t>
      </w:r>
      <w:r>
        <w:rPr>
          <w:rFonts w:hint="eastAsia" w:ascii="宋体" w:hAnsi="宋体" w:cs="宋体"/>
          <w:szCs w:val="21"/>
        </w:rPr>
        <w:t>。如本项目包含的货物属于品目清单内非标注“★”的产品时，应优先采购，具体详见“第四章 评标方法及评标标准”。</w:t>
      </w:r>
    </w:p>
    <w:p>
      <w:pPr>
        <w:spacing w:line="380" w:lineRule="exact"/>
        <w:ind w:firstLine="420" w:firstLineChars="200"/>
        <w:jc w:val="left"/>
        <w:rPr>
          <w:rFonts w:ascii="宋体" w:hAnsi="宋体" w:cs="宋体"/>
          <w:szCs w:val="21"/>
        </w:rPr>
      </w:pPr>
      <w:r>
        <w:rPr>
          <w:rFonts w:hint="eastAsia" w:ascii="宋体" w:hAnsi="宋体" w:cs="宋体"/>
          <w:szCs w:val="21"/>
        </w:rPr>
        <w:t>（3）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pPr>
        <w:spacing w:line="380" w:lineRule="exact"/>
        <w:ind w:firstLine="420" w:firstLineChars="200"/>
        <w:jc w:val="left"/>
        <w:rPr>
          <w:rFonts w:ascii="宋体" w:hAnsi="宋体" w:cs="宋体"/>
          <w:szCs w:val="21"/>
        </w:rPr>
      </w:pPr>
      <w:r>
        <w:rPr>
          <w:rFonts w:hint="eastAsia" w:ascii="宋体" w:hAnsi="宋体" w:cs="宋体"/>
          <w:szCs w:val="21"/>
        </w:rPr>
        <w:t>（4）根据《关于调整网络安全专用产品安全管理有关事项的公告》（2023年1号）规定，本项目采购需求中的产品如果包括《网络关键设备和网络安全专用产品目录》的网络安全专用产品，供应商在投标文件中应主动列明供货范围中属于网络安全专用产品的投标产品，并在投标文件（商务及技术文件）中提供由中国网信网（http://www.cac.gov.cn/index.htm）最新发布的《网络关键设备和网络安全专用产品安全认证和安全检测结果》截图证明材料，</w:t>
      </w:r>
      <w:r>
        <w:rPr>
          <w:rFonts w:hint="eastAsia" w:ascii="宋体" w:hAnsi="宋体" w:cs="宋体"/>
          <w:b/>
          <w:szCs w:val="21"/>
        </w:rPr>
        <w:t>不在《网络关键设备和网络安全专用产品安全认证和安全检测结果》中或不在有效期内的，按无效投标处理</w:t>
      </w:r>
      <w:r>
        <w:rPr>
          <w:rFonts w:hint="eastAsia" w:ascii="宋体" w:hAnsi="宋体" w:cs="宋体"/>
          <w:szCs w:val="21"/>
        </w:rPr>
        <w:t>。如属于《网络关键设备和网络安全专用产品目录》中“二、网络安全专用产品”内“产品类别”中的所描述的产品，但不属于所列“产品描述”情形的，应提供相应的说明及证明材料。</w:t>
      </w:r>
    </w:p>
    <w:p>
      <w:pPr>
        <w:spacing w:line="380" w:lineRule="exact"/>
        <w:ind w:firstLine="424" w:firstLineChars="202"/>
        <w:jc w:val="left"/>
        <w:rPr>
          <w:rFonts w:ascii="宋体" w:hAnsi="宋体" w:cs="宋体"/>
          <w:szCs w:val="21"/>
        </w:rPr>
      </w:pPr>
      <w:r>
        <w:rPr>
          <w:rFonts w:hint="eastAsia" w:ascii="宋体" w:hAnsi="宋体" w:cs="宋体"/>
          <w:szCs w:val="21"/>
        </w:rPr>
        <w:t>2.“实质性要求”是指招标文件中已经指明不满足则投标无效的条款，或者不能负偏离的条款，或者采购需求中带“▲”的条款。</w:t>
      </w:r>
    </w:p>
    <w:p>
      <w:pPr>
        <w:spacing w:line="380" w:lineRule="exact"/>
        <w:ind w:firstLine="402" w:firstLineChars="202"/>
        <w:jc w:val="left"/>
        <w:rPr>
          <w:rFonts w:ascii="宋体" w:hAnsi="宋体" w:cs="宋体"/>
          <w:b/>
          <w:spacing w:val="-6"/>
          <w:szCs w:val="21"/>
        </w:rPr>
      </w:pPr>
      <w:r>
        <w:rPr>
          <w:rFonts w:hint="eastAsia" w:ascii="宋体" w:hAnsi="宋体" w:cs="宋体"/>
          <w:b/>
          <w:spacing w:val="-6"/>
          <w:szCs w:val="21"/>
        </w:rPr>
        <w:t>本项目“主要技术参数及性能（配置）要求”及“商务要求”中凡标注“▲”的条款或要求，投标人不响应或不满足的，投标文件即作无效处理；其他标注“▲”的事项或说明，投标人投标文件不符合要求的即作无效处理。</w:t>
      </w:r>
    </w:p>
    <w:p>
      <w:pPr>
        <w:pStyle w:val="27"/>
        <w:rPr>
          <w:rFonts w:ascii="宋体" w:hAnsi="宋体" w:cs="宋体"/>
          <w:b/>
          <w:spacing w:val="-6"/>
          <w:kern w:val="2"/>
          <w:sz w:val="21"/>
          <w:szCs w:val="21"/>
        </w:rPr>
      </w:pPr>
      <w:r>
        <w:rPr>
          <w:rFonts w:hint="eastAsia" w:ascii="宋体" w:hAnsi="宋体" w:cs="宋体"/>
          <w:b/>
          <w:spacing w:val="-6"/>
          <w:kern w:val="2"/>
          <w:sz w:val="21"/>
          <w:szCs w:val="21"/>
        </w:rPr>
        <w:t>货物需求一览表中标注“◆”号的项目条款或技术要求作为重要评审依据进行考核。具体详见第四章。</w:t>
      </w:r>
    </w:p>
    <w:p>
      <w:pPr>
        <w:spacing w:line="380" w:lineRule="exact"/>
        <w:ind w:firstLine="424" w:firstLineChars="202"/>
        <w:jc w:val="left"/>
        <w:rPr>
          <w:rFonts w:ascii="宋体" w:hAnsi="宋体" w:cs="宋体"/>
          <w:szCs w:val="21"/>
        </w:rPr>
      </w:pPr>
      <w:r>
        <w:rPr>
          <w:rFonts w:hint="eastAsia" w:ascii="宋体" w:hAnsi="宋体" w:cs="宋体"/>
          <w:szCs w:val="21"/>
        </w:rPr>
        <w:t>3.采购需求中如出现的品牌、型号或者生产厂家仅起参考作用，不属于指定品牌、型号或者生产厂家的情形。投标人可参照或者选用其他相当的品牌、型号或者生产厂家替代，但选用的投标产品参数性能必须满足实质性要求。</w:t>
      </w:r>
    </w:p>
    <w:p>
      <w:pPr>
        <w:spacing w:line="380" w:lineRule="exact"/>
        <w:ind w:firstLine="424" w:firstLineChars="202"/>
        <w:jc w:val="left"/>
        <w:rPr>
          <w:rFonts w:ascii="宋体" w:hAnsi="宋体" w:cs="宋体"/>
          <w:szCs w:val="21"/>
        </w:rPr>
      </w:pPr>
      <w:r>
        <w:rPr>
          <w:rFonts w:hint="eastAsia" w:ascii="宋体" w:hAnsi="宋体" w:cs="宋体"/>
          <w:szCs w:val="21"/>
        </w:rPr>
        <w:t>4.投标人必须自行为其投标产品侵犯他人的知识产权或者专利成果的行为承担相应法律责任。</w:t>
      </w:r>
    </w:p>
    <w:p>
      <w:pPr>
        <w:spacing w:line="380" w:lineRule="exact"/>
        <w:ind w:firstLine="424" w:firstLineChars="202"/>
        <w:jc w:val="left"/>
        <w:rPr>
          <w:rFonts w:ascii="宋体" w:hAnsi="宋体" w:cs="宋体"/>
          <w:szCs w:val="21"/>
        </w:rPr>
      </w:pPr>
      <w:r>
        <w:rPr>
          <w:rFonts w:hint="eastAsia" w:ascii="宋体" w:hAnsi="宋体" w:cs="宋体"/>
          <w:szCs w:val="21"/>
        </w:rPr>
        <w:t>5.</w:t>
      </w:r>
      <w:r>
        <w:rPr>
          <w:rFonts w:hint="eastAsia" w:ascii="宋体" w:hAnsi="宋体" w:cs="宋体"/>
          <w:b/>
          <w:szCs w:val="21"/>
          <w:u w:val="single"/>
        </w:rPr>
        <w:t>评标委员会认为投标人的报价明显低于其他通过符合性审查投标人的报价，有可能影响其服务或产品质量或者不能诚信履约的，应当要求其在评标现场合理的时间内提供书面说明，必要时提交相关证明材料；投标人不能证明其报价合理性的，评标委员会应当将其作为无效投标处理</w:t>
      </w:r>
      <w:r>
        <w:rPr>
          <w:rFonts w:hint="eastAsia" w:ascii="宋体" w:hAnsi="宋体" w:cs="宋体"/>
          <w:szCs w:val="21"/>
        </w:rPr>
        <w:t>。</w:t>
      </w:r>
    </w:p>
    <w:p>
      <w:pPr>
        <w:pStyle w:val="18"/>
        <w:ind w:firstLine="420" w:firstLineChars="200"/>
        <w:rPr>
          <w:rFonts w:ascii="宋体" w:hAnsi="宋体" w:cs="宋体"/>
          <w:b/>
          <w:kern w:val="2"/>
          <w:sz w:val="21"/>
          <w:szCs w:val="21"/>
          <w:u w:val="single"/>
        </w:rPr>
      </w:pPr>
      <w:r>
        <w:rPr>
          <w:rFonts w:hint="eastAsia" w:ascii="宋体" w:hAnsi="宋体" w:cs="宋体"/>
          <w:kern w:val="2"/>
          <w:sz w:val="21"/>
          <w:szCs w:val="21"/>
        </w:rPr>
        <w:t>6.</w:t>
      </w:r>
      <w:r>
        <w:rPr>
          <w:rFonts w:hint="eastAsia" w:ascii="宋体" w:hAnsi="宋体" w:cs="宋体"/>
          <w:b/>
          <w:kern w:val="2"/>
          <w:sz w:val="21"/>
          <w:szCs w:val="21"/>
          <w:u w:val="single"/>
        </w:rPr>
        <w:t>本项目下列采购需求表中，若有要求提供的证明文件材料或承诺书的，在《技术要求偏离表》或《商务要求偏离表》中应答时，请同时注明相关文件材料或承诺书在投标文件中放置的所在页码。</w:t>
      </w:r>
    </w:p>
    <w:p>
      <w:pPr>
        <w:pStyle w:val="18"/>
        <w:ind w:firstLine="420" w:firstLineChars="200"/>
        <w:rPr>
          <w:rFonts w:ascii="宋体" w:hAnsi="宋体" w:cs="宋体"/>
          <w:b/>
          <w:kern w:val="2"/>
          <w:sz w:val="21"/>
          <w:szCs w:val="21"/>
          <w:u w:val="single"/>
        </w:rPr>
      </w:pPr>
      <w:r>
        <w:rPr>
          <w:rFonts w:hint="eastAsia" w:ascii="宋体" w:hAnsi="宋体" w:cs="宋体"/>
          <w:bCs/>
          <w:kern w:val="2"/>
          <w:sz w:val="21"/>
          <w:szCs w:val="21"/>
        </w:rPr>
        <w:t>7.</w:t>
      </w:r>
      <w:r>
        <w:rPr>
          <w:rFonts w:hint="eastAsia" w:ascii="宋体" w:hAnsi="宋体" w:cs="宋体"/>
          <w:b/>
          <w:kern w:val="2"/>
          <w:sz w:val="21"/>
          <w:szCs w:val="21"/>
          <w:u w:val="single"/>
        </w:rPr>
        <w:t>投标人对所投产品的技术指标应做到真实响应，如发现有虚假应标情形的，除投标无效外，还将报财政监管部门处理。投标人提供假冒伪劣产品的，将依照政府采购法第七十七条第一款的规定追究法律责任。</w:t>
      </w:r>
    </w:p>
    <w:p>
      <w:pPr>
        <w:pStyle w:val="18"/>
        <w:ind w:firstLine="420" w:firstLineChars="200"/>
        <w:rPr>
          <w:rFonts w:ascii="宋体" w:hAnsi="宋体" w:cs="宋体"/>
          <w:sz w:val="21"/>
          <w:szCs w:val="21"/>
        </w:rPr>
      </w:pPr>
      <w:r>
        <w:rPr>
          <w:rFonts w:hint="eastAsia" w:ascii="宋体" w:hAnsi="宋体" w:cs="宋体"/>
          <w:sz w:val="21"/>
          <w:szCs w:val="21"/>
        </w:rPr>
        <w:t>8.所属行业依照《中小企业划型标准规定》（工信部联企业〔2011〕300号）及《国民经济行业分类》（GB/T4754-2017）的有关规定执行。本项目所属行业：工业。</w:t>
      </w:r>
    </w:p>
    <w:p>
      <w:pPr>
        <w:spacing w:line="380" w:lineRule="exact"/>
        <w:ind w:firstLine="310" w:firstLineChars="147"/>
        <w:jc w:val="left"/>
        <w:rPr>
          <w:rFonts w:hint="eastAsia" w:ascii="宋体" w:hAnsi="宋体"/>
          <w:b/>
          <w:szCs w:val="21"/>
          <w:lang w:val="en-US" w:eastAsia="zh-CN"/>
        </w:rPr>
      </w:pPr>
      <w:r>
        <w:rPr>
          <w:rFonts w:hint="eastAsia" w:ascii="宋体" w:hAnsi="宋体" w:cs="宋体"/>
          <w:b/>
          <w:szCs w:val="21"/>
        </w:rPr>
        <w:t>采</w:t>
      </w:r>
      <w:r>
        <w:rPr>
          <w:rFonts w:hint="eastAsia" w:ascii="宋体" w:hAnsi="宋体" w:cs="宋体"/>
          <w:b/>
          <w:szCs w:val="21"/>
          <w:highlight w:val="none"/>
        </w:rPr>
        <w:t>购预算：</w:t>
      </w:r>
      <w:r>
        <w:rPr>
          <w:rFonts w:hint="eastAsia" w:ascii="宋体" w:hAnsi="宋体" w:cs="宋体"/>
          <w:szCs w:val="21"/>
          <w:highlight w:val="none"/>
          <w:lang w:val="en-US" w:eastAsia="zh-CN"/>
        </w:rPr>
        <w:t>5383709.00元，其中信息化系统部分控制价为2416900.00元；投标人报价不得超过项目总预算，且信息化系统部分不得超出对应财评控制价，</w:t>
      </w:r>
      <w:r>
        <w:rPr>
          <w:rFonts w:hint="eastAsia" w:ascii="宋体" w:hAnsi="宋体" w:cs="宋体"/>
          <w:b/>
          <w:bCs/>
          <w:szCs w:val="21"/>
          <w:highlight w:val="none"/>
          <w:lang w:val="en-US" w:eastAsia="zh-CN"/>
        </w:rPr>
        <w:t>否则按无效投标处理。</w:t>
      </w:r>
    </w:p>
    <w:tbl>
      <w:tblPr>
        <w:tblStyle w:val="4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32"/>
        <w:gridCol w:w="1724"/>
        <w:gridCol w:w="6311"/>
        <w:gridCol w:w="546"/>
        <w:gridCol w:w="5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98"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一、采购标的主要技术参数及性能（配置）要求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8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标的名称</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主要技术参数及性能（配置）要求</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8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宋体" w:hAnsi="宋体" w:cs="宋体"/>
                <w:b/>
                <w:bCs/>
                <w:i w:val="0"/>
                <w:iCs w:val="0"/>
                <w:color w:val="000000"/>
                <w:kern w:val="0"/>
                <w:sz w:val="20"/>
                <w:szCs w:val="20"/>
                <w:u w:val="none"/>
                <w:lang w:val="en-US" w:eastAsia="zh-CN" w:bidi="ar"/>
              </w:rPr>
              <w:t>（一）智能工业教学实训设备</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备用交互终端</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一、硬件配置</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▲1、屏幕：≥13.2英寸OLED，分辨率≥2880×1920，刷新率≥120Hz；</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处理器：</w:t>
            </w:r>
            <w:r>
              <w:rPr>
                <w:rFonts w:hint="eastAsia" w:ascii="宋体" w:hAnsi="宋体" w:cs="宋体"/>
                <w:i w:val="0"/>
                <w:iCs w:val="0"/>
                <w:color w:val="000000"/>
                <w:kern w:val="0"/>
                <w:sz w:val="20"/>
                <w:szCs w:val="20"/>
                <w:u w:val="none"/>
                <w:lang w:val="en-US" w:eastAsia="zh-CN" w:bidi="ar"/>
              </w:rPr>
              <w:t>≥10 核 CPU + 16 核 GPU，参照【</w:t>
            </w:r>
            <w:r>
              <w:rPr>
                <w:rFonts w:hint="eastAsia" w:ascii="宋体" w:hAnsi="宋体" w:eastAsia="宋体" w:cs="宋体"/>
                <w:i w:val="0"/>
                <w:iCs w:val="0"/>
                <w:color w:val="000000"/>
                <w:kern w:val="0"/>
                <w:sz w:val="20"/>
                <w:szCs w:val="20"/>
                <w:u w:val="none"/>
                <w:lang w:val="en-US" w:eastAsia="zh-CN" w:bidi="ar"/>
              </w:rPr>
              <w:t>苹果 iPad Pro 12.9英寸（M4芯片）</w:t>
            </w:r>
            <w:r>
              <w:rPr>
                <w:rFonts w:hint="eastAsia" w:ascii="宋体" w:hAnsi="宋体" w:cs="宋体"/>
                <w:i w:val="0"/>
                <w:iCs w:val="0"/>
                <w:color w:val="000000"/>
                <w:kern w:val="0"/>
                <w:sz w:val="20"/>
                <w:szCs w:val="20"/>
                <w:u w:val="none"/>
                <w:lang w:val="en-US" w:eastAsia="zh-CN" w:bidi="ar"/>
              </w:rPr>
              <w:t>、三星 Galaxy Tab S9 Ultra、华为 MatePad Pro 13.2】</w:t>
            </w:r>
            <w:r>
              <w:rPr>
                <w:rFonts w:hint="eastAsia" w:ascii="宋体" w:hAnsi="宋体" w:eastAsia="宋体" w:cs="宋体"/>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内存与存储：≥12GBRAM+512GBROM；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系统：支持多任务处理、分屏操作 Samsung DeX 桌面模式，兼容 Windows/Mac 投屏</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参照</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苹果 iPad Pro 12.9英寸（M4芯片）</w:t>
            </w:r>
            <w:r>
              <w:rPr>
                <w:rFonts w:hint="eastAsia" w:ascii="宋体" w:hAnsi="宋体" w:cs="宋体"/>
                <w:i w:val="0"/>
                <w:iCs w:val="0"/>
                <w:color w:val="000000"/>
                <w:kern w:val="0"/>
                <w:sz w:val="20"/>
                <w:szCs w:val="20"/>
                <w:u w:val="none"/>
                <w:lang w:val="en-US" w:eastAsia="zh-CN" w:bidi="ar"/>
              </w:rPr>
              <w:t>、三星 Galaxy Tab S9 Ultra、华为 MatePad Pro 13.2】</w:t>
            </w:r>
            <w:r>
              <w:rPr>
                <w:rFonts w:hint="eastAsia" w:ascii="宋体" w:hAnsi="宋体" w:eastAsia="宋体" w:cs="宋体"/>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二、功能用途</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控制功能：支持远程投屏、语音指令、子系统应急控制；</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网络：Wi-Fi6，蓝牙5.2；</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续航：电池容量≥10000mAh，支持40W快充；</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供货时提供原厂发票及电子三包凭证。</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智能吉他</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碳纤维一体成型琴身，重量≤1.8kg，支持折叠收纳；</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配备智能触控指板，支持和弦/音阶可视化教学，响应延迟≤20ms；</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内置双全频喇叭系统（含≥3英寸低音单元），输出功率≥10W；</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提供6.35mm标准音频输出接口及蓝牙5.0无线音频传输；</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配套App支持AI智能制谱、节奏训练、≥500种音色切换及录音功能；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电池续航≥10小时，Type-C快充，充电1小时可使用≥6小时。</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学习机</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≥14.7英寸2.5K超清护眼屏，通过TÜV低蓝光与无频闪认证；</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配置≥8GBRAM+1TBROM，搭载参照科大讯飞</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 xml:space="preserve"> iFLYTEK T30 Pro</w:t>
            </w:r>
            <w:r>
              <w:rPr>
                <w:rFonts w:hint="eastAsia" w:ascii="宋体" w:hAnsi="宋体" w:cs="宋体"/>
                <w:i w:val="0"/>
                <w:iCs w:val="0"/>
                <w:color w:val="000000"/>
                <w:kern w:val="0"/>
                <w:sz w:val="20"/>
                <w:szCs w:val="20"/>
                <w:u w:val="none"/>
                <w:lang w:val="en-US" w:eastAsia="zh-CN" w:bidi="ar"/>
              </w:rPr>
              <w:t>、步步高家教机 S6 Pro、读书郎 C30 Pro）</w:t>
            </w:r>
            <w:r>
              <w:rPr>
                <w:rFonts w:hint="eastAsia" w:ascii="宋体" w:hAnsi="宋体" w:eastAsia="宋体" w:cs="宋体"/>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内置小学至高中全学科同步辅导，支持教材点读、错题整理</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AI 智能答疑，拍照搜题秒出解析，支持手写解题</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参照科大讯飞</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 xml:space="preserve"> iFLYTEK T30 Pro</w:t>
            </w:r>
            <w:r>
              <w:rPr>
                <w:rFonts w:hint="eastAsia" w:ascii="宋体" w:hAnsi="宋体" w:cs="宋体"/>
                <w:i w:val="0"/>
                <w:iCs w:val="0"/>
                <w:color w:val="000000"/>
                <w:kern w:val="0"/>
                <w:sz w:val="20"/>
                <w:szCs w:val="20"/>
                <w:u w:val="none"/>
                <w:lang w:val="en-US" w:eastAsia="zh-CN" w:bidi="ar"/>
              </w:rPr>
              <w:t>、步步高家教机 S6 Pro、读书郎 C30 Pro）</w:t>
            </w:r>
            <w:r>
              <w:rPr>
                <w:rFonts w:hint="eastAsia" w:ascii="宋体" w:hAnsi="宋体" w:eastAsia="宋体" w:cs="宋体"/>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具有覆盖中高考同源题库，支持AI作文批改（评分误差≤5分）、口语评测（准确率≥95%）；</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支持家长远程管控、使用时长统计与内容过滤；</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电池容量≥10000mAh，续航≥8小时。</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双屏翻译机</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主副双屏设计：主屏≥4.1英寸，副屏≥2.8英寸，均支持触控；</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支持≥32国语言离线同声传译</w:t>
            </w:r>
            <w:r>
              <w:rPr>
                <w:rFonts w:hint="eastAsia" w:ascii="宋体" w:hAnsi="宋体" w:cs="宋体"/>
                <w:i w:val="0"/>
                <w:iCs w:val="0"/>
                <w:color w:val="000000"/>
                <w:kern w:val="0"/>
                <w:sz w:val="20"/>
                <w:szCs w:val="20"/>
                <w:u w:val="none"/>
                <w:lang w:val="en-US" w:eastAsia="zh-CN" w:bidi="ar"/>
              </w:rPr>
              <w:t>，参照（</w:t>
            </w:r>
            <w:r>
              <w:rPr>
                <w:rFonts w:hint="eastAsia" w:ascii="宋体" w:hAnsi="宋体" w:eastAsia="宋体" w:cs="宋体"/>
                <w:i w:val="0"/>
                <w:iCs w:val="0"/>
                <w:color w:val="000000"/>
                <w:kern w:val="0"/>
                <w:sz w:val="20"/>
                <w:szCs w:val="20"/>
                <w:u w:val="none"/>
                <w:lang w:val="en-US" w:eastAsia="zh-CN" w:bidi="ar"/>
              </w:rPr>
              <w:t>科大讯飞星火版 4.0</w:t>
            </w:r>
            <w:r>
              <w:rPr>
                <w:rFonts w:hint="eastAsia" w:ascii="宋体" w:hAnsi="宋体" w:cs="宋体"/>
                <w:i w:val="0"/>
                <w:iCs w:val="0"/>
                <w:color w:val="000000"/>
                <w:kern w:val="0"/>
                <w:sz w:val="20"/>
                <w:szCs w:val="20"/>
                <w:u w:val="none"/>
                <w:lang w:val="en-US" w:eastAsia="zh-CN" w:bidi="ar"/>
              </w:rPr>
              <w:t>、准儿翻译机 Pro 4.0、网易有道翻译王 3.0 Pro）</w:t>
            </w:r>
            <w:r>
              <w:rPr>
                <w:rFonts w:hint="eastAsia" w:ascii="宋体" w:hAnsi="宋体" w:eastAsia="宋体" w:cs="宋体"/>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会议模式可自动区分发言人并生成发言摘要；</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续航时间≥10小时，支持Type-C快充（1小时充满）；</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内置专业术语库（医疗、法律、工程等），支持自定义词典导入；</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支持Wi-Fi/蓝牙双模连接，可投屏至外部显示设备。</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智能办公本</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≥10.65英寸EInk墨水屏，分辨率≥300ppi，支持冷暖光调节</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本地部署参照</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科大讯飞 X5 Pro</w:t>
            </w:r>
            <w:r>
              <w:rPr>
                <w:rFonts w:hint="eastAsia" w:ascii="宋体" w:hAnsi="宋体" w:cs="宋体"/>
                <w:i w:val="0"/>
                <w:iCs w:val="0"/>
                <w:color w:val="000000"/>
                <w:kern w:val="0"/>
                <w:sz w:val="20"/>
                <w:szCs w:val="20"/>
                <w:u w:val="none"/>
                <w:lang w:val="en-US" w:eastAsia="zh-CN" w:bidi="ar"/>
              </w:rPr>
              <w:t>、掌阅 Smart 4、文石（BOOX）Note Air3】</w:t>
            </w:r>
            <w:r>
              <w:rPr>
                <w:rFonts w:hint="eastAsia" w:ascii="宋体" w:hAnsi="宋体" w:eastAsia="宋体" w:cs="宋体"/>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中英文语音转写准确率≥98%，支持方言识别（粤语、四川话等）；</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手写笔记OCR识别准确率≥95%，支持导出Word/PDF格式；</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重量≤355g，厚度≤5.9mm，电池续航≥4周（常规使用）；</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支持4G全网通、Wi-Fi6及蓝牙5.2。</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录音笔</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配置≥8麦克风环形阵列，支持360°全方位拾音；</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内置≥32GB存储空间，可存储</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100小时高清录音；</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3、AI降噪算法可有效抑制环境噪声（如空调、键盘声）；</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支持中英文实时转写，准确率≥97%，转写结果可编辑导出；</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续航时间≥15小时，支持Wi-Fi快速传输至手机/电脑；</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支持USB直连、Type-C充电及外接麦克风扩展。</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航拍无人机</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1.无人机重量：起飞重量≥1063克，最大起飞重量≥1263.5克。</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2.尺寸不低于：折叠（带桨）长257.6毫米，宽124.8毫米，高106.6毫米；展开（不带桨）长328.7毫米，宽390.5毫米，高135.2毫米。</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3.飞行速度：最大上升速度≥10米/秒（运动挡），最大下降速度≥10米/秒（运动挡），最大水平飞行速度≥25米/秒（运动挡）。</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▲4.续航：最长飞行时间≥50分钟，最长悬停时间≥45分钟，最大续航里程≥40公里。</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▲5.相机影像传感器：有效像素1亿；中长焦相机为1/1.3英寸CMOS，有效像素4800万；长焦相机为1/1.5英寸CMOS，有效像素5000万</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参照</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大疆 Mavic 4 Pro</w:t>
            </w:r>
            <w:r>
              <w:rPr>
                <w:rFonts w:hint="eastAsia" w:ascii="宋体" w:hAnsi="宋体" w:cs="宋体"/>
                <w:i w:val="0"/>
                <w:iCs w:val="0"/>
                <w:color w:val="000000"/>
                <w:kern w:val="0"/>
                <w:sz w:val="20"/>
                <w:szCs w:val="20"/>
                <w:u w:val="none"/>
                <w:lang w:val="en-US" w:eastAsia="zh-CN" w:bidi="ar"/>
              </w:rPr>
              <w:t xml:space="preserve">、道通（Autel）EVO Max 4T、哈博森（Hubsan）Zino 3】。                          </w:t>
            </w:r>
            <w:r>
              <w:rPr>
                <w:rFonts w:hint="eastAsia" w:ascii="宋体" w:hAnsi="宋体" w:eastAsia="宋体" w:cs="宋体"/>
                <w:i w:val="0"/>
                <w:iCs w:val="0"/>
                <w:color w:val="000000"/>
                <w:kern w:val="0"/>
                <w:sz w:val="20"/>
                <w:szCs w:val="20"/>
                <w:u w:val="none"/>
                <w:lang w:val="en-US" w:eastAsia="zh-CN" w:bidi="ar"/>
              </w:rPr>
              <w:t>6.镜头：等效焦距28mm，光圈f/2.0至f/11；中长焦相机视角35°，等效焦距70mm，光圈f/2.8；长焦相机视角15°，等效焦距168mm，光圈f/2.8</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参照</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大疆 Mavic 4 Pro</w:t>
            </w:r>
            <w:r>
              <w:rPr>
                <w:rFonts w:hint="eastAsia" w:ascii="宋体" w:hAnsi="宋体" w:cs="宋体"/>
                <w:i w:val="0"/>
                <w:iCs w:val="0"/>
                <w:color w:val="000000"/>
                <w:kern w:val="0"/>
                <w:sz w:val="20"/>
                <w:szCs w:val="20"/>
                <w:u w:val="none"/>
                <w:lang w:val="en-US" w:eastAsia="zh-CN" w:bidi="ar"/>
              </w:rPr>
              <w:t>、道通（Autel）EVO Max 4T、哈博森（Hubsan）Zino 3】。</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7.拍摄模式：支持单张拍摄≥2500万像素、≥1亿像素，支持自动包围曝光、多张连拍、定时拍摄等功能</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中长焦相机和长焦相机也支持多种拍摄模式</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参照</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大疆 Mavic 4 Pro</w:t>
            </w:r>
            <w:r>
              <w:rPr>
                <w:rFonts w:hint="eastAsia" w:ascii="宋体" w:hAnsi="宋体" w:cs="宋体"/>
                <w:i w:val="0"/>
                <w:iCs w:val="0"/>
                <w:color w:val="000000"/>
                <w:kern w:val="0"/>
                <w:sz w:val="20"/>
                <w:szCs w:val="20"/>
                <w:u w:val="none"/>
                <w:lang w:val="en-US" w:eastAsia="zh-CN" w:bidi="ar"/>
              </w:rPr>
              <w:t>、道通（Autel）EVO Max 4T、哈博森（Hubsan）Zino 3】</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8.云台：360°旋转万象云台，支持-90°至+80°旋转竖拍。</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9.图传：可实现≥30公里10-bitHDR图传。参照</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大疆 Mavic 4 Pro</w:t>
            </w:r>
            <w:r>
              <w:rPr>
                <w:rFonts w:hint="eastAsia" w:ascii="宋体" w:hAnsi="宋体" w:cs="宋体"/>
                <w:i w:val="0"/>
                <w:iCs w:val="0"/>
                <w:color w:val="000000"/>
                <w:kern w:val="0"/>
                <w:sz w:val="20"/>
                <w:szCs w:val="20"/>
                <w:u w:val="none"/>
                <w:lang w:val="en-US" w:eastAsia="zh-CN" w:bidi="ar"/>
              </w:rPr>
              <w:t>、道通（Autel）EVO Max 4T、哈博森（Hubsan）Zino 3】</w:t>
            </w:r>
            <w:r>
              <w:rPr>
                <w:rFonts w:hint="eastAsia" w:ascii="宋体" w:hAnsi="宋体" w:eastAsia="宋体" w:cs="宋体"/>
                <w:i w:val="0"/>
                <w:iCs w:val="0"/>
                <w:color w:val="000000"/>
                <w:kern w:val="0"/>
                <w:sz w:val="20"/>
                <w:szCs w:val="20"/>
                <w:u w:val="none"/>
                <w:lang w:val="en-US" w:eastAsia="zh-CN" w:bidi="ar"/>
              </w:rPr>
              <w:t xml:space="preserve">◆10.避障：配备≥6个0.1lux高性能低光鱼眼传感器及双处理器，0.1Lux夜景级全向主动避障，前视激光雷达可在黑暗环境感知障碍物。 </w:t>
            </w:r>
            <w:r>
              <w:rPr>
                <w:rFonts w:hint="eastAsia" w:ascii="宋体" w:hAnsi="宋体" w:cs="宋体"/>
                <w:i w:val="0"/>
                <w:iCs w:val="0"/>
                <w:color w:val="000000"/>
                <w:kern w:val="0"/>
                <w:sz w:val="20"/>
                <w:szCs w:val="20"/>
                <w:u w:val="none"/>
                <w:lang w:val="en-US" w:eastAsia="zh-CN" w:bidi="ar"/>
              </w:rPr>
              <w:t>（在投标文件中提供有相应检测资质的第三方检测机构出具的关于此要求的检测报告扫描件并加盖投标人公章）</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11.卫星导航系统：支持GPS+Galileo+BeiDou。</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12.机载内存：≥64GB</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13.存储卡：4K高速存储卡≥256GB</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14.智能电池容量：≥6654毫安时</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15.智能电池重量：</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332克</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16.标称电压：</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14.32伏</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17.充电限制电压：17.2伏</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18.电池类型：Li-ion4S</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19.化学体系：LiNiMnCoO2</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20.能量：≥95.3瓦时</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21.充电环境温度：5℃至40℃</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22.充电耗时：通过机身充电（最大充电功率65瓦）电池从零电量到满电：≤115分钟</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23.</w:t>
            </w:r>
            <w:r>
              <w:rPr>
                <w:rFonts w:hint="eastAsia" w:ascii="宋体" w:hAnsi="宋体" w:eastAsia="宋体" w:cs="宋体"/>
                <w:i w:val="0"/>
                <w:iCs w:val="0"/>
                <w:color w:val="000000"/>
                <w:kern w:val="0"/>
                <w:sz w:val="20"/>
                <w:szCs w:val="20"/>
                <w:u w:val="none"/>
                <w:lang w:val="en-US" w:eastAsia="zh-CN" w:bidi="ar"/>
              </w:rPr>
              <w:t>提供其他充电方式：（1）使用240W桌面充电器（充电器及充电管家USB-C接口均未接入其他设备），电池从零电量到满电：1块电池≤51分钟，3块电池≤90分钟（200伏至240伏输入）或≤110分钟（100伏至127伏输入）；（2）使用100W桌面充电器</w:t>
            </w:r>
            <w:r>
              <w:rPr>
                <w:rFonts w:hint="eastAsia" w:ascii="宋体" w:hAnsi="宋体" w:cs="宋体"/>
                <w:i w:val="0"/>
                <w:iCs w:val="0"/>
                <w:color w:val="000000"/>
                <w:kern w:val="0"/>
                <w:sz w:val="20"/>
                <w:szCs w:val="20"/>
                <w:u w:val="none"/>
                <w:lang w:val="en-US" w:eastAsia="zh-CN" w:bidi="ar"/>
              </w:rPr>
              <w:t>，电池</w:t>
            </w:r>
            <w:r>
              <w:rPr>
                <w:rFonts w:hint="eastAsia" w:ascii="宋体" w:hAnsi="宋体" w:eastAsia="宋体" w:cs="宋体"/>
                <w:i w:val="0"/>
                <w:iCs w:val="0"/>
                <w:color w:val="000000"/>
                <w:kern w:val="0"/>
                <w:sz w:val="20"/>
                <w:szCs w:val="20"/>
                <w:u w:val="none"/>
                <w:lang w:val="en-US" w:eastAsia="zh-CN" w:bidi="ar"/>
              </w:rPr>
              <w:t>从零电量到满电：1块电池≤80分钟。</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运动相机</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≥1/1.1"CMOS传感器，支持可变光圈f/2.0–f/4.0；</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视频规格：支持4K/120fps，10-bitD-LogM色彩模式；</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支持≥20米裸机防水，无需额外防水壳；</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支持≥2倍无损数字变焦，RockSteady3.0增稳算法；</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内置≥50GB存储空间，支持microSD卡扩展至1TB；</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电池续航≥150分钟，支持快充与外接电源供电。</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扫地机器人</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吸力≥25000Pa，配备双旋转拖布（转速180转/分）；</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柔性机械臂设计，可贴边清洁墙角与家具缝隙；</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双目立体视觉+固态激光雷达融合导航，建图精度≤2cm；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基站支持自动集尘（支持30天免倒垃圾）、热风烘干（≥70℃/2h）、拖布自清洁；</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支持APP远程控制、禁区设置、多楼层地图记忆；</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工作噪音≤65dB（A），符合GB/T4214.1-2017标准。</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AR眼镜</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采用Micro-LED光引擎，等效≥43英寸空中透明显示屏，亮度≥3000nits；</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▲2、搭载算力≥4TOPS</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参照</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雷鸟 X3 Pro</w:t>
            </w:r>
            <w:r>
              <w:rPr>
                <w:rFonts w:hint="eastAsia" w:ascii="宋体" w:hAnsi="宋体" w:cs="宋体"/>
                <w:i w:val="0"/>
                <w:iCs w:val="0"/>
                <w:color w:val="000000"/>
                <w:kern w:val="0"/>
                <w:sz w:val="20"/>
                <w:szCs w:val="20"/>
                <w:u w:val="none"/>
                <w:lang w:val="en-US" w:eastAsia="zh-CN" w:bidi="ar"/>
              </w:rPr>
              <w:t>、Nreal Air 2、Rokid Max Pro）</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整机重量≤76g，佩戴舒适，支持全天候使用；</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内置支持实时物体识别、AI问答与Live交互</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参照</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雷鸟 X3 Pro</w:t>
            </w:r>
            <w:r>
              <w:rPr>
                <w:rFonts w:hint="eastAsia" w:ascii="宋体" w:hAnsi="宋体" w:cs="宋体"/>
                <w:i w:val="0"/>
                <w:iCs w:val="0"/>
                <w:color w:val="000000"/>
                <w:kern w:val="0"/>
                <w:sz w:val="20"/>
                <w:szCs w:val="20"/>
                <w:u w:val="none"/>
                <w:lang w:val="en-US" w:eastAsia="zh-CN" w:bidi="ar"/>
              </w:rPr>
              <w:t>、Nreal Air 2、Rokid Max Pro）</w:t>
            </w:r>
            <w:r>
              <w:rPr>
                <w:rFonts w:hint="eastAsia" w:ascii="宋体" w:hAnsi="宋体" w:eastAsia="宋体" w:cs="宋体"/>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支持6DoF空间定位，手眼协同追踪延迟≤15ms；</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续航≥3小时，支持磁吸快充与USB-C外接电源。</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机器狗</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配备4D超广角激光雷达，水平视场角360°，垂直90°；</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关节最大扭矩≥45N·m，支持后空翻、上下楼梯、侧滚等动作；</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内置GPT大模型接口，支持情感交互、任务规划与自主探索；</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续航时间≥2小时，支持快充（1小时可充满）；</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防护等级≥IP54，适应室内外多种地形；</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提供SDK支持Python/C++开发，兼容ROS/ROS2。</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智能展示终端</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配置≥12GBRAM+1TBROM，搭载参照</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华为 Mate70 Pro</w:t>
            </w:r>
            <w:r>
              <w:rPr>
                <w:rFonts w:hint="eastAsia" w:ascii="宋体" w:hAnsi="宋体" w:cs="宋体"/>
                <w:i w:val="0"/>
                <w:iCs w:val="0"/>
                <w:color w:val="000000"/>
                <w:kern w:val="0"/>
                <w:sz w:val="20"/>
                <w:szCs w:val="20"/>
                <w:u w:val="none"/>
                <w:lang w:val="en-US" w:eastAsia="zh-CN" w:bidi="ar"/>
              </w:rPr>
              <w:t>、三星 Galaxy S24 Ultra、苹果 iPhone 15 Pro Max）</w:t>
            </w:r>
            <w:r>
              <w:rPr>
                <w:rFonts w:hint="eastAsia" w:ascii="宋体" w:hAnsi="宋体" w:eastAsia="宋体" w:cs="宋体"/>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屏幕尺寸≥6.9英寸OLEDLTPO，支持1–120Hz自适应刷新率；</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后置主摄≥5000万像素，支持可变光圈（f/1.4–f/4.0），XMAGE影像系统；</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支持≥IP68级防尘防水，支持80W有线+80W无线快充；</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支持多设备协同、AI隔空操控</w:t>
            </w:r>
            <w:r>
              <w:rPr>
                <w:rFonts w:hint="eastAsia" w:ascii="宋体" w:hAnsi="宋体" w:cs="宋体"/>
                <w:i w:val="0"/>
                <w:iCs w:val="0"/>
                <w:color w:val="000000"/>
                <w:kern w:val="0"/>
                <w:sz w:val="20"/>
                <w:szCs w:val="20"/>
                <w:u w:val="none"/>
                <w:lang w:val="en-US" w:eastAsia="zh-CN" w:bidi="ar"/>
              </w:rPr>
              <w:t>，内置</w:t>
            </w:r>
            <w:r>
              <w:rPr>
                <w:rFonts w:hint="eastAsia" w:ascii="宋体" w:hAnsi="宋体" w:eastAsia="宋体" w:cs="宋体"/>
                <w:i w:val="0"/>
                <w:iCs w:val="0"/>
                <w:color w:val="000000"/>
                <w:kern w:val="0"/>
                <w:sz w:val="20"/>
                <w:szCs w:val="20"/>
                <w:u w:val="none"/>
                <w:lang w:val="en-US" w:eastAsia="zh-CN" w:bidi="ar"/>
              </w:rPr>
              <w:t>参照</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华为 Mate70 Pro</w:t>
            </w:r>
            <w:r>
              <w:rPr>
                <w:rFonts w:hint="eastAsia" w:ascii="宋体" w:hAnsi="宋体" w:cs="宋体"/>
                <w:i w:val="0"/>
                <w:iCs w:val="0"/>
                <w:color w:val="000000"/>
                <w:kern w:val="0"/>
                <w:sz w:val="20"/>
                <w:szCs w:val="20"/>
                <w:u w:val="none"/>
                <w:lang w:val="en-US" w:eastAsia="zh-CN" w:bidi="ar"/>
              </w:rPr>
              <w:t>、三星 Galaxy S24 Ultra、苹果 iPhone 15 Pro Max）</w:t>
            </w:r>
            <w:r>
              <w:rPr>
                <w:rFonts w:hint="eastAsia" w:ascii="宋体" w:hAnsi="宋体" w:eastAsia="宋体" w:cs="宋体"/>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电池容量≥5000mAh，续航≥1.5天（典型使用）。</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无人机</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≥双1英寸CMOS主摄，支持4K/60fpsHDR视频录制；</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全向避障系统（前、后、上、下、左、右），感知距离≥20m；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最大图传距离≥9km（FCC），抗风等级≥12m/s（6级风）；</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续航时间≥40分钟，支持快充（30分钟可充至80%）；</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配套防爆箱、遥控器保护套、备用螺旋桨等全套配件；</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支持手机及平板App，提供智能拍摄模板与航线规划。</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全画幅相机</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▲1、≥2420万像素全画幅CMOS传感器，DIGICX图像处理器；</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支持电子快门最高≥40张/秒连拍，机械快门≥12张/秒；</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视频支持6K超采样4K/60p，10-bit4</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2内录，C-Log3伽马曲线；</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机身≥8级协同防抖（搭配RF镜头），对焦覆盖</w:t>
            </w: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0%画面；</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≥6072个自动对焦点，支持人/动物/车辆眼部追踪；</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双卡槽（CFexpressB+SDUHS-II），支持USBPD供电。</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云台相机</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≥1英寸CMOS传感器，20mmf/2.0镜头，支持4K/60fps视频；</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三轴机械云台增稳，角度抖动量≤0.01°；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配备≥2英寸OLED旋转触摸屏，支持竖拍/横拍一键切换；</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智能跟随5.0算法，可精准锁定人脸/物体；</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电池续航≥130分钟，支持USB-C外接电源持续供电；</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内置立体声麦克风，支持3.5mm外接麦克风。</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全自动咖啡机</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≥19Bar专业泵压系统，≥13档研磨粗细调节；</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水箱容量≥1.8L，豆仓容量≥300g，支持自动豆量控制；</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可制作≥10种饮品（意式浓缩、美式、卡布奇诺、拿铁等）；</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配备自动奶泡系统，支持冷热奶泡调节；</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具备自动清洗、除垢、关机程序；</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操作面板为LCD显示屏，支持个性化饮品参数保存。</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智能冰箱</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总容积≥505L（其中冷藏≥305L</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冷冻≥175L</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变温室≥25L）；</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变频压缩机，一级能效，日均耗电量≤0.89kWh；</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PST+净味抗菌技术，99.999%除菌率，≤19分钟急速净味；</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运行噪音≤36dB（A），符合GB19606-2004静音标准；</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支持APP远程调温、食材管理、故障自检；</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风冷无霜设计，多循环送风，避免串味。</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智能手环</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≥1.74英寸AMOLED大屏，分辨率≥192×336，峰值亮度≥600nit；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支持血氧饱和度、心率、睡眠、压力、女性健康监测；</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≥5ATM防水等级，支持≥50米游泳佩戴；</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续航时间≥14天（典型模式），磁吸快充；</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支持≥150种运动模式自动识别，GPS外接手机定位；</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蓝牙5.3连接，兼容Android6.0+/iOS12.0+。</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智能手表</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≥1.43英寸AMOLED高清屏，分辨率≥466×466；</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2.支持</w:t>
            </w:r>
            <w:r>
              <w:rPr>
                <w:rFonts w:hint="eastAsia" w:ascii="宋体" w:hAnsi="宋体" w:eastAsia="宋体" w:cs="宋体"/>
                <w:i w:val="0"/>
                <w:iCs w:val="0"/>
                <w:color w:val="000000"/>
                <w:kern w:val="0"/>
                <w:sz w:val="20"/>
                <w:szCs w:val="20"/>
                <w:u w:val="none"/>
                <w:lang w:val="en-US" w:eastAsia="zh-CN" w:bidi="ar"/>
              </w:rPr>
              <w:t>睡眠</w:t>
            </w:r>
            <w:r>
              <w:rPr>
                <w:rFonts w:hint="eastAsia" w:ascii="宋体" w:hAnsi="宋体" w:cs="宋体"/>
                <w:i w:val="0"/>
                <w:iCs w:val="0"/>
                <w:color w:val="000000"/>
                <w:kern w:val="0"/>
                <w:sz w:val="20"/>
                <w:szCs w:val="20"/>
                <w:u w:val="none"/>
                <w:lang w:val="en-US" w:eastAsia="zh-CN" w:bidi="ar"/>
              </w:rPr>
              <w:t>监测技术</w:t>
            </w:r>
            <w:r>
              <w:rPr>
                <w:rFonts w:hint="eastAsia" w:ascii="宋体" w:hAnsi="宋体" w:eastAsia="宋体" w:cs="宋体"/>
                <w:i w:val="0"/>
                <w:iCs w:val="0"/>
                <w:color w:val="000000"/>
                <w:kern w:val="0"/>
                <w:sz w:val="20"/>
                <w:szCs w:val="20"/>
                <w:u w:val="none"/>
                <w:lang w:val="en-US" w:eastAsia="zh-CN" w:bidi="ar"/>
              </w:rPr>
              <w:t>，支持呼吸暂停风险筛查</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采用参照</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华为 Watch GT4</w:t>
            </w:r>
            <w:r>
              <w:rPr>
                <w:rFonts w:hint="eastAsia" w:ascii="宋体" w:hAnsi="宋体" w:cs="宋体"/>
                <w:i w:val="0"/>
                <w:iCs w:val="0"/>
                <w:color w:val="000000"/>
                <w:kern w:val="0"/>
                <w:sz w:val="20"/>
                <w:szCs w:val="20"/>
                <w:u w:val="none"/>
                <w:lang w:val="en-US" w:eastAsia="zh-CN" w:bidi="ar"/>
              </w:rPr>
              <w:t>、苹果 Apple Watch Series 9、三星 Galaxy Watch6 Classic）；                                             3.</w:t>
            </w:r>
            <w:r>
              <w:rPr>
                <w:rFonts w:hint="eastAsia" w:ascii="宋体" w:hAnsi="宋体" w:eastAsia="宋体" w:cs="宋体"/>
                <w:i w:val="0"/>
                <w:iCs w:val="0"/>
                <w:color w:val="000000"/>
                <w:kern w:val="0"/>
                <w:sz w:val="20"/>
                <w:szCs w:val="20"/>
                <w:u w:val="none"/>
                <w:lang w:val="en-US" w:eastAsia="zh-CN" w:bidi="ar"/>
              </w:rPr>
              <w:t>支持≥100种运动模式，支持五星定位（GPS+北斗+GLONASS等）；</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续航时间≥14天，支持无线充电；</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支持蓝牙通话、消息提醒、NFC公交卡/门禁卡；</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≥5ATM防水等级要求，符合ISO22810</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2010标准。</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智能音箱</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支持远场语音唤醒（5米内）</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内置参照天猫精灵</w:t>
            </w:r>
            <w:r>
              <w:rPr>
                <w:rFonts w:hint="eastAsia" w:ascii="宋体" w:hAnsi="宋体" w:cs="宋体"/>
                <w:i w:val="0"/>
                <w:iCs w:val="0"/>
                <w:color w:val="000000"/>
                <w:kern w:val="0"/>
                <w:sz w:val="20"/>
                <w:szCs w:val="20"/>
                <w:u w:val="none"/>
                <w:lang w:val="en-US" w:eastAsia="zh-CN" w:bidi="ar"/>
              </w:rPr>
              <w:t>、小度  T10、华为 Sound X 2023</w:t>
            </w:r>
            <w:r>
              <w:rPr>
                <w:rFonts w:hint="eastAsia" w:ascii="宋体" w:hAnsi="宋体" w:eastAsia="宋体" w:cs="宋体"/>
                <w:i w:val="0"/>
                <w:iCs w:val="0"/>
                <w:color w:val="000000"/>
                <w:kern w:val="0"/>
                <w:sz w:val="20"/>
                <w:szCs w:val="20"/>
                <w:u w:val="none"/>
                <w:lang w:val="en-US" w:eastAsia="zh-CN" w:bidi="ar"/>
              </w:rPr>
              <w:t>语音助手</w:t>
            </w:r>
            <w:r>
              <w:rPr>
                <w:rFonts w:hint="eastAsia"/>
                <w:lang w:eastAsia="zh-CN"/>
              </w:rPr>
              <w: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支持智能家居控制（可兼容天猫精灵生态设备）；</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音频输出功率≥5W，频响范围100Hz–20kHz；</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支持Wi-Fi2.4GHz与蓝牙5.0双模连接；</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具备闹钟、天气、新闻、音乐播放等基础功能；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电源适配器输入：100–240VAC，50/60Hz。</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智能音箱</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采用360°全向音效设计，内置≥2.25英寸低音单元+2个高音单元；</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支持红外遥控功能，可控制传统非智能家电；</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内置蓝牙Mesh网关，可连接小米生态链设备；</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配置语音助手，支持连续对话与多轮交互；</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支持DLNA/AirPlay2无线投屏；</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电源：DC12V/2A，待机功耗≤1W。</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智能音箱</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360°计算音频技术，内置全频驱动单元+双无源辐射器；</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支持空间感知与多房间音频同步</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采用参照</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HomePod mini</w:t>
            </w:r>
            <w:r>
              <w:rPr>
                <w:rFonts w:hint="eastAsia" w:ascii="宋体" w:hAnsi="宋体" w:cs="宋体"/>
                <w:i w:val="0"/>
                <w:iCs w:val="0"/>
                <w:color w:val="000000"/>
                <w:kern w:val="0"/>
                <w:sz w:val="20"/>
                <w:szCs w:val="20"/>
                <w:u w:val="none"/>
                <w:lang w:val="en-US" w:eastAsia="zh-CN" w:bidi="ar"/>
              </w:rPr>
              <w:t>、小米 Sound Pro、纽曼K510）</w:t>
            </w:r>
            <w:r>
              <w:rPr>
                <w:rFonts w:hint="eastAsia"/>
                <w:lang w:eastAsia="zh-CN"/>
              </w:rPr>
              <w:t>；</w:t>
            </w:r>
            <w:r>
              <w:rPr>
                <w:rFonts w:hint="eastAsia"/>
                <w:lang w:val="en-US" w:eastAsia="zh-CN"/>
              </w:rPr>
              <w:t xml:space="preserve">                             </w:t>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支持Siri语音控制，集成AppleMusic/HomeKit生态；</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支持精准设备定位</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采用参照</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HomePod mini</w:t>
            </w:r>
            <w:r>
              <w:rPr>
                <w:rFonts w:hint="eastAsia" w:ascii="宋体" w:hAnsi="宋体" w:cs="宋体"/>
                <w:i w:val="0"/>
                <w:iCs w:val="0"/>
                <w:color w:val="000000"/>
                <w:kern w:val="0"/>
                <w:sz w:val="20"/>
                <w:szCs w:val="20"/>
                <w:u w:val="none"/>
                <w:lang w:val="en-US" w:eastAsia="zh-CN" w:bidi="ar"/>
              </w:rPr>
              <w:t>、小米 Sound Pro、纽曼K510）</w:t>
            </w:r>
            <w:r>
              <w:rPr>
                <w:rFonts w:hint="eastAsia"/>
                <w:lang w:eastAsia="zh-CN"/>
              </w:rPr>
              <w: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音频采样率48kHz，支持AAC/SBC编解码；</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电源：20WUSB-C，工作温度0–35℃。</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智能魔方</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标准3×3竞速魔方结构，符合WCA比赛规格；</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内置6轴陀螺仪+蓝牙5.0模块，实时记录转动数据；</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3、App提供教学课程、计时器、对战模式、打乱公式生成；</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支持全球标准CFOP/ROUX等解法算法识别；</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电池续航≥60天，Type-C充电；</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材质为ABS环保塑料，表面磨砂防滑处理。</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VR一体机</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w:t>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6DoFinside-out定位，支持手势识别+面部表情追踪</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采用参照</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PICO 4 Ultra</w:t>
            </w:r>
            <w:r>
              <w:rPr>
                <w:rFonts w:hint="eastAsia" w:ascii="宋体" w:hAnsi="宋体" w:cs="宋体"/>
                <w:i w:val="0"/>
                <w:iCs w:val="0"/>
                <w:color w:val="000000"/>
                <w:kern w:val="0"/>
                <w:sz w:val="20"/>
                <w:szCs w:val="20"/>
                <w:u w:val="none"/>
                <w:lang w:val="en-US" w:eastAsia="zh-CN" w:bidi="ar"/>
              </w:rPr>
              <w:t>、Meta Quest 3、HTC Vive Focus 3）</w:t>
            </w:r>
            <w:r>
              <w:rPr>
                <w:rFonts w:hint="eastAsia" w:ascii="宋体" w:hAnsi="宋体" w:eastAsia="宋体" w:cs="宋体"/>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w:t>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 xml:space="preserve">、眼动追踪精度≤0.5°，支持注视点渲染（foveatedrendering）； </w:t>
            </w:r>
            <w:r>
              <w:rPr>
                <w:rFonts w:hint="eastAsia" w:ascii="宋体" w:hAnsi="宋体" w:cs="宋体"/>
                <w:i w:val="0"/>
                <w:iCs w:val="0"/>
                <w:color w:val="000000"/>
                <w:kern w:val="0"/>
                <w:sz w:val="20"/>
                <w:szCs w:val="20"/>
                <w:u w:val="none"/>
                <w:lang w:val="en-US" w:eastAsia="zh-CN" w:bidi="ar"/>
              </w:rPr>
              <w:t>（在投标文件中提供有相应检测资质的第三方检测机构出具的关于此要求的检测报告扫描件并加盖投标人公章）</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电池续航≥2.5小时，可拆卸后置电池设计；</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支持Wi-Fi6E、蓝牙5.3，可兼容SteamVR/PICOStore内容。</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智能跳绳</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采用霍尔传感器计数，误差率≤0.1%；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蓝牙5.0连接手机App，支持跳绳模式/卡路里/心率联动；</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续航时间≥60天（每天使用30分钟）；</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手柄材质为TPE软胶+铝合金，防滑耐磨；</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支持自由跳、计时跳、计数跳、间歇训练等多种模式；</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配套的App提供训练计划、成就系统与社交分享功能。</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智能水杯</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OLED屏实时显示水温（0–100℃）与当日饮水量；</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智能饮水提醒功能，每小时震动提示，可自定义间隔；</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采用304医用级不锈钢内胆，双层真空保温（保冷12h/保热6h）；</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≥IPX7级防水，可整杯水洗；</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电池续航≥30天，磁吸充电；</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容量≥450ml，杯盖采用食品级PP材质。</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智能体脂秤</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采用BIA生物电阻抗技术，测量≥13项身体数据（体脂率、肌肉量、骨量、水分率等）；</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支持多人自动识别（最多16人），数据同步至App；</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测量精度：体重±0.1kg，体脂率±1%；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钢化玻璃秤面，最大承重≥180kg；</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蓝牙5.0连接，兼容iOS/Android主流健康平台；</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电池续航≥180天（CR2450纽扣电池）。</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智能翻译机</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支持≥56种语言实时互译，离线翻译覆盖≥8国常用语言；</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双麦克风降噪，拾音距离≥2米；</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≥2.4英寸触摸屏，支持文本编辑与历史记录导出；</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续航时间≥8小时，Type-C充电；</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内置专业领域术语库（商务、旅游、医疗等）；</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支持Wi-Fi联网更新语言包与系统升级。</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电子阅读器</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≥6.8英寸300ppiEInkCarta1200墨水屏；</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冷暖光调节（2400K–4000K），前置光均匀无眩光；</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≥IPX8级防水，可在2米深淡水浸泡≥60分钟；</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≥32GB存储空间，可容纳数千本电子书；</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电池续航≥10周（每天阅读30分钟的情况下）；</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支持Audible有声书、蓝牙耳机播放。</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智能台灯</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Ra≥95高显色指数LED光源，色温2700K–5000K无极调光；</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照度自动调节（国AA级标准，中心照度≥500lux）</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参照</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米家</w:t>
            </w:r>
            <w:r>
              <w:rPr>
                <w:rFonts w:hint="eastAsia" w:ascii="宋体" w:hAnsi="宋体" w:cs="宋体"/>
                <w:i w:val="0"/>
                <w:iCs w:val="0"/>
                <w:color w:val="000000"/>
                <w:kern w:val="0"/>
                <w:sz w:val="20"/>
                <w:szCs w:val="20"/>
                <w:u w:val="none"/>
                <w:lang w:val="en-US" w:eastAsia="zh-CN" w:bidi="ar"/>
              </w:rPr>
              <w:t>、华为智选 欧普智能台灯 2S、飞利浦（Philips）轩坦 LED台灯】</w:t>
            </w:r>
            <w:r>
              <w:rPr>
                <w:rFonts w:hint="eastAsia" w:ascii="宋体" w:hAnsi="宋体" w:eastAsia="宋体" w:cs="宋体"/>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灯臂多轴调节，照射角度0–180°；</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功率≤20W，待机功耗≤0.5W；</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通过CCC认证。</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NAS私有云</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双盘位设计，支持RAID0/1/SHR</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参照</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群晖 DS224+</w:t>
            </w:r>
            <w:r>
              <w:rPr>
                <w:rFonts w:hint="eastAsia" w:ascii="宋体" w:hAnsi="宋体" w:cs="宋体"/>
                <w:i w:val="0"/>
                <w:iCs w:val="0"/>
                <w:color w:val="000000"/>
                <w:kern w:val="0"/>
                <w:sz w:val="20"/>
                <w:szCs w:val="20"/>
                <w:u w:val="none"/>
                <w:lang w:val="en-US" w:eastAsia="zh-CN" w:bidi="ar"/>
              </w:rPr>
              <w:t>、威联通（QNAP）TS-262C西部数据（WD）My Cloud EX2 Ultra】</w:t>
            </w:r>
            <w:r>
              <w:rPr>
                <w:rFonts w:hint="eastAsia" w:ascii="宋体" w:hAnsi="宋体" w:eastAsia="宋体" w:cs="宋体"/>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支持10/100/1000Mbps以太网，USB3.2Gen1接口×2；</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支持QuickConnect远程访问，无需公网IP；</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功耗≤25W（工作状态），噪音≤22dB。</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智能门锁</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支持指纹/密码/IC卡/APP/NFC/临时密码/机械钥匙7种开锁方式；</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配置C级锁芯，防技术开启时间≥270分钟；</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配备防撬报警、虚位密码、胁迫指纹等安全功能；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电池续航≥12个月（8节AA碱性电池）</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参照</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鹿客 Q5M</w:t>
            </w:r>
            <w:r>
              <w:rPr>
                <w:rFonts w:hint="eastAsia" w:ascii="宋体" w:hAnsi="宋体" w:cs="宋体"/>
                <w:i w:val="0"/>
                <w:iCs w:val="0"/>
                <w:color w:val="000000"/>
                <w:kern w:val="0"/>
                <w:sz w:val="20"/>
                <w:szCs w:val="20"/>
                <w:u w:val="none"/>
                <w:lang w:val="en-US" w:eastAsia="zh-CN" w:bidi="ar"/>
              </w:rPr>
              <w:t>、小米智能门锁 M20 Pro、德施曼（DESSMANN）Q5M Pro】</w:t>
            </w:r>
            <w:r>
              <w:rPr>
                <w:rFonts w:hint="eastAsia" w:ascii="宋体" w:hAnsi="宋体" w:eastAsia="宋体" w:cs="宋体"/>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锁体材质为锌合金，表面IMR工艺，耐腐蚀。</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智能摄像头</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支持2K超高清分辨率（2304×1296），H.265编码；</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配置360°水平+93°垂直云台，支持手机远程控制视角；</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3、AI人形侦测+移动追踪，误报率≤5%；</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双向语音对讲，内置降噪麦克风；</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支持MicroSD卡存储（最大256GB）及云存储；</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工作温度-10℃～50℃，≥IP65防尘防水。</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蓝牙耳机</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主动降噪深度达47dB，支持智能动态降噪</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配置参照</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华为 FreeBuds Pro 3</w:t>
            </w:r>
            <w:r>
              <w:rPr>
                <w:rFonts w:hint="eastAsia" w:ascii="宋体" w:hAnsi="宋体" w:cs="宋体"/>
                <w:i w:val="0"/>
                <w:iCs w:val="0"/>
                <w:color w:val="000000"/>
                <w:kern w:val="0"/>
                <w:sz w:val="20"/>
                <w:szCs w:val="20"/>
                <w:u w:val="none"/>
                <w:lang w:val="en-US" w:eastAsia="zh-CN" w:bidi="ar"/>
              </w:rPr>
              <w:t>、苹果 AirPods Pro 2、索尼（Sony）WF-1000XM5】；</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续航时间≥30小时（含充电盒），单次使用≥6小时；</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支持空间音频、头部追踪、高清通话降噪；</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≥IP54防尘防水，触控操作；</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兼容Android/iOS，支持多设备切换。</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智能绘画板</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绘图区域≥224×148mm，≥8192级压感电磁笔（无电池）；</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支持蓝牙5.0无线连接，可兼容Windows/macOS/iPadOS；</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表面磨砂处理，模拟真实纸张手感；</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8个可自定义快捷键+触控环，提升创作效率；</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笔尖更换工具套装包含≥5种笔尖类型；</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支持Photoshop/Illustrator等主流软件。</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便携投影装置</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≥1080P物理分辨率，≥900ANSI流明亮度；</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支持自动对焦、全自动梯形校正（±40°）、墙面颜色自适应</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配置参照</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极米 H6</w:t>
            </w:r>
            <w:r>
              <w:rPr>
                <w:rFonts w:hint="eastAsia" w:ascii="宋体" w:hAnsi="宋体" w:cs="宋体"/>
                <w:i w:val="0"/>
                <w:iCs w:val="0"/>
                <w:color w:val="000000"/>
                <w:kern w:val="0"/>
                <w:sz w:val="20"/>
                <w:szCs w:val="20"/>
                <w:u w:val="none"/>
                <w:lang w:val="en-US" w:eastAsia="zh-CN" w:bidi="ar"/>
              </w:rPr>
              <w:t>、坚果（JMGO）O1 Pro、当贝（Dangbei）D5X Pro】</w:t>
            </w:r>
            <w:r>
              <w:rPr>
                <w:rFonts w:hint="eastAsia" w:ascii="宋体" w:hAnsi="宋体" w:eastAsia="宋体" w:cs="宋体"/>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支持Wi-Fi6、蓝牙5.2、HDMI2.0、USB3.0接口；</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电池续航≥2小时（移动模式），支持PD快充。</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智能健身镜</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≥43英寸镜面液晶屏，分辨率≥1920×1080，反射率≥85%；</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内置AI摄像头（3DToF+RGB），实时动作捕捉与纠正；</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课程库≥5000节，内容涵盖瑜伽、力量、有氧、普拉提等课程；</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支持多人同时训练识别，动作评分误差≤5%；</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会员制内容服务，支持个性化训练计划生成；</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整机厚度≤5cm，可壁挂/可支架安装。</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动态人机工学椅</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一、结构与尺寸要求</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（一）整体尺寸</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靠背高度≥1200mm。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坐垫深度≥450mm。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坐垫宽度≥500mm。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扶手调节范围≥100mm（上下）、≥80mm（前后）。</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动态底盘，支持360°自由浮动与前后倾仰（0～30°）。</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（二）靠背结构</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采用分区支撑设计，包含头部、腰部、臀部、腿部支撑区域。</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靠背框架采用铝合金材质，强度≥2000N。</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靠背倾仰角度范围90～135°，无级调节。</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靠背张力可调节，调节范围10～100N·m。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（三）坐垫结构</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采用记忆海绵坐垫，厚度≥50mm。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坐垫表面采用网布材质，透气性≥1000mm/s。</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坐垫深度可调节，调节范围400～500mm。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坐垫边缘圆滑处理，避免腿部压迫。</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（四）扶手结构</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扶手支持4D调节（上下、前后、左右、旋转）。</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扶手表面采用PU材质，触感舒适。</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扶手高度调节范围750～850mm。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扶手旋转角度≥30°。</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二、动态功能要求</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（一）动态支撑系统</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提供腰部动态支撑功能，可跟随用户坐姿自动调节支撑力度。</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采用自适应重力感应技术，感应范围50～150kg。</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支撑力度调节范围20～100N。</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动态支撑响应时间≤0.1秒。</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（二）倾仰锁定系统</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支持倾仰锁定功能，锁定档位≥5档。</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倾仰锁定强度≥1000N·m。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倾仰解锁阻力≤20N。</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倾仰锁定准确率≥99%。</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（三）自动适应功能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支持自动感应用户体重与坐姿，自动调整靠背张力。</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提供智能记忆功能，可保存≥3组用户坐姿偏好。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自动适应调节时间≤3秒。</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调节准确率≥95%。</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（四）智能交互功能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提供座椅状态显示屏，可显示靠背角度、支撑力度等参数。</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支持APP智能控制，可远程调节座椅参数。</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内置久坐提醒功能，支持自定义提醒时间。</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座椅功能响应时间≤0.5秒。</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三、材料与工艺要求</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（一）框架材料</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椅架采用高强度铝合金材质，屈服强度≥250MPa。</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椅脚采用尼龙材质，承重≥1000kg。</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椅轮采用PU材质，静音耐磨，滚动阻力≤10N。</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材质符合国家环保标准（E0级）。</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（二）面料材质</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靠背与坐垫采用高弹力网布材质，拉伸强度≥500N/cm。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网布透气率≥1000mm/s。</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网布耐磨性≥5000次/㎡。</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网布颜色支持定制，≥10种颜色可选。</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（三）工艺要求</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所有金属部件表面采用静电喷涂工艺，涂层厚度≥60μm。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塑料部件采用注塑成型工艺，表面光泽度≥80GU。</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焊接部位无气孔、裂纹，焊接强度≥2000N。</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装配精度≤0.5mm。</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智能咖啡机</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胶囊式咖啡机，≥15Bar高压萃取系统；</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支持冷热饮一键切换，饮品量可调（30–200ml）；</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支持APP控制饮品选择、浓度调节、自动关机（0–30分钟）；</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水箱容量≥0.8L，待机功耗≤0.5W</w:t>
            </w:r>
            <w:r>
              <w:rPr>
                <w:rFonts w:hint="eastAsia"/>
                <w:lang w:eastAsia="zh-CN"/>
              </w:rPr>
              <w:t>，</w:t>
            </w:r>
            <w:r>
              <w:rPr>
                <w:rFonts w:hint="eastAsia" w:ascii="宋体" w:hAnsi="宋体" w:eastAsia="宋体" w:cs="宋体"/>
                <w:i w:val="0"/>
                <w:iCs w:val="0"/>
                <w:color w:val="000000"/>
                <w:kern w:val="0"/>
                <w:sz w:val="20"/>
                <w:szCs w:val="20"/>
                <w:u w:val="none"/>
                <w:lang w:val="en-US" w:eastAsia="zh-CN" w:bidi="ar"/>
              </w:rPr>
              <w:t>可使用参照</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雀巢 Dolce Gusto Genio S</w:t>
            </w:r>
            <w:r>
              <w:rPr>
                <w:rFonts w:hint="eastAsia" w:ascii="宋体" w:hAnsi="宋体" w:cs="宋体"/>
                <w:i w:val="0"/>
                <w:iCs w:val="0"/>
                <w:color w:val="000000"/>
                <w:kern w:val="0"/>
                <w:sz w:val="20"/>
                <w:szCs w:val="20"/>
                <w:u w:val="none"/>
                <w:lang w:val="en-US" w:eastAsia="zh-CN" w:bidi="ar"/>
              </w:rPr>
              <w:t>、飞利浦（Philips）HD7762/00、德龙（Delonghi）ECP35.31】</w:t>
            </w:r>
            <w:r>
              <w:rPr>
                <w:rFonts w:hint="eastAsia" w:ascii="宋体" w:hAnsi="宋体" w:eastAsia="宋体" w:cs="宋体"/>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外壳材质为ABS+PC。</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电子词典</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内置≥82本辞书（包括但不限于牛津高阶、朗文、韦氏等）；</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支持英/美式发音，真人语音合成；</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手写输入识别率≥95%，支持部首/笔画检索；</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太阳能+AAA电池双供电，续航≥1年；</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屏幕尺寸≥3.7英寸，分辨率≥320×240；</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机身轻薄（厚度≤15mm），重量≤200g。</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AI语音助手开发套件</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≥6麦克风环形阵列，支持远场语音唤醒（唤醒距离≥5米）</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参照</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百度 DuerOS Dev Kit</w:t>
            </w:r>
            <w:r>
              <w:rPr>
                <w:rFonts w:hint="eastAsia" w:ascii="宋体" w:hAnsi="宋体" w:cs="宋体"/>
                <w:i w:val="0"/>
                <w:iCs w:val="0"/>
                <w:color w:val="000000"/>
                <w:kern w:val="0"/>
                <w:sz w:val="20"/>
                <w:szCs w:val="20"/>
                <w:u w:val="none"/>
                <w:lang w:val="en-US" w:eastAsia="zh-CN" w:bidi="ar"/>
              </w:rPr>
              <w:t>、阿里天猫精灵 AI Labs 开发板、小米小爱同学 开放平台套件）</w:t>
            </w:r>
            <w:r>
              <w:rPr>
                <w:rFonts w:hint="eastAsia" w:ascii="宋体" w:hAnsi="宋体" w:eastAsia="宋体" w:cs="宋体"/>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支持自定义技能开发，提供完整SDK（Python/Java）；</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内置Wi-Fi2.4GHz+蓝牙4.2模块；</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提供DuerOS对话系统接入、语音识别/合成API；</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适用于智能家居、教育机器人等二次开发场景。</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机器学习开发板</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1、AI算力≥40TOPS（INT8），搭载参照</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英伟达 Jetson Orin Nano</w:t>
            </w:r>
            <w:r>
              <w:rPr>
                <w:rFonts w:hint="eastAsia" w:ascii="宋体" w:hAnsi="宋体" w:cs="宋体"/>
                <w:i w:val="0"/>
                <w:iCs w:val="0"/>
                <w:color w:val="000000"/>
                <w:kern w:val="0"/>
                <w:sz w:val="20"/>
                <w:szCs w:val="20"/>
                <w:u w:val="none"/>
                <w:lang w:val="en-US" w:eastAsia="zh-CN" w:bidi="ar"/>
              </w:rPr>
              <w:t>、树莓派（Raspberry Pi）4 Model B、谷歌 Coral Dev Board Mini】</w:t>
            </w:r>
            <w:r>
              <w:rPr>
                <w:rFonts w:hint="eastAsia" w:ascii="宋体" w:hAnsi="宋体" w:eastAsia="宋体" w:cs="宋体"/>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≥8GBLPDDR5内存，带宽≥102GB/s；</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支持TensorFlow/PyTorch/ONNX等主流框架；</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接口：USB3.2×2、HDMI、CSI相机接口×2、M.2KeyE/M；</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功耗：7～15W，支持被动散热；</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适用于边缘AI原型开发、机器人视觉、自动驾驶等场景。</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智能园艺系统</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集成土壤湿度、光照强度、环境温度三合一传感器；</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带自动浇水系统，配置≥2L水箱，续航≥30天；</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支持App远程监控植物状态，支持≥20种植物养护模式；</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缺水/缺光自动提醒，浇水记录可追溯；</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花盆材质为食品级PP，无毒无味；</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电源：USB5V/1A，支持太阳能充电。</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脑电波头戴设备</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采用单通道EEG传感器，采样率512Hz，频带0.5～40Hz；</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实时监测专注度/放松度指数，精度≥90%；</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配套的App提供冥想训练课程、数据分析与趋势报告；</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支持蓝牙5.0连接，续航≥8小时；</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佩戴舒适，重量≤60g，适合儿童及成人使用；</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符合IEC60601-1医疗电气设备安全标准。</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手势识别控制器</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▲1、红外摄像头阵列，识别精度≤0.01mm，追踪范围≥60×60×60cm；</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支持双手≥22个关节实时追踪，延迟≤10ms；</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提供Unity/UnrealEngine/PythonSDK；</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支持USB3.0接口供电与数据传输；</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适用于VR/AR、人机交互、康复训练等场景；</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工作温度0–40℃，相对湿度≤80%。</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智能书法笔</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≥4096级压感，倾斜感应±60°；</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蓝牙连接平板/PC，兼容WindowsInk/MicrosoftWhiteboard；</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笔迹实时数字化，延迟≤25ms；</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兼容OneNote/Notability/ClipStudioPaint等软件；</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电池续航≥10小时，USB-C充电；</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笔身轻量化设计（重量≤15g），握感舒适。</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量子计算教育套件</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基于超导/离子阱原理的量子计算模拟平台；</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支持Python编程，内置Qiskit/Cirq兼容接口；</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包含量子算法教学案例（Shor、Grover、Deutsch-Jozsa等）；</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提供可视化量子线路编辑器与结果分析工具；</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适用于高校物理、计算机专业教学与科研；</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配套实验指导手册与在线课程资源。</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区块链硬件钱包</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▲1、冷存储架构，私钥永不接触互联网；</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自带的OLED屏幕分辨率≥128×64像素用于交易确认，防止中间人攻击；</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蓝牙5.0连接手机App，支持≥5500个加密资产；</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通过CCEAL5+安全认证，防物理篡改；</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电池续航≥8小时，USB-C充电；</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支持LedgerLive管理资产、Staking、NFT；</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支持主流公链：比特币、以太坊、索拉纳、瑞波币等；</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一站式完成买入、卖出、发送、接收等操作；</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支持跨链、CEX/DEX资产互换；</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支持质押（Staking）赚取收益；</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11.</w:t>
            </w:r>
            <w:r>
              <w:rPr>
                <w:rFonts w:hint="eastAsia" w:ascii="宋体" w:hAnsi="宋体" w:eastAsia="宋体" w:cs="宋体"/>
                <w:i w:val="0"/>
                <w:iCs w:val="0"/>
                <w:color w:val="000000"/>
                <w:kern w:val="0"/>
                <w:sz w:val="20"/>
                <w:szCs w:val="20"/>
                <w:u w:val="none"/>
                <w:lang w:val="en-US" w:eastAsia="zh-CN" w:bidi="ar"/>
              </w:rPr>
              <w:t>支持NFT存储与展示；</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12.</w:t>
            </w:r>
            <w:r>
              <w:rPr>
                <w:rFonts w:hint="eastAsia" w:ascii="宋体" w:hAnsi="宋体" w:eastAsia="宋体" w:cs="宋体"/>
                <w:i w:val="0"/>
                <w:iCs w:val="0"/>
                <w:color w:val="000000"/>
                <w:kern w:val="0"/>
                <w:sz w:val="20"/>
                <w:szCs w:val="20"/>
                <w:u w:val="none"/>
                <w:lang w:val="en-US" w:eastAsia="zh-CN" w:bidi="ar"/>
              </w:rPr>
              <w:t>提供资产管理总览、交易记录、市场行情等功能；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13.</w:t>
            </w:r>
            <w:r>
              <w:rPr>
                <w:rFonts w:hint="eastAsia" w:ascii="宋体" w:hAnsi="宋体" w:eastAsia="宋体" w:cs="宋体"/>
                <w:i w:val="0"/>
                <w:iCs w:val="0"/>
                <w:color w:val="000000"/>
                <w:kern w:val="0"/>
                <w:sz w:val="20"/>
                <w:szCs w:val="20"/>
                <w:u w:val="none"/>
                <w:lang w:val="en-US" w:eastAsia="zh-CN" w:bidi="ar"/>
              </w:rPr>
              <w:t>合规支持：支持生成税务报告，便于合规管理；</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14.</w:t>
            </w:r>
            <w:r>
              <w:rPr>
                <w:rFonts w:hint="eastAsia" w:ascii="宋体" w:hAnsi="宋体" w:eastAsia="宋体" w:cs="宋体"/>
                <w:i w:val="0"/>
                <w:iCs w:val="0"/>
                <w:color w:val="000000"/>
                <w:kern w:val="0"/>
                <w:sz w:val="20"/>
                <w:szCs w:val="20"/>
                <w:u w:val="none"/>
                <w:lang w:val="en-US" w:eastAsia="zh-CN" w:bidi="ar"/>
              </w:rPr>
              <w:t>符合国家网络安全等级保护相关要求。</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智能天文望远镜</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≥127mm口径施密特-卡塞格林光学系统，焦距≥1250mm；</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自动寻星系统，内置≥40000个天体数据库；</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支持手机App控制，GPS自动定位；</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赤道仪+Alt-Az双模式，跟踪精度≤1角分；</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配备25mm目镜（50倍）与红点寻星镜；</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三脚架铝合金材质，承重≥10kg。</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空气检测仪</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采用激光散射原理，检测PM2.5、温湿度、TVOC（甲醛）；</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OLED屏实时显示数值，刷新频率1次/秒；</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检测范围：PM2.50–999μg/m³，TVOC0–9.99mg/m³</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参照</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小米 米家PM2.5检测仪</w:t>
            </w:r>
            <w:r>
              <w:rPr>
                <w:rFonts w:hint="eastAsia" w:ascii="宋体" w:hAnsi="宋体" w:cs="宋体"/>
                <w:i w:val="0"/>
                <w:iCs w:val="0"/>
                <w:color w:val="000000"/>
                <w:kern w:val="0"/>
                <w:sz w:val="20"/>
                <w:szCs w:val="20"/>
                <w:u w:val="none"/>
                <w:lang w:val="en-US" w:eastAsia="zh-CN" w:bidi="ar"/>
              </w:rPr>
              <w:t>、霍尼韦尔（Honeywell）PM2.5检测仪、青萍空气检测仪 Lite】</w:t>
            </w:r>
            <w:r>
              <w:rPr>
                <w:rFonts w:hint="eastAsia" w:ascii="宋体" w:hAnsi="宋体" w:eastAsia="宋体" w:cs="宋体"/>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电池续航≥7天，USB-C充电；</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通过CMA或CNAS认证，精度误差≤10%。</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智能种植机</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水培系统，≥9个种植位，LED全光谱植物灯（可调光强）；</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自动供水与营养液供给，水箱容量≥3L；</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3、App提醒种植周期、缺水/缺肥状态；</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支持香草、蔬菜、花卉等≥20种植物胶囊；</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功率≤12W，噪音≤30dB；</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材质为食品级ABS，无BPA。</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便携式能源站</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518Wh锂离子电池，AC输出≥500W（峰值1000W）；</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输出接口：AC×2、USB-A×2、USB-C×1、DC×1；</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支持太阳能板充电（最大100W，需另购）；</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充满电时间：市电≤5.5小时，太阳能8–16小时；</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重量≤5.5kg，手提设计，≥IPX3防泼溅；</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适用于户外露营、应急供电、设备充电等场景。</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智能显微镜相机</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≥4K超高清CMOS传感器，60fps实时预览；</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支持Wi-Fi直连手机/PC，支持iOS/Android/Windows；</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支持图像测量、标注、延时摄影、视频录制；</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≥500×数字变焦，兼容标准C接口显微镜；</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内置≥8GB存储，支持microSD扩展；</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软件支持多图拼接、景深合成、报告生成。</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3D扫描仪</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双光源（LED白光+蓝色激光），扫描精度</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0.05mm；</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支持彩色纹理扫描，色彩还原度ΔE≤3；</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扫描速度≥1200000点/秒，最大扫描范围≥300×300mm；</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适用于人像、文物、工业零件等复杂表面；</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软件支持STL/OBJ/PLY格式导出，兼容Geomagic；</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配备转台与手持模式。</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智能乐器</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真实6弦木吉他，LED指板灯指导按弦位置；</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配套的App提供互动课程（和弦/指弹/乐理/节奏），支持麦克风拾音评分；</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评分系统基于音高、节奏、清晰度三维度，准确率≥90%；</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支持蓝牙连接，延迟≤30ms；</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木材为云杉面板+桃花心木背侧，音色温暖；</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适用于初学者至中级用户，配套曲库≥1500首。</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机器人开发套件</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≥17自由度人形机器人，身高≥45cm，支持行走/舞蹈/手势；</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搭载ROS系统，提供Python/C++SDK；</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配备摄像头（≥500万像素）、麦克风阵列、扬声器；</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支持视觉识别（人脸/物体）、语音交互、SLAM建图；</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电池续航≥1.5小时，USB-C充电；</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适用于AI教育、编程竞赛、科研原型开发。</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智能化学实验箱</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包含≥50种安全实验材料（无毒/低危），符合中小学实验标准；</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配备ARApp指导操作步骤，3D动画演示反应过程；</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通过AI摄像头识别实验现象（颜色变化、沉淀生成等），自动生成实验报告；</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实验项目覆盖酸碱中和、氧化还原、溶解度等核心知识点；</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配套教师端管理平台，支持批量布置实验任务；</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脑机接口头环</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单通道EEG（512Hz采样），检测专注度/放松度；</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支持蓝牙4.0或以上连接，支持iOS/Android/PC；</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提供Python/ArduinoSDK，适用于教育/游戏开发；</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电池续航≥8小时，AAA电池供电；</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佩戴简单，仅需前额与耳夹电极即可完成脑电信号采集；</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采样精度±5%，延迟≤500ms；</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工作原理：利用银/氯化银干电极捕捉大脑神经元电活动产生的电位变化，通过集成多通道电压放大芯片对微弱脑电信号进行放大滤波（排除50/60Hz工频干扰），再经本地AI模型进行实时解析（50ms级响应速度），最终将原始脑电信号转换为专注度、放松度、压力水平等可量化的多维脑状态指标；</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脑电实时监测：采集δ、θ、α、β、γ等全频段脑电波，支持EEG原始数据本地闭环处理，保护用户隐私安全；</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智能状态评估：通过AI算法实时评估用户专注、平和、疲劳、压力等多维脑状态，提供直观的可视化反馈；</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针对性干预训练：</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（1）专注力训练：通过实时脑电反馈引导进入α波状态，提升学习与工作效率；</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（2）冥想放松：提供多场景正念冥想课程，根据脑电数据调整引导节奏，帮助快速缓解焦虑；</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（3）疲劳预警：实时监测脑波变化，当检测到疲劳状态时通过振动或APP提醒用户休息。</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智能天文馆</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光学星点投影，可投射≥6万颗恒星，亮度可调；</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配套AR星座识别App，扫描天花板自动标注星座名称；</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支持银河、流星雨、极光等特效模式；</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静音电机，运行噪音≤25dB；</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投影面积直径2–3米（距离2.5米）；</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电源：DC12V/1A，适配器输入100–240VAC。</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量子纠缠演示仪</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基于偏振光路模拟量子纠缠与贝尔不等式验证；</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配置激光源（650nm）、分束器、偏振片、单光子探测器；</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软件实时显示关联计数与CHSH不等式计算结果；</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适用于大学物理教学、科普展览；</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桌面式设计，尺寸≤50×30×20cm；</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配套实验指导书与教学视频资源。</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会议音响</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360°环形8麦克风阵列，拾音半径≥5米；</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2、AI降噪算法可抑制键盘声、空调声等非人声干扰；</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USB即插即用，兼容腾讯会议/Zoom/Teams等主流平台；</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支持声源定位与发言人聚焦；</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内置2×5W全频扬声器，频响80Hz–20kHz；</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语音清晰度≥90%。</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智能白板</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≥65英寸4K红外触控屏，20点触控，书写延迟≤30ms；</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支持4K无线投屏（手机/PC/Mac），扫码即可连接</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参照</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MAXHUB V6经典版</w:t>
            </w:r>
            <w:r>
              <w:rPr>
                <w:rFonts w:hint="eastAsia" w:ascii="宋体" w:hAnsi="宋体" w:cs="宋体"/>
                <w:i w:val="0"/>
                <w:iCs w:val="0"/>
                <w:color w:val="000000"/>
                <w:kern w:val="0"/>
                <w:sz w:val="20"/>
                <w:szCs w:val="20"/>
                <w:u w:val="none"/>
                <w:lang w:val="en-US" w:eastAsia="zh-CN" w:bidi="ar"/>
              </w:rPr>
              <w:t>、创维—MT、智控商显—SK-98BDZKNB09）</w:t>
            </w:r>
            <w:r>
              <w:rPr>
                <w:rFonts w:hint="eastAsia" w:ascii="宋体" w:hAnsi="宋体" w:eastAsia="宋体" w:cs="宋体"/>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书写笔迹自动识别为标准字体，支持图形矫正；</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配备双≥1200万像素摄像头，支持远程视频会议；</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通过CCC认证，支持壁挂/移动支架安装。</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空气净化器</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1、CADR值</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500m³/h（颗粒物），适用面积35–60㎡；</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三层滤网：初效滤网+HEPA13级+活性炭滤网；</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具有PM2.5/温湿度实时显示，自带OLED屏；</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4、App远程控制、滤芯寿命提醒、自动模式；</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噪音≤64dB（最大档），睡眠模式≤33dB；</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功率≤45W，一级能效。</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智能考勤机</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人脸识别速度≤0.5秒，支持≥10000人脸库；</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识别准确率≥99%，支持活体检测防照片攻击；</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支持指纹/IC卡/密</w:t>
            </w:r>
            <w:r>
              <w:rPr>
                <w:rFonts w:hint="eastAsia" w:ascii="宋体" w:hAnsi="宋体" w:cs="宋体"/>
                <w:i w:val="0"/>
                <w:iCs w:val="0"/>
                <w:color w:val="000000"/>
                <w:kern w:val="0"/>
                <w:sz w:val="20"/>
                <w:szCs w:val="20"/>
                <w:u w:val="none"/>
                <w:lang w:val="en-US" w:eastAsia="zh-CN" w:bidi="ar"/>
              </w:rPr>
              <w:t>码等</w:t>
            </w:r>
            <w:r>
              <w:rPr>
                <w:rFonts w:hint="eastAsia" w:ascii="宋体" w:hAnsi="宋体" w:eastAsia="宋体" w:cs="宋体"/>
                <w:i w:val="0"/>
                <w:iCs w:val="0"/>
                <w:color w:val="000000"/>
                <w:kern w:val="0"/>
                <w:sz w:val="20"/>
                <w:szCs w:val="20"/>
                <w:u w:val="none"/>
                <w:lang w:val="en-US" w:eastAsia="zh-CN" w:bidi="ar"/>
              </w:rPr>
              <w:t>多种验证方式；</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Wi-Fi/4G双模联网，考勤数据自动同步云端；</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≥5英寸IPS触摸屏，支持考勤报表本地查询；</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工作温度-10℃～45℃，≥IP42防护等级。</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视频会议摄像头</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≥4K超高清分辨率（3840×2160@30fps）；</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具有AI人脸追踪功能，可自动居中构图；</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采用自动光线校正技术，通过分析环境光线，自动调整亮度、平衡色彩和饱和度，减少阴影和噪点。自动曝光与白平衡；</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≥90°视野，支持≥5倍数字变焦；</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支持面部识别登录；</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USB-C即插即用，兼容Zoom/Teams/Skype。</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IP形象主题装置</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高度</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1.8米，玻璃纤维增强树脂（FRP）成型；</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表面汽车级漆喷涂+手工彩绘细节，色彩保质期≥5年；</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配套≥10cm高亚克力发光地台，内置LED灯带；</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结构内部加固钢架，抗风等级≥8级；</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适用于室内展厅及半室外广场环境；</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投标文件中提供安装图纸与固定方案</w:t>
            </w:r>
            <w:r>
              <w:rPr>
                <w:rFonts w:hint="eastAsia" w:ascii="宋体" w:hAnsi="宋体" w:cs="宋体"/>
                <w:i w:val="0"/>
                <w:iCs w:val="0"/>
                <w:color w:val="000000"/>
                <w:kern w:val="0"/>
                <w:sz w:val="20"/>
                <w:szCs w:val="20"/>
                <w:u w:val="none"/>
                <w:lang w:val="en-US" w:eastAsia="zh-CN" w:bidi="ar"/>
              </w:rPr>
              <w:t>，包</w:t>
            </w:r>
            <w:r>
              <w:rPr>
                <w:rFonts w:hint="eastAsia" w:ascii="宋体" w:hAnsi="宋体" w:eastAsia="宋体" w:cs="宋体"/>
                <w:i w:val="0"/>
                <w:iCs w:val="0"/>
                <w:color w:val="000000"/>
                <w:kern w:val="0"/>
                <w:sz w:val="20"/>
                <w:szCs w:val="20"/>
                <w:u w:val="none"/>
                <w:lang w:val="en-US" w:eastAsia="zh-CN" w:bidi="ar"/>
              </w:rPr>
              <w:t>含运输与现场组装服务。</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外骨骼行走助力器</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最大助力≥15N.m；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工作模式：支持行走、跑步、健身；</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最大功率≥500W；</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支持电池热插拔；</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支持能量回收；</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适用身高：1.5～1.95m；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支持最大速度≥15Km/h</w:t>
            </w:r>
            <w:r>
              <w:rPr>
                <w:rFonts w:hint="eastAsia" w:ascii="宋体" w:hAnsi="宋体" w:cs="宋体"/>
                <w:i w:val="0"/>
                <w:iCs w:val="0"/>
                <w:color w:val="000000"/>
                <w:kern w:val="0"/>
                <w:sz w:val="20"/>
                <w:szCs w:val="20"/>
                <w:u w:val="none"/>
                <w:lang w:val="en-US" w:eastAsia="zh-CN" w:bidi="ar"/>
              </w:rPr>
              <w:t>；</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AI下棋机器人</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屏幕尺寸：5英寸～7英寸；</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联网方式：Wi-Fi、手机热点；</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运行内存≥1GB；</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拥有从20级到职业九段，共≥20个棋力等级或覆盖从25k到9d，共≥43个棋力等级。</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人机互动习题≥2000道；</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6、AI面部精准识别，可多账号自动切换；</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采用AI视觉定位，配合机械臂执行可达毫米级操控精度；</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扬声器：4Ω≥3W；</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输入电流/电压：</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12V3A；</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机械臂：三自由度、电磁铁；</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11.</w:t>
            </w:r>
            <w:r>
              <w:rPr>
                <w:rFonts w:hint="eastAsia" w:ascii="宋体" w:hAnsi="宋体" w:eastAsia="宋体" w:cs="宋体"/>
                <w:i w:val="0"/>
                <w:iCs w:val="0"/>
                <w:color w:val="000000"/>
                <w:kern w:val="0"/>
                <w:sz w:val="20"/>
                <w:szCs w:val="20"/>
                <w:u w:val="none"/>
                <w:lang w:val="en-US" w:eastAsia="zh-CN" w:bidi="ar"/>
              </w:rPr>
              <w:t>摄像头数量≥2个。</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AI视觉识别机械臂</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1、AI视觉协作机械臂，包含AI视觉交互、手眼臂三合一、逆运动学算法、movelt仿真控制；</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采用CR机器人构型，流畅机身，刚柔并济，曲线优美；</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续航时间2</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4小时；</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自由度≥7；</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5、臂展≥270cm；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夹爪开合角度≥5cm；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USB高清摄像头，分辨率≥1280×720；</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视觉维度：平面2维图像。</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灵巧手</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触觉灵巧手，左手；</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指尖重复定位精度±0.1mm；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连续运行至少100万次无故障；</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续航时间：≥10小时；</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自由度：≥6个主动自由度+5个被动自由度；</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1人手比例；</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四指指尖力≥10N，整手握力≥10KG，稳健提握≥25KG重物；</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8、尺寸：≥194×84×52mm；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工作电压：24</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60V；</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静态电流：≤80mA；</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11.</w:t>
            </w:r>
            <w:r>
              <w:rPr>
                <w:rFonts w:hint="eastAsia" w:ascii="宋体" w:hAnsi="宋体" w:eastAsia="宋体" w:cs="宋体"/>
                <w:i w:val="0"/>
                <w:iCs w:val="0"/>
                <w:color w:val="000000"/>
                <w:kern w:val="0"/>
                <w:sz w:val="20"/>
                <w:szCs w:val="20"/>
                <w:u w:val="none"/>
                <w:lang w:val="en-US" w:eastAsia="zh-CN" w:bidi="ar"/>
              </w:rPr>
              <w:t>空载电流：≤350mA；</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12.</w:t>
            </w:r>
            <w:r>
              <w:rPr>
                <w:rFonts w:hint="eastAsia" w:ascii="宋体" w:hAnsi="宋体" w:eastAsia="宋体" w:cs="宋体"/>
                <w:i w:val="0"/>
                <w:iCs w:val="0"/>
                <w:color w:val="000000"/>
                <w:kern w:val="0"/>
                <w:sz w:val="20"/>
                <w:szCs w:val="20"/>
                <w:u w:val="none"/>
                <w:lang w:val="en-US" w:eastAsia="zh-CN" w:bidi="ar"/>
              </w:rPr>
              <w:t>通信接口：RS485/CANFD/EtherCAT；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13.</w:t>
            </w:r>
            <w:r>
              <w:rPr>
                <w:rFonts w:hint="eastAsia" w:ascii="宋体" w:hAnsi="宋体" w:eastAsia="宋体" w:cs="宋体"/>
                <w:i w:val="0"/>
                <w:iCs w:val="0"/>
                <w:color w:val="000000"/>
                <w:kern w:val="0"/>
                <w:sz w:val="20"/>
                <w:szCs w:val="20"/>
                <w:u w:val="none"/>
                <w:lang w:val="en-US" w:eastAsia="zh-CN" w:bidi="ar"/>
              </w:rPr>
              <w:t>兼容软件系统：Windows、Linux、macOS、ROS2；</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14.</w:t>
            </w:r>
            <w:r>
              <w:rPr>
                <w:rFonts w:hint="eastAsia" w:ascii="宋体" w:hAnsi="宋体" w:eastAsia="宋体" w:cs="宋体"/>
                <w:i w:val="0"/>
                <w:iCs w:val="0"/>
                <w:color w:val="000000"/>
                <w:kern w:val="0"/>
                <w:sz w:val="20"/>
                <w:szCs w:val="20"/>
                <w:u w:val="none"/>
                <w:lang w:val="en-US" w:eastAsia="zh-CN" w:bidi="ar"/>
              </w:rPr>
              <w:t>重复开合速度≤0.6S；</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15.</w:t>
            </w:r>
            <w:r>
              <w:rPr>
                <w:rFonts w:hint="eastAsia" w:ascii="宋体" w:hAnsi="宋体" w:eastAsia="宋体" w:cs="宋体"/>
                <w:i w:val="0"/>
                <w:iCs w:val="0"/>
                <w:color w:val="000000"/>
                <w:kern w:val="0"/>
                <w:sz w:val="20"/>
                <w:szCs w:val="20"/>
                <w:u w:val="none"/>
                <w:lang w:val="en-US" w:eastAsia="zh-CN" w:bidi="ar"/>
              </w:rPr>
              <w:t>最小抓握直径≥16mm，最大抓握直径≥95mm；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16.</w:t>
            </w:r>
            <w:r>
              <w:rPr>
                <w:rFonts w:hint="eastAsia" w:ascii="宋体" w:hAnsi="宋体" w:eastAsia="宋体" w:cs="宋体"/>
                <w:i w:val="0"/>
                <w:iCs w:val="0"/>
                <w:color w:val="000000"/>
                <w:kern w:val="0"/>
                <w:sz w:val="20"/>
                <w:szCs w:val="20"/>
                <w:u w:val="none"/>
                <w:lang w:val="en-US" w:eastAsia="zh-CN" w:bidi="ar"/>
              </w:rPr>
              <w:t>指尖触觉力量程0.15～20N；</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17.</w:t>
            </w:r>
            <w:r>
              <w:rPr>
                <w:rFonts w:hint="eastAsia" w:ascii="宋体" w:hAnsi="宋体" w:eastAsia="宋体" w:cs="宋体"/>
                <w:i w:val="0"/>
                <w:iCs w:val="0"/>
                <w:color w:val="000000"/>
                <w:kern w:val="0"/>
                <w:sz w:val="20"/>
                <w:szCs w:val="20"/>
                <w:u w:val="none"/>
                <w:lang w:val="en-US" w:eastAsia="zh-CN" w:bidi="ar"/>
              </w:rPr>
              <w:t>指尖触觉分辨率≤0.1N；</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18.</w:t>
            </w:r>
            <w:r>
              <w:rPr>
                <w:rFonts w:hint="eastAsia" w:ascii="宋体" w:hAnsi="宋体" w:eastAsia="宋体" w:cs="宋体"/>
                <w:i w:val="0"/>
                <w:iCs w:val="0"/>
                <w:color w:val="000000"/>
                <w:kern w:val="0"/>
                <w:sz w:val="20"/>
                <w:szCs w:val="20"/>
                <w:u w:val="none"/>
                <w:lang w:val="en-US" w:eastAsia="zh-CN" w:bidi="ar"/>
              </w:rPr>
              <w:t>触点间一致性波动≤±10%；</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19.</w:t>
            </w:r>
            <w:r>
              <w:rPr>
                <w:rFonts w:hint="eastAsia" w:ascii="宋体" w:hAnsi="宋体" w:eastAsia="宋体" w:cs="宋体"/>
                <w:i w:val="0"/>
                <w:iCs w:val="0"/>
                <w:color w:val="000000"/>
                <w:kern w:val="0"/>
                <w:sz w:val="20"/>
                <w:szCs w:val="20"/>
                <w:u w:val="none"/>
                <w:lang w:val="en-US" w:eastAsia="zh-CN" w:bidi="ar"/>
              </w:rPr>
              <w:t>触觉响应时间≤5ms。</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热风枪焊台二合一</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输入电压：220V/50Hz，风枪功率≥450W，烙铁功率≥50W，风枪温度100-500℃，烙铁温度200-480℃，气流类型为柔和无刷风机，气流量≤120L/min，双屏高清数显，带自动休眠和℃/℉切换功能。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烙铁和风枪独立控制开关和独立调节，快速发热陶瓷芯，人体工学防滑手柄。</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吸烟仪</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防静电吸烟仪，额定功率14/16W，频率50Hz，电压220/230V，电源线长≥100mm，外壳黑色，过滤棉尺寸≥13×130cm，≥30°可调节工作角度。</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带灯放大镜</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放大倍数≥20倍；</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ABS工程塑胶材质；</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不锈钢金属支架；</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镜片直径≥127mm，流明系数4200-5000LM；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白玻璃镜片材质，双层镜片；</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功率≥15W，5500K色温，≥120颗LED光源，六轴联动悬臂可调高低远近，360°旋转，加配防尘盖。</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旋钮式开关，支持无极调光。</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机械调温电烙铁</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功率≥60W，长度≥19cm；电源线长≥125cm；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内热式陶瓷发热芯，智能恒温，旋钮式无极调温，温度范围200～450℃；</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防烫防滑手柄，不锈钢管套，带电源指示灯。</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直流稳压电源</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电压0～32V，电流0～6A；</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LED四位显示，≥3组数据存储；</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支持一键调用，带按键锁定功能，过压/过流/过温保护功能，独立输出开关，智能温控风扇，保证电源性能，单通道。</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电压设定分辨率10mV，设定精度≤0.1%+3digits，回读分辨率10mV，回读精度≤0.1%+3digits，纹波≤10mVrms，电流设定分辨率1mA，设定精度≤0.2%+10digits，回读分辨率1mA，回读精度≤0.2%+10digits，波纹≤10mVrms，负载调节率和电源</w:t>
            </w:r>
            <w:r>
              <w:rPr>
                <w:rFonts w:hint="eastAsia" w:ascii="宋体" w:hAnsi="宋体" w:cs="宋体"/>
                <w:i w:val="0"/>
                <w:iCs w:val="0"/>
                <w:color w:val="000000"/>
                <w:kern w:val="0"/>
                <w:sz w:val="20"/>
                <w:szCs w:val="20"/>
                <w:u w:val="none"/>
                <w:lang w:val="en-US" w:eastAsia="zh-CN" w:bidi="ar"/>
              </w:rPr>
              <w:t>调节</w:t>
            </w:r>
            <w:r>
              <w:rPr>
                <w:rFonts w:hint="eastAsia" w:ascii="宋体" w:hAnsi="宋体" w:eastAsia="宋体" w:cs="宋体"/>
                <w:i w:val="0"/>
                <w:iCs w:val="0"/>
                <w:color w:val="000000"/>
                <w:kern w:val="0"/>
                <w:sz w:val="20"/>
                <w:szCs w:val="20"/>
                <w:u w:val="none"/>
                <w:lang w:val="en-US" w:eastAsia="zh-CN" w:bidi="ar"/>
              </w:rPr>
              <w:t>率；0.2%Umax+5mV，OVP：0-33V，OCP：0～6.5A，风冷散热；</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尺寸：</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80×150×230mm。</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数字示波器</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带宽200MHz，≥2通道数，采样率1GSa/s；</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存储深度≥28Mpts，波形捕获率≥300000wfms/s；</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垂直档位1mV/div-20V/div，时基范围1ns/div-100s/div，输入阻抗（1MΩ±2%）//（16pF±</w:t>
            </w:r>
            <w:r>
              <w:rPr>
                <w:rFonts w:hint="eastAsia" w:ascii="宋体" w:hAnsi="宋体" w:cs="宋体"/>
                <w:i w:val="0"/>
                <w:iCs w:val="0"/>
                <w:color w:val="000000"/>
                <w:kern w:val="0"/>
                <w:sz w:val="20"/>
                <w:szCs w:val="20"/>
                <w:u w:val="none"/>
                <w:lang w:val="en-US" w:eastAsia="zh-CN" w:bidi="ar"/>
              </w:rPr>
              <w:t>1pF</w:t>
            </w:r>
            <w:r>
              <w:rPr>
                <w:rFonts w:hint="eastAsia" w:ascii="宋体" w:hAnsi="宋体" w:eastAsia="宋体" w:cs="宋体"/>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波形录制≥100000帧，增强FFT点数1M点；</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≥7英寸荧光显示屏，中文面板；</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触发类型：边沿</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脉宽</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视频</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斜率</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欠幅脉冲</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超幅脉冲</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延迟</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超时</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持续时间</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建立保持</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第N</w:t>
            </w:r>
            <w:r>
              <w:rPr>
                <w:rFonts w:hint="eastAsia" w:ascii="宋体" w:hAnsi="宋体" w:cs="宋体"/>
                <w:i w:val="0"/>
                <w:iCs w:val="0"/>
                <w:color w:val="000000"/>
                <w:kern w:val="0"/>
                <w:sz w:val="20"/>
                <w:szCs w:val="20"/>
                <w:u w:val="none"/>
                <w:lang w:val="en-US" w:eastAsia="zh-CN" w:bidi="ar"/>
              </w:rPr>
              <w:t>边沿</w:t>
            </w:r>
            <w:r>
              <w:rPr>
                <w:rFonts w:hint="eastAsia" w:ascii="宋体" w:hAnsi="宋体" w:eastAsia="宋体" w:cs="宋体"/>
                <w:i w:val="0"/>
                <w:iCs w:val="0"/>
                <w:color w:val="000000"/>
                <w:kern w:val="0"/>
                <w:sz w:val="20"/>
                <w:szCs w:val="20"/>
                <w:u w:val="none"/>
                <w:lang w:val="en-US" w:eastAsia="zh-CN" w:bidi="ar"/>
              </w:rPr>
              <w:t>和码型触发；</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DCM支持交直流真有效测量；</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波形运算：FFT、加、减、乘、除、数字滤波、逻辑运算和高级运算；</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电源：100-240VACrms，50Hz/60Hz。</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函数信号发生器</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双通道，最高输出频率≥20MHz；</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最高采样率200MSa/s，垂直分辨率16bits；</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最大任意波长度4kpts；</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≥4.3英寸TFTLCD显示屏；</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具有模拟和数字调制功能，支持扫频和脉冲串输出；</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具有≥7位硬件频率计功能，≥6种标准波形；</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内置≥200种任意波形；</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工作模式：输出选通、持续、调制、频率扫描；</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电源：100-240VACrms，50Hz/60Hz。</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万用表</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直流电压0.1mV-1000V±（0.5%+2），交流电压1mV-750V±（0.8%+3）；</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直流电流0.01uA-20A±（0.8%+8），交流电流0.01uA-20A±（1.0%+12）；</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电阻0.1Ω-60MΩ±（0.8%+3），电容1pF-100mF±（3%+10）；</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频率0.001Hz-9.999MHz±（0.1%+5）；</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NCV零火线区分，具有单表笔测量零火线，三极管、二极管通断测试，交流电压带宽的功能；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具有自动关机，档位防烧，真有效值，自动背光，声光报警，低电压提示的功能。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具有保险丝熔断报警提示的功能。</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胶枪</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电压：110</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240V，功率</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100W，预热时间1</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2min；</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产品尺寸：200×170mm，枪嘴材质纯铜，电线长度≥150cm，适用胶棒11mm。</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焊接辅助支架</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放大倍数：≥3X；</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镜片直径：62</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65mm；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夹持架MAX宽度：</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13.5cm；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支架MAX高度：</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14.5cm；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材质：底座为铸铁，金属钢管支撑，高度可以调节。</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大功率弓形臂金属微型线锯床</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（一）线锯床特点：</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特点：机床采用马力大的电机，电机功率≥144W，马达箱和主轴箱为联体结构</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机床主要零件</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如主轴箱、中间块、线锯基座、线锯盒、马达风叶、齿轮、线锯台、连接块等</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都采用金属材料，有皮带保护盖。</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经过特殊设计，安全不伤手，就算锯齿碰到皮肤，也只会引起轻微的振动，不会割伤。</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可以</w:t>
            </w:r>
            <w:r>
              <w:rPr>
                <w:rFonts w:hint="eastAsia" w:ascii="宋体" w:hAnsi="宋体" w:cs="宋体"/>
                <w:i w:val="0"/>
                <w:iCs w:val="0"/>
                <w:color w:val="000000"/>
                <w:kern w:val="0"/>
                <w:sz w:val="20"/>
                <w:szCs w:val="20"/>
                <w:u w:val="none"/>
                <w:lang w:val="en-US" w:eastAsia="zh-CN" w:bidi="ar"/>
              </w:rPr>
              <w:t>进行直线、</w:t>
            </w:r>
            <w:r>
              <w:rPr>
                <w:rFonts w:hint="eastAsia" w:ascii="宋体" w:hAnsi="宋体" w:eastAsia="宋体" w:cs="宋体"/>
                <w:i w:val="0"/>
                <w:iCs w:val="0"/>
                <w:color w:val="000000"/>
                <w:kern w:val="0"/>
                <w:sz w:val="20"/>
                <w:szCs w:val="20"/>
                <w:u w:val="none"/>
                <w:lang w:val="en-US" w:eastAsia="zh-CN" w:bidi="ar"/>
              </w:rPr>
              <w:t>曲线任意切割。</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（二）技术参数：</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马达转速：≥12000转/分钟。</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输入电压/电流/功率：12VDC/5A/60W。</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工作台面积：≥120mm×100mm。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线锯床最大的切锯深度</w:t>
            </w:r>
            <w:r>
              <w:rPr>
                <w:rFonts w:hint="eastAsia" w:ascii="宋体" w:hAnsi="宋体" w:cs="宋体"/>
                <w:i w:val="0"/>
                <w:iCs w:val="0"/>
                <w:color w:val="000000"/>
                <w:kern w:val="0"/>
                <w:sz w:val="20"/>
                <w:szCs w:val="20"/>
                <w:u w:val="none"/>
                <w:lang w:val="en-US" w:eastAsia="zh-CN" w:bidi="ar"/>
              </w:rPr>
              <w:t>：硬木</w:t>
            </w:r>
            <w:r>
              <w:rPr>
                <w:rFonts w:hint="eastAsia" w:ascii="宋体" w:hAnsi="宋体" w:eastAsia="宋体" w:cs="宋体"/>
                <w:i w:val="0"/>
                <w:iCs w:val="0"/>
                <w:color w:val="000000"/>
                <w:kern w:val="0"/>
                <w:sz w:val="20"/>
                <w:szCs w:val="20"/>
                <w:u w:val="none"/>
                <w:lang w:val="en-US" w:eastAsia="zh-CN" w:bidi="ar"/>
              </w:rPr>
              <w:t>为≥4mm</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三夹板为≥7mm</w:t>
            </w:r>
            <w:r>
              <w:rPr>
                <w:rFonts w:hint="eastAsia" w:ascii="宋体" w:hAnsi="宋体" w:cs="宋体"/>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软木为≥18mm、薄铝片为≥0.5mm、有机玻璃为≥2mm。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变压器具有过电流</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过压</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过热保护。</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线锯台上有切割定位线和中心线；</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具有弓形臂，弓形臂及锯条压板等部件的材料是用金属制成，弓形臂离锯条的中心距离为≥240mm，锯条压板可以前后调整与锯条的距离，方便调整锯条，弓形臂上带有数字显示刻度（这个刻度数字是模具一次成型出来的，不是后面贴上去的）。</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电机功率为≥144W。</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线锯台上有锯切定位刻度线，提高加工的精确度。</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包装采用可以回收利用的纸浆模。</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大功率金属液晶数显四爪卡盘车床</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设备特点：用电子数字液晶显示代替刻度读数，避免了刻度读数困难、视差大、易忘记数值的缺点，清晰手轮式液晶读数显示（液晶读数在手轮位置，不是外接液晶显示器读数）方便使用者边加工边读取加工数据，可通过ZERO键在任意滑块位置设置零位及加工起点位置，具有公制/英制一键转换功能，方便使用者的不同习惯，显示精度可达0.01mm，液晶显示屏使用一节1.5V电池供电，机床采用马力大的电机，电机功率≥144W，马达箱和主轴箱为联体结构。</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机床主要零件：如主轴箱，尾座，长机座，大小滑块，马达风叶，齿轮，连接块等零件都采用金属材料，有皮带保护盖。</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▲2、中心高≥50mm，中心距≥135mm，一般车削金属时车床转速降到2000转/分钟。</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车刀是高速钢材质，可加工软、有色、贵金属。</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二、技术指标</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马达转速：≥12000转/分钟。</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输入电压/电流/功率</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12VDC/5A/60W</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加工材料最大直径：≥20mm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加工材料长度：≥135mm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Z轴滑块行程：≥32mm，X轴滑块行程：≥145mm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加工材料：木质塑料，软金属（金、银、铜、铝等），有机玻璃，塑胶等。</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Z、X轴具有清晰手轮式液晶读数显示（液晶读数在手轮位置，不是外接液晶显示器读数）方便使用者边加工边读取加工数据，增加机床加工工件的精确度。</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电机功率为≥144W。</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配备有本车床能使用的四爪卡盘，四爪卡盘可以提高本车床的</w:t>
            </w:r>
            <w:r>
              <w:rPr>
                <w:rFonts w:hint="eastAsia" w:ascii="宋体" w:hAnsi="宋体" w:cs="宋体"/>
                <w:i w:val="0"/>
                <w:iCs w:val="0"/>
                <w:color w:val="000000"/>
                <w:kern w:val="0"/>
                <w:sz w:val="20"/>
                <w:szCs w:val="20"/>
                <w:u w:val="none"/>
                <w:lang w:val="en-US" w:eastAsia="zh-CN" w:bidi="ar"/>
              </w:rPr>
              <w:t>适用范围</w:t>
            </w:r>
            <w:r>
              <w:rPr>
                <w:rFonts w:hint="eastAsia" w:ascii="宋体" w:hAnsi="宋体" w:eastAsia="宋体" w:cs="宋体"/>
                <w:i w:val="0"/>
                <w:iCs w:val="0"/>
                <w:color w:val="000000"/>
                <w:kern w:val="0"/>
                <w:sz w:val="20"/>
                <w:szCs w:val="20"/>
                <w:u w:val="none"/>
                <w:lang w:val="en-US" w:eastAsia="zh-CN" w:bidi="ar"/>
              </w:rPr>
              <w:t>，可以使车床能加工一些异形工件，比如四方形，三角形。</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具有防止车刀撞击卡盘的安全防护装置，提高车床使用的安全性</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11.</w:t>
            </w:r>
            <w:r>
              <w:rPr>
                <w:rFonts w:hint="eastAsia" w:ascii="宋体" w:hAnsi="宋体" w:eastAsia="宋体" w:cs="宋体"/>
                <w:i w:val="0"/>
                <w:iCs w:val="0"/>
                <w:color w:val="000000"/>
                <w:kern w:val="0"/>
                <w:sz w:val="20"/>
                <w:szCs w:val="20"/>
                <w:u w:val="none"/>
                <w:lang w:val="en-US" w:eastAsia="zh-CN" w:bidi="ar"/>
              </w:rPr>
              <w:t>包装采用可以回收利用的纸浆模。</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83</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无极调速曲线锯</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小型台式，装有自动安全保护装置，带粉尘自动收集；</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具有安全不伤手设计及防护装置，使用直流安全电压，备有集屑器；</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马达参数：DC24V，60—80W，无级调速；</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弓形臂，可拆装，有锯条松紧调节装置，可使用5英寸双边固定锯条（5英寸双边固定锯条采用上下勾接方式固定，方便更换锯条），锯条压板可以前后调整与锯条的距离，无弓形臂时，可使用单边固定锯条；</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具有透明保护罩，透明保护罩为模具一次成型，而不是有机玻璃粘的</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可以</w:t>
            </w:r>
            <w:r>
              <w:rPr>
                <w:rFonts w:hint="eastAsia" w:ascii="宋体" w:hAnsi="宋体" w:cs="宋体"/>
                <w:i w:val="0"/>
                <w:iCs w:val="0"/>
                <w:color w:val="000000"/>
                <w:kern w:val="0"/>
                <w:sz w:val="20"/>
                <w:szCs w:val="20"/>
                <w:u w:val="none"/>
                <w:lang w:val="en-US" w:eastAsia="zh-CN" w:bidi="ar"/>
              </w:rPr>
              <w:t>进行直线、</w:t>
            </w:r>
            <w:r>
              <w:rPr>
                <w:rFonts w:hint="eastAsia" w:ascii="宋体" w:hAnsi="宋体" w:eastAsia="宋体" w:cs="宋体"/>
                <w:i w:val="0"/>
                <w:iCs w:val="0"/>
                <w:color w:val="000000"/>
                <w:kern w:val="0"/>
                <w:sz w:val="20"/>
                <w:szCs w:val="20"/>
                <w:u w:val="none"/>
                <w:lang w:val="en-US" w:eastAsia="zh-CN" w:bidi="ar"/>
              </w:rPr>
              <w:t>曲线任意切割，最大实木切割厚度为≥25mm。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无极调速可控制锯条加工速度，针对不同硬度的材料可选择适合的加工速度；</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机床的外形尺寸为≥270mm×245mm×385mm，机床净重约为5.3kg。</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大功率液晶数显钻床</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一、特点</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机床采用马力大的电机，马达箱和主轴箱为联体结构，用电子数字液晶显示代替刻度读数，避免了刻度读数困难、视差大、易忘记数值的缺点。清晰手轮式液晶读数显示（液晶读数在手轮位置，不是外接液晶显示器读数）方便使用者边加工边读取加工数据，可通过ZERO键在任意滑块位置设置零位及加工起点位置。具有公制/英制一键转换功能，方便使用者的不同习惯。具有记忆功能，当停止使用一分钟后会自动断电，当使用者再次按开关键时会自动显示断电时的加工数值。显示精度可达0.01mm，液晶显示屏使用一节1.5V电池供电。机床主要零件：如主轴箱，长机座，短机座、大小滑块，马达风叶，连接块，钻台面，齿轮等都采用金属材料。</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适用加工：木料，软金属（铜，铝等），有机玻璃，塑胶等。</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二、技术指标：</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▲1、马达转速：≥12000转/分钟；</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输入电压/电流/功率</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12VDC/5A/60W；</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Y、Z轴滑块行程：≥32mm，X轴滑块行程：≥145mm；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Z、Y、X轴具有清晰手轮式液晶读数显示（液晶读数在手轮位置，不是外接液晶显示器读数）</w:t>
            </w:r>
            <w:r>
              <w:rPr>
                <w:rFonts w:hint="eastAsia" w:ascii="宋体" w:hAnsi="宋体" w:cs="宋体"/>
                <w:i w:val="0"/>
                <w:iCs w:val="0"/>
                <w:color w:val="000000"/>
                <w:kern w:val="0"/>
                <w:sz w:val="20"/>
                <w:szCs w:val="20"/>
                <w:u w:val="none"/>
                <w:lang w:val="en-US" w:eastAsia="zh-CN" w:bidi="ar"/>
              </w:rPr>
              <w:t>，避免</w:t>
            </w:r>
            <w:r>
              <w:rPr>
                <w:rFonts w:hint="eastAsia" w:ascii="宋体" w:hAnsi="宋体" w:eastAsia="宋体" w:cs="宋体"/>
                <w:i w:val="0"/>
                <w:iCs w:val="0"/>
                <w:color w:val="000000"/>
                <w:kern w:val="0"/>
                <w:sz w:val="20"/>
                <w:szCs w:val="20"/>
                <w:u w:val="none"/>
                <w:lang w:val="en-US" w:eastAsia="zh-CN" w:bidi="ar"/>
              </w:rPr>
              <w:t>了刻度读数困难、视差大、易忘记数值的缺点，方便使用者边加工边读取加工数据，增加机床加工工件的</w:t>
            </w:r>
            <w:r>
              <w:rPr>
                <w:rFonts w:hint="eastAsia" w:ascii="宋体" w:hAnsi="宋体" w:cs="宋体"/>
                <w:i w:val="0"/>
                <w:iCs w:val="0"/>
                <w:color w:val="000000"/>
                <w:kern w:val="0"/>
                <w:sz w:val="20"/>
                <w:szCs w:val="20"/>
                <w:u w:val="none"/>
                <w:lang w:val="en-US" w:eastAsia="zh-CN" w:bidi="ar"/>
              </w:rPr>
              <w:t>精度</w:t>
            </w:r>
            <w:r>
              <w:rPr>
                <w:rFonts w:hint="eastAsia" w:ascii="宋体" w:hAnsi="宋体" w:eastAsia="宋体" w:cs="宋体"/>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5、夹头：1～6mm。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钻台面尺寸：123～100mm。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加工材料：木质塑料</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软金属（金、银、铜、铝等）</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手轮具有0.02mm精度的刻度线，增加机床加工工件的精确度</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电机功率为≥144W。</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手轮具有0.02mm精度的刻度线，增加机床加工工件的精确度。</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11.</w:t>
            </w:r>
            <w:r>
              <w:rPr>
                <w:rFonts w:hint="eastAsia" w:ascii="宋体" w:hAnsi="宋体" w:eastAsia="宋体" w:cs="宋体"/>
                <w:i w:val="0"/>
                <w:iCs w:val="0"/>
                <w:color w:val="000000"/>
                <w:kern w:val="0"/>
                <w:sz w:val="20"/>
                <w:szCs w:val="20"/>
                <w:u w:val="none"/>
                <w:lang w:val="en-US" w:eastAsia="zh-CN" w:bidi="ar"/>
              </w:rPr>
              <w:t>钻台板（金属材料）具有刻度定位线（刻度线不是贴上去的，是模具一次成型出来的），提高加工的</w:t>
            </w:r>
            <w:r>
              <w:rPr>
                <w:rFonts w:hint="eastAsia" w:ascii="宋体" w:hAnsi="宋体" w:cs="宋体"/>
                <w:i w:val="0"/>
                <w:iCs w:val="0"/>
                <w:color w:val="000000"/>
                <w:kern w:val="0"/>
                <w:sz w:val="20"/>
                <w:szCs w:val="20"/>
                <w:u w:val="none"/>
                <w:lang w:val="en-US" w:eastAsia="zh-CN" w:bidi="ar"/>
              </w:rPr>
              <w:t>精度</w:t>
            </w:r>
            <w:r>
              <w:rPr>
                <w:rFonts w:hint="eastAsia" w:ascii="宋体" w:hAnsi="宋体" w:eastAsia="宋体" w:cs="宋体"/>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13.</w:t>
            </w:r>
            <w:r>
              <w:rPr>
                <w:rFonts w:hint="eastAsia" w:ascii="宋体" w:hAnsi="宋体" w:eastAsia="宋体" w:cs="宋体"/>
                <w:i w:val="0"/>
                <w:iCs w:val="0"/>
                <w:color w:val="000000"/>
                <w:kern w:val="0"/>
                <w:sz w:val="20"/>
                <w:szCs w:val="20"/>
                <w:u w:val="none"/>
                <w:lang w:val="en-US" w:eastAsia="zh-CN" w:bidi="ar"/>
              </w:rPr>
              <w:t>马达箱和齿轮为联体金属材质。</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14.</w:t>
            </w:r>
            <w:r>
              <w:rPr>
                <w:rFonts w:hint="eastAsia" w:ascii="宋体" w:hAnsi="宋体" w:eastAsia="宋体" w:cs="宋体"/>
                <w:i w:val="0"/>
                <w:iCs w:val="0"/>
                <w:color w:val="000000"/>
                <w:kern w:val="0"/>
                <w:sz w:val="20"/>
                <w:szCs w:val="20"/>
                <w:u w:val="none"/>
                <w:lang w:val="en-US" w:eastAsia="zh-CN" w:bidi="ar"/>
              </w:rPr>
              <w:t>夹头固定螺母使用的是六角螺母，方便用户固定刀具，提高机床使用的安全性。</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15.</w:t>
            </w:r>
            <w:r>
              <w:rPr>
                <w:rFonts w:hint="eastAsia" w:ascii="宋体" w:hAnsi="宋体" w:eastAsia="宋体" w:cs="宋体"/>
                <w:i w:val="0"/>
                <w:iCs w:val="0"/>
                <w:color w:val="000000"/>
                <w:kern w:val="0"/>
                <w:sz w:val="20"/>
                <w:szCs w:val="20"/>
                <w:u w:val="none"/>
                <w:lang w:val="en-US" w:eastAsia="zh-CN" w:bidi="ar"/>
              </w:rPr>
              <w:t>包装采用可以回收利用的纸浆模。</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可转圆盘锯</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一、特点</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机床采用马力大的电机，电机功率≥144W，马达箱和主轴箱为联体结构；</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有透明的锯片保护罩（透明保护罩为模具一次成型，而不是有机玻璃粘的）。</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机床主要零件：如主轴箱，长机座，短机座、连接块，锯台面，旋转分度盘、齿轮等都采用金属材料。</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技术指标：</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马达转速：≥12000转/分钟。</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输入电压/电流/功率</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12VDC/5A/60W。</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工作台面积：≥150mm×190mm。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自带粉尘自动收集装置，备有集屑器。</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锯片可调角度：0～45度。</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锯片直径：</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63mm。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最大切割厚度≥25mm。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适用加工：木料，软金属（铜，铝等），集成电路板、有机玻璃，塑胶等。</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大功率液晶数显铣床</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一、特点</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机床采用马力大的电机，马达箱和主轴箱为联体结构，用电子数字液晶显示代替刻度读数，避免了刻度读数困难、视差大、易忘记数值的缺点。清晰手轮式液晶读数显示（液晶读数在手轮位置，不是外接液晶显示器读数）方便使用者边加工边读取加工数据，可通过ZERO键在任意滑块位置设置零位及加工起点位置。具有公制/英制一键转换功能，方便使用者的不同习惯。具有记忆功能，当停止使用一分钟后会自动断电，当使用者再次按开关键时会自动显示断电时的加工数值。显示精度可达0.01mm，液晶显示屏使用一节1.5V电池</w:t>
            </w:r>
            <w:r>
              <w:rPr>
                <w:rFonts w:hint="eastAsia" w:ascii="宋体" w:hAnsi="宋体" w:cs="宋体"/>
                <w:i w:val="0"/>
                <w:iCs w:val="0"/>
                <w:color w:val="000000"/>
                <w:kern w:val="0"/>
                <w:sz w:val="20"/>
                <w:szCs w:val="20"/>
                <w:u w:val="none"/>
                <w:lang w:val="en-US" w:eastAsia="zh-CN" w:bidi="ar"/>
              </w:rPr>
              <w:t>供电</w:t>
            </w:r>
            <w:r>
              <w:rPr>
                <w:rFonts w:hint="eastAsia" w:ascii="宋体" w:hAnsi="宋体" w:eastAsia="宋体" w:cs="宋体"/>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铣床用的刀具是铣刀，铣刀的侧面和前面都是刀刃。</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机床主要零件：如主轴箱，长机座，短机座、大小滑块，马达风叶，连接块，齿轮等都采用金属材料。</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二、技术指标：</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▲1、马达转速：≥12000转/分钟；</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输入电压/电流/功率</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12VDC/5A/60W；</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Y、Z轴滑块行程：≥32mm，X轴滑块行程：≥145mm；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Z、Y、X轴具有清晰手轮式液晶读数显示（液晶读数在手轮位置，不是外接液晶显示器读数）避免了刻度读数困难、视差大、易忘记数值的缺点，方便使用者边加工边读取加工数据，增加机床加工工件的精确度。</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虎钳的最大夹持尺寸：≥50mm；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手轮具有0.02mm精度的刻度线，增加机床加工工件的精确度；适用加工：木料，软金属（金、银、铜、铝等），有机玻璃，塑胶等。</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电机功率为≥144W。</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虎钳（虎钳为金属材料）的夹持尺寸：≥0×50mm，最大</w:t>
            </w:r>
            <w:r>
              <w:rPr>
                <w:rFonts w:hint="eastAsia" w:ascii="宋体" w:hAnsi="宋体" w:cs="宋体"/>
                <w:i w:val="0"/>
                <w:iCs w:val="0"/>
                <w:color w:val="000000"/>
                <w:kern w:val="0"/>
                <w:sz w:val="20"/>
                <w:szCs w:val="20"/>
                <w:u w:val="none"/>
                <w:lang w:val="en-US" w:eastAsia="zh-CN" w:bidi="ar"/>
              </w:rPr>
              <w:t>夹持</w:t>
            </w:r>
            <w:r>
              <w:rPr>
                <w:rFonts w:hint="eastAsia" w:ascii="宋体" w:hAnsi="宋体" w:eastAsia="宋体" w:cs="宋体"/>
                <w:i w:val="0"/>
                <w:iCs w:val="0"/>
                <w:color w:val="000000"/>
                <w:kern w:val="0"/>
                <w:sz w:val="20"/>
                <w:szCs w:val="20"/>
                <w:u w:val="none"/>
                <w:lang w:val="en-US" w:eastAsia="zh-CN" w:bidi="ar"/>
              </w:rPr>
              <w:t>≥50mm的物体，外形尺寸：≥80mm×47.5mm×25mm，虎钳上具有模具一次成型的刻度线（刻度线不是贴上去的，是模具一次成型出来的，</w:t>
            </w:r>
            <w:r>
              <w:rPr>
                <w:rFonts w:hint="eastAsia" w:ascii="宋体" w:hAnsi="宋体" w:cs="宋体"/>
                <w:i w:val="0"/>
                <w:iCs w:val="0"/>
                <w:color w:val="000000"/>
                <w:kern w:val="0"/>
                <w:sz w:val="20"/>
                <w:szCs w:val="20"/>
                <w:u w:val="none"/>
                <w:lang w:val="en-US" w:eastAsia="zh-CN" w:bidi="ar"/>
              </w:rPr>
              <w:t>可提高</w:t>
            </w:r>
            <w:r>
              <w:rPr>
                <w:rFonts w:hint="eastAsia" w:ascii="宋体" w:hAnsi="宋体" w:eastAsia="宋体" w:cs="宋体"/>
                <w:i w:val="0"/>
                <w:iCs w:val="0"/>
                <w:color w:val="000000"/>
                <w:kern w:val="0"/>
                <w:sz w:val="20"/>
                <w:szCs w:val="20"/>
                <w:u w:val="none"/>
                <w:lang w:val="en-US" w:eastAsia="zh-CN" w:bidi="ar"/>
              </w:rPr>
              <w:t>使用寿命），方便定位加工；</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手轮具有0.02mm精度的刻度线，增加机床加工工件的精确度。</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夹头固定螺母使用的是六角螺母，方便用户固定刀具，提高机床使用的安全性。</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11.</w:t>
            </w:r>
            <w:r>
              <w:rPr>
                <w:rFonts w:hint="eastAsia" w:ascii="宋体" w:hAnsi="宋体" w:eastAsia="宋体" w:cs="宋体"/>
                <w:i w:val="0"/>
                <w:iCs w:val="0"/>
                <w:color w:val="000000"/>
                <w:kern w:val="0"/>
                <w:sz w:val="20"/>
                <w:szCs w:val="20"/>
                <w:u w:val="none"/>
                <w:lang w:val="en-US" w:eastAsia="zh-CN" w:bidi="ar"/>
              </w:rPr>
              <w:t>包装采用可以回收利用的纸浆模。</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大功率金属微型车床</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一、特点：机床采用马力大的电机，马达箱和主轴箱为联体结构。</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机床主要零件：如主轴箱，尾座，长机座，大小滑块，马达风叶，齿轮，连接块等零件都采用金属材料，有皮带保护盖。</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中心高≥25mm，中心距≥135mm，一般车削金属时车床转速降到2000转/分钟。</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车刀是高速钢材质，可加工软、有色、贵金属，如果使用中间块加高时，直径范围≥100mm。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二、技术指标：</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马达转速：≥12000转/分钟。</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输入电压/电流/功率</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12VDC/5A/60W</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加工材料最大直径：≥20mm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加工材料长度：≥135mm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Z轴滑块行程：≥32mm，X轴滑块行程：≥145mm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加工材料：木质塑料，软金属（金、银、铜、铝等），有机玻璃，塑胶等。</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手轮具有0.02mm精度的刻度线，增加机床加工工件的精确度。</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大功率金属微型砂磨机</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一、砂磨机特点</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机床采用马力大的电机，马达箱和主轴箱为联体结构。机床主要零件</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如主轴箱</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长机座</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钻台面</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马达风叶</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连接块</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齿轮</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砂纸盘等</w:t>
            </w:r>
            <w:r>
              <w:rPr>
                <w:rFonts w:hint="eastAsia" w:ascii="宋体" w:hAnsi="宋体" w:cs="宋体"/>
                <w:i w:val="0"/>
                <w:iCs w:val="0"/>
                <w:color w:val="000000"/>
                <w:kern w:val="0"/>
                <w:sz w:val="20"/>
                <w:szCs w:val="20"/>
                <w:u w:val="none"/>
                <w:lang w:val="en-US" w:eastAsia="zh-CN" w:bidi="ar"/>
              </w:rPr>
              <w:t>，都</w:t>
            </w:r>
            <w:r>
              <w:rPr>
                <w:rFonts w:hint="eastAsia" w:ascii="宋体" w:hAnsi="宋体" w:eastAsia="宋体" w:cs="宋体"/>
                <w:i w:val="0"/>
                <w:iCs w:val="0"/>
                <w:color w:val="000000"/>
                <w:kern w:val="0"/>
                <w:sz w:val="20"/>
                <w:szCs w:val="20"/>
                <w:u w:val="none"/>
                <w:lang w:val="en-US" w:eastAsia="zh-CN" w:bidi="ar"/>
              </w:rPr>
              <w:t>采用金属材料</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机床的左边装有砂轮，有砂轮罩。</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1.可以用来抛光、打磨，也可以手持进行各种角度研磨。</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2.中心高≥25mm，砂纸粒度为100＃，可根据不同的工件及加工表面要求选择砂纸。</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二、技术参数：</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马达转速：≥12000转/分钟。</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输入电压/电流/功率：12VDC/5A/70W。</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工作面积：≥123×100mm。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加工材料：木材、工程塑料、软金属（金、银、铜、铝等）。</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变压器具有过电流</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过压</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过热保护。</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大功率液晶数显旋转车床</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特点：机床采用马力大的电机，马达箱和主轴箱为联体结构，用电子数字液晶显示代替刻度读数，避免了刻度读数困难、视差大、易忘记数值的缺点。清晰手轮式液晶读数显示（液晶读数在手轮位置，不是外接液晶显示器读数）方便使用者边加工边读取加工数据，可通过ZERO键在任意滑块位置设置零位及加工起点位置。具有公制/英制一键转换功能，方便使用者的不同习惯。具有记忆功能，当停止使用一分钟后会自动断电，当使用者再次按开关键时会自动显示断电时的加工数值。显示精度可达0.01mm，液晶显示屏使用一节1.5V电池供电，Z1轴小滑块可以180度旋转。</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机床主要零件</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如主轴箱</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尾座</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长机座、大小滑块</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马达风叶</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齿轮</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连接块、四爪卡盘等</w:t>
            </w:r>
            <w:r>
              <w:rPr>
                <w:rFonts w:hint="eastAsia" w:ascii="宋体" w:hAnsi="宋体" w:cs="宋体"/>
                <w:i w:val="0"/>
                <w:iCs w:val="0"/>
                <w:color w:val="000000"/>
                <w:kern w:val="0"/>
                <w:sz w:val="20"/>
                <w:szCs w:val="20"/>
                <w:u w:val="none"/>
                <w:lang w:val="en-US" w:eastAsia="zh-CN" w:bidi="ar"/>
              </w:rPr>
              <w:t>，都</w:t>
            </w:r>
            <w:r>
              <w:rPr>
                <w:rFonts w:hint="eastAsia" w:ascii="宋体" w:hAnsi="宋体" w:eastAsia="宋体" w:cs="宋体"/>
                <w:i w:val="0"/>
                <w:iCs w:val="0"/>
                <w:color w:val="000000"/>
                <w:kern w:val="0"/>
                <w:sz w:val="20"/>
                <w:szCs w:val="20"/>
                <w:u w:val="none"/>
                <w:lang w:val="en-US" w:eastAsia="zh-CN" w:bidi="ar"/>
              </w:rPr>
              <w:t>采用金属材料，有皮带保护盖。</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中心高≥75mm，中心距≥135mm，一般车削金属时车床转速降到2000转/分钟。</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车刀是高速钢材质，可加工软、有色、贵金属，并使用中间块加高，直径范围≥50mm。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二、技术指标：</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马达转速：≥12000转/分钟；</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输入电压/电流/功率</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12VDC/5A/60W；</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加工材料最大直径：≥100mm；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加工材料长度：≥135mm；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加工材料：木质塑料，软金属（金、银、铜、铝等），有机玻璃，塑胶等；</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手轮具有0.02mm精度的刻度线，增加机床加工工件的精确度；</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行程：Z轴≥145mm、X轴≥32mm。加工精度：0.05mm，加工材料：金、银、铜、铝等软金属。</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本机床具有四轴，分别为X轴、Z轴、Z1轴、A轴，其中A轴为旋转轴，旋转范围-90度到+90度，定位精度2.5度，Z1轴可以在A轴的配合下实现角度进给加工，具有防止车刀撞击卡盘的安全防护装置，提高车床使用的安全性，Z、Y、X、Z1轴具有清晰手轮式液晶读数显示（液晶读数在手轮位置，不是外接液晶显示器读数）避免了刻度读数困难、视差大、易忘记数值的缺点，方便使用者边加工边读取加工数据，增加机床加工工件的精确度。</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配备有本车床能使用的四爪卡盘，四爪卡盘可以提高本车床的</w:t>
            </w:r>
            <w:r>
              <w:rPr>
                <w:rFonts w:hint="eastAsia" w:ascii="宋体" w:hAnsi="宋体" w:cs="宋体"/>
                <w:i w:val="0"/>
                <w:iCs w:val="0"/>
                <w:color w:val="000000"/>
                <w:kern w:val="0"/>
                <w:sz w:val="20"/>
                <w:szCs w:val="20"/>
                <w:u w:val="none"/>
                <w:lang w:val="en-US" w:eastAsia="zh-CN" w:bidi="ar"/>
              </w:rPr>
              <w:t>适用范围</w:t>
            </w:r>
            <w:r>
              <w:rPr>
                <w:rFonts w:hint="eastAsia" w:ascii="宋体" w:hAnsi="宋体" w:eastAsia="宋体" w:cs="宋体"/>
                <w:i w:val="0"/>
                <w:iCs w:val="0"/>
                <w:color w:val="000000"/>
                <w:kern w:val="0"/>
                <w:sz w:val="20"/>
                <w:szCs w:val="20"/>
                <w:u w:val="none"/>
                <w:lang w:val="en-US" w:eastAsia="zh-CN" w:bidi="ar"/>
              </w:rPr>
              <w:t>，可以使车床能加工一些异形工件，比如四方形，三角形。</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包装采用可以回收利用的纸浆模。</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大功率金属微型木车床</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一、木车床特点：机床采用马力大的电机，马达箱和主轴箱为联体结构，机床主要零件：如主轴箱，马达风叶，尾座，长机座，大滑块，木车刀座，连接块，齿轮等都采用金属材料，有皮带保护盖。</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1.软木、硬木均可加工，可随心所欲创作造型。</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2.可以使用三爪夹盘或夹头（1～6mm）夹持工件，木车床的中心高≥25mm，中心距≥135mm。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二、技术参数：</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马达转速：≥12000转/分钟。</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输入电压/电流/功率：12VDC/5A/60W。</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加工材料最大直径：≥45mm。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加工材料长度：≥135mm。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加工材料：木材、工程塑料、软金属（金、银、铜、铝等）。</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变压器具有过电流</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过压</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过热保护。</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手轮具有0.02mm精度的刻度线，增加机床加工工件的精确度。</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91</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手工工具箱</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含但不限于：电笔、单手锯、十字螺丝刀、一字螺丝刀、批头手柄、美工刀、批头×10、内六角×8、打墙钻头×3、麻花钻头×3、小螺丝刀×2、电工胶布、水平尺、剥线钳、尖嘴钳、羊角锤、万用扳手、卷尺、螺丝零件盒、一排套筒、充电器、锂电钻、12V锂电池×2。</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92</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智能车</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一、特点：使用相当于ESP32迷你开发板，控制系统兼容Android和ios操作系统，可拓展多种传感器。编程平台兼容Arduino、MicroPython、Scratch。可实现红外遥控、智能避障、表情显示、APP控制、巡线、追光等多种功能。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包含：相当于ESP32-WROOM-32D开发板、驱动板、拓展板、光敏电阻传感器、超声波传感器、减速电机、180°舵机、270°舵机、点阵屏、万向轮、钢珠万向轮、18650电池、螺丝套件、4P杜邦线、10P线、4P线、3P线、绕线管、C口数据线、B口数据线、红外遥控器、车轮、固定块、乐高套件或同档次套件、螺丝刀×2、地图、六角铜柱。</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93</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智能机器人小车套件</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一、特点：控制系统兼容Android和ios操作系统，支持≥2种编程方式：ArduinoC和Python。可实现红外遥控、智能避障、表情显示、WIFIAPP控制、巡线、追光等多种功能。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包含：主板、相当于ESP8266串口Wi-Fi模块、Wi-Fi、串口测试扩展板、驱动板、拓展板、光敏电阻传感器、超声波传感器、减速电机、180°舵机、270°舵机、点阵屏、万向轮、钢珠万向轮、18650电池、螺丝套件、4P杜邦线、10P线、4P线、3P线、绕线管、C口数据线、B口数据线、红外遥控器、车轮、固定块、乐高套件或同档次套件、螺丝刀×2、地图、六角铜柱。</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94</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麦克纳姆轮智能车</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一、特点：使用麦克纳姆全向轮进行原地转向，正向侧移等多种行进方式，采用Arduino编程方案，可实现巡迹、跟随、避障、遥控、APP控制等功能。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包含：Plus控制板、驱动板、拓展板、麦克纳姆轮A、麦克纳姆轮B、垫板、固定架、舵机、超声波传感器、蓝牙模块、减速电机、遥控器、绕线管、巡迹地图、C口数据线、4P线转杜邦线、5P线、4P线、3P线、联轴器、轧带、半摩擦销、十字轴套、螺丝套件、螺丝刀。</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Microbit图形化编程机器人</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一、特点：四自由度机械臂，可自由抓取半球形空间内的物体，同时可以控制机械臂的多角度朝向。可使用APP、摇杆两种控制方式，可使用Micropython语言编程、MakeCode图形化编程两种编程方式。</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二、包含：主控板、16路舵机拓展板、180°舵机×3、游戏手柄拓展板、摇杆×2、鳄鱼夹转杜邦线×4，黑色抓夹，连杆拓展包、平台固定架、螺丝套件包、螺丝刀。</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三、技术规格</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工作电压：DC5V；</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供电：MicroUSB接口5V；</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绿色接线柱：DC4.5-28V；</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最大输出电流：1.5A；</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最大耗散功率：32W；</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蓝牙遥控距离：30～50M（空旷场地实测）。</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音频实践套装</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一、套件1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供电方式：支持5V供电（可通过手机充电器、电脑USB端口等），也能使用4.2V锂电池直接供电，且锂电池可直接充电。</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功放输出：双3瓦立体声功放输出（BTL输出，无公共地线）。</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功能：具备蓝牙接收、免提通话、前进快退、插卡MP3播放、AUX功能、收音机功能。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蓝牙播放 ：自带蓝牙音频接收模块，可与手机配对，播放手机发送的MP3或无损APE文件；支持蓝牙通话实现免提；还能像普通MP3解码板播放U盘、SD卡内MP3文件及收音机播放。</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配件及数量包含但不限于：红黑黄线（各1）、扎带（3）、耳机插座（2）、DC电源座配螺帽（1）、塑胶垫片（4）、M2×8螺丝（若干）、M2螺母（若干）、FM收音机天线（1）、5VUSB转DC电源线（1）、3.5mm双头音频线（1）、防尘布（1）、蓝牙音响模块（1）、白色2P红黑接线端子（3）、白色3P红黑黄接线端子（1）、防震贴（2）、喇叭（2）、喇叭装饰圈+网罩（2）、电池盒（1）、遥控器（1）、外壳6面（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二、套件2</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供电：5V直流供电，可用充电宝；</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功能：2声道、3W+3W立体声功放，支持蓝牙、断电记忆、U盘播放。</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配件及数量包含但不限于：亚克力外壳1个、船型开关1个、蓝牙播放器解码板1个、双通六角尼龙柱M3×502个、遥控器1个、M3×16圆头螺丝2个、单头端子线3个、M3×8圆头螺丝15个、剥线头（音响专用）1个、M3螺母15个、红黑并线1个、4欧3瓦MP3音响喇叭2个。</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有害</w:t>
            </w:r>
            <w:r>
              <w:rPr>
                <w:rFonts w:hint="eastAsia" w:ascii="宋体" w:hAnsi="宋体" w:cs="宋体"/>
                <w:i w:val="0"/>
                <w:iCs w:val="0"/>
                <w:color w:val="000000"/>
                <w:kern w:val="0"/>
                <w:sz w:val="20"/>
                <w:szCs w:val="20"/>
                <w:u w:val="none"/>
                <w:lang w:val="en-US" w:eastAsia="zh-CN" w:bidi="ar"/>
              </w:rPr>
              <w:t>气体</w:t>
            </w:r>
            <w:r>
              <w:rPr>
                <w:rFonts w:hint="eastAsia" w:ascii="宋体" w:hAnsi="宋体" w:eastAsia="宋体" w:cs="宋体"/>
                <w:i w:val="0"/>
                <w:iCs w:val="0"/>
                <w:color w:val="000000"/>
                <w:kern w:val="0"/>
                <w:sz w:val="20"/>
                <w:szCs w:val="20"/>
                <w:u w:val="none"/>
                <w:lang w:val="en-US" w:eastAsia="zh-CN" w:bidi="ar"/>
              </w:rPr>
              <w:t>报警器</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一、特性：可检测一氧化碳，液化气、天然气、城市煤气，氨气、硫化物、苯系蒸汽等有害气体浓度，超标时通过蜂鸣器报警、LED亮起警示。</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二、配置要求</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蜂鸣器：1个；</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MQ-9气体传感器（液化气、CO）：1个；</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MQ-5气体传感器（液化气、天然气、城市煤气）：1个；</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MQ-135气体传感器（氨气、硫化物、苯系蒸汽）：1个；</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主控板：1个；</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拓展板：1个；</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杜邦线：≥15根；</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发光二极管（红、绿、蓝）：≥3个；</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热缩管：≥2个；</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数据线：1根；</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11.</w:t>
            </w:r>
            <w:r>
              <w:rPr>
                <w:rFonts w:hint="eastAsia" w:ascii="宋体" w:hAnsi="宋体" w:eastAsia="宋体" w:cs="宋体"/>
                <w:i w:val="0"/>
                <w:iCs w:val="0"/>
                <w:color w:val="000000"/>
                <w:kern w:val="0"/>
                <w:sz w:val="20"/>
                <w:szCs w:val="20"/>
                <w:u w:val="none"/>
                <w:lang w:val="en-US" w:eastAsia="zh-CN" w:bidi="ar"/>
              </w:rPr>
              <w:t>电源线：1根；</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12.</w:t>
            </w:r>
            <w:r>
              <w:rPr>
                <w:rFonts w:hint="eastAsia" w:ascii="宋体" w:hAnsi="宋体" w:eastAsia="宋体" w:cs="宋体"/>
                <w:i w:val="0"/>
                <w:iCs w:val="0"/>
                <w:color w:val="000000"/>
                <w:kern w:val="0"/>
                <w:sz w:val="20"/>
                <w:szCs w:val="20"/>
                <w:u w:val="none"/>
                <w:lang w:val="en-US" w:eastAsia="zh-CN" w:bidi="ar"/>
              </w:rPr>
              <w:t>外壳+螺丝包：1套。</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拟辉光管时钟</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特点：可高亮显示RGB彩色灯光、模拟辉光时钟效果并带提醒动画特效，采用相当于DS3231时钟芯片，支持音乐频谱显示、底部侧光效果，时间温度日期能自动切换，可暂停颜色变化、实现多重变色，有6位数字显示颜色、时间断电不丢失、格式设置、颜色变化速度设置、多层亚克力外壳、闹钟、关机自动保存设置数据、触摸按钮控制、秒表、暗光自动低亮度显示、多种转换效果及倒计时等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二、配件包含但不限于：亚克力数字板×6套、LED控制板、数据线等。</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科技创意实践套装</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一、雾化加湿器</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可将液体水雾化，具备雾化定时功能；通过OLED屏实时更新环境温湿度与定时时间；采用多级菜单管理，操作便捷；支持断电记忆，重启后保留之前设置。</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配件包含但不限于：电解电容220uF（1个）、电解电容47uF（1个）、发光二极管（1个）、直插电阻100（1个）、直插电阻1K（2个）、直插电阻100K（1个）、A03400场效应管（1个）、OLED屏（1个）、温湿度传感器（1个）、瓷片电容104（3个）、6612按键（4个）、按键帽（4个）、4P单排母座（1个）、自锁开关帽（1个）、三脚电感（1个）、STC8G1K17（1个）、IC座16P（1个）、USB接口（1个）、自锁开关（1个）、接线端子（1个）、雾化片（1个）、棉棒（1个）、电源线（1个）、PCB（1个）、外壳（1个）、螺丝包（1个）、雾化片支架（1个）</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二、调频收音机</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、具</w:t>
            </w:r>
            <w:r>
              <w:rPr>
                <w:rFonts w:hint="eastAsia" w:ascii="宋体" w:hAnsi="宋体" w:eastAsia="宋体" w:cs="宋体"/>
                <w:i w:val="0"/>
                <w:iCs w:val="0"/>
                <w:color w:val="000000"/>
                <w:kern w:val="0"/>
                <w:sz w:val="20"/>
                <w:szCs w:val="20"/>
                <w:u w:val="none"/>
                <w:lang w:val="en-US" w:eastAsia="zh-CN" w:bidi="ar"/>
              </w:rPr>
              <w:t>有87～108MHz全球FM接收频段相容效果，具备</w:t>
            </w:r>
            <w:r>
              <w:rPr>
                <w:rFonts w:hint="eastAsia" w:ascii="宋体" w:hAnsi="宋体" w:cs="宋体"/>
                <w:i w:val="0"/>
                <w:iCs w:val="0"/>
                <w:color w:val="000000"/>
                <w:kern w:val="0"/>
                <w:sz w:val="20"/>
                <w:szCs w:val="20"/>
                <w:u w:val="none"/>
                <w:lang w:val="en-US" w:eastAsia="zh-CN" w:bidi="ar"/>
              </w:rPr>
              <w:t>噪声</w:t>
            </w:r>
            <w:r>
              <w:rPr>
                <w:rFonts w:hint="eastAsia" w:ascii="宋体" w:hAnsi="宋体" w:eastAsia="宋体" w:cs="宋体"/>
                <w:i w:val="0"/>
                <w:iCs w:val="0"/>
                <w:color w:val="000000"/>
                <w:kern w:val="0"/>
                <w:sz w:val="20"/>
                <w:szCs w:val="20"/>
                <w:u w:val="none"/>
                <w:lang w:val="en-US" w:eastAsia="zh-CN" w:bidi="ar"/>
              </w:rPr>
              <w:t>消除、软静音、低音增强、灵敏度高、</w:t>
            </w:r>
            <w:r>
              <w:rPr>
                <w:rFonts w:hint="eastAsia" w:ascii="宋体" w:hAnsi="宋体" w:cs="宋体"/>
                <w:i w:val="0"/>
                <w:iCs w:val="0"/>
                <w:color w:val="000000"/>
                <w:kern w:val="0"/>
                <w:sz w:val="20"/>
                <w:szCs w:val="20"/>
                <w:u w:val="none"/>
                <w:lang w:val="en-US" w:eastAsia="zh-CN" w:bidi="ar"/>
              </w:rPr>
              <w:t>噪声</w:t>
            </w:r>
            <w:r>
              <w:rPr>
                <w:rFonts w:hint="eastAsia" w:ascii="宋体" w:hAnsi="宋体" w:eastAsia="宋体" w:cs="宋体"/>
                <w:i w:val="0"/>
                <w:iCs w:val="0"/>
                <w:color w:val="000000"/>
                <w:kern w:val="0"/>
                <w:sz w:val="20"/>
                <w:szCs w:val="20"/>
                <w:u w:val="none"/>
                <w:lang w:val="en-US" w:eastAsia="zh-CN" w:bidi="ar"/>
              </w:rPr>
              <w:t>小、抗干扰能力强等优点；功放部分采用相当于TDA2822功率放大集成电路，电路简单、音质好、电压范围宽；支持双电源供电（USB5V供电或2节5号电池供电，二选一），供电电压5V/3V（双电源），输出功率</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0.5W。</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包含：相当于U3芯片、红色数码管、直插电阻10K、直插电阻1K、直插电阻510R、波动开关、安卓MICRO电源接口、天线、3.5mm耳机插座、微动开关、按键帽、相当于STC154W单片机、相当于TDA2822M双音频放大器、直插电解电容100UF、相当于S8550直插三极管、直插电解电容1UF、8R喇叭、收音模块相当于RDA5807M、精密电位器200K、104瓷片电容、3mm发光二极管（红发红）、相当于AMS1117-稳压芯片、8PIC座、28P（窄体）IC座、2P红黑并线、双面胶、圆头螺丝+螺母、2节5号电池盒、电路板、安卓USB电源线、外壳+螺丝包。</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三、电磁炮</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利用电磁力加速发射物体的技术，借电磁脉冲将弹丸加速到高速发射。升级款电磁炮套件新增蓄力电路与电平指示电路，让电磁炮蓄力更快、射程更远、发射速度较快，适用于焊接练习、电子相关场景。</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配件包含但不限于：直插开关二极管1N4148×1、2EZ91D5稳压二极管×1、船型开关黑色2脚2档×1、发光二极管5mm绿发绿×1、发光二极管5mm蓝发蓝×1、发光二极管5mm红发红×1、直插电阻1k×1备1、电阻直插电阻5.1K×2备1、直插电阻10K×2备1、直插电阻470K×1备1、直插三极管S9013×2、直插三极管S9013×2、电池盒2节5号×1、电解电容1000UF×1、微型按键×1、磁环电感×1、电磁炮线圈×1、红黑并线长120mm×3、实心圆柱销4×12mm×5、塑料炮筒×1、双面胶×1、电路板A×1、电路板B×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四、超声波悬浮器</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供电电源为直流9</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12V，工作电压9V或12V，对应工作电流9V时≤36mA；12V时≤45mA；PCB长度半径25mm（手工测量有1</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2mm误差）；套件高度：约46mm或46+5mm可自由调节；能悬浮泡沫等轻微物品并长时间悬浮。</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配件包含但不限于：瓷片电容104×2；直插电阻1K×1；电解电容10uF×2；3mm红发红LED×1；超声波传感器40KHz×2；相当于AMS1117线性稳压器×1；单片机相当于STCDIP8×1；IC插座8P×1、相当于TC4427芯片×1、DC电源插座×1、悬浮泡沫（无数量标注）、电路板A/B×1、双通滚花铜柱M2×23×2、单通滚花铜柱M2×20+4×2、单通滚花铜柱M2×5+3×6、M2螺母×4、M2螺丝M2×4×4。</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五、摩斯密码</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▲1、具备CW音频信号输入功能，可显示接收到的摩尔斯码，将摩尔斯码音频解码为字符，显示接收码率，还能外接CW按键用于练习发送摩尔斯码。</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配件包含但不限于：耳机插座×3、电源插座×1、蓝白电位器10K×1、蓝白电位器1K×1、自锁开关×1、自锁开关帽×1、78L05×1、瓷片电容22uF×2、4MHz晶振×1、LED×1、电解电容220uF×2、电解电容1uF×2、独石电容0.1uF×4、独石电容0.22uF×2、独石电容0.33uF×1、直插电阻1K×1、直插电阻4.7K×1、直插电阻10K×4、直插电阻50Ω×1、直插电阻100K×1、直插电阻47K×1、相当于NE567×1、相当于NE567665轻触开关×1、相当于CD409319P单排排针×1、LCD1602液晶显示屏×1、16P双塑排针×2、16P单排母座×2、18PIC座×1、14PIC座×1、8PIC座×1、转接板×1、CD4093×2、解码器PCB×1、音频线×1、外壳×1、螺丝包×1、9V电源×1、3F07耳机插座×1、红色圆形按键帽×1、1212×7.3按键×1、按键板PCB×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六、像素游戏机</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（一）外壳尺寸大小：≥126×82×25（mm）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（二）像素游戏机套件包含以下功能：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俄罗斯方块；</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贪吃蛇；</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赛车；</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打飞机；</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亮度可调；</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声音可开关；</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配件包含但不限于：拨码开关×1、MICRO母座×1、3631AS数码管×1、单片机×1、40脚管座×1、10μF电解电容×1、0.1uF（104）瓷片电容×1、无源蜂鸣器×1、8550三极管×1、10K电阻×1、1.78螺丝×4、1212轻触开关×5、方点点阵或圆点点阵×2、电路板×1、按键帽×5、电池弹片×4、泡棉×1、红导线×1、黑导线×1、透明下外壳×1、透明上外壳×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写字机器人</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特点：涵盖自动分页、原点、间距、行距、连接、复位及智控笔架，还有随机浮动、倾斜、大小、拉伸、变形等特色；</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特性突出，采用加厚板材，颜值与耐用性兼具，操作便捷，支持手机电脑操控，字体可随机变形，单页翻本宽度可调，满足多元书写与创意需求。</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AI大模型仿生机械手掌</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桌面仿生机械手掌，有5个PM02s舵机驱动手指，模拟人体手指弯曲/伸直（角度180°、扭矩2.0kg.cm）；1个pm15s舵机控制手掌整体旋转，模拟手腕转动（角度270°、扭矩15kg.cm）。兼容Arduino、STM32开发平台，提供源码、例程，支持手柄、手机、手套、图形化上位机等控制，还可二次开发外接模块。</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规格：长宽高</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185×147×338mm，重量</w:t>
            </w:r>
            <w:r>
              <w:rPr>
                <w:rFonts w:hint="eastAsia" w:ascii="宋体" w:hAnsi="宋体" w:cs="宋体"/>
                <w:i w:val="0"/>
                <w:iCs w:val="0"/>
                <w:color w:val="000000"/>
                <w:kern w:val="0"/>
                <w:sz w:val="20"/>
                <w:szCs w:val="20"/>
                <w:u w:val="none"/>
                <w:lang w:val="en-US" w:eastAsia="zh-CN" w:bidi="ar"/>
              </w:rPr>
              <w:t>约</w:t>
            </w:r>
            <w:r>
              <w:rPr>
                <w:rFonts w:hint="eastAsia" w:ascii="宋体" w:hAnsi="宋体" w:eastAsia="宋体" w:cs="宋体"/>
                <w:i w:val="0"/>
                <w:iCs w:val="0"/>
                <w:color w:val="000000"/>
                <w:kern w:val="0"/>
                <w:sz w:val="20"/>
                <w:szCs w:val="20"/>
                <w:u w:val="none"/>
                <w:lang w:val="en-US" w:eastAsia="zh-CN" w:bidi="ar"/>
              </w:rPr>
              <w:t>0.6kg；采用亚克力板+金属连接件材质，配置≥6个数字金属舵机（含旋转底座），控制器为开源Arduino/STM32控制板，支持微信小程序、PS2手柄等多种控制方式，可拓展MP3、超声波等传感器，通过8.4V3A电源适配器供电。</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AI六足仿生蜘蛛机器人</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特点：六足机器人是18自由度桌面级仿生机器人，可完成伸懒腰、打招呼等多种仿真动作。支持无主控配置，可用手柄遥控；也能搭载相当于树莓派5或JetsonNano主控，拓展出APP遥控、颜色识别、追踪跟随、人脸追踪、二维码识别、视觉巡线、示教器同步动作、物体检测、手势控制、身体动作控制等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核心部件规格：总线串口舵机：输出扭矩≥35kgf.cm，转速≤0.22sec/60°，精度1°，工作电压6.0</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8.4V，马达为铁芯马达，角度范围0-270°，重量61.5±0.5g。</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高清摄像头：图像格式YUV/MJPG，视场角80°-120°（取决于视频分辨率），像素2MP（1080），帧速30-120fps（取决于视频分辨率），数据格式涵盖320×240/640×480/1280×720/1920×1080，镜头F2.8mm，睡眠电流≤10mA，工作电流≤200mA，接口USB2.0，工作电压DC5V，储存温度-20℃to+60℃，工作温度0℃to+65℃。</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摄像头云台舵机：工作电压4.8V-6.0VDC，堵转扭矩1.3kgf.cm（4.8V），空载速度0.14sec/60°（4.8V），脉冲宽度500-2500us对应0-180°，堵转电流650mA（4.8V），控制方式PWM脉宽控制，角度精度180°±1°，输出轴为塑料齿。</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电池：额定（最大）放电电流30A（50A），额定电压7.4V，截止放电电压5.6V，充电接口DC4.01.7，线长15cm，容量9900mah电池组，电芯为8节18650（2串4并），</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尺寸重量：</w:t>
            </w:r>
            <w:r>
              <w:rPr>
                <w:rFonts w:hint="eastAsia" w:ascii="宋体" w:hAnsi="宋体" w:cs="宋体"/>
                <w:i w:val="0"/>
                <w:iCs w:val="0"/>
                <w:color w:val="000000"/>
                <w:kern w:val="0"/>
                <w:sz w:val="20"/>
                <w:szCs w:val="20"/>
                <w:u w:val="none"/>
                <w:lang w:val="en-US" w:eastAsia="zh-CN" w:bidi="ar"/>
              </w:rPr>
              <w:t>约</w:t>
            </w:r>
            <w:r>
              <w:rPr>
                <w:rFonts w:hint="eastAsia" w:ascii="宋体" w:hAnsi="宋体" w:eastAsia="宋体" w:cs="宋体"/>
                <w:i w:val="0"/>
                <w:iCs w:val="0"/>
                <w:color w:val="000000"/>
                <w:kern w:val="0"/>
                <w:sz w:val="20"/>
                <w:szCs w:val="20"/>
                <w:u w:val="none"/>
                <w:lang w:val="en-US" w:eastAsia="zh-CN" w:bidi="ar"/>
              </w:rPr>
              <w:t>8068×37mm（</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450g）。</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AI视觉履带式机器人</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特点：基于相当于ROS机器人操作系统开发的履带式智能机器人，搭载相当于树莓派4B主板、激光雷达、高清摄像头/深度相机等硬件，可实现运动控制、遥控通讯、建图导航、跟随避障、自动驾驶、机械臂Movelt仿真等应用，配套ROS课程含教学文档与视频，助力入门ROS。</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配件包含但不限于：车架、雷达固定板、主板配件包（标配）、扩展板、USB无线手柄、手柄手机支架、充电器、排线若干、MicroUSB数据线、魔术扎带、红色高配螺丝刀、机械码&amp;棋盘格卡纸、读卡器+内存卡、transbot说明书、零件包、OLED屏、电池组、电池盒、41.5×28×28cm铝箱+内衬、相当于思岚A1激光雷达包（含思岚A1激光雷达、MicroUSB数据线、6号零件包），树莓派4B。</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104</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创意科技绘画</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课程套件包含太空、艺术、自然三大主题套件，每套主题套件可以制作2个主题案例。</w:t>
            </w:r>
          </w:p>
          <w:p>
            <w:pPr>
              <w:keepNext w:val="0"/>
              <w:keepLines w:val="0"/>
              <w:pageBreakBefore w:val="0"/>
              <w:widowControl/>
              <w:numPr>
                <w:ilvl w:val="0"/>
                <w:numId w:val="11"/>
              </w:numPr>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太空主题套件材料包含但不限于太空主题涂色素材卡、太空主题背景卡、干电池电路模块、7号电池组、自锁开关模块、电机模块、颜料套装、导电胶带、双面贴纸。</w:t>
            </w:r>
          </w:p>
          <w:p>
            <w:pPr>
              <w:keepNext w:val="0"/>
              <w:keepLines w:val="0"/>
              <w:pageBreakBefore w:val="0"/>
              <w:widowControl/>
              <w:numPr>
                <w:ilvl w:val="0"/>
                <w:numId w:val="11"/>
              </w:numPr>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艺术主题套装材料包含艺术主题涂色素材卡、艺术主题背景卡、干电池电路模块、7号电池组、录音模块、红外测距模块、导电胶带、颜料套装、双面贴纸。</w:t>
            </w:r>
          </w:p>
          <w:p>
            <w:pPr>
              <w:keepNext w:val="0"/>
              <w:keepLines w:val="0"/>
              <w:pageBreakBefore w:val="0"/>
              <w:widowControl/>
              <w:numPr>
                <w:ilvl w:val="0"/>
                <w:numId w:val="11"/>
              </w:numPr>
              <w:suppressLineNumbers w:val="0"/>
              <w:kinsoku/>
              <w:wordWrap/>
              <w:overflowPunct/>
              <w:topLinePunct w:val="0"/>
              <w:autoSpaceDE/>
              <w:autoSpaceDN/>
              <w:bidi w:val="0"/>
              <w:adjustRightInd/>
              <w:snapToGrid/>
              <w:spacing w:line="440" w:lineRule="exact"/>
              <w:ind w:left="0" w:leftChars="0" w:firstLine="0" w:firstLine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自然主题套件材料包含自然主题涂色素材卡、自然主题背景卡、干电池电路模块、7号电池组、振动马达模块、磁吸开关模块、自闪LED模块、导电胶带、双面贴纸、颜料套装。</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ind w:leftChars="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w:t>
            </w:r>
            <w:r>
              <w:rPr>
                <w:rFonts w:hint="eastAsia" w:ascii="宋体" w:hAnsi="宋体" w:cs="宋体"/>
                <w:i w:val="0"/>
                <w:iCs w:val="0"/>
                <w:color w:val="000000"/>
                <w:kern w:val="0"/>
                <w:sz w:val="20"/>
                <w:szCs w:val="20"/>
                <w:highlight w:val="none"/>
                <w:u w:val="none"/>
                <w:lang w:val="en-US" w:eastAsia="zh-CN" w:bidi="ar"/>
              </w:rPr>
              <w:t>4、套件通过第三方检测，检测内容包含但不限于标记说明、恒定作用力、结构设计。（在投标文件中提供有相应检测资质的第三方检测机构出具的关于此要求的检测报告扫描件并加盖投标人公章）。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ind w:left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w:t>
            </w:r>
            <w:r>
              <w:rPr>
                <w:rFonts w:hint="eastAsia" w:ascii="宋体" w:hAnsi="宋体" w:cs="宋体"/>
                <w:i w:val="0"/>
                <w:iCs w:val="0"/>
                <w:color w:val="000000"/>
                <w:kern w:val="0"/>
                <w:sz w:val="20"/>
                <w:szCs w:val="20"/>
                <w:highlight w:val="none"/>
                <w:u w:val="none"/>
                <w:lang w:val="en-US" w:eastAsia="zh-CN" w:bidi="ar"/>
              </w:rPr>
              <w:t>5、</w:t>
            </w:r>
            <w:r>
              <w:rPr>
                <w:rFonts w:hint="eastAsia" w:ascii="宋体" w:hAnsi="宋体" w:eastAsia="宋体" w:cs="宋体"/>
                <w:i w:val="0"/>
                <w:iCs w:val="0"/>
                <w:color w:val="000000"/>
                <w:kern w:val="0"/>
                <w:sz w:val="20"/>
                <w:szCs w:val="20"/>
                <w:highlight w:val="none"/>
                <w:u w:val="none"/>
                <w:lang w:val="en-US" w:eastAsia="zh-CN" w:bidi="ar"/>
              </w:rPr>
              <w:t>用于</w:t>
            </w:r>
            <w:r>
              <w:rPr>
                <w:rFonts w:hint="eastAsia" w:ascii="宋体" w:hAnsi="宋体" w:cs="宋体"/>
                <w:i w:val="0"/>
                <w:iCs w:val="0"/>
                <w:color w:val="000000"/>
                <w:kern w:val="0"/>
                <w:sz w:val="20"/>
                <w:szCs w:val="20"/>
                <w:highlight w:val="none"/>
                <w:u w:val="none"/>
                <w:lang w:val="en-US" w:eastAsia="zh-CN" w:bidi="ar"/>
              </w:rPr>
              <w:t>科技与创意绘画</w:t>
            </w:r>
            <w:r>
              <w:rPr>
                <w:rFonts w:hint="eastAsia" w:ascii="宋体" w:hAnsi="宋体" w:eastAsia="宋体" w:cs="宋体"/>
                <w:i w:val="0"/>
                <w:iCs w:val="0"/>
                <w:color w:val="000000"/>
                <w:kern w:val="0"/>
                <w:sz w:val="20"/>
                <w:szCs w:val="20"/>
                <w:highlight w:val="none"/>
                <w:u w:val="none"/>
                <w:lang w:val="en-US" w:eastAsia="zh-CN" w:bidi="ar"/>
              </w:rPr>
              <w:t>教学实训，配套不少于</w:t>
            </w:r>
            <w:r>
              <w:rPr>
                <w:rFonts w:hint="eastAsia" w:ascii="宋体" w:hAnsi="宋体" w:cs="宋体"/>
                <w:i w:val="0"/>
                <w:iCs w:val="0"/>
                <w:color w:val="000000"/>
                <w:kern w:val="0"/>
                <w:sz w:val="20"/>
                <w:szCs w:val="20"/>
                <w:highlight w:val="none"/>
                <w:u w:val="none"/>
                <w:lang w:val="en-US" w:eastAsia="zh-CN" w:bidi="ar"/>
              </w:rPr>
              <w:t>12</w:t>
            </w:r>
            <w:r>
              <w:rPr>
                <w:rFonts w:hint="eastAsia" w:ascii="宋体" w:hAnsi="宋体" w:eastAsia="宋体" w:cs="宋体"/>
                <w:i w:val="0"/>
                <w:iCs w:val="0"/>
                <w:color w:val="000000"/>
                <w:kern w:val="0"/>
                <w:sz w:val="20"/>
                <w:szCs w:val="20"/>
                <w:highlight w:val="none"/>
                <w:u w:val="none"/>
                <w:lang w:val="en-US" w:eastAsia="zh-CN" w:bidi="ar"/>
              </w:rPr>
              <w:t>课时的</w:t>
            </w:r>
            <w:r>
              <w:rPr>
                <w:rFonts w:hint="eastAsia" w:ascii="宋体" w:hAnsi="宋体" w:cs="宋体"/>
                <w:i w:val="0"/>
                <w:iCs w:val="0"/>
                <w:color w:val="000000"/>
                <w:kern w:val="0"/>
                <w:sz w:val="20"/>
                <w:szCs w:val="20"/>
                <w:highlight w:val="none"/>
                <w:u w:val="none"/>
                <w:lang w:val="en-US" w:eastAsia="zh-CN" w:bidi="ar"/>
              </w:rPr>
              <w:t>创意科技绘画</w:t>
            </w:r>
            <w:r>
              <w:rPr>
                <w:rFonts w:hint="eastAsia" w:ascii="宋体" w:hAnsi="宋体" w:eastAsia="宋体" w:cs="宋体"/>
                <w:i w:val="0"/>
                <w:iCs w:val="0"/>
                <w:color w:val="000000"/>
                <w:kern w:val="0"/>
                <w:sz w:val="20"/>
                <w:szCs w:val="20"/>
                <w:highlight w:val="none"/>
                <w:u w:val="none"/>
                <w:lang w:val="en-US" w:eastAsia="zh-CN" w:bidi="ar"/>
              </w:rPr>
              <w:t>教学资料（包括但不限于教学课件、课程大纲），提供相关资料的复印件并加盖投标人公章。</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105</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AI创意综合实践6案例套装</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电子音乐贺卡材料包，配件包括但不限于：主板×1、蜂鸣器×1、4pin导线×1、3.7V锂电池×1、彩色卡纸×2、扎带×4、彩色毛条×2、毛绒球×4、眼珠贴片×2；</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光控贝斯材料包：主板×1、蜂鸣器×1、led灯带×1、4pin导线×2、3.7V锂电池×1、泡棉纸×1、瓦楞纸×2、扎带×4、棉绳×1、2脚钉×12；</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智能小夜灯材料包，配件包括但不限于：主板×1、led灯带×1、4pin导线×1、3.7V锂电池×1、泡棉纸×1、纸盒子×1、磨砂塑料片×1、扎带×4、彩色卡纸×1；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英雄风扇材料包，配件包括但不限于：主板×1、巡线传感器×1、电机模块×1、扇叶×1、4pin导线×2、3.7V锂电池×1、瓦楞纸×2、卡纸×2、A4纸×1、扎带×6、方木棒（长2短4）、雪糕棒×1；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智能存钱罐材料包，配件包括但不限于：主板×1、测速传感器×1、4pin导线×1、3.7V锂电池×1、瓦楞纸×3、彩色卡纸×1、彩色瓦楞纸×1、扎带×4；</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智能垃圾桶材料包，配件包括但不限于：主板×1、超声波模块×1、舵机×1、舵机扩展板×1、4pin导线×2、3.7V锂电池×1、瓦楞纸×3、泡棉纸×2、卡纸×1、彩色瓦楞纸×1、扎带×6。</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w:t>
            </w: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主板参数：板载蓝牙通信，板载5×5LED灯阵列，按键×2，光线传感器，3路3.3VI/O接口，1路5V接口，1路IIC接口，支持2路电机，3.7V外置供电和板载充电功能。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w:t>
            </w:r>
            <w:r>
              <w:rPr>
                <w:rFonts w:hint="eastAsia" w:ascii="宋体" w:hAnsi="宋体" w:cs="宋体"/>
                <w:i w:val="0"/>
                <w:iCs w:val="0"/>
                <w:color w:val="000000"/>
                <w:kern w:val="0"/>
                <w:sz w:val="20"/>
                <w:szCs w:val="20"/>
                <w:highlight w:val="none"/>
                <w:u w:val="none"/>
                <w:lang w:val="en-US" w:eastAsia="zh-CN" w:bidi="ar"/>
              </w:rPr>
              <w:t>8、</w:t>
            </w:r>
            <w:r>
              <w:rPr>
                <w:rFonts w:hint="eastAsia" w:ascii="宋体" w:hAnsi="宋体" w:eastAsia="宋体" w:cs="宋体"/>
                <w:i w:val="0"/>
                <w:iCs w:val="0"/>
                <w:color w:val="000000"/>
                <w:kern w:val="0"/>
                <w:sz w:val="20"/>
                <w:szCs w:val="20"/>
                <w:highlight w:val="none"/>
                <w:u w:val="none"/>
                <w:lang w:val="en-US" w:eastAsia="zh-CN" w:bidi="ar"/>
              </w:rPr>
              <w:t>用于AI创意综合实践教学实训，配套不少于</w:t>
            </w:r>
            <w:r>
              <w:rPr>
                <w:rFonts w:hint="eastAsia" w:ascii="宋体" w:hAnsi="宋体" w:cs="宋体"/>
                <w:i w:val="0"/>
                <w:iCs w:val="0"/>
                <w:color w:val="000000"/>
                <w:kern w:val="0"/>
                <w:sz w:val="20"/>
                <w:szCs w:val="20"/>
                <w:highlight w:val="none"/>
                <w:u w:val="none"/>
                <w:lang w:val="en-US" w:eastAsia="zh-CN" w:bidi="ar"/>
              </w:rPr>
              <w:t>12</w:t>
            </w:r>
            <w:r>
              <w:rPr>
                <w:rFonts w:hint="eastAsia" w:ascii="宋体" w:hAnsi="宋体" w:eastAsia="宋体" w:cs="宋体"/>
                <w:i w:val="0"/>
                <w:iCs w:val="0"/>
                <w:color w:val="000000"/>
                <w:kern w:val="0"/>
                <w:sz w:val="20"/>
                <w:szCs w:val="20"/>
                <w:highlight w:val="none"/>
                <w:u w:val="none"/>
                <w:lang w:val="en-US" w:eastAsia="zh-CN" w:bidi="ar"/>
              </w:rPr>
              <w:t>课时的AI创意综合实践教学资料（包括但不限于教学课件、课程大纲</w:t>
            </w:r>
            <w:r>
              <w:rPr>
                <w:rFonts w:hint="eastAsia" w:ascii="宋体" w:hAnsi="宋体" w:cs="宋体"/>
                <w:i w:val="0"/>
                <w:iCs w:val="0"/>
                <w:color w:val="000000"/>
                <w:kern w:val="0"/>
                <w:sz w:val="20"/>
                <w:szCs w:val="20"/>
                <w:highlight w:val="none"/>
                <w:u w:val="none"/>
                <w:lang w:val="en-US" w:eastAsia="zh-CN" w:bidi="ar"/>
              </w:rPr>
              <w:t>、教案</w:t>
            </w:r>
            <w:r>
              <w:rPr>
                <w:rFonts w:hint="eastAsia" w:ascii="宋体" w:hAnsi="宋体" w:eastAsia="宋体" w:cs="宋体"/>
                <w:i w:val="0"/>
                <w:iCs w:val="0"/>
                <w:color w:val="000000"/>
                <w:kern w:val="0"/>
                <w:sz w:val="20"/>
                <w:szCs w:val="20"/>
                <w:highlight w:val="none"/>
                <w:u w:val="none"/>
                <w:lang w:val="en-US" w:eastAsia="zh-CN" w:bidi="ar"/>
              </w:rPr>
              <w:t>），提供相关资料的复印件并加盖投标人公章。</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106</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开源电子模块学习套件</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相当于Arduino UNOR3主控板×1；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编程控制主板×1；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9V电池+电池盒×1；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亚克力固定板×1；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公对母杜邦线×50；</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公对公杜邦线×50；</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圆柱磁铁×1；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面包板×1；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双色LED灯×3；</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RGBLED传感器×3；</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11.</w:t>
            </w:r>
            <w:r>
              <w:rPr>
                <w:rFonts w:hint="eastAsia" w:ascii="宋体" w:hAnsi="宋体" w:eastAsia="宋体" w:cs="宋体"/>
                <w:i w:val="0"/>
                <w:iCs w:val="0"/>
                <w:color w:val="000000"/>
                <w:kern w:val="0"/>
                <w:sz w:val="20"/>
                <w:szCs w:val="20"/>
                <w:u w:val="none"/>
                <w:lang w:val="en-US" w:eastAsia="zh-CN" w:bidi="ar"/>
              </w:rPr>
              <w:t>7彩LED灯×3；</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12.</w:t>
            </w:r>
            <w:r>
              <w:rPr>
                <w:rFonts w:hint="eastAsia" w:ascii="宋体" w:hAnsi="宋体" w:eastAsia="宋体" w:cs="宋体"/>
                <w:i w:val="0"/>
                <w:iCs w:val="0"/>
                <w:color w:val="000000"/>
                <w:kern w:val="0"/>
                <w:sz w:val="20"/>
                <w:szCs w:val="20"/>
                <w:u w:val="none"/>
                <w:lang w:val="en-US" w:eastAsia="zh-CN" w:bidi="ar"/>
              </w:rPr>
              <w:t>继电器×1；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13.</w:t>
            </w:r>
            <w:r>
              <w:rPr>
                <w:rFonts w:hint="eastAsia" w:ascii="宋体" w:hAnsi="宋体" w:eastAsia="宋体" w:cs="宋体"/>
                <w:i w:val="0"/>
                <w:iCs w:val="0"/>
                <w:color w:val="000000"/>
                <w:kern w:val="0"/>
                <w:sz w:val="20"/>
                <w:szCs w:val="20"/>
                <w:u w:val="none"/>
                <w:lang w:val="en-US" w:eastAsia="zh-CN" w:bidi="ar"/>
              </w:rPr>
              <w:t>激光传感×1；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14.</w:t>
            </w:r>
            <w:r>
              <w:rPr>
                <w:rFonts w:hint="eastAsia" w:ascii="宋体" w:hAnsi="宋体" w:eastAsia="宋体" w:cs="宋体"/>
                <w:i w:val="0"/>
                <w:iCs w:val="0"/>
                <w:color w:val="000000"/>
                <w:kern w:val="0"/>
                <w:sz w:val="20"/>
                <w:szCs w:val="20"/>
                <w:u w:val="none"/>
                <w:lang w:val="en-US" w:eastAsia="zh-CN" w:bidi="ar"/>
              </w:rPr>
              <w:t>轻触开关按键×3；</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15.</w:t>
            </w:r>
            <w:r>
              <w:rPr>
                <w:rFonts w:hint="eastAsia" w:ascii="宋体" w:hAnsi="宋体" w:eastAsia="宋体" w:cs="宋体"/>
                <w:i w:val="0"/>
                <w:iCs w:val="0"/>
                <w:color w:val="000000"/>
                <w:kern w:val="0"/>
                <w:sz w:val="20"/>
                <w:szCs w:val="20"/>
                <w:u w:val="none"/>
                <w:lang w:val="en-US" w:eastAsia="zh-CN" w:bidi="ar"/>
              </w:rPr>
              <w:t>倾斜开关传感器×3；</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16.</w:t>
            </w:r>
            <w:r>
              <w:rPr>
                <w:rFonts w:hint="eastAsia" w:ascii="宋体" w:hAnsi="宋体" w:eastAsia="宋体" w:cs="宋体"/>
                <w:i w:val="0"/>
                <w:iCs w:val="0"/>
                <w:color w:val="000000"/>
                <w:kern w:val="0"/>
                <w:sz w:val="20"/>
                <w:szCs w:val="20"/>
                <w:u w:val="none"/>
                <w:lang w:val="en-US" w:eastAsia="zh-CN" w:bidi="ar"/>
              </w:rPr>
              <w:t>震动传感器×3；</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17</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IR接收×1；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18.</w:t>
            </w:r>
            <w:r>
              <w:rPr>
                <w:rFonts w:hint="eastAsia" w:ascii="宋体" w:hAnsi="宋体" w:eastAsia="宋体" w:cs="宋体"/>
                <w:i w:val="0"/>
                <w:iCs w:val="0"/>
                <w:color w:val="000000"/>
                <w:kern w:val="0"/>
                <w:sz w:val="20"/>
                <w:szCs w:val="20"/>
                <w:u w:val="none"/>
                <w:lang w:val="en-US" w:eastAsia="zh-CN" w:bidi="ar"/>
              </w:rPr>
              <w:t>有源蜂鸣器×2；</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19.</w:t>
            </w:r>
            <w:r>
              <w:rPr>
                <w:rFonts w:hint="eastAsia" w:ascii="宋体" w:hAnsi="宋体" w:eastAsia="宋体" w:cs="宋体"/>
                <w:i w:val="0"/>
                <w:iCs w:val="0"/>
                <w:color w:val="000000"/>
                <w:kern w:val="0"/>
                <w:sz w:val="20"/>
                <w:szCs w:val="20"/>
                <w:u w:val="none"/>
                <w:lang w:val="en-US" w:eastAsia="zh-CN" w:bidi="ar"/>
              </w:rPr>
              <w:t>无源蜂鸣器×2；</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20.</w:t>
            </w:r>
            <w:r>
              <w:rPr>
                <w:rFonts w:hint="eastAsia" w:ascii="宋体" w:hAnsi="宋体" w:eastAsia="宋体" w:cs="宋体"/>
                <w:i w:val="0"/>
                <w:iCs w:val="0"/>
                <w:color w:val="000000"/>
                <w:kern w:val="0"/>
                <w:sz w:val="20"/>
                <w:szCs w:val="20"/>
                <w:u w:val="none"/>
                <w:lang w:val="en-US" w:eastAsia="zh-CN" w:bidi="ar"/>
              </w:rPr>
              <w:t>干簧管传感器×1；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21.</w:t>
            </w:r>
            <w:r>
              <w:rPr>
                <w:rFonts w:hint="eastAsia" w:ascii="宋体" w:hAnsi="宋体" w:eastAsia="宋体" w:cs="宋体"/>
                <w:i w:val="0"/>
                <w:iCs w:val="0"/>
                <w:color w:val="000000"/>
                <w:kern w:val="0"/>
                <w:sz w:val="20"/>
                <w:szCs w:val="20"/>
                <w:u w:val="none"/>
                <w:lang w:val="en-US" w:eastAsia="zh-CN" w:bidi="ar"/>
              </w:rPr>
              <w:t>U型光电传感器×1；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22.</w:t>
            </w:r>
            <w:r>
              <w:rPr>
                <w:rFonts w:hint="eastAsia" w:ascii="宋体" w:hAnsi="宋体" w:eastAsia="宋体" w:cs="宋体"/>
                <w:i w:val="0"/>
                <w:iCs w:val="0"/>
                <w:color w:val="000000"/>
                <w:kern w:val="0"/>
                <w:sz w:val="20"/>
                <w:szCs w:val="20"/>
                <w:u w:val="none"/>
                <w:lang w:val="en-US" w:eastAsia="zh-CN" w:bidi="ar"/>
              </w:rPr>
              <w:t>360旋转杆传感器×1；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23.</w:t>
            </w:r>
            <w:r>
              <w:rPr>
                <w:rFonts w:hint="eastAsia" w:ascii="宋体" w:hAnsi="宋体" w:eastAsia="宋体" w:cs="宋体"/>
                <w:i w:val="0"/>
                <w:iCs w:val="0"/>
                <w:color w:val="000000"/>
                <w:kern w:val="0"/>
                <w:sz w:val="20"/>
                <w:szCs w:val="20"/>
                <w:u w:val="none"/>
                <w:lang w:val="en-US" w:eastAsia="zh-CN" w:bidi="ar"/>
              </w:rPr>
              <w:t>雨滴检查传感器×1；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24.</w:t>
            </w:r>
            <w:r>
              <w:rPr>
                <w:rFonts w:hint="eastAsia" w:ascii="宋体" w:hAnsi="宋体" w:eastAsia="宋体" w:cs="宋体"/>
                <w:i w:val="0"/>
                <w:iCs w:val="0"/>
                <w:color w:val="000000"/>
                <w:kern w:val="0"/>
                <w:sz w:val="20"/>
                <w:szCs w:val="20"/>
                <w:u w:val="none"/>
                <w:lang w:val="en-US" w:eastAsia="zh-CN" w:bidi="ar"/>
              </w:rPr>
              <w:t>PS操作杆传感器×1；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25.</w:t>
            </w:r>
            <w:r>
              <w:rPr>
                <w:rFonts w:hint="eastAsia" w:ascii="宋体" w:hAnsi="宋体" w:eastAsia="宋体" w:cs="宋体"/>
                <w:i w:val="0"/>
                <w:iCs w:val="0"/>
                <w:color w:val="000000"/>
                <w:kern w:val="0"/>
                <w:sz w:val="20"/>
                <w:szCs w:val="20"/>
                <w:u w:val="none"/>
                <w:lang w:val="en-US" w:eastAsia="zh-CN" w:bidi="ar"/>
              </w:rPr>
              <w:t>电位器传感器×1；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26.</w:t>
            </w:r>
            <w:r>
              <w:rPr>
                <w:rFonts w:hint="eastAsia" w:ascii="宋体" w:hAnsi="宋体" w:eastAsia="宋体" w:cs="宋体"/>
                <w:i w:val="0"/>
                <w:iCs w:val="0"/>
                <w:color w:val="000000"/>
                <w:kern w:val="0"/>
                <w:sz w:val="20"/>
                <w:szCs w:val="20"/>
                <w:u w:val="none"/>
                <w:lang w:val="en-US" w:eastAsia="zh-CN" w:bidi="ar"/>
              </w:rPr>
              <w:t>霍尔开关传感器×1；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27.</w:t>
            </w:r>
            <w:r>
              <w:rPr>
                <w:rFonts w:hint="eastAsia" w:ascii="宋体" w:hAnsi="宋体" w:eastAsia="宋体" w:cs="宋体"/>
                <w:i w:val="0"/>
                <w:iCs w:val="0"/>
                <w:color w:val="000000"/>
                <w:kern w:val="0"/>
                <w:sz w:val="20"/>
                <w:szCs w:val="20"/>
                <w:u w:val="none"/>
                <w:lang w:val="en-US" w:eastAsia="zh-CN" w:bidi="ar"/>
              </w:rPr>
              <w:t>模拟温湿度传感器×1；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28.</w:t>
            </w:r>
            <w:r>
              <w:rPr>
                <w:rFonts w:hint="eastAsia" w:ascii="宋体" w:hAnsi="宋体" w:eastAsia="宋体" w:cs="宋体"/>
                <w:i w:val="0"/>
                <w:iCs w:val="0"/>
                <w:color w:val="000000"/>
                <w:kern w:val="0"/>
                <w:sz w:val="20"/>
                <w:szCs w:val="20"/>
                <w:u w:val="none"/>
                <w:lang w:val="en-US" w:eastAsia="zh-CN" w:bidi="ar"/>
              </w:rPr>
              <w:t>声音传感器×1；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29.</w:t>
            </w:r>
            <w:r>
              <w:rPr>
                <w:rFonts w:hint="eastAsia" w:ascii="宋体" w:hAnsi="宋体" w:eastAsia="宋体" w:cs="宋体"/>
                <w:i w:val="0"/>
                <w:iCs w:val="0"/>
                <w:color w:val="000000"/>
                <w:kern w:val="0"/>
                <w:sz w:val="20"/>
                <w:szCs w:val="20"/>
                <w:u w:val="none"/>
                <w:lang w:val="en-US" w:eastAsia="zh-CN" w:bidi="ar"/>
              </w:rPr>
              <w:t>光敏传感器×1；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30.</w:t>
            </w:r>
            <w:r>
              <w:rPr>
                <w:rFonts w:hint="eastAsia" w:ascii="宋体" w:hAnsi="宋体" w:eastAsia="宋体" w:cs="宋体"/>
                <w:i w:val="0"/>
                <w:iCs w:val="0"/>
                <w:color w:val="000000"/>
                <w:kern w:val="0"/>
                <w:sz w:val="20"/>
                <w:szCs w:val="20"/>
                <w:u w:val="none"/>
                <w:lang w:val="en-US" w:eastAsia="zh-CN" w:bidi="ar"/>
              </w:rPr>
              <w:t>火焰传感器×1；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31.</w:t>
            </w:r>
            <w:r>
              <w:rPr>
                <w:rFonts w:hint="eastAsia" w:ascii="宋体" w:hAnsi="宋体" w:eastAsia="宋体" w:cs="宋体"/>
                <w:i w:val="0"/>
                <w:iCs w:val="0"/>
                <w:color w:val="000000"/>
                <w:kern w:val="0"/>
                <w:sz w:val="20"/>
                <w:szCs w:val="20"/>
                <w:u w:val="none"/>
                <w:lang w:val="en-US" w:eastAsia="zh-CN" w:bidi="ar"/>
              </w:rPr>
              <w:t>烟雾传感器×1；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32.</w:t>
            </w:r>
            <w:r>
              <w:rPr>
                <w:rFonts w:hint="eastAsia" w:ascii="宋体" w:hAnsi="宋体" w:eastAsia="宋体" w:cs="宋体"/>
                <w:i w:val="0"/>
                <w:iCs w:val="0"/>
                <w:color w:val="000000"/>
                <w:kern w:val="0"/>
                <w:sz w:val="20"/>
                <w:szCs w:val="20"/>
                <w:u w:val="none"/>
                <w:lang w:val="en-US" w:eastAsia="zh-CN" w:bidi="ar"/>
              </w:rPr>
              <w:t>红外遥控器×1；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33.</w:t>
            </w:r>
            <w:r>
              <w:rPr>
                <w:rFonts w:hint="eastAsia" w:ascii="宋体" w:hAnsi="宋体" w:eastAsia="宋体" w:cs="宋体"/>
                <w:i w:val="0"/>
                <w:iCs w:val="0"/>
                <w:color w:val="000000"/>
                <w:kern w:val="0"/>
                <w:sz w:val="20"/>
                <w:szCs w:val="20"/>
                <w:u w:val="none"/>
                <w:lang w:val="en-US" w:eastAsia="zh-CN" w:bidi="ar"/>
              </w:rPr>
              <w:t>触摸传感器×1；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34.</w:t>
            </w:r>
            <w:r>
              <w:rPr>
                <w:rFonts w:hint="eastAsia" w:ascii="宋体" w:hAnsi="宋体" w:eastAsia="宋体" w:cs="宋体"/>
                <w:i w:val="0"/>
                <w:iCs w:val="0"/>
                <w:color w:val="000000"/>
                <w:kern w:val="0"/>
                <w:sz w:val="20"/>
                <w:szCs w:val="20"/>
                <w:u w:val="none"/>
                <w:lang w:val="en-US" w:eastAsia="zh-CN" w:bidi="ar"/>
              </w:rPr>
              <w:t>红外循迹模块×1；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35.</w:t>
            </w:r>
            <w:r>
              <w:rPr>
                <w:rFonts w:hint="eastAsia" w:ascii="宋体" w:hAnsi="宋体" w:eastAsia="宋体" w:cs="宋体"/>
                <w:i w:val="0"/>
                <w:iCs w:val="0"/>
                <w:color w:val="000000"/>
                <w:kern w:val="0"/>
                <w:sz w:val="20"/>
                <w:szCs w:val="20"/>
                <w:u w:val="none"/>
                <w:lang w:val="en-US" w:eastAsia="zh-CN" w:bidi="ar"/>
              </w:rPr>
              <w:t>红外避障模块×1；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36.方形</w:t>
            </w:r>
            <w:r>
              <w:rPr>
                <w:rFonts w:hint="eastAsia" w:ascii="宋体" w:hAnsi="宋体" w:eastAsia="宋体" w:cs="宋体"/>
                <w:i w:val="0"/>
                <w:iCs w:val="0"/>
                <w:color w:val="000000"/>
                <w:kern w:val="0"/>
                <w:sz w:val="20"/>
                <w:szCs w:val="20"/>
                <w:u w:val="none"/>
                <w:lang w:val="en-US" w:eastAsia="zh-CN" w:bidi="ar"/>
              </w:rPr>
              <w:t>USB线×1；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37.</w:t>
            </w:r>
            <w:r>
              <w:rPr>
                <w:rFonts w:hint="eastAsia" w:ascii="宋体" w:hAnsi="宋体" w:eastAsia="宋体" w:cs="宋体"/>
                <w:i w:val="0"/>
                <w:iCs w:val="0"/>
                <w:color w:val="000000"/>
                <w:kern w:val="0"/>
                <w:sz w:val="20"/>
                <w:szCs w:val="20"/>
                <w:u w:val="none"/>
                <w:lang w:val="en-US" w:eastAsia="zh-CN" w:bidi="ar"/>
              </w:rPr>
              <w:t>相当于IICLCD1620液晶屏显示模块×1；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38.</w:t>
            </w:r>
            <w:r>
              <w:rPr>
                <w:rFonts w:hint="eastAsia" w:ascii="宋体" w:hAnsi="宋体" w:eastAsia="宋体" w:cs="宋体"/>
                <w:i w:val="0"/>
                <w:iCs w:val="0"/>
                <w:color w:val="000000"/>
                <w:kern w:val="0"/>
                <w:sz w:val="20"/>
                <w:szCs w:val="20"/>
                <w:u w:val="none"/>
                <w:lang w:val="en-US" w:eastAsia="zh-CN" w:bidi="ar"/>
              </w:rPr>
              <w:t>超声波传感器×1；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39.</w:t>
            </w:r>
            <w:r>
              <w:rPr>
                <w:rFonts w:hint="eastAsia" w:ascii="宋体" w:hAnsi="宋体" w:eastAsia="宋体" w:cs="宋体"/>
                <w:i w:val="0"/>
                <w:iCs w:val="0"/>
                <w:color w:val="000000"/>
                <w:kern w:val="0"/>
                <w:sz w:val="20"/>
                <w:szCs w:val="20"/>
                <w:u w:val="none"/>
                <w:lang w:val="en-US" w:eastAsia="zh-CN" w:bidi="ar"/>
              </w:rPr>
              <w:t>DS18B20温度传感器×1；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40.</w:t>
            </w:r>
            <w:r>
              <w:rPr>
                <w:rFonts w:hint="eastAsia" w:ascii="宋体" w:hAnsi="宋体" w:eastAsia="宋体" w:cs="宋体"/>
                <w:i w:val="0"/>
                <w:iCs w:val="0"/>
                <w:color w:val="000000"/>
                <w:kern w:val="0"/>
                <w:sz w:val="20"/>
                <w:szCs w:val="20"/>
                <w:u w:val="none"/>
                <w:lang w:val="en-US" w:eastAsia="zh-CN" w:bidi="ar"/>
              </w:rPr>
              <w:t>AD\DA转换PCF8591传感器×1；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41.</w:t>
            </w:r>
            <w:r>
              <w:rPr>
                <w:rFonts w:hint="eastAsia" w:ascii="宋体" w:hAnsi="宋体" w:eastAsia="宋体" w:cs="宋体"/>
                <w:i w:val="0"/>
                <w:iCs w:val="0"/>
                <w:color w:val="000000"/>
                <w:kern w:val="0"/>
                <w:sz w:val="20"/>
                <w:szCs w:val="20"/>
                <w:u w:val="none"/>
                <w:lang w:val="en-US" w:eastAsia="zh-CN" w:bidi="ar"/>
              </w:rPr>
              <w:t>相当于DHT11温度传感器模块×1；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42.</w:t>
            </w:r>
            <w:r>
              <w:rPr>
                <w:rFonts w:hint="eastAsia" w:ascii="宋体" w:hAnsi="宋体" w:eastAsia="宋体" w:cs="宋体"/>
                <w:i w:val="0"/>
                <w:iCs w:val="0"/>
                <w:color w:val="000000"/>
                <w:kern w:val="0"/>
                <w:sz w:val="20"/>
                <w:szCs w:val="20"/>
                <w:u w:val="none"/>
                <w:lang w:val="en-US" w:eastAsia="zh-CN" w:bidi="ar"/>
              </w:rPr>
              <w:t>土壤湿度传感器×1；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43.</w:t>
            </w:r>
            <w:r>
              <w:rPr>
                <w:rFonts w:hint="eastAsia" w:ascii="宋体" w:hAnsi="宋体" w:eastAsia="宋体" w:cs="宋体"/>
                <w:i w:val="0"/>
                <w:iCs w:val="0"/>
                <w:color w:val="000000"/>
                <w:kern w:val="0"/>
                <w:sz w:val="20"/>
                <w:szCs w:val="20"/>
                <w:u w:val="none"/>
                <w:lang w:val="en-US" w:eastAsia="zh-CN" w:bidi="ar"/>
              </w:rPr>
              <w:t>颜色传感器×1；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44.</w:t>
            </w:r>
            <w:r>
              <w:rPr>
                <w:rFonts w:hint="eastAsia" w:ascii="宋体" w:hAnsi="宋体" w:eastAsia="宋体" w:cs="宋体"/>
                <w:i w:val="0"/>
                <w:iCs w:val="0"/>
                <w:color w:val="000000"/>
                <w:kern w:val="0"/>
                <w:sz w:val="20"/>
                <w:szCs w:val="20"/>
                <w:u w:val="none"/>
                <w:lang w:val="en-US" w:eastAsia="zh-CN" w:bidi="ar"/>
              </w:rPr>
              <w:t>OLED液晶屏显示模块×1；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45.</w:t>
            </w:r>
            <w:r>
              <w:rPr>
                <w:rFonts w:hint="eastAsia" w:ascii="宋体" w:hAnsi="宋体" w:eastAsia="宋体" w:cs="宋体"/>
                <w:i w:val="0"/>
                <w:iCs w:val="0"/>
                <w:color w:val="000000"/>
                <w:kern w:val="0"/>
                <w:sz w:val="20"/>
                <w:szCs w:val="20"/>
                <w:u w:val="none"/>
                <w:lang w:val="en-US" w:eastAsia="zh-CN" w:bidi="ar"/>
              </w:rPr>
              <w:t>相当于BMP180起亚传感器×1；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46.</w:t>
            </w:r>
            <w:r>
              <w:rPr>
                <w:rFonts w:hint="eastAsia" w:ascii="宋体" w:hAnsi="宋体" w:eastAsia="宋体" w:cs="宋体"/>
                <w:i w:val="0"/>
                <w:iCs w:val="0"/>
                <w:color w:val="000000"/>
                <w:kern w:val="0"/>
                <w:sz w:val="20"/>
                <w:szCs w:val="20"/>
                <w:u w:val="none"/>
                <w:lang w:val="en-US" w:eastAsia="zh-CN" w:bidi="ar"/>
              </w:rPr>
              <w:t>RFID射频读卡器模块×1；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47.</w:t>
            </w:r>
            <w:r>
              <w:rPr>
                <w:rFonts w:hint="eastAsia" w:ascii="宋体" w:hAnsi="宋体" w:eastAsia="宋体" w:cs="宋体"/>
                <w:i w:val="0"/>
                <w:iCs w:val="0"/>
                <w:color w:val="000000"/>
                <w:kern w:val="0"/>
                <w:sz w:val="20"/>
                <w:szCs w:val="20"/>
                <w:u w:val="none"/>
                <w:lang w:val="en-US" w:eastAsia="zh-CN" w:bidi="ar"/>
              </w:rPr>
              <w:t>相当于DS1302时钟传感器模块×1；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48.</w:t>
            </w:r>
            <w:r>
              <w:rPr>
                <w:rFonts w:hint="eastAsia" w:ascii="宋体" w:hAnsi="宋体" w:eastAsia="宋体" w:cs="宋体"/>
                <w:i w:val="0"/>
                <w:iCs w:val="0"/>
                <w:color w:val="000000"/>
                <w:kern w:val="0"/>
                <w:sz w:val="20"/>
                <w:szCs w:val="20"/>
                <w:u w:val="none"/>
                <w:lang w:val="en-US" w:eastAsia="zh-CN" w:bidi="ar"/>
              </w:rPr>
              <w:t>舵机×2；</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49.</w:t>
            </w:r>
            <w:r>
              <w:rPr>
                <w:rFonts w:hint="eastAsia" w:ascii="宋体" w:hAnsi="宋体" w:eastAsia="宋体" w:cs="宋体"/>
                <w:i w:val="0"/>
                <w:iCs w:val="0"/>
                <w:color w:val="000000"/>
                <w:kern w:val="0"/>
                <w:sz w:val="20"/>
                <w:szCs w:val="20"/>
                <w:u w:val="none"/>
                <w:lang w:val="en-US" w:eastAsia="zh-CN" w:bidi="ar"/>
              </w:rPr>
              <w:t>电机×2；</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50.</w:t>
            </w:r>
            <w:r>
              <w:rPr>
                <w:rFonts w:hint="eastAsia" w:ascii="宋体" w:hAnsi="宋体" w:eastAsia="宋体" w:cs="宋体"/>
                <w:i w:val="0"/>
                <w:iCs w:val="0"/>
                <w:color w:val="000000"/>
                <w:kern w:val="0"/>
                <w:sz w:val="20"/>
                <w:szCs w:val="20"/>
                <w:u w:val="none"/>
                <w:lang w:val="en-US" w:eastAsia="zh-CN" w:bidi="ar"/>
              </w:rPr>
              <w:t>直流风扇套件组×1；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51.</w:t>
            </w:r>
            <w:r>
              <w:rPr>
                <w:rFonts w:hint="eastAsia" w:ascii="宋体" w:hAnsi="宋体" w:eastAsia="宋体" w:cs="宋体"/>
                <w:i w:val="0"/>
                <w:iCs w:val="0"/>
                <w:color w:val="000000"/>
                <w:kern w:val="0"/>
                <w:sz w:val="20"/>
                <w:szCs w:val="20"/>
                <w:u w:val="none"/>
                <w:lang w:val="en-US" w:eastAsia="zh-CN" w:bidi="ar"/>
              </w:rPr>
              <w:t>相当于Arduino物联网远程控制模块×1；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52.</w:t>
            </w:r>
            <w:r>
              <w:rPr>
                <w:rFonts w:hint="eastAsia" w:ascii="宋体" w:hAnsi="宋体" w:eastAsia="宋体" w:cs="宋体"/>
                <w:i w:val="0"/>
                <w:iCs w:val="0"/>
                <w:color w:val="000000"/>
                <w:kern w:val="0"/>
                <w:sz w:val="20"/>
                <w:szCs w:val="20"/>
                <w:u w:val="none"/>
                <w:lang w:val="en-US" w:eastAsia="zh-CN" w:bidi="ar"/>
              </w:rPr>
              <w:t>相当于Arduino拓展板×1；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53、GAS气体传感器×1；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▲54、可编程主板参数：板载蓝牙通信，板载5×5LED灯阵列，按键×2，光线传感器，3路3.3VI/O接口，1路5V接口，1路IIC接口，支持2路电机，3.7V外置供电和板载充电功能。</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107</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3D打印耗材包</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ABS-3d打印机耗材×2，ABS，1.75mm线径。颜色白色、黑色、黄色、蓝色、粉色。重500g</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PLA环保材料×8，易塑型、易保持造型，环保易降解，应用于医疗、食品、教学等领域；</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直径：1.75mm，净重：1kg，打印温度：190℃-210℃，拉升强度≥60MPa，弯曲模量≥60MPa，线径公差：±0.02mm；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PLA温变变色温度温感耗材×1，紫色变玫红、灰色变白色、棕色变绿色、橙色变黄色，重500g；</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PLA夜光变色耗材×1，夜光紫色、夜光橙色、夜光红色、夜光蓝色、夜光绿色，重500g；</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PLA柔性耗材，本色、白色、黑色、红色、黄色、蓝色、绿色，重500g；</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PLA弹性耗材×1，本色、白色、黑色、红色、黄色、蓝色，重500g。</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陶艺釉上彩液体水性颜料</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≥24色套装750-850度陶瓷白胎彩绘颜料。</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109</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水彩颜料</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≥18色水彩颜料，带画笔和画盘</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智能高温电窑</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外尺寸：70×75×105cm，内堂尺寸：</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35×35×40cm；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功率≥6千瓦，5面加热，360度循环加热，曲线升温，最高≥1100度，电压220V</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参照</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尼彩-017</w:t>
            </w:r>
            <w:r>
              <w:rPr>
                <w:rFonts w:hint="eastAsia" w:ascii="宋体" w:hAnsi="宋体" w:cs="宋体"/>
                <w:i w:val="0"/>
                <w:iCs w:val="0"/>
                <w:color w:val="000000"/>
                <w:kern w:val="0"/>
                <w:sz w:val="20"/>
                <w:szCs w:val="20"/>
                <w:u w:val="none"/>
                <w:lang w:val="en-US" w:eastAsia="zh-CN" w:bidi="ar"/>
              </w:rPr>
              <w:t>、何佳功—jTNtdyakNp、科莱利—科15）</w:t>
            </w:r>
            <w:r>
              <w:rPr>
                <w:rFonts w:hint="eastAsia" w:ascii="宋体" w:hAnsi="宋体" w:eastAsia="宋体" w:cs="宋体"/>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升级铂铑热电偶，准确测温，灵敏控温无温差，多层纤维多晶棉，防火耐高温，节能，无死角保温设计，使炉体表面温度保持在60度以下。</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111</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光敏树脂</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一、刚性光敏树脂×1：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1、硬度79-88；</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断裂伸长率</w:t>
            </w:r>
            <w:r>
              <w:rPr>
                <w:rFonts w:hint="eastAsia" w:ascii="宋体" w:hAnsi="宋体" w:cs="宋体"/>
                <w:i w:val="0"/>
                <w:iCs w:val="0"/>
                <w:color w:val="000000"/>
                <w:kern w:val="0"/>
                <w:sz w:val="20"/>
                <w:szCs w:val="20"/>
                <w:u w:val="none"/>
                <w:lang w:val="en-US" w:eastAsia="zh-CN" w:bidi="ar"/>
              </w:rPr>
              <w:t>8%—13%</w:t>
            </w:r>
            <w:r>
              <w:rPr>
                <w:rFonts w:hint="eastAsia" w:ascii="宋体" w:hAnsi="宋体" w:eastAsia="宋体" w:cs="宋体"/>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保质期：≥1年；</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热变形温度44-47℃；</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拉伸强度64-72MPa；</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拉伸模量：1.8-2.8GPa；</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吸水率</w:t>
            </w:r>
            <w:r>
              <w:rPr>
                <w:rFonts w:hint="eastAsia" w:ascii="宋体" w:hAnsi="宋体" w:cs="宋体"/>
                <w:i w:val="0"/>
                <w:iCs w:val="0"/>
                <w:color w:val="000000"/>
                <w:kern w:val="0"/>
                <w:sz w:val="20"/>
                <w:szCs w:val="20"/>
                <w:u w:val="none"/>
                <w:lang w:val="en-US" w:eastAsia="zh-CN" w:bidi="ar"/>
              </w:rPr>
              <w:t>0.9%—2.5%</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8、重量：500g</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可选颜色：灰色、黑色、白色、透明红色、透明蓝色。</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二、水洗光敏树脂×1：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1.黏度</w:t>
            </w:r>
            <w:r>
              <w:rPr>
                <w:rFonts w:hint="eastAsia" w:ascii="宋体" w:hAnsi="宋体" w:eastAsia="宋体" w:cs="宋体"/>
                <w:i w:val="0"/>
                <w:iCs w:val="0"/>
                <w:color w:val="000000"/>
                <w:kern w:val="0"/>
                <w:sz w:val="20"/>
                <w:szCs w:val="20"/>
                <w:u w:val="none"/>
                <w:lang w:val="en-US" w:eastAsia="zh-CN" w:bidi="ar"/>
              </w:rPr>
              <w:t>：100-350MPa.s；</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密度：10.5</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1.25g/cm3；</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弯曲模量1.882-2.385MPa；</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邵氏硬度80-85D；</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拉伸强度30-52MPa；</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拉伸模量：1.779-2.385MPa；</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7、重量500g。</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可选颜色：灰色、黑色、白色、透明红色、透明蓝色、透明色、透明绿。</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3D打印笔（低温款）</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颜色：蓝或黄或红</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成型方式：三维堆积</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打印范围：无限定</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吐丝速度：三档可调</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加热温度：75℃-95℃</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设备工作电压：5V2A</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喷嘴直径：0.8mm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耗材直径：1.75mm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耗材类型：PCL</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尺寸：172×35mm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11.</w:t>
            </w:r>
            <w:r>
              <w:rPr>
                <w:rFonts w:hint="eastAsia" w:ascii="宋体" w:hAnsi="宋体" w:eastAsia="宋体" w:cs="宋体"/>
                <w:i w:val="0"/>
                <w:iCs w:val="0"/>
                <w:color w:val="000000"/>
                <w:kern w:val="0"/>
                <w:sz w:val="20"/>
                <w:szCs w:val="20"/>
                <w:u w:val="none"/>
                <w:lang w:val="en-US" w:eastAsia="zh-CN" w:bidi="ar"/>
              </w:rPr>
              <w:t>LCD屏能显示耗材种类、速度、温度、警告信息；</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12.</w:t>
            </w:r>
            <w:r>
              <w:rPr>
                <w:rFonts w:hint="eastAsia" w:ascii="宋体" w:hAnsi="宋体" w:eastAsia="宋体" w:cs="宋体"/>
                <w:i w:val="0"/>
                <w:iCs w:val="0"/>
                <w:color w:val="000000"/>
                <w:kern w:val="0"/>
                <w:sz w:val="20"/>
                <w:szCs w:val="20"/>
                <w:u w:val="none"/>
                <w:lang w:val="en-US" w:eastAsia="zh-CN" w:bidi="ar"/>
              </w:rPr>
              <w:t>点触式调速调温；</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13.</w:t>
            </w:r>
            <w:r>
              <w:rPr>
                <w:rFonts w:hint="eastAsia" w:ascii="宋体" w:hAnsi="宋体" w:eastAsia="宋体" w:cs="宋体"/>
                <w:i w:val="0"/>
                <w:iCs w:val="0"/>
                <w:color w:val="000000"/>
                <w:kern w:val="0"/>
                <w:sz w:val="20"/>
                <w:szCs w:val="20"/>
                <w:u w:val="none"/>
                <w:lang w:val="en-US" w:eastAsia="zh-CN" w:bidi="ar"/>
              </w:rPr>
              <w:t>5V2A供电，可连接移动电源使用。</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113</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喷头（低温款）</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颜色：白色；</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材料：陶瓷材质；</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喷头直径：0.8mm；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安装方式：旋钮式。</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114</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低温PCL耗材</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材质：PCL；</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2、直径：1.75mm；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打印温度：70-90°；</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包装：20卷/袋，5m/卷；</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颜色：20色。</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低温PCL耗材</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1.材质：PCL；</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2、直径：1.75mm；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打印温度：70-100°；</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净重：1kg/卷，毛重：1.3kg；</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颜色：黄/黑/白。</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3D打印纸膜</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儿童打印笔临摹模板PCL耗材模仿画册纸膜；</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尺寸：A4大小。</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117</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3D技术应用作品</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一、四足机器人×1：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整机发货，除传感器和执行器外其余采用PLA3D打印成型；</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Wi-Fi型号为：相当于ESP8266，充分发挥NodeMCU集成Wi-Fi模块的优势，无需安装APP，直接打开网页就可以进行操作控制。</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电池3.7v电压，≥400mah容量。</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二、六足机器人×1：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机器人支持自动模式、PS2手柄控制模式；</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支持避障功能；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采用金属舵机；</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采用高集成度主板设计，集成12路标准舵机接口；</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采用3.7V锂电池供电设计，主板集成充电模块，通过mircoUSB对电池充电；</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最高可同时接5V/8A的负载。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三、月球灯×1：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控制方式：遥控、触摸；</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功率：≥5W及以下；</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3、电压≤36V；</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LED灯珠；</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5、直径≥18.5cm。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四、3D金属创意作品×1：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材质：铝合金AlSi10Mg；</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重量：不小于10g；</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最小壁厚≥0.5mm；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最小孔径≥1.5mm；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硬度≥10HRC；</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6、±公差：±0.1mm。</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118</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激光雕刻机</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1、电源：220V±10%；</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加工幅面≥600×900mm；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3、功率≥100W；</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封离式水冷切CO2；</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雕刻速度1</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1000mm/s，切割速度0-600mm/s；</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定位精度≤0.01mm，最小成型文字：数字/字母1×1mm，汉字1.5×1.5mm，重复定位精度±0.05mm；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分辨率≥1000DPI；</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支持软件ArtCut，Photoshop（转换输出），CorelDraw，AutoCAD（直接输出）；</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支持文件格式PLT/DXF/DST/BMP/AIetc.（直接输出）；</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机器尺寸：1440×1100×1020mm；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11.</w:t>
            </w:r>
            <w:r>
              <w:rPr>
                <w:rFonts w:hint="eastAsia" w:ascii="宋体" w:hAnsi="宋体" w:eastAsia="宋体" w:cs="宋体"/>
                <w:i w:val="0"/>
                <w:iCs w:val="0"/>
                <w:color w:val="000000"/>
                <w:kern w:val="0"/>
                <w:sz w:val="20"/>
                <w:szCs w:val="20"/>
                <w:u w:val="none"/>
                <w:lang w:val="en-US" w:eastAsia="zh-CN" w:bidi="ar"/>
              </w:rPr>
              <w:t>工作环境温度：0-45℃，湿度：</w:t>
            </w:r>
            <w:r>
              <w:rPr>
                <w:rFonts w:hint="eastAsia" w:ascii="宋体" w:hAnsi="宋体" w:cs="宋体"/>
                <w:i w:val="0"/>
                <w:iCs w:val="0"/>
                <w:color w:val="000000"/>
                <w:kern w:val="0"/>
                <w:sz w:val="20"/>
                <w:szCs w:val="20"/>
                <w:u w:val="none"/>
                <w:lang w:val="en-US" w:eastAsia="zh-CN" w:bidi="ar"/>
              </w:rPr>
              <w:t>5％—95％</w:t>
            </w:r>
            <w:r>
              <w:rPr>
                <w:rFonts w:hint="eastAsia" w:ascii="宋体" w:hAnsi="宋体" w:eastAsia="宋体" w:cs="宋体"/>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◆12、用于激光造物剧场教学实训，配套不少于30课时的激光造物剧场教学资料（包括但不限于激光造物剧场的教学课件、课程大纲、教案），提供相关资料的复印件并加盖投标人公章。</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切割耗材：木板</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尺寸：60×40×0.3cm；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材质：松木板或三合板。</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切割耗材：亚克力</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尺寸：60×40×0.3mm；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透明；</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材质：亚克力。</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121</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激光雕刻写字机</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书写、绘图和激光雕刻切割；</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工作区域：≥325×325mm；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激光功率为：≥5W；</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支持的图片格式JPG、PNG、DXF、SVG、G代码NC、BMP；</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支持软件Bachin、LaserGRBL、LightBurn、Benbox、GrblController、LiteFire；</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6、尺寸：≥41×36×17cm；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输出功率：12V5A≥60W。</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122</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刻绘机</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采用256位智能控制器；</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≥1602字符液晶显示屏和10键式硅胶键盘；</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主导轴双高扭力马达，微步细分驱动；</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滚花式进纸轴；</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任意原点设定；</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≥4点红点定位，手动巡点，自动轮廓切割；</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最大进纸宽带≥1300mm，最大切割宽带≥1200；最大切割厚度1mm；机械精度0.05mm，重复定位精度0.03mm；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绘图笔种类：直径11.5mm的各类水性、油性、原子绘笔、海报等；</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DM-PL/HP-GL自动识别绘图指令；</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标准RS232（串）、USB2.0、U盘接口；</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11.</w:t>
            </w:r>
            <w:r>
              <w:rPr>
                <w:rFonts w:hint="eastAsia" w:ascii="宋体" w:hAnsi="宋体" w:eastAsia="宋体" w:cs="宋体"/>
                <w:i w:val="0"/>
                <w:iCs w:val="0"/>
                <w:color w:val="000000"/>
                <w:kern w:val="0"/>
                <w:sz w:val="20"/>
                <w:szCs w:val="20"/>
                <w:u w:val="none"/>
                <w:lang w:val="en-US" w:eastAsia="zh-CN" w:bidi="ar"/>
              </w:rPr>
              <w:t>电源：AC110V/220V±10%，50Hz，功耗≤120W；</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12.</w:t>
            </w:r>
            <w:r>
              <w:rPr>
                <w:rFonts w:hint="eastAsia" w:ascii="宋体" w:hAnsi="宋体" w:eastAsia="宋体" w:cs="宋体"/>
                <w:i w:val="0"/>
                <w:iCs w:val="0"/>
                <w:color w:val="000000"/>
                <w:kern w:val="0"/>
                <w:sz w:val="20"/>
                <w:szCs w:val="20"/>
                <w:u w:val="none"/>
                <w:lang w:val="en-US" w:eastAsia="zh-CN" w:bidi="ar"/>
              </w:rPr>
              <w:t>运行环境：温度5～35℃，相对湿度30%～70%。</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13.</w:t>
            </w:r>
            <w:r>
              <w:rPr>
                <w:rFonts w:hint="eastAsia" w:ascii="宋体" w:hAnsi="宋体" w:eastAsia="宋体" w:cs="宋体"/>
                <w:i w:val="0"/>
                <w:iCs w:val="0"/>
                <w:color w:val="000000"/>
                <w:kern w:val="0"/>
                <w:sz w:val="20"/>
                <w:szCs w:val="20"/>
                <w:u w:val="none"/>
                <w:lang w:val="en-US" w:eastAsia="zh-CN" w:bidi="ar"/>
              </w:rPr>
              <w:t>外包尺寸：1570×313×400mm。</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123</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UV平板印刷机</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工作速度：4pass/6pass/8pass；</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工作承重：无损重量≥50kg；</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工作喷头：DX7；</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印刷颜色：C、M、Y、K、W；</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设备重量：45kg/毛重55kg；</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工作精度：≥2880×1440dpi；</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输出软件：蒙泰；</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机身尺寸：≥730×900×595mm；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墨水种类：防水UV墨水；</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10.包装尺寸：1.04×0.8×0.82m；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11.</w:t>
            </w:r>
            <w:r>
              <w:rPr>
                <w:rFonts w:hint="eastAsia" w:ascii="宋体" w:hAnsi="宋体" w:eastAsia="宋体" w:cs="宋体"/>
                <w:i w:val="0"/>
                <w:iCs w:val="0"/>
                <w:color w:val="000000"/>
                <w:kern w:val="0"/>
                <w:sz w:val="20"/>
                <w:szCs w:val="20"/>
                <w:u w:val="none"/>
                <w:lang w:val="en-US" w:eastAsia="zh-CN" w:bidi="ar"/>
              </w:rPr>
              <w:t>升降方式：平台升降；</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12.</w:t>
            </w:r>
            <w:r>
              <w:rPr>
                <w:rFonts w:hint="eastAsia" w:ascii="宋体" w:hAnsi="宋体" w:eastAsia="宋体" w:cs="宋体"/>
                <w:i w:val="0"/>
                <w:iCs w:val="0"/>
                <w:color w:val="000000"/>
                <w:kern w:val="0"/>
                <w:sz w:val="20"/>
                <w:szCs w:val="20"/>
                <w:u w:val="none"/>
                <w:lang w:val="en-US" w:eastAsia="zh-CN" w:bidi="ar"/>
              </w:rPr>
              <w:t>工作时分贝：</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 xml:space="preserve">50分贝左右； </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13.</w:t>
            </w:r>
            <w:r>
              <w:rPr>
                <w:rFonts w:hint="eastAsia" w:ascii="宋体" w:hAnsi="宋体" w:eastAsia="宋体" w:cs="宋体"/>
                <w:i w:val="0"/>
                <w:iCs w:val="0"/>
                <w:color w:val="000000"/>
                <w:kern w:val="0"/>
                <w:sz w:val="20"/>
                <w:szCs w:val="20"/>
                <w:u w:val="none"/>
                <w:lang w:val="en-US" w:eastAsia="zh-CN" w:bidi="ar"/>
              </w:rPr>
              <w:t>工件高度：≥90mm；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14.</w:t>
            </w:r>
            <w:r>
              <w:rPr>
                <w:rFonts w:hint="eastAsia" w:ascii="宋体" w:hAnsi="宋体" w:eastAsia="宋体" w:cs="宋体"/>
                <w:i w:val="0"/>
                <w:iCs w:val="0"/>
                <w:color w:val="000000"/>
                <w:kern w:val="0"/>
                <w:sz w:val="20"/>
                <w:szCs w:val="20"/>
                <w:u w:val="none"/>
                <w:lang w:val="en-US" w:eastAsia="zh-CN" w:bidi="ar"/>
              </w:rPr>
              <w:t>数据接口：高速USB接口；</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15.</w:t>
            </w:r>
            <w:r>
              <w:rPr>
                <w:rFonts w:hint="eastAsia" w:ascii="宋体" w:hAnsi="宋体" w:eastAsia="宋体" w:cs="宋体"/>
                <w:i w:val="0"/>
                <w:iCs w:val="0"/>
                <w:color w:val="000000"/>
                <w:kern w:val="0"/>
                <w:sz w:val="20"/>
                <w:szCs w:val="20"/>
                <w:u w:val="none"/>
                <w:lang w:val="en-US" w:eastAsia="zh-CN" w:bidi="ar"/>
              </w:rPr>
              <w:t>操作环境：温度15-35℃湿度</w:t>
            </w:r>
            <w:r>
              <w:rPr>
                <w:rFonts w:hint="eastAsia" w:ascii="宋体" w:hAnsi="宋体" w:cs="宋体"/>
                <w:i w:val="0"/>
                <w:iCs w:val="0"/>
                <w:color w:val="000000"/>
                <w:kern w:val="0"/>
                <w:sz w:val="20"/>
                <w:szCs w:val="20"/>
                <w:u w:val="none"/>
                <w:lang w:val="en-US" w:eastAsia="zh-CN" w:bidi="ar"/>
              </w:rPr>
              <w:t>20%—80%</w:t>
            </w:r>
            <w:r>
              <w:rPr>
                <w:rFonts w:hint="eastAsia" w:ascii="宋体" w:hAnsi="宋体" w:eastAsia="宋体" w:cs="宋体"/>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16.</w:t>
            </w:r>
            <w:r>
              <w:rPr>
                <w:rFonts w:hint="eastAsia" w:ascii="宋体" w:hAnsi="宋体" w:eastAsia="宋体" w:cs="宋体"/>
                <w:i w:val="0"/>
                <w:iCs w:val="0"/>
                <w:color w:val="000000"/>
                <w:kern w:val="0"/>
                <w:sz w:val="20"/>
                <w:szCs w:val="20"/>
                <w:u w:val="none"/>
                <w:lang w:val="en-US" w:eastAsia="zh-CN" w:bidi="ar"/>
              </w:rPr>
              <w:t>电力要求：AC220/110±10，50HZ～60HZ；</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17.</w:t>
            </w:r>
            <w:r>
              <w:rPr>
                <w:rFonts w:hint="eastAsia" w:ascii="宋体" w:hAnsi="宋体" w:eastAsia="宋体" w:cs="宋体"/>
                <w:i w:val="0"/>
                <w:iCs w:val="0"/>
                <w:color w:val="000000"/>
                <w:kern w:val="0"/>
                <w:sz w:val="20"/>
                <w:szCs w:val="20"/>
                <w:u w:val="none"/>
                <w:lang w:val="en-US" w:eastAsia="zh-CN" w:bidi="ar"/>
              </w:rPr>
              <w:t>使用功率：100W；</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18.</w:t>
            </w:r>
            <w:r>
              <w:rPr>
                <w:rFonts w:hint="eastAsia" w:ascii="宋体" w:hAnsi="宋体" w:eastAsia="宋体" w:cs="宋体"/>
                <w:i w:val="0"/>
                <w:iCs w:val="0"/>
                <w:color w:val="000000"/>
                <w:kern w:val="0"/>
                <w:sz w:val="20"/>
                <w:szCs w:val="20"/>
                <w:u w:val="none"/>
                <w:lang w:val="en-US" w:eastAsia="zh-CN" w:bidi="ar"/>
              </w:rPr>
              <w:t>操作系统：参照XP/WIN7/WIN10；</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19.</w:t>
            </w:r>
            <w:r>
              <w:rPr>
                <w:rFonts w:hint="eastAsia" w:ascii="宋体" w:hAnsi="宋体" w:eastAsia="宋体" w:cs="宋体"/>
                <w:i w:val="0"/>
                <w:iCs w:val="0"/>
                <w:color w:val="000000"/>
                <w:kern w:val="0"/>
                <w:sz w:val="20"/>
                <w:szCs w:val="20"/>
                <w:u w:val="none"/>
                <w:lang w:val="en-US" w:eastAsia="zh-CN" w:bidi="ar"/>
              </w:rPr>
              <w:t>设计软件：支持PS、AI、CDR；</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20.</w:t>
            </w:r>
            <w:r>
              <w:rPr>
                <w:rFonts w:hint="eastAsia" w:ascii="宋体" w:hAnsi="宋体" w:eastAsia="宋体" w:cs="宋体"/>
                <w:i w:val="0"/>
                <w:iCs w:val="0"/>
                <w:color w:val="000000"/>
                <w:kern w:val="0"/>
                <w:sz w:val="20"/>
                <w:szCs w:val="20"/>
                <w:u w:val="none"/>
                <w:lang w:val="en-US" w:eastAsia="zh-CN" w:bidi="ar"/>
              </w:rPr>
              <w:t>适用材质：皮革、亚克力、PVC、金属板、石材、木材、玻璃、纺织、塑料、木材、水晶、陶瓷。</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124</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数字印制套件</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相当于Epson改装打印平台1set；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多功能转印机1set；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采用六色连续供墨</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黑色，青色，洋红色，黄色，淡青色，淡洋红色各180ml;</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A4热升华转印纸200张；</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A4拷贝纸200张；</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A4石板画100张；</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鼠标垫；</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转印用杯子；</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变色杯；</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高温胶带；</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11.</w:t>
            </w:r>
            <w:r>
              <w:rPr>
                <w:rFonts w:hint="eastAsia" w:ascii="宋体" w:hAnsi="宋体" w:eastAsia="宋体" w:cs="宋体"/>
                <w:i w:val="0"/>
                <w:iCs w:val="0"/>
                <w:color w:val="000000"/>
                <w:kern w:val="0"/>
                <w:sz w:val="20"/>
                <w:szCs w:val="20"/>
                <w:u w:val="none"/>
                <w:lang w:val="en-US" w:eastAsia="zh-CN" w:bidi="ar"/>
              </w:rPr>
              <w:t>其他采用耗材1批；</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12.</w:t>
            </w:r>
            <w:r>
              <w:rPr>
                <w:rFonts w:hint="eastAsia" w:ascii="宋体" w:hAnsi="宋体" w:eastAsia="宋体" w:cs="宋体"/>
                <w:i w:val="0"/>
                <w:iCs w:val="0"/>
                <w:color w:val="000000"/>
                <w:kern w:val="0"/>
                <w:sz w:val="20"/>
                <w:szCs w:val="20"/>
                <w:u w:val="none"/>
                <w:lang w:val="en-US" w:eastAsia="zh-CN" w:bidi="ar"/>
              </w:rPr>
              <w:t>烫印面积≥29×38cm；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13.</w:t>
            </w:r>
            <w:r>
              <w:rPr>
                <w:rFonts w:hint="eastAsia" w:ascii="宋体" w:hAnsi="宋体" w:eastAsia="宋体" w:cs="宋体"/>
                <w:i w:val="0"/>
                <w:iCs w:val="0"/>
                <w:color w:val="000000"/>
                <w:kern w:val="0"/>
                <w:sz w:val="20"/>
                <w:szCs w:val="20"/>
                <w:u w:val="none"/>
                <w:lang w:val="en-US" w:eastAsia="zh-CN" w:bidi="ar"/>
              </w:rPr>
              <w:t>含自动倒计时功能；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14.</w:t>
            </w:r>
            <w:r>
              <w:rPr>
                <w:rFonts w:hint="eastAsia" w:ascii="宋体" w:hAnsi="宋体" w:eastAsia="宋体" w:cs="宋体"/>
                <w:i w:val="0"/>
                <w:iCs w:val="0"/>
                <w:color w:val="000000"/>
                <w:kern w:val="0"/>
                <w:sz w:val="20"/>
                <w:szCs w:val="20"/>
                <w:u w:val="none"/>
                <w:lang w:val="en-US" w:eastAsia="zh-CN" w:bidi="ar"/>
              </w:rPr>
              <w:t>温度范围：0-220℃。</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刺绣机</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2头，12色，针数为12针；</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2、行程≥400×500mm；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≥10英寸液晶触摸屏；</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4、电压220V；</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转速≥1000/分钟；</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主轴电机≥220W；</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内存≥2000万针；</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自动检测断线故障，断电自动回复，漏针自动补绣；</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绣花格式DST/DSB；</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支持≥13种语音。</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◆11、用于可穿戴科技教学实训，配套不少于30课时的可穿戴科技教学资料（包括但不限于可穿戴科技的教学课件、课程大纲、教案），提供相关资料的复印件并加盖投标人公章。</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126</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木工台锯</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产品电压：220V</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50Hz；</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产品功率：≥1800W；</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空载转速：≥5000R/MIN；</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锯片规格：255×25.4×2.8mm；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角度调节：0～45°；</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台面尺寸：≥950×650mm；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续航能力：可连续工作24小时；</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产品净重：25kg；</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产品尺寸：950×820×650mm；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90°最大切割深度：≥90mm；45°最大切割深度：≥65mm；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11.</w:t>
            </w:r>
            <w:r>
              <w:rPr>
                <w:rFonts w:hint="eastAsia" w:ascii="宋体" w:hAnsi="宋体" w:eastAsia="宋体" w:cs="宋体"/>
                <w:i w:val="0"/>
                <w:iCs w:val="0"/>
                <w:color w:val="000000"/>
                <w:kern w:val="0"/>
                <w:sz w:val="20"/>
                <w:szCs w:val="20"/>
                <w:u w:val="none"/>
                <w:lang w:val="en-US" w:eastAsia="zh-CN" w:bidi="ar"/>
              </w:rPr>
              <w:t>切割台面可延伸，支撑面更大；靠山可根据刻度精准移动；</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12.</w:t>
            </w:r>
            <w:r>
              <w:rPr>
                <w:rFonts w:hint="eastAsia" w:ascii="宋体" w:hAnsi="宋体" w:eastAsia="宋体" w:cs="宋体"/>
                <w:i w:val="0"/>
                <w:iCs w:val="0"/>
                <w:color w:val="000000"/>
                <w:kern w:val="0"/>
                <w:sz w:val="20"/>
                <w:szCs w:val="20"/>
                <w:u w:val="none"/>
                <w:lang w:val="en-US" w:eastAsia="zh-CN" w:bidi="ar"/>
              </w:rPr>
              <w:t>锯片、推料盘均可灵活调整角度；</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13.</w:t>
            </w:r>
            <w:r>
              <w:rPr>
                <w:rFonts w:hint="eastAsia" w:ascii="宋体" w:hAnsi="宋体" w:eastAsia="宋体" w:cs="宋体"/>
                <w:i w:val="0"/>
                <w:iCs w:val="0"/>
                <w:color w:val="000000"/>
                <w:kern w:val="0"/>
                <w:sz w:val="20"/>
                <w:szCs w:val="20"/>
                <w:u w:val="none"/>
                <w:lang w:val="en-US" w:eastAsia="zh-CN" w:bidi="ar"/>
              </w:rPr>
              <w:t>自带过载保护；</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14.</w:t>
            </w:r>
            <w:r>
              <w:rPr>
                <w:rFonts w:hint="eastAsia" w:ascii="宋体" w:hAnsi="宋体" w:eastAsia="宋体" w:cs="宋体"/>
                <w:i w:val="0"/>
                <w:iCs w:val="0"/>
                <w:color w:val="000000"/>
                <w:kern w:val="0"/>
                <w:sz w:val="20"/>
                <w:szCs w:val="20"/>
                <w:u w:val="none"/>
                <w:lang w:val="en-US" w:eastAsia="zh-CN" w:bidi="ar"/>
              </w:rPr>
              <w:t>可与吸尘机连接，方便清洁，带吸尘器。</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127</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台钻</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额定功率：≥340W；</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空载转速：0～16000r/min；</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夹持能力：1～10mm；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立柱高度：≥295mm；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主轴行程：≥25mm；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重量：5kg；</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含工作台和平口钳。</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128</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电动打磨机</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转速：10000～32000转/分钟；</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速度数：可调速（6个挡位）；</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防滑手柄：有；</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机器重量：0.55公斤；</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夹头直径：3.2毫米；</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额定功率：≥120瓦；</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≥6速调档，随心掌控；</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内置降噪设计，工作声音小；专业设计，机器长时间使用不发烫；</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采用360°软胶手柄。</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129</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展示模型</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包含但不限于：岳阳楼（成型尺寸≥188×190×225mm）、黄鹤楼（成型尺寸≥190×190×290mm）、天坛（成型尺寸≥253×253×215mm）、阅江楼（成型尺寸≥330×250×305mm）、滕王阁（成型尺寸≥283×222×292mm）、阿房宫（成型尺寸≥472×185×300mm）、湘西吊脚楼（成型尺寸≥270×170×170mm）、孔子学府（成型尺寸≥325×245×164mm）、蓬莱阁（成型尺寸≥215×180×195mm）、雷峰塔（成型尺寸≥275×275×385mm）、文昌塔（成型尺寸≥238×143×283mm）、大雁塔（成型尺寸≥198×188×352mm）、五亭桥（成型尺寸≥357×168×142mm）、风雨桥（成型尺寸≥567×112.5×180mm）等中国古代建筑，采用3mm木板激光切割，UV印刷后拼接成型，结合开源电子模块和人工智能技术，每个建筑模型不能少于4个传感器，通过声光电传感器等展现各个建筑独特的地理、历史、文化和环境的相关信息。</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▲2、主板参数：板载蓝牙通信，板载5×5LED灯阵列，按键×2，光线传感器，3路3.3VI/O接口，1路5V接口，1路IIC接口，支持2路电机，3.7V外置供电和板载充电功能。</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0"/>
                <w:szCs w:val="20"/>
                <w:u w:val="none"/>
                <w:lang w:val="en-US" w:eastAsia="zh-CN" w:bidi="ar"/>
              </w:rPr>
              <w:t>130</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备用渲染节点</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处理器：</w:t>
            </w:r>
            <w:r>
              <w:rPr>
                <w:rFonts w:hint="eastAsia" w:ascii="宋体" w:hAnsi="宋体" w:cs="宋体"/>
                <w:i w:val="0"/>
                <w:iCs w:val="0"/>
                <w:color w:val="000000"/>
                <w:kern w:val="0"/>
                <w:sz w:val="20"/>
                <w:szCs w:val="20"/>
                <w:u w:val="none"/>
                <w:lang w:val="en-US" w:eastAsia="zh-CN" w:bidi="ar"/>
              </w:rPr>
              <w:t>≥i7-12700H 处理器，14 核 20 线程，</w:t>
            </w:r>
            <w:r>
              <w:rPr>
                <w:rFonts w:hint="eastAsia" w:ascii="宋体" w:hAnsi="宋体" w:eastAsia="宋体" w:cs="宋体"/>
                <w:i w:val="0"/>
                <w:iCs w:val="0"/>
                <w:color w:val="000000"/>
                <w:kern w:val="0"/>
                <w:sz w:val="20"/>
                <w:szCs w:val="20"/>
                <w:u w:val="none"/>
                <w:lang w:val="en-US" w:eastAsia="zh-CN" w:bidi="ar"/>
              </w:rPr>
              <w:t>参照</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联想 ThinkStation P3</w:t>
            </w:r>
            <w:r>
              <w:rPr>
                <w:rFonts w:hint="eastAsia" w:ascii="宋体" w:hAnsi="宋体" w:cs="宋体"/>
                <w:i w:val="0"/>
                <w:iCs w:val="0"/>
                <w:color w:val="000000"/>
                <w:kern w:val="0"/>
                <w:sz w:val="20"/>
                <w:szCs w:val="20"/>
                <w:u w:val="none"/>
                <w:lang w:val="en-US" w:eastAsia="zh-CN" w:bidi="ar"/>
              </w:rPr>
              <w:t>、戴尔Precision 3660 Tower、华硕ProArt Station PD500TC）</w:t>
            </w:r>
            <w:r>
              <w:rPr>
                <w:rFonts w:hint="eastAsia" w:ascii="宋体" w:hAnsi="宋体" w:eastAsia="宋体" w:cs="宋体"/>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▲2、显卡：</w:t>
            </w:r>
            <w:r>
              <w:rPr>
                <w:rFonts w:hint="eastAsia" w:ascii="宋体" w:hAnsi="宋体" w:cs="宋体"/>
                <w:i w:val="0"/>
                <w:iCs w:val="0"/>
                <w:color w:val="000000"/>
                <w:kern w:val="0"/>
                <w:sz w:val="20"/>
                <w:szCs w:val="20"/>
                <w:u w:val="none"/>
                <w:lang w:val="en-US" w:eastAsia="zh-CN" w:bidi="ar"/>
              </w:rPr>
              <w:t>≥NVIDIA Quadro T600 4GB 专业图形显卡（GDDR6 显存，128 位宽，</w:t>
            </w:r>
            <w:r>
              <w:rPr>
                <w:rFonts w:hint="eastAsia" w:ascii="宋体" w:hAnsi="宋体" w:eastAsia="宋体" w:cs="宋体"/>
                <w:i w:val="0"/>
                <w:iCs w:val="0"/>
                <w:color w:val="000000"/>
                <w:kern w:val="0"/>
                <w:sz w:val="20"/>
                <w:szCs w:val="20"/>
                <w:u w:val="none"/>
                <w:lang w:val="en-US" w:eastAsia="zh-CN" w:bidi="ar"/>
              </w:rPr>
              <w:t>参照</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联想 ThinkStation P3</w:t>
            </w:r>
            <w:r>
              <w:rPr>
                <w:rFonts w:hint="eastAsia" w:ascii="宋体" w:hAnsi="宋体" w:cs="宋体"/>
                <w:i w:val="0"/>
                <w:iCs w:val="0"/>
                <w:color w:val="000000"/>
                <w:kern w:val="0"/>
                <w:sz w:val="20"/>
                <w:szCs w:val="20"/>
                <w:u w:val="none"/>
                <w:lang w:val="en-US" w:eastAsia="zh-CN" w:bidi="ar"/>
              </w:rPr>
              <w:t>、戴尔Precision 3660 Tower、华硕ProArt Station PD500TC）</w:t>
            </w:r>
            <w:r>
              <w:rPr>
                <w:rFonts w:hint="eastAsia" w:ascii="宋体" w:hAnsi="宋体" w:eastAsia="宋体" w:cs="宋体"/>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内存：≥64GBDDR5；</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存储：≥2TBNVMePCIe4.0SSD；</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网络：≥2.5GbE网卡，支持Wi-Fi6E；</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系统：</w:t>
            </w:r>
            <w:r>
              <w:rPr>
                <w:rFonts w:hint="eastAsia" w:ascii="宋体" w:hAnsi="宋体" w:cs="宋体"/>
                <w:i w:val="0"/>
                <w:iCs w:val="0"/>
                <w:color w:val="000000"/>
                <w:kern w:val="0"/>
                <w:sz w:val="20"/>
                <w:szCs w:val="20"/>
                <w:u w:val="none"/>
                <w:lang w:val="en-US" w:eastAsia="zh-CN" w:bidi="ar"/>
              </w:rPr>
              <w:t>WIN11 专业版</w:t>
            </w:r>
            <w:r>
              <w:rPr>
                <w:rFonts w:hint="eastAsia" w:ascii="宋体" w:hAnsi="宋体" w:eastAsia="宋体" w:cs="宋体"/>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用途：用于轻量渲染、测试、备份推流；</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显示器：≥27英寸，分辨率≥1920×1080；</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含鼠标键盘。</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0"/>
                <w:szCs w:val="20"/>
                <w:u w:val="none"/>
                <w:lang w:val="en-US" w:eastAsia="zh-CN" w:bidi="ar"/>
              </w:rPr>
              <w:t>131</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主直播相机套装</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传感器：相当于全画幅35mm ExmorRCMOS，有效像素≥3300万；</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视频能力：支持4K  60p  10bit 4</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2，S-Log3伽马；</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对焦系统：≥759点相位检测，实时眼部追踪；</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防抖：5轴机身防抖，支持动态防抖模式；</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镜头：28</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60mm ， F4-5.6，轻便变焦；</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接口：HDMIType-A，3.5mm麦克风/耳机孔；</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供电：相当于NP-FZ100电池，支持USB供电；</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0"/>
                <w:szCs w:val="20"/>
                <w:u w:val="none"/>
                <w:lang w:val="en-US" w:eastAsia="zh-CN" w:bidi="ar"/>
              </w:rPr>
              <w:t>132</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主镜头（标准变焦）</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焦距：24</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70mm，恒定F2.8光圈；</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镜片结构：≥15组19片，含≥6片FLD萤石级低色散镜片；</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对焦：步进马达，支持静音对焦与眼部追踪；</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防抖：无（依赖机身防抖）；</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重量：830g，金属镜身，防尘防滴；</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卡口：支持索尼E卡口；</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0"/>
                <w:szCs w:val="20"/>
                <w:u w:val="none"/>
                <w:lang w:val="en-US" w:eastAsia="zh-CN" w:bidi="ar"/>
              </w:rPr>
              <w:t>133</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副镜头（人像特写）</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焦距：50mm定焦，最大光圈F1.2；</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镜片结构：≥10组14片，含≥3片XA超级非球面镜片；</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对焦：≥4个XD线性马达，对焦速度≤0.1秒；</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重量：778g，具备光圈环与自定义按钮；</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适用场景：人像特写、产品细节拍摄；</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0"/>
                <w:szCs w:val="20"/>
                <w:u w:val="none"/>
                <w:lang w:val="en-US" w:eastAsia="zh-CN" w:bidi="ar"/>
              </w:rPr>
              <w:t>134</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高清直播、运营中控、后台监控终端</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配置≥12GBRAM+1TBROM；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屏幕尺寸≥6.9英寸OLEDLTPO，支持1–120Hz自适应刷新率；</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后置主摄≥5000万像素，支持可变光圈（f/1.4–f/4.0），XMAGE影像系统；</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支持≥IP68级防尘防水，支持80W有线+80W无线快充；</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内置支持多设备协同、AI隔空操控；</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电池容量≥5000mAh，续航≥1.5天（典型使用）。</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8</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0"/>
                <w:szCs w:val="20"/>
                <w:u w:val="none"/>
                <w:lang w:val="en-US" w:eastAsia="zh-CN" w:bidi="ar"/>
              </w:rPr>
              <w:t>135</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手机拍摄套装</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稳定器：三轴防抖，承重≥280g，续航≥9小时；</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补光灯：RGB全彩，亮度可调，显色指数≥95；</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控制方式：蓝牙连接，支持手势控制与跟踪；</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兼容性：支持主流手机型号，含快装板。</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0"/>
                <w:szCs w:val="20"/>
                <w:u w:val="none"/>
                <w:lang w:val="en-US" w:eastAsia="zh-CN" w:bidi="ar"/>
              </w:rPr>
              <w:t>136</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视频采集卡</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接口：PCIe3.0x4，支持4K30HDR采集；</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编码：支持H.264/H.265硬件编码；</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延迟：采集至推流延迟≤80ms；</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软件支持：兼容OBS、XSplit、vMix等。</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0"/>
                <w:szCs w:val="20"/>
                <w:u w:val="none"/>
                <w:lang w:val="en-US" w:eastAsia="zh-CN" w:bidi="ar"/>
              </w:rPr>
              <w:t>137</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多机位切换台</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输入：≥8路HDMI，支持4K30；</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输出：1路HDMI节目输出，1路USB-C推流；</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功能：支持画中画、转场特效、ISO通道录制；</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控制：支持软件控制与硬件面板。</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0"/>
                <w:szCs w:val="20"/>
                <w:u w:val="none"/>
                <w:lang w:val="en-US" w:eastAsia="zh-CN" w:bidi="ar"/>
              </w:rPr>
              <w:t>138</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专业三脚架</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云台：液压云台，承重≥8kg，阻尼可调；</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脚架：碳纤维材质，最大高度≥1.8m，折叠长度≤60cm；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快装板：200PL系列，兼容曼富图系统。</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0"/>
                <w:szCs w:val="20"/>
                <w:u w:val="none"/>
                <w:lang w:val="en-US" w:eastAsia="zh-CN" w:bidi="ar"/>
              </w:rPr>
              <w:t>139</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提词器</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屏幕：≥15.6英寸IPS， 分辨率≥1920×1080，亮度≥300nit；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控制：支持手机/平板APP远程控制；</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支架：可调角度，兼容各类相机；</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反射玻璃：高透光率，抗眩光；</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提供APP下载链接及使用指南。</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0"/>
                <w:szCs w:val="20"/>
                <w:u w:val="none"/>
                <w:lang w:val="en-US" w:eastAsia="zh-CN" w:bidi="ar"/>
              </w:rPr>
              <w:t>140</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无线麦克风</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系统：2.4GHz无线传输，范围≤200米；</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音质：24bit/48kHz，信噪比≥110dB；</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功能：支持双通道录制、安全音轨、USB-C充电；</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续航：发射端≥7小时，接收端≥5小时；</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动圈式麦克风头，心形指向性，总谐波失真≤0.9%；</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无线传输：UHF频段。</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0"/>
                <w:szCs w:val="20"/>
                <w:u w:val="none"/>
                <w:lang w:val="en-US" w:eastAsia="zh-CN" w:bidi="ar"/>
              </w:rPr>
              <w:t>141</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后期制作电脑</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处理器：</w:t>
            </w:r>
            <w:r>
              <w:rPr>
                <w:rFonts w:hint="eastAsia" w:ascii="宋体" w:hAnsi="宋体" w:cs="宋体"/>
                <w:i w:val="0"/>
                <w:iCs w:val="0"/>
                <w:color w:val="000000"/>
                <w:kern w:val="0"/>
                <w:sz w:val="20"/>
                <w:szCs w:val="20"/>
                <w:u w:val="none"/>
                <w:lang w:val="en-US" w:eastAsia="zh-CN" w:bidi="ar"/>
              </w:rPr>
              <w:t>≥14 核 20 线程，</w:t>
            </w:r>
            <w:r>
              <w:rPr>
                <w:rFonts w:hint="eastAsia" w:ascii="宋体" w:hAnsi="宋体" w:eastAsia="宋体" w:cs="宋体"/>
                <w:i w:val="0"/>
                <w:iCs w:val="0"/>
                <w:color w:val="000000"/>
                <w:kern w:val="0"/>
                <w:sz w:val="20"/>
                <w:szCs w:val="20"/>
                <w:u w:val="none"/>
                <w:lang w:val="en-US" w:eastAsia="zh-CN" w:bidi="ar"/>
              </w:rPr>
              <w:t>参照</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Apple Mac Studio M2 Max</w:t>
            </w:r>
            <w:r>
              <w:rPr>
                <w:rFonts w:hint="eastAsia" w:ascii="宋体" w:hAnsi="宋体" w:cs="宋体"/>
                <w:i w:val="0"/>
                <w:iCs w:val="0"/>
                <w:color w:val="000000"/>
                <w:kern w:val="0"/>
                <w:sz w:val="20"/>
                <w:szCs w:val="20"/>
                <w:u w:val="none"/>
                <w:lang w:val="en-US" w:eastAsia="zh-CN" w:bidi="ar"/>
              </w:rPr>
              <w:t>、戴尔Precision 5820 Tower、联想拯救者Y9000X 2023）；                       2.</w:t>
            </w:r>
            <w:r>
              <w:rPr>
                <w:rFonts w:hint="eastAsia" w:ascii="宋体" w:hAnsi="宋体" w:eastAsia="宋体" w:cs="宋体"/>
                <w:i w:val="0"/>
                <w:iCs w:val="0"/>
                <w:color w:val="000000"/>
                <w:kern w:val="0"/>
                <w:sz w:val="20"/>
                <w:szCs w:val="20"/>
                <w:u w:val="none"/>
                <w:lang w:val="en-US" w:eastAsia="zh-CN" w:bidi="ar"/>
              </w:rPr>
              <w:t>内存：≥64GB统一内存；</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存储：≥2TBSSD，读取速度≥5GB/s；</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接口：4×雷电4，HDMI，10GbEthernet；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系统：</w:t>
            </w:r>
            <w:r>
              <w:rPr>
                <w:rFonts w:hint="eastAsia" w:ascii="宋体" w:hAnsi="宋体" w:cs="宋体"/>
                <w:i w:val="0"/>
                <w:iCs w:val="0"/>
                <w:color w:val="000000"/>
                <w:kern w:val="0"/>
                <w:sz w:val="20"/>
                <w:szCs w:val="20"/>
                <w:u w:val="none"/>
                <w:lang w:val="en-US" w:eastAsia="zh-CN" w:bidi="ar"/>
              </w:rPr>
              <w:t>WIN11 专业版，</w:t>
            </w:r>
            <w:r>
              <w:rPr>
                <w:rFonts w:hint="eastAsia" w:ascii="宋体" w:hAnsi="宋体" w:eastAsia="宋体" w:cs="宋体"/>
                <w:i w:val="0"/>
                <w:iCs w:val="0"/>
                <w:color w:val="000000"/>
                <w:kern w:val="0"/>
                <w:sz w:val="20"/>
                <w:szCs w:val="20"/>
                <w:u w:val="none"/>
                <w:lang w:val="en-US" w:eastAsia="zh-CN" w:bidi="ar"/>
              </w:rPr>
              <w:t>参照</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Apple Mac Studio M2 Max</w:t>
            </w:r>
            <w:r>
              <w:rPr>
                <w:rFonts w:hint="eastAsia" w:ascii="宋体" w:hAnsi="宋体" w:cs="宋体"/>
                <w:i w:val="0"/>
                <w:iCs w:val="0"/>
                <w:color w:val="000000"/>
                <w:kern w:val="0"/>
                <w:sz w:val="20"/>
                <w:szCs w:val="20"/>
                <w:u w:val="none"/>
                <w:lang w:val="en-US" w:eastAsia="zh-CN" w:bidi="ar"/>
              </w:rPr>
              <w:t>、戴尔Precision 5820 Tower、联想拯救者Y9000X 2023）；</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提供≥3年服务；</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显示器：≥27英寸，分辨率≥1920×1080；</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含鼠标键盘等。</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0"/>
                <w:szCs w:val="20"/>
                <w:u w:val="none"/>
                <w:lang w:val="en-US" w:eastAsia="zh-CN" w:bidi="ar"/>
              </w:rPr>
              <w:t>142</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主Key灯、辅助面光、背景/轮廓光</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主Key灯：F21c，RGBWW全彩，显指≥96，功率≥21W；</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辅助面光：60d，5600K，亮度≥5100lux@1m；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轮廓光：100xS，双色温3200K–6500K，长度≥1m；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控制：支持APP/SDK/DMX控制。</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0"/>
                <w:szCs w:val="20"/>
                <w:u w:val="none"/>
                <w:lang w:val="en-US" w:eastAsia="zh-CN" w:bidi="ar"/>
              </w:rPr>
              <w:t>143</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灯架横臂系统</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材质：铝合金，承重≥15kg；</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调节范围：横臂长度≥1.5m，可360°旋转；</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安装方式：夹持或落地式。</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0"/>
                <w:szCs w:val="20"/>
                <w:u w:val="none"/>
                <w:lang w:val="en-US" w:eastAsia="zh-CN" w:bidi="ar"/>
              </w:rPr>
              <w:t>144</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电动绿幕系统</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尺寸：</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2.5m×2.5m，面料为无纺布，透光率≤5%；</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电机：静音电机，升降速度≤10秒；</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控制：遥控器控制，支持记忆位置。</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0"/>
                <w:szCs w:val="20"/>
                <w:u w:val="none"/>
                <w:lang w:val="en-US" w:eastAsia="zh-CN" w:bidi="ar"/>
              </w:rPr>
              <w:t>145</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实景背景系统</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背景布：≥3套（白/灰/木纹），材质为无纺布；</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架体：电动伸缩，最大宽度≥3m；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控制：遥控器控制，支持定时切换。</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0"/>
                <w:szCs w:val="20"/>
                <w:u w:val="none"/>
                <w:lang w:val="en-US" w:eastAsia="zh-CN" w:bidi="ar"/>
              </w:rPr>
              <w:t>146</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场景道具套装</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内容：含直播桌、产品展示架、装饰植物、背景板等；</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材质：实木/金属结构，环保涂料；</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风格：适配电商、访谈、教学等多种场景。</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0"/>
                <w:szCs w:val="20"/>
                <w:u w:val="none"/>
                <w:lang w:val="en-US" w:eastAsia="zh-CN" w:bidi="ar"/>
              </w:rPr>
              <w:t>147</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监看演示屏</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屏幕：≥65英寸IPS，3840×2160，60Hz；</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触控：≥20点触控，支持手写笔</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系统参照</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飞利浦 65英寸4K会议平板</w:t>
            </w:r>
            <w:r>
              <w:rPr>
                <w:rFonts w:hint="eastAsia" w:ascii="宋体" w:hAnsi="宋体" w:cs="宋体"/>
                <w:i w:val="0"/>
                <w:iCs w:val="0"/>
                <w:color w:val="000000"/>
                <w:kern w:val="0"/>
                <w:sz w:val="20"/>
                <w:szCs w:val="20"/>
                <w:u w:val="none"/>
                <w:lang w:val="en-US" w:eastAsia="zh-CN" w:bidi="ar"/>
              </w:rPr>
              <w:t>、LG 65英寸4K OLED电视、AOC U2790PQU 27英寸4K显示器）</w:t>
            </w:r>
            <w:r>
              <w:rPr>
                <w:rFonts w:hint="eastAsia" w:ascii="宋体" w:hAnsi="宋体" w:eastAsia="宋体" w:cs="宋体"/>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接口：HDMI×3，USB×4，Type-C；</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提供安装及校准服务。</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0"/>
                <w:szCs w:val="20"/>
                <w:u w:val="none"/>
                <w:lang w:val="en-US" w:eastAsia="zh-CN" w:bidi="ar"/>
              </w:rPr>
              <w:t>148</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推流中控电脑</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处理器：</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i7-12700T 处理器，12 核 20 线程（8P+4E）</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参照</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戴尔 OptiPlex 7010 SFF</w:t>
            </w:r>
            <w:r>
              <w:rPr>
                <w:rFonts w:hint="eastAsia" w:ascii="宋体" w:hAnsi="宋体" w:cs="宋体"/>
                <w:i w:val="0"/>
                <w:iCs w:val="0"/>
                <w:color w:val="000000"/>
                <w:kern w:val="0"/>
                <w:sz w:val="20"/>
                <w:szCs w:val="20"/>
                <w:u w:val="none"/>
                <w:lang w:val="en-US" w:eastAsia="zh-CN" w:bidi="ar"/>
              </w:rPr>
              <w:t>、联想ThinkCentre M90x Tiny、惠普EliteDesk 800 G9 SFF）</w:t>
            </w:r>
            <w:r>
              <w:rPr>
                <w:rFonts w:hint="eastAsia" w:ascii="宋体" w:hAnsi="宋体" w:eastAsia="宋体" w:cs="宋体"/>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显卡：</w:t>
            </w:r>
            <w:r>
              <w:rPr>
                <w:rFonts w:hint="eastAsia" w:ascii="宋体" w:hAnsi="宋体" w:cs="宋体"/>
                <w:i w:val="0"/>
                <w:iCs w:val="0"/>
                <w:color w:val="000000"/>
                <w:kern w:val="0"/>
                <w:sz w:val="20"/>
                <w:szCs w:val="20"/>
                <w:u w:val="none"/>
                <w:lang w:val="en-US" w:eastAsia="zh-CN" w:bidi="ar"/>
              </w:rPr>
              <w:t>≥6GB GDDR6，</w:t>
            </w:r>
            <w:r>
              <w:rPr>
                <w:rFonts w:hint="eastAsia" w:ascii="宋体" w:hAnsi="宋体" w:eastAsia="宋体" w:cs="宋体"/>
                <w:i w:val="0"/>
                <w:iCs w:val="0"/>
                <w:color w:val="000000"/>
                <w:kern w:val="0"/>
                <w:sz w:val="20"/>
                <w:szCs w:val="20"/>
                <w:u w:val="none"/>
                <w:lang w:val="en-US" w:eastAsia="zh-CN" w:bidi="ar"/>
              </w:rPr>
              <w:t>参照</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戴尔 OptiPlex 7010 SFF</w:t>
            </w:r>
            <w:r>
              <w:rPr>
                <w:rFonts w:hint="eastAsia" w:ascii="宋体" w:hAnsi="宋体" w:cs="宋体"/>
                <w:i w:val="0"/>
                <w:iCs w:val="0"/>
                <w:color w:val="000000"/>
                <w:kern w:val="0"/>
                <w:sz w:val="20"/>
                <w:szCs w:val="20"/>
                <w:u w:val="none"/>
                <w:lang w:val="en-US" w:eastAsia="zh-CN" w:bidi="ar"/>
              </w:rPr>
              <w:t>、联想ThinkCentre M90x Tiny、惠普EliteDesk 800 G9 SFF）</w:t>
            </w:r>
            <w:r>
              <w:rPr>
                <w:rFonts w:hint="eastAsia" w:ascii="宋体" w:hAnsi="宋体" w:eastAsia="宋体" w:cs="宋体"/>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内存：≥32GBDDR5；</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存储：≥1TBNVMeSSD；</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系统：Windows 11 专业版</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参照</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戴尔 OptiPlex 7010 SFF</w:t>
            </w:r>
            <w:r>
              <w:rPr>
                <w:rFonts w:hint="eastAsia" w:ascii="宋体" w:hAnsi="宋体" w:cs="宋体"/>
                <w:i w:val="0"/>
                <w:iCs w:val="0"/>
                <w:color w:val="000000"/>
                <w:kern w:val="0"/>
                <w:sz w:val="20"/>
                <w:szCs w:val="20"/>
                <w:u w:val="none"/>
                <w:lang w:val="en-US" w:eastAsia="zh-CN" w:bidi="ar"/>
              </w:rPr>
              <w:t>、联想ThinkCentre M90x Tiny、惠普EliteDesk 800 G9 SFF）</w:t>
            </w:r>
            <w:r>
              <w:rPr>
                <w:rFonts w:hint="eastAsia" w:ascii="宋体" w:hAnsi="宋体" w:eastAsia="宋体" w:cs="宋体"/>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提供≥3年上门保修服务；</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显示器：≥27英寸，分辨率≥1920×1080；</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含鼠标键盘等。</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149</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网络专线接入</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带宽参数：上下行对称≥1000Mbps（1Gbps），最大传输速率≥125MB/s，带宽抖动≤5ms，网络延迟≤10ms（同城）/≤30ms（异地）；</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线路规格：光纤专线接入，单模光纤（传输距离≤20km），支持GPON/EPON技术，接入方式为FTTH/FTTB，配备千兆端口光猫；</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服务等级：SLA服务等级协议，可用性≥99.99%，故障修复响应时间≤4小时（工作日）/≤8小时（节假日），带宽保障（无高峰时段限速）；</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安全配置：内置防火墙（支持端口映射、ACL规则），DDoS攻击防护（防护能力≥10Gbps），数据传输加密；</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功能特性：</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（1）直播网络适配：上下行对称带宽满足4K/8K直播推流（单路4K推流仅需20Mbps），支持多直播间同时推流（≥50路1080P直播流并发），无卡顿、无丢包（丢包率≤0.01%）；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（2）多网互联：支持连接公网、企业内网、云平台（阿里云/华为云），支持专线间互联（如多地直播间专线互通）</w:t>
            </w:r>
            <w:r>
              <w:rPr>
                <w:rFonts w:hint="eastAsia" w:ascii="宋体" w:hAnsi="宋体" w:cs="宋体"/>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支持带宽弹性扩容（按需升级至2Gbps/10Gbps）；</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管理便捷：提供企业级管理后台（实时查看带宽使用情况、流量统计、故障告警），支持流量账单明细导出，支持自定义带宽告警阈值；</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服务：免费提供静态公网IP（≥2个），支持域名备案协助，提供7×24小时专线技术支持（400专属客服）</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硬件参数（接入设备）：</w:t>
            </w:r>
            <w:r>
              <w:rPr>
                <w:rFonts w:hint="default" w:ascii="Times New Roman" w:hAnsi="Times New Roman" w:eastAsia="宋体" w:cs="Times New Roman"/>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（1）光猫参数：不少于4×千兆以太网口、2×电话口、1×USB2.0接口，支持Wi-Fi6，工作温度0-40℃，功耗≤15W；</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（2）路由器适配：支持企业级路由器，配备千兆WAN口，支持路由冗余、负载均衡，适配多设备同时接入（≥100台终端）。</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150</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移动存储</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接口：USB3.2Gen2，速度≥1GB/s；</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防护：≥IP65级防尘防水，≥3米防摔；</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加密：硬件AES256位加密；</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存储容量≥4TB；</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提供≥5年质保及数据恢复服务说明。</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151</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直播物料制作</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内容：含手举牌、KT板、商品信息卡、背景海报等；</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材质：KT板+覆膜，尺寸可定制；</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设计：提供专业视觉设计服务；</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投标文件中提供设计样稿及物料清单确认单。</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152</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办公及调试杂项</w:t>
            </w:r>
          </w:p>
        </w:tc>
        <w:tc>
          <w:tcPr>
            <w:tcW w:w="316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内容：含办公桌椅、线材、插排、调试人工、培训等；相关内容数量满足本项目实训要求。</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标准：所有线材符合国标GB/T5023，阻燃等级V0；</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服务：含设备联调、系统培训、基础装修协调。</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153</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图形工作站</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操作系统：windows11</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参照</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华为擎云G540</w:t>
            </w:r>
            <w:r>
              <w:rPr>
                <w:rFonts w:hint="eastAsia" w:ascii="宋体" w:hAnsi="宋体" w:cs="宋体"/>
                <w:i w:val="0"/>
                <w:iCs w:val="0"/>
                <w:color w:val="000000"/>
                <w:kern w:val="0"/>
                <w:sz w:val="20"/>
                <w:szCs w:val="20"/>
                <w:u w:val="none"/>
                <w:lang w:val="en-US" w:eastAsia="zh-CN" w:bidi="ar"/>
              </w:rPr>
              <w:t>、惠普ZBook Fury 16 G9（酷睿i7-13850HX）、戴尔Precision 5770（酷睿i7-12850HX）】</w:t>
            </w:r>
            <w:r>
              <w:rPr>
                <w:rFonts w:hint="eastAsia" w:ascii="宋体" w:hAnsi="宋体" w:eastAsia="宋体" w:cs="宋体"/>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CPU型号：</w:t>
            </w:r>
            <w:r>
              <w:rPr>
                <w:rFonts w:hint="eastAsia" w:ascii="宋体" w:hAnsi="宋体" w:cs="宋体"/>
                <w:i w:val="0"/>
                <w:iCs w:val="0"/>
                <w:color w:val="000000"/>
                <w:kern w:val="0"/>
                <w:sz w:val="20"/>
                <w:szCs w:val="20"/>
                <w:u w:val="none"/>
                <w:lang w:val="en-US" w:eastAsia="zh-CN" w:bidi="ar"/>
              </w:rPr>
              <w:t>≥i7-1260P ，</w:t>
            </w:r>
            <w:r>
              <w:rPr>
                <w:rFonts w:hint="eastAsia" w:ascii="宋体" w:hAnsi="宋体" w:eastAsia="宋体" w:cs="宋体"/>
                <w:i w:val="0"/>
                <w:iCs w:val="0"/>
                <w:color w:val="000000"/>
                <w:kern w:val="0"/>
                <w:sz w:val="20"/>
                <w:szCs w:val="20"/>
                <w:u w:val="none"/>
                <w:lang w:val="en-US" w:eastAsia="zh-CN" w:bidi="ar"/>
              </w:rPr>
              <w:t>参照</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华为擎云G540</w:t>
            </w:r>
            <w:r>
              <w:rPr>
                <w:rFonts w:hint="eastAsia" w:ascii="宋体" w:hAnsi="宋体" w:cs="宋体"/>
                <w:i w:val="0"/>
                <w:iCs w:val="0"/>
                <w:color w:val="000000"/>
                <w:kern w:val="0"/>
                <w:sz w:val="20"/>
                <w:szCs w:val="20"/>
                <w:u w:val="none"/>
                <w:lang w:val="en-US" w:eastAsia="zh-CN" w:bidi="ar"/>
              </w:rPr>
              <w:t>、惠普ZBook Fury 16 G9（酷睿i7-13850HX）、戴尔Precision 5770（酷睿i7-12850HX）】</w:t>
            </w:r>
            <w:r>
              <w:rPr>
                <w:rFonts w:hint="eastAsia" w:ascii="宋体" w:hAnsi="宋体" w:eastAsia="宋体" w:cs="宋体"/>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CPU核数：≥12核（4个性能核+8个能效核）；</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CPU主频：基础频率≥2.1GHz，最大睿频可达4.7GHz，配备≥18MB三级缓存，基础功耗≥28W，其性能核（P-Core）和能效核（E-Core）智能调度；</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处理器线程数：≥16线程；</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运行内存：≥16GB；</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存储容量：≥1TB；</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硬盘类型：SSD；</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屏幕色彩：100%sRGB；</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显示屏</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（1）屏幕类型：IPS；</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（2）屏幕尺寸：≥14英寸；</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（3）屏幕比例：16</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9；</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（4）分辨率：≥1920×1080；</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5</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PPI</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157</w:t>
            </w:r>
            <w:r>
              <w:rPr>
                <w:rFonts w:hint="eastAsia" w:ascii="宋体" w:hAnsi="宋体" w:cs="宋体"/>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（6）协同办公：支持；</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（7）对比度：≥1000</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1（典型值）；</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（8）亮度：≥300尼特（典型值）；</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（9）屏占比：≥83%；</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11.</w:t>
            </w:r>
            <w:r>
              <w:rPr>
                <w:rFonts w:hint="eastAsia" w:ascii="宋体" w:hAnsi="宋体" w:eastAsia="宋体" w:cs="宋体"/>
                <w:i w:val="0"/>
                <w:iCs w:val="0"/>
                <w:color w:val="000000"/>
                <w:kern w:val="0"/>
                <w:sz w:val="20"/>
                <w:szCs w:val="20"/>
                <w:u w:val="none"/>
                <w:lang w:val="en-US" w:eastAsia="zh-CN" w:bidi="ar"/>
              </w:rPr>
              <w:t>WLAN标准：IEEE802.11a/b/g/n/ac/ax，160MHz</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12.</w:t>
            </w:r>
            <w:r>
              <w:rPr>
                <w:rFonts w:hint="eastAsia" w:ascii="宋体" w:hAnsi="宋体" w:eastAsia="宋体" w:cs="宋体"/>
                <w:i w:val="0"/>
                <w:iCs w:val="0"/>
                <w:color w:val="000000"/>
                <w:kern w:val="0"/>
                <w:sz w:val="20"/>
                <w:szCs w:val="20"/>
                <w:u w:val="none"/>
                <w:lang w:val="en-US" w:eastAsia="zh-CN" w:bidi="ar"/>
              </w:rPr>
              <w:t>WLAN工作频段：2.4GHz/5GHz</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13.</w:t>
            </w:r>
            <w:r>
              <w:rPr>
                <w:rFonts w:hint="eastAsia" w:ascii="宋体" w:hAnsi="宋体" w:eastAsia="宋体" w:cs="宋体"/>
                <w:i w:val="0"/>
                <w:iCs w:val="0"/>
                <w:color w:val="000000"/>
                <w:kern w:val="0"/>
                <w:sz w:val="20"/>
                <w:szCs w:val="20"/>
                <w:u w:val="none"/>
                <w:lang w:val="en-US" w:eastAsia="zh-CN" w:bidi="ar"/>
              </w:rPr>
              <w:t>WLAN加密方式：支持WPA/WPA2/WPA3</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14.</w:t>
            </w:r>
            <w:r>
              <w:rPr>
                <w:rFonts w:hint="eastAsia" w:ascii="宋体" w:hAnsi="宋体" w:eastAsia="宋体" w:cs="宋体"/>
                <w:i w:val="0"/>
                <w:iCs w:val="0"/>
                <w:color w:val="000000"/>
                <w:kern w:val="0"/>
                <w:sz w:val="20"/>
                <w:szCs w:val="20"/>
                <w:u w:val="none"/>
                <w:lang w:val="en-US" w:eastAsia="zh-CN" w:bidi="ar"/>
              </w:rPr>
              <w:t>HDMI：1.4b或以上</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15.</w:t>
            </w:r>
            <w:r>
              <w:rPr>
                <w:rFonts w:hint="eastAsia" w:ascii="宋体" w:hAnsi="宋体" w:eastAsia="宋体" w:cs="宋体"/>
                <w:i w:val="0"/>
                <w:iCs w:val="0"/>
                <w:color w:val="000000"/>
                <w:kern w:val="0"/>
                <w:sz w:val="20"/>
                <w:szCs w:val="20"/>
                <w:u w:val="none"/>
                <w:lang w:val="en-US" w:eastAsia="zh-CN" w:bidi="ar"/>
              </w:rPr>
              <w:t>蓝牙：蓝牙5.2或以上</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16.</w:t>
            </w:r>
            <w:r>
              <w:rPr>
                <w:rFonts w:hint="eastAsia" w:ascii="宋体" w:hAnsi="宋体" w:eastAsia="宋体" w:cs="宋体"/>
                <w:i w:val="0"/>
                <w:iCs w:val="0"/>
                <w:color w:val="000000"/>
                <w:kern w:val="0"/>
                <w:sz w:val="20"/>
                <w:szCs w:val="20"/>
                <w:u w:val="none"/>
                <w:lang w:val="en-US" w:eastAsia="zh-CN" w:bidi="ar"/>
              </w:rPr>
              <w:t>摄像功能：≥720P高清隐藏式摄像头</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17.</w:t>
            </w:r>
            <w:r>
              <w:rPr>
                <w:rFonts w:hint="eastAsia" w:ascii="宋体" w:hAnsi="宋体" w:eastAsia="宋体" w:cs="宋体"/>
                <w:i w:val="0"/>
                <w:iCs w:val="0"/>
                <w:color w:val="000000"/>
                <w:kern w:val="0"/>
                <w:sz w:val="20"/>
                <w:szCs w:val="20"/>
                <w:u w:val="none"/>
                <w:lang w:val="en-US" w:eastAsia="zh-CN" w:bidi="ar"/>
              </w:rPr>
              <w:t>电池容量：锂聚合物≥56Wh（额定容量）</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18.</w:t>
            </w:r>
            <w:r>
              <w:rPr>
                <w:rFonts w:hint="eastAsia" w:ascii="宋体" w:hAnsi="宋体" w:eastAsia="宋体" w:cs="宋体"/>
                <w:i w:val="0"/>
                <w:iCs w:val="0"/>
                <w:color w:val="000000"/>
                <w:kern w:val="0"/>
                <w:sz w:val="20"/>
                <w:szCs w:val="20"/>
                <w:u w:val="none"/>
                <w:lang w:val="en-US" w:eastAsia="zh-CN" w:bidi="ar"/>
              </w:rPr>
              <w:t>扬声器：2个</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19.</w:t>
            </w:r>
            <w:r>
              <w:rPr>
                <w:rFonts w:hint="eastAsia" w:ascii="宋体" w:hAnsi="宋体" w:eastAsia="宋体" w:cs="宋体"/>
                <w:i w:val="0"/>
                <w:iCs w:val="0"/>
                <w:color w:val="000000"/>
                <w:kern w:val="0"/>
                <w:sz w:val="20"/>
                <w:szCs w:val="20"/>
                <w:u w:val="none"/>
                <w:lang w:val="en-US" w:eastAsia="zh-CN" w:bidi="ar"/>
              </w:rPr>
              <w:t>电源适配器：≥65W USB-C一体式电源适配器（标配）</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20.</w:t>
            </w:r>
            <w:r>
              <w:rPr>
                <w:rFonts w:hint="eastAsia" w:ascii="宋体" w:hAnsi="宋体" w:eastAsia="宋体" w:cs="宋体"/>
                <w:i w:val="0"/>
                <w:iCs w:val="0"/>
                <w:color w:val="000000"/>
                <w:kern w:val="0"/>
                <w:sz w:val="20"/>
                <w:szCs w:val="20"/>
                <w:u w:val="none"/>
                <w:lang w:val="en-US" w:eastAsia="zh-CN" w:bidi="ar"/>
              </w:rPr>
              <w:t>接口：扬声器×2，麦克风×2，3.5mm立体声耳机接口×1，HDMI标准接口×1，USB-A（USB3.2Gen1）接口×2，USB-A（USB2.0）接口×1，USB-C接口×1，RJ45接口×1，安全锁孔×1；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21.</w:t>
            </w:r>
            <w:r>
              <w:rPr>
                <w:rFonts w:hint="eastAsia" w:ascii="宋体" w:hAnsi="宋体" w:eastAsia="宋体" w:cs="宋体"/>
                <w:i w:val="0"/>
                <w:iCs w:val="0"/>
                <w:color w:val="000000"/>
                <w:kern w:val="0"/>
                <w:sz w:val="20"/>
                <w:szCs w:val="20"/>
                <w:u w:val="none"/>
                <w:lang w:val="en-US" w:eastAsia="zh-CN" w:bidi="ar"/>
              </w:rPr>
              <w:t>机身尺寸：325mm×218mm×17.2mm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22.</w:t>
            </w:r>
            <w:r>
              <w:rPr>
                <w:rFonts w:hint="eastAsia" w:ascii="宋体" w:hAnsi="宋体" w:eastAsia="宋体" w:cs="宋体"/>
                <w:i w:val="0"/>
                <w:iCs w:val="0"/>
                <w:color w:val="000000"/>
                <w:kern w:val="0"/>
                <w:sz w:val="20"/>
                <w:szCs w:val="20"/>
                <w:u w:val="none"/>
                <w:lang w:val="en-US" w:eastAsia="zh-CN" w:bidi="ar"/>
              </w:rPr>
              <w:t>机身重量：1.45kg（含电池）</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0"/>
                <w:sz w:val="20"/>
                <w:szCs w:val="20"/>
                <w:u w:val="none"/>
                <w:lang w:val="en-US" w:eastAsia="zh-CN" w:bidi="ar"/>
              </w:rPr>
              <w:t>23.</w:t>
            </w:r>
            <w:r>
              <w:rPr>
                <w:rFonts w:hint="eastAsia" w:ascii="宋体" w:hAnsi="宋体" w:eastAsia="宋体" w:cs="宋体"/>
                <w:i w:val="0"/>
                <w:iCs w:val="0"/>
                <w:color w:val="000000"/>
                <w:kern w:val="0"/>
                <w:sz w:val="20"/>
                <w:szCs w:val="20"/>
                <w:u w:val="none"/>
                <w:lang w:val="en-US" w:eastAsia="zh-CN" w:bidi="ar"/>
              </w:rPr>
              <w:t>整机颜色：银色</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40</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b/>
                <w:bCs/>
                <w:i w:val="0"/>
                <w:iCs w:val="0"/>
                <w:color w:val="000000"/>
                <w:kern w:val="0"/>
                <w:sz w:val="20"/>
                <w:szCs w:val="20"/>
                <w:u w:val="none"/>
                <w:lang w:val="en-US" w:eastAsia="zh-CN" w:bidi="ar"/>
              </w:rPr>
              <w:t>（二）信息化系统</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kern w:val="2"/>
                <w:sz w:val="21"/>
                <w:szCs w:val="21"/>
                <w:lang w:val="en-US" w:eastAsia="zh-CN" w:bidi="ar-SA"/>
              </w:rPr>
            </w:pPr>
            <w:r>
              <w:rPr>
                <w:rFonts w:hint="eastAsia" w:ascii="宋体" w:hAnsi="宋体" w:cs="宋体"/>
                <w:szCs w:val="21"/>
              </w:rPr>
              <w:t>序号</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kern w:val="2"/>
                <w:sz w:val="21"/>
                <w:szCs w:val="21"/>
                <w:lang w:val="en-US" w:eastAsia="zh-CN" w:bidi="ar-SA"/>
              </w:rPr>
            </w:pPr>
            <w:r>
              <w:rPr>
                <w:rFonts w:hint="eastAsia" w:ascii="宋体" w:hAnsi="宋体" w:cs="宋体"/>
                <w:szCs w:val="21"/>
              </w:rPr>
              <w:t>标的名称</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kern w:val="2"/>
                <w:sz w:val="21"/>
                <w:szCs w:val="21"/>
                <w:lang w:val="en-US" w:eastAsia="zh-CN" w:bidi="ar-SA"/>
              </w:rPr>
            </w:pPr>
            <w:r>
              <w:rPr>
                <w:rFonts w:hint="eastAsia" w:ascii="宋体" w:hAnsi="宋体" w:cs="宋体"/>
                <w:szCs w:val="21"/>
              </w:rPr>
              <w:t>主要技术参数及性能（配置）要求</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kern w:val="2"/>
                <w:sz w:val="21"/>
                <w:szCs w:val="21"/>
                <w:lang w:val="en-US" w:eastAsia="zh-CN" w:bidi="ar-SA"/>
              </w:rPr>
            </w:pPr>
            <w:r>
              <w:rPr>
                <w:rFonts w:hint="eastAsia" w:ascii="宋体" w:hAnsi="宋体" w:cs="宋体"/>
                <w:szCs w:val="21"/>
              </w:rPr>
              <w:t>数量</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kern w:val="2"/>
                <w:sz w:val="21"/>
                <w:szCs w:val="21"/>
                <w:lang w:val="en-US" w:eastAsia="zh-CN" w:bidi="ar-SA"/>
              </w:rPr>
            </w:pPr>
            <w:r>
              <w:rPr>
                <w:rFonts w:hint="eastAsia" w:ascii="宋体" w:hAnsi="宋体" w:cs="宋体"/>
                <w:szCs w:val="21"/>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154</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4K场景在线体验</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一、显示与解码性能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▲1、输出分辨率：3840×2160@60Hz，支持HDR10；</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视频编码：支持H.265/HEVC硬解码，码率≥50Mbps；</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▲3、内容库：包括但不限于老挝、泰国、印尼、柬埔寨等东盟国家标志性建筑、节庆、自然风光4K实拍素材，总时长≥120分钟；</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播放模式：支持自动循环、定时播放、远程触发；</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二、音频系统</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环境音效采集：采样率48kHz/24bit，信噪比≥110dB；</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音响系统：沉浸式4.1声道，频响范围50Hz～20kHz；</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三、控制与维护</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远程更新：支持网络远程内容更新与系统升级；</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接口：HDMI2.1×2，USB3.0×4，RJ45千兆网口；</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155</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沉浸式换装体验场景</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一、硬件平台</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▲1、推理显卡：≥32GBGDDR6显存；</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▲2、摄像头：深度分辨率≥1280×720@30fps；</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二、AI模型与性能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支持国家包括但不限于：中、泰、柬、老、印尼、马来、越、缅8国传统服饰模型；</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识别精度：换装准确率≥95%，支持多人同时识别；</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渲染延迟：实时渲染延迟≤100ms，输出分辨率≥1920×1080；</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三、系统功能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交互方式：支持全身动态捕捉，手势触发换装；</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输出接口：HDMI2.0×2，支持多屏同步显示；</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156</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手势交互控制识别服务场景</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一、传感器性能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▲1、深度传感器：分辨率≥512×424@30fps，检测距离0.5～4.5米；</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▲2、RGB摄像头：≥1920×1080@30fps；</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二、手势识别</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◆1、支持手势：包括双手推开、握拳选择、挥手切换等≥6种基础手势；（投标文件中提供手势识别算法测试报告及SDK使用文档并加盖投标人公章。）</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识别延迟：响应延迟≤200ms，识别准确率≥98%；</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扩展性：支持手势库自定义扩展；</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三、系统兼容</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操作系统：兼容Windows10/11，LinuxUbuntu18.04+；</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开发接口：提供C++/PythonSDK；</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157</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触屏国家选择场景</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一、屏幕参数</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尺寸：≥55英寸，全贴合红外触摸屏；</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▲2、分辨率：≥1920×1080，亮度≥350cd/m²；</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触控点数：≥10点触控，响应时间≤8ms；</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表面硬度：莫氏硬度≥7级钢化玻璃，防刮耐磨；</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二、软件功能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定制UI：可图标化展示东盟十国，支持中英文切换；</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触发方式：点击国家图标自动切换对应4K场景与音效；</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三、接口与安装</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接口包括但不限于：HDMI×2，USB×2，VGA×1；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安装方式：可壁挂/可立式，含安装支架；</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158</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地面地图交互服务</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一、地图规格</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▲1、尺寸：≥2m×1.5m，1</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500万比例东盟地图；</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材质：PVC耐磨地贴，表面防滑处理；</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二、感应系统</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传感器：≥32点红外压力传感器阵列，感应压力≥5kg；</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响应时间：踩踏识别≤1秒，支持多点同时触发；</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三、联动功能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触发内容：踩踏国家区域自动切换对应4K场景；</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系统接口：RS-485/USB输出，兼容中央控制主机；</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159</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大模型MaaS底座</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一、核心能力要求</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多模态融合能力：支持文本、图像等设计类核心多模态数据的兼容与协同处理，实现多模态能力的原生融合，为设计类场景提供全方位智能支撑。</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能力可控性：具备完善的权限管理、操作审计及流程管控机制，可对设计类AI能力的调用、输出进行</w:t>
            </w:r>
            <w:r>
              <w:rPr>
                <w:rFonts w:hint="eastAsia" w:ascii="宋体" w:hAnsi="宋体" w:cs="宋体"/>
                <w:i w:val="0"/>
                <w:iCs w:val="0"/>
                <w:color w:val="auto"/>
                <w:kern w:val="0"/>
                <w:sz w:val="20"/>
                <w:szCs w:val="20"/>
                <w:u w:val="none"/>
                <w:lang w:val="en-US" w:eastAsia="zh-CN" w:bidi="ar"/>
              </w:rPr>
              <w:t>全过</w:t>
            </w:r>
            <w:r>
              <w:rPr>
                <w:rFonts w:hint="eastAsia" w:ascii="宋体" w:hAnsi="宋体" w:eastAsia="宋体" w:cs="宋体"/>
                <w:i w:val="0"/>
                <w:iCs w:val="0"/>
                <w:color w:val="auto"/>
                <w:kern w:val="0"/>
                <w:sz w:val="20"/>
                <w:szCs w:val="20"/>
                <w:u w:val="none"/>
                <w:lang w:val="en-US" w:eastAsia="zh-CN" w:bidi="ar"/>
              </w:rPr>
              <w:t>程追溯，确保能力调用合规、可监管。</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能力复用性：采用标准化接口封装（兼容主流API规范），支持上层设计类应用低代码调用。</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二、管理能力要求</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数据管理：具备行业设计数据、设计知识的统一归集、分类存储及安全管控能力，数据处理符合《中华人民共和国个人信息保护法》等相关法规，确保数据来源合法、使用合规，支持数据全生命周期管理。</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模型管理：提供模型注册、版本管控、调度优化等全流程管理功能，可实现设计类相关模型的统一运维，支持模型性能监控与异常预警。</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三、服务支撑要求</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稳定性：系统运行稳定，设计类AI能力调用成功率不低于99.9%，响应延迟符合设计场景实际需求，具备故障自动恢复机制。</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可靠性：具备完善的备份与容灾能力，确保行业数据、设计知识及模型资源不丢失，可根据业务峰值动态调整算力分配，满足上层设计应用的持续调用需求。</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合规性：整体架构、技术实现及服务流程符合政府采购相关法规及行业技术标准，具备可审计、可追溯能力。</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160</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统一门户站点</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一、用户与权限管理模块</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用户管理功能：支持用户注册、注销、信息修改、密码重置等基础操作，可实现用户分级（如管理员、操作员、访客）管理，支持用户信息批量导入导出。</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权限校验模块：采用细粒度权限控制机制，可按角色、按模块分配操作权限，支持权限继承与自定义配置，操作前自动完成权限校验，具备权限变更日志记录功能，可追溯权限调整过程。</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单点登录</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SSO</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模块：支持主流SSO协议，实现与系统内各业务模块、上层设计应用的单点登录集成，用户一次登录即可访问所有授权资源，减少重复登录操作。</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统一登录页：提供标准化、可视化统一登录界面，支持账号密码登录、验证码登录（短信/图形）、第三方授权登录等多种方式，具备登录失败提示、密码找回引导等功能。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5.</w:t>
            </w:r>
            <w:r>
              <w:rPr>
                <w:rFonts w:hint="eastAsia" w:ascii="宋体" w:hAnsi="宋体" w:eastAsia="宋体" w:cs="宋体"/>
                <w:i w:val="0"/>
                <w:iCs w:val="0"/>
                <w:color w:val="auto"/>
                <w:kern w:val="0"/>
                <w:sz w:val="20"/>
                <w:szCs w:val="20"/>
                <w:u w:val="none"/>
                <w:lang w:val="en-US" w:eastAsia="zh-CN" w:bidi="ar"/>
              </w:rPr>
              <w:t>跨模块登录集成：实现统一门户与系统内核心模块、设计类应用的登录状态同步，支持跨模块登录跳转无感知，登录状态超时可自动提醒，同时具备登录异常监测与预警功能。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二、消息通知模块</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消息生成与存储：支持系统通知、业务提醒、异常告警等各类消息的自动生成与手动发布，消息内容规范、明确，具备消息分类（如系统类、业务类、告警类）存储功能，支持消息历史记录查询、导出。</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消息推送功能：支持多渠道消息推送（如门户站内通知、短信、邮件），可根据用户角色、消息类型自定义推送方式与接收频率，具备推送状态查询、未读消息提醒功能，推送记录可追溯。</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三、任务与审计模块</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任务看板与审计模块：提供可视化任务看板，支持任务创建、分配、进度跟踪、完成确认等全流程管理，可按任务类型、负责人、进度等维度筛选查看；同步集成审计功能，对任务全生命周期操作进行记录，任务执行可追溯。</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任务监控功能：实时监控任务执行状态，对任务超时、执行失败等异常情况进行自动告警，支持任务执行详情查看、异常排查与手动干预。</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操作日志审计：全面记录用户在门户及关联模块的所有操作行为（包括登录、权限变更、任务操作、数据访问等），日志内容包含操作人、操作时间、操作内容、操作结果等关键信息，支持日志按条件检索、导出。</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四、资源计费统计模块</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计费数据采集：自动采集系统内资源使用、模型调用、服务访问等相关计费数据，采集范围全面、数据准确，支持多维度数据采集（如按用户、按模块、按时间段），采集过程不影响系统正常运行。</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计费统计与展示：支持按日、周、月、季度等时间段进行计费数据统计，可按用户、资源类型、服务项目等维度生成统计报表，提供可视化图表（如柱状图、折线图）展示，支持统计数据导出。</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161</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AI决策辅助系统</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一、核心功能要求</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行业趋势分析与可视化展示：支持行业色彩、材质、形态三大核心维度的趋势分析，可整合多渠道行业数据，通过可视化图表（如折线图、热力图、雷达图）直观展示趋势变化规律，支持趋势时间段自定义（日/周/月/季度/年度），数据更新及时。</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趋势分析报告自动生成：可基于行业趋势数据，自动生成标准化趋势分析报告，报告包含趋势核心结论、数据支撑、变化预警及应用建议，支持报告自定义编辑、导出（支持PDF、Excel等格式）。</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竞品视觉特征分析与差异化评估：支持导入竞品设计方案、产品图片等素材，自动提取竞品视觉特征（色彩搭配、材质运用、形态设计等），与</w:t>
            </w:r>
            <w:r>
              <w:rPr>
                <w:rFonts w:hint="eastAsia" w:ascii="宋体" w:hAnsi="宋体" w:cs="宋体"/>
                <w:i w:val="0"/>
                <w:iCs w:val="0"/>
                <w:color w:val="auto"/>
                <w:kern w:val="0"/>
                <w:sz w:val="20"/>
                <w:szCs w:val="20"/>
                <w:u w:val="none"/>
                <w:lang w:val="en-US" w:eastAsia="zh-CN" w:bidi="ar"/>
              </w:rPr>
              <w:t>本单位</w:t>
            </w:r>
            <w:r>
              <w:rPr>
                <w:rFonts w:hint="eastAsia" w:ascii="宋体" w:hAnsi="宋体" w:eastAsia="宋体" w:cs="宋体"/>
                <w:i w:val="0"/>
                <w:iCs w:val="0"/>
                <w:color w:val="auto"/>
                <w:kern w:val="0"/>
                <w:sz w:val="20"/>
                <w:szCs w:val="20"/>
                <w:u w:val="none"/>
                <w:lang w:val="en-US" w:eastAsia="zh-CN" w:bidi="ar"/>
              </w:rPr>
              <w:t>自身设计进行多维度对比，生成差异化评估报告，明确设计优势与不足。</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多维度数据对比与趋势预测：支持按行业、品类、区域等多维度进行设计相关数据对比，可基于历史数据、行业规律，运用AI算法实现趋势预测，预测结果可量化展示，支持预测参数调整，为企业设计规划、产品迭代提供支撑。</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5.</w:t>
            </w:r>
            <w:r>
              <w:rPr>
                <w:rFonts w:hint="eastAsia" w:ascii="宋体" w:hAnsi="宋体" w:eastAsia="宋体" w:cs="宋体"/>
                <w:i w:val="0"/>
                <w:iCs w:val="0"/>
                <w:color w:val="auto"/>
                <w:kern w:val="0"/>
                <w:sz w:val="20"/>
                <w:szCs w:val="20"/>
                <w:u w:val="none"/>
                <w:lang w:val="en-US" w:eastAsia="zh-CN" w:bidi="ar"/>
              </w:rPr>
              <w:t>用户自定义分析维度配置：支持用户根据自身业务需求，自定义设计趋势、竞品分析的核心维度（如新增风格、工艺等维度），可保存自定义配置模板，支持模板复用。</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6.</w:t>
            </w:r>
            <w:r>
              <w:rPr>
                <w:rFonts w:hint="eastAsia" w:ascii="宋体" w:hAnsi="宋体" w:eastAsia="宋体" w:cs="宋体"/>
                <w:i w:val="0"/>
                <w:iCs w:val="0"/>
                <w:color w:val="auto"/>
                <w:kern w:val="0"/>
                <w:sz w:val="20"/>
                <w:szCs w:val="20"/>
                <w:u w:val="none"/>
                <w:lang w:val="en-US" w:eastAsia="zh-CN" w:bidi="ar"/>
              </w:rPr>
              <w:t>跨行业趋势迁移分析：具备跨行业设计趋势挖掘与迁移分析能力，可提取不同行业的优质设计趋势特征，结合本行业产品特点，生成趋势迁移建议。</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7.</w:t>
            </w:r>
            <w:r>
              <w:rPr>
                <w:rFonts w:hint="eastAsia" w:ascii="宋体" w:hAnsi="宋体" w:eastAsia="宋体" w:cs="宋体"/>
                <w:i w:val="0"/>
                <w:iCs w:val="0"/>
                <w:color w:val="auto"/>
                <w:kern w:val="0"/>
                <w:sz w:val="20"/>
                <w:szCs w:val="20"/>
                <w:u w:val="none"/>
                <w:lang w:val="en-US" w:eastAsia="zh-CN" w:bidi="ar"/>
              </w:rPr>
              <w:t>实时数据预警与异常监控：实时监测行业趋势数据、竞品设计数据的异常变化，设置自定义预警阈值，当数据出现异常波动时，自动触发告警（支持门户站内通知、短信等多渠道），并提供异常原因初步分析。</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二、性能与合规要求</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数据性能：支持多源数据（行业公开数据、合规授权数据等）的自动采集与整合，数据采集准确率不低于99%，趋势分析响应时间不超过3秒，报告生成时间不超过10秒。</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数据合规：数据采集、存储、分析及使用符合《中华人民共和国个人信息保护法》等相关法规，确保数据来源合法、使用合规，不泄露敏感信息、竞品核心数据，具备数据访问权限管控与操作追溯功能。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稳定性与兼容性：系统运行稳定，无重大故障，连续运行时间不低于99.9%；支持与统一门户站点、大模型MaaS底座的兼容对接，可通过标准化接口实现数据互通、功能联动。</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三、操作与维护要求</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操作便捷性：界面设计简洁规范，操作流程清晰，支持用户快速上手，具备操作指引、帮助文档等辅助功能，无需专业技术人员即可完成趋势分析、报告生成等核心操作。</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系统维护：具备完善的系统运维功能，支持数据备份与恢复、日志记录与查询，可对系统性能、数据采集情况进行实时监控，出现故障可快速排查与修复。</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162</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AI创意设计工作台</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一、核心创意生成功能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多模式创意生成：支持文生图、图生图两种核心创意生成方式。文生图支持精准解析设计需求描述（含风格、尺寸、细节等关键词），生成符合需求的设计初稿；图生图支持上传参考图片，基于原图风格、元素进行二次创作，可调整创作相似度，保留核心元素的同时实现创意延伸，生成结果可直接用于设计迭代。</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精准结构控制：集成ControlNet技术，支持对设计作品进行精准结构控制，可通过线条、骨架、深度图等方式定义设计结构，生成内容的比例、布局、形态符合设计预期。</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二、设计常用辅助功能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设计优化功能：支持局部重绘、高清放大、背景替换等常用设计功能。局部重绘可精准选取设计区域进行二次生成，不影响整体设计风格；高清放大支持无损放大设计作品，保留细节纹理；背景替换支持一键替换设计背景，提供多种背景模板，也可自定义上传背景素材。</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2D与3D转化预览：具备2D设计向3D资产的基础转化与预览能力，可将2D设计稿快速转化为简易3D模型，支持多角度预览，</w:t>
            </w:r>
            <w:r>
              <w:rPr>
                <w:rFonts w:hint="eastAsia" w:ascii="宋体" w:hAnsi="宋体" w:cs="宋体"/>
                <w:i w:val="0"/>
                <w:iCs w:val="0"/>
                <w:color w:val="auto"/>
                <w:kern w:val="0"/>
                <w:sz w:val="20"/>
                <w:szCs w:val="20"/>
                <w:u w:val="none"/>
                <w:lang w:val="en-US" w:eastAsia="zh-CN" w:bidi="ar"/>
              </w:rPr>
              <w:t>可</w:t>
            </w:r>
            <w:r>
              <w:rPr>
                <w:rFonts w:hint="eastAsia" w:ascii="宋体" w:hAnsi="宋体" w:eastAsia="宋体" w:cs="宋体"/>
                <w:i w:val="0"/>
                <w:iCs w:val="0"/>
                <w:color w:val="auto"/>
                <w:kern w:val="0"/>
                <w:sz w:val="20"/>
                <w:szCs w:val="20"/>
                <w:u w:val="none"/>
                <w:lang w:val="en-US" w:eastAsia="zh-CN" w:bidi="ar"/>
              </w:rPr>
              <w:t>直观呈现设计效果。</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三、设计管理与优化功能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版本管理与对比：支持设计方案的版本管理与多版本对比功能。可自动保存设计过程中的不同版本，标注版本修改时间、修改内容，支持版本回溯、版本删除、版本命名；多版本对比可直观展示不同版本的设计差异，支持分屏对比、细节对比。</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风格切换与融合：支持多风格快速切换与风格融合功能，内置多种主流设计风格（如简约风、工业风、国风等），可一键切换设计作品风格；支持两种及以上风格的融合设置，自定义风格融合比例。</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AI灵感推荐：具备AI设计灵感推荐功能，可基于当前设计主题、风格、元素，结合行业设计趋势，智能推荐相关设计灵感、元素搭配、色彩方案，支持灵感素材一键应用到当前设计中。</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设计规范校验：集成设计规范智能校验功能，可预设设计规范（如色彩标准、尺寸要求、元素规范等），对设计作品进行实时校验，自动识别不符合规范的内容并标注，提供修改建议。</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四、性能与合规要求</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运行性能：创意生成响应时间不超过5秒，高清放大、局部重绘等操作响应时间不超过3秒；支持多任务并行处理，不出现卡顿、崩溃现象，系统连续运行稳定性不低于99.9%。</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数据合规：设计素材、生成作品的存储、处理符合《中华人民共和国个人信息保护法》等相关法规，支持用户对自身设计作品的权限管控，可设置查看、编辑、导出权限，具备操作日志追溯功能。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兼容性：支持与统一门户站点、大模型MaaS底座、AI决策辅助系统</w:t>
            </w:r>
            <w:r>
              <w:rPr>
                <w:rFonts w:hint="eastAsia" w:ascii="宋体" w:hAnsi="宋体" w:cs="宋体"/>
                <w:i w:val="0"/>
                <w:iCs w:val="0"/>
                <w:color w:val="auto"/>
                <w:kern w:val="0"/>
                <w:sz w:val="20"/>
                <w:szCs w:val="20"/>
                <w:u w:val="none"/>
                <w:lang w:val="en-US" w:eastAsia="zh-CN" w:bidi="ar"/>
              </w:rPr>
              <w:t xml:space="preserve">互联互通 </w:t>
            </w:r>
            <w:r>
              <w:rPr>
                <w:rFonts w:hint="eastAsia" w:ascii="宋体" w:hAnsi="宋体" w:eastAsia="宋体" w:cs="宋体"/>
                <w:i w:val="0"/>
                <w:iCs w:val="0"/>
                <w:color w:val="auto"/>
                <w:kern w:val="0"/>
                <w:sz w:val="20"/>
                <w:szCs w:val="20"/>
                <w:u w:val="none"/>
                <w:lang w:val="en-US" w:eastAsia="zh-CN" w:bidi="ar"/>
              </w:rPr>
              <w:t>对接，可通过标准化接口实现数据互通、功能联动；适配不同终端（电脑、平板）及主流设计软件，支持设计文件导入导出（支持PSD、PNG、JPG、OBJ等常用格式）。</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五、操作与维护要求</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操作便捷性：界面布局合理，操作流程清晰，支持拖拽、一键操作等简易操作方式，具备操作指引、帮助文档等辅助功能。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系统维护：具备完善的运维功能，支持设计作品备份与恢复、操作日志查询、系统性能监控，出现故障可快速排查与修复；支持系统版本更新，及时优化功能、修复漏洞。</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163</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品牌营销赋能系统</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color w:val="auto"/>
              </w:rPr>
            </w:pPr>
            <w:r>
              <w:rPr>
                <w:rFonts w:hint="eastAsia"/>
                <w:color w:val="auto"/>
              </w:rPr>
              <w:t>一、核心转化能力</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产品与应用场景智能融合：支持导入设计成果（含产品设计图、视觉设计稿等），自动识别产品核心特征与设计亮点，整合多类应用场景素材（如居家、办公、户外等），实现产品与场景的智能融合，生成符合营销需求的场景化素材，素材可直接用于后续营销传播，支持场景类型自定义、融合效果调整。</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二、文案生成与优化功能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多平台文案自动生成：支持面向不同营销平台（如社交媒体、电商平台、宣传海报等）自动生成适配文案，可根据平台特性、设计主题、产品亮点，生成符合平台调性的标题、描述、宣传语等内容，支持文案字数、风格自定义设置。</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文案优化功能：具备文案智能优化能力，可对生成的文案进行语法校验、语句优化、关键词适配，结合行业营销规范，提升文案可读性与传播性；支持手动编辑修改文案，保留修改记录，支持文案版本管理与对比。</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三、多渠道内容输出功能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1.多渠道适配输出：支持将生成的营销素材（场景化设计、文案）适配多营销渠道输出，包括社交媒体、电商详情页、宣传海报、短视频脚本配图等，可自动调整素材尺寸、格式。</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eastAsia="宋体"/>
                <w:color w:val="auto"/>
                <w:lang w:eastAsia="zh-CN"/>
              </w:rPr>
            </w:pPr>
            <w:r>
              <w:rPr>
                <w:rFonts w:hint="eastAsia" w:ascii="宋体" w:hAnsi="宋体" w:cs="宋体"/>
                <w:i w:val="0"/>
                <w:iCs w:val="0"/>
                <w:color w:val="auto"/>
                <w:kern w:val="0"/>
                <w:sz w:val="20"/>
                <w:szCs w:val="20"/>
                <w:u w:val="none"/>
                <w:lang w:val="en-US" w:eastAsia="zh-CN" w:bidi="ar"/>
              </w:rPr>
              <w:t>2.输出效率与格式支持：支持批量输出营销素材及文案，可同时导出多个渠道所需内容；支持常用输出格式（如PNG、JPG、PDF、TXT等），支持素材与文案关联导出。</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四、性能与合规要求</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1.运行性能：场景融合、营销素材生成响应时间不超过6秒，文案生成及优化响应时间不超过3秒；支持多任务并行处理，无卡顿、崩溃现象，系统连续运行稳定性不低于99.9%。</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数据合规：营销素材、文案及相关设计成果的存储、处理符合《中华人民共和国个人信息保护法》等相关法规，支持用户对营销内容的权限管控，可设置查看、编辑、导出权限，防止内容泄露，具备操作日志追溯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兼容性：支持与统一门户站点、大模型MaaS底座、AI创意设计工作台兼容对接，可通过标准化接口实现设计成果、营销素材、文案的数据互通与功能联动；适配不同终端（电脑、平板）操作，支持与主流营销工具对接。</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五、操作与维护要求</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1.操作便捷性：界面布局合理，操作流程清晰，支持拖拽、一键生成、批量操作等简易方式，具备操作指引、帮助文档等辅助功能。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2.系统维护：具备完善的运维功能，支持营销素材、文案的备份与恢复、操作日志查询、系统性能监控，出现故障可快速排查与修复；支持系统版本更新，及时优化功能、修复漏洞。</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164</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生产衔接辅助系统</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一、生产参考信息辅助功能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设计方案生产参考：支持导入设计方案（含产品设计图、结构设计稿等），自动解析设计细节、尺寸参数、材质要求，生成对应的生产参考信息，包括加工工艺建议、生产设备适配清单、物料规格参考等，明确设计方案在生产环节的可实现性，为生产准备提供依据；支持参考信息自定义编辑、补充。</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二、工艺合规性校验功能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行业工艺知识整合与校验：整合行业主流生产工艺知识、行业标准及合规要求，对导入的设计方案进行工艺合规性校验，自动识别设计方案中与现有工艺不匹配、不符合行业标准的内容（如尺寸偏差、材质适配性、加工难度等），标注问题点并提供针对性调整建议。</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三、生产决策辅助报告功能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辅助报告自动输出：基于设计方案、工艺校验结果、生产参考信息，自动生成可用于生产决策参考的辅助报告，报告包含设计可生产性评估、工艺优化建议、生产关键节点提示等核心内容，支持报告自定义编辑、导出（支持PDF、Excel等格式），为企业生产决策提供数据支撑。</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四、供应链资源匹配与推荐功能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供应链资源匹配：整合合规供应链资源（含物料供应商、加工厂商、物流服务商等），基于设计方案的物料需求、工艺要求、生产周期，自动匹配符合条件的供应链资源，展示资源资质、报价、交付周期等关键信息，支持多维度筛选（如价格、资质、交付效率）。</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资源推荐：结合生产需求、历史合作数据及行业口碑，智能推荐优质供应链资源，标注资源优势及适配点，支持资源收藏、对比，</w:t>
            </w:r>
            <w:r>
              <w:rPr>
                <w:rFonts w:hint="eastAsia" w:ascii="宋体" w:hAnsi="宋体" w:cs="宋体"/>
                <w:i w:val="0"/>
                <w:iCs w:val="0"/>
                <w:color w:val="auto"/>
                <w:kern w:val="0"/>
                <w:sz w:val="20"/>
                <w:szCs w:val="20"/>
                <w:u w:val="none"/>
                <w:lang w:val="en-US" w:eastAsia="zh-CN" w:bidi="ar"/>
              </w:rPr>
              <w:t>可</w:t>
            </w:r>
            <w:r>
              <w:rPr>
                <w:rFonts w:hint="eastAsia" w:ascii="宋体" w:hAnsi="宋体" w:eastAsia="宋体" w:cs="宋体"/>
                <w:i w:val="0"/>
                <w:iCs w:val="0"/>
                <w:color w:val="auto"/>
                <w:kern w:val="0"/>
                <w:sz w:val="20"/>
                <w:szCs w:val="20"/>
                <w:u w:val="none"/>
                <w:lang w:val="en-US" w:eastAsia="zh-CN" w:bidi="ar"/>
              </w:rPr>
              <w:t>快速筛选合适的供应链合作伙伴。</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五、生产成本与周期管理功能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生产成本预估与优化：基于设计方案、物料需求、工艺要求、供应链报价等信息，自动预估生产成本，涵盖物料成本、加工成本、物流成本等，支持成本明细拆分；结合行业成本数据，提供成本优化建议，明确可降低成本的环节及具体措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生产周期模拟与排期建议：支持生产周期模拟，结合工艺复杂度、物料交付周期、生产设备负荷等因素，模拟整个生产流程的周期时长，识别生产瓶颈；基于模拟结果，生成科学的生产排期建议，明确各生产环节的时间节点、任务分配，优化生产流程。</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六、生产风险预警功能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多维度风险预警：实时监测生产相关环节（如物料供应、工艺执行、成本控制、生产周期等），设置自定义预警阈值，对物料短缺、工艺异常、成本超支、周期延误等潜在风险进行自动预警，支持多渠道告警（如门户站内通知、短信等）。</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2.风险分析与应对：针对预警的风险，自动提供初步风险原因分析，结合行业经验给出应对建议，帮助企业及时排查风险、采取应对措施，降低生产风险造成的损失。</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七、性能与合规要求</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1.运行性能：生产参考信息生成、工艺校验响应时间不超过5秒，成本预估、周期模拟响应时间不超过8秒；支持多任务并行处理，无卡顿、崩溃现象，系统连续运行稳定性不低于99.9%。</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数据合规：设计方案、生产数据、供应链信息等的存储、处理符合《中华人民共和国个人信息保护法》等相关法规，支持用户对相关数据的权限管控，可设置查看、编辑、导出权限，防止数据泄露，具备操作日志追溯功能；供应链资源资质审核合规。</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兼容性：支持与统一门户站点、大模型MaaS底座、AI创意设计工作台兼容对接，可通过标准化接口实现设计方案、生产数据、供应链信息的数据互通与功能联动；适配不同终端（电脑、平板）操作，支持与企业现有生产管理系统对接。</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八、操作与维护要求</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1.操作便捷性：界面布局合理，操作流程清晰，支持拖拽、一键查询、批量操作等简易方式，具备操作指引、帮助文档等辅助功能。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2.系统维护：具备完善的运维功能，支持生产数据、供应链信息、报告文件的备份与恢复、操作日志查询、系统性能监控，出现故障可快速排查与修复；支持系统版本更新，及时优化功能、修复漏洞。</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165</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智能体设计</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一、工业设计知识库</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1.汇聚产品设计标准，通过标准化API对接ISO、GB等标准数据库并结合人工审核机制确保标准时效性，在新产品设计阶段可快速检索适用标准，如家电产品需符合安全标准；</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2.整合材料特性数据，构建材料数据库并集成第三方材料供应商API与实验室测试数据，结构工程师选择材料时系统自动推荐符合强度要求的材料牌号；</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3.收集工艺知识，采用知识图谱技术关联工艺参数与产品类型</w:t>
            </w:r>
            <w:r>
              <w:rPr>
                <w:rFonts w:hint="eastAsia" w:ascii="宋体" w:hAnsi="宋体" w:cs="宋体"/>
                <w:i w:val="0"/>
                <w:iCs w:val="0"/>
                <w:color w:val="000000"/>
                <w:kern w:val="0"/>
                <w:sz w:val="20"/>
                <w:szCs w:val="20"/>
                <w:u w:val="none"/>
                <w:lang w:val="en-US" w:eastAsia="zh-CN" w:bidi="ar"/>
              </w:rPr>
              <w:t>，在</w:t>
            </w:r>
            <w:r>
              <w:rPr>
                <w:rFonts w:hint="eastAsia" w:ascii="宋体" w:hAnsi="宋体" w:eastAsia="宋体" w:cs="宋体"/>
                <w:i w:val="0"/>
                <w:iCs w:val="0"/>
                <w:color w:val="000000"/>
                <w:kern w:val="0"/>
                <w:sz w:val="20"/>
                <w:szCs w:val="20"/>
                <w:u w:val="none"/>
                <w:lang w:val="en-US" w:eastAsia="zh-CN" w:bidi="ar"/>
              </w:rPr>
              <w:t>3D打印设计时自动匹配最优层厚与打印速度参数；</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4.构建多维度知识图谱，使用图数据库实现实体关系建模，查询</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ABS材料</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时自动关联注塑工艺参数与相关产品案例；</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5.提供语义检索功能，基于模型实现同义词识别与上下文理解，设计师搜索</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防指纹处理</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可匹配</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AF涂层</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等专业术语；</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6.开发API服务接口，采用RESTful架构设计并支持JSON格式数据交互，与CAD软件集成可实时调用材料数据库进行设计验证；</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7.覆盖核心工业设计类别，按产品生命周期划分知识模块</w:t>
            </w:r>
            <w:r>
              <w:rPr>
                <w:rFonts w:hint="eastAsia" w:ascii="宋体" w:hAnsi="宋体" w:cs="宋体"/>
                <w:i w:val="0"/>
                <w:iCs w:val="0"/>
                <w:color w:val="000000"/>
                <w:kern w:val="0"/>
                <w:sz w:val="20"/>
                <w:szCs w:val="20"/>
                <w:u w:val="none"/>
                <w:lang w:val="en-US" w:eastAsia="zh-CN" w:bidi="ar"/>
              </w:rPr>
              <w:t>，在</w:t>
            </w:r>
            <w:r>
              <w:rPr>
                <w:rFonts w:hint="eastAsia" w:ascii="宋体" w:hAnsi="宋体" w:eastAsia="宋体" w:cs="宋体"/>
                <w:i w:val="0"/>
                <w:iCs w:val="0"/>
                <w:color w:val="000000"/>
                <w:kern w:val="0"/>
                <w:sz w:val="20"/>
                <w:szCs w:val="20"/>
                <w:u w:val="none"/>
                <w:lang w:val="en-US" w:eastAsia="zh-CN" w:bidi="ar"/>
              </w:rPr>
              <w:t>概念设计阶段自动推送人机工程学相关案例。</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二、抓取工具</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1.支持设计类网站数据抓取，基于框架开发定向爬虫，定期抓取设计作品以建立灵感素材库；</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2.支持产品数据库数据抓取，配置动态表单解析器处理JavaScript渲染页面，抓取电商平台产品参数以构建竞品分析数据库；</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3.支持行业平台信息抓取，开发定时任务调度系统按周期更新数据，定期抓取行业展会信息以生成市场动态报告；</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4.兼容HTML格式数据抓取，使用选择器提取结构化数据，从</w:t>
            </w:r>
            <w:r>
              <w:rPr>
                <w:rFonts w:hint="eastAsia" w:ascii="宋体" w:hAnsi="宋体" w:cs="宋体"/>
                <w:i w:val="0"/>
                <w:iCs w:val="0"/>
                <w:color w:val="000000"/>
                <w:kern w:val="0"/>
                <w:sz w:val="20"/>
                <w:szCs w:val="20"/>
                <w:u w:val="none"/>
                <w:lang w:val="en-US" w:eastAsia="zh-CN" w:bidi="ar"/>
              </w:rPr>
              <w:t>设计类网站</w:t>
            </w:r>
            <w:r>
              <w:rPr>
                <w:rFonts w:hint="eastAsia" w:ascii="宋体" w:hAnsi="宋体" w:eastAsia="宋体" w:cs="宋体"/>
                <w:i w:val="0"/>
                <w:iCs w:val="0"/>
                <w:color w:val="000000"/>
                <w:kern w:val="0"/>
                <w:sz w:val="20"/>
                <w:szCs w:val="20"/>
                <w:u w:val="none"/>
                <w:lang w:val="en-US" w:eastAsia="zh-CN" w:bidi="ar"/>
              </w:rPr>
              <w:t>官网抓取产品说明书以构建技术文档库；</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5.兼容JSON/XML格式数据解析，开发通用数据转换器支持多格式解析，对接政府开放API以获取最新行业政策文件；</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6.支持主流图片格式抓取，集成工具处理模型文件转换，抓取产品渲染图与模型以建立视觉素材库；</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7.实现IP轮换机制，对接代理服务API动态切换出口IP，大规模抓取时避免触发目标网站反爬机制；</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8.配置用户代理伪装功能，构建浏览器指纹池模拟真实设备访问特征，绕过网站UA检测以获取完整页面内容；</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9.集成验证码自动识别模块，训练模型识别常见验证码类型，自动处理登录验证以实现无人值守数据抓取。</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三、设计智能体</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（一）设计智能体扩图</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1.支持向上智能扩图，基于扩散模型的图像补全算法将产品主视图扩展为完整场景图，用于宣传册设计；</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2.支持向下智能扩图，通过语义分割+生成对抗网络组合模型将手机正面图扩展为整机效果图，保留设计语言一致性；</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3.支持向左智能扩图，采用上下文特征迁移学习将汽车侧面图扩展为完整车身设计，保持比例与透视关系；</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4.支持向右智能扩图，运用多尺度特征融合技术将家电局部设计扩展为完整产品形态，确保设计元素连贯性；</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5.支持四周环形扩展，通过环境感知建模将VR设备界面扩展为沉浸式虚拟展厅；</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6.扩展区域内容智能补全，采用风格迁移算法对残缺设计稿自动补全，保持光影与材质一致性。</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（二）专用CMF库</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1.内置金属材质库，基于PBR物理渲染技术，手机外壳设计时可实时预览不同金属质感差异；</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2.内置塑料材质库，建立材料光学特性参数库，选择材料时系统自动提示性能差异；</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3.内置陶瓷/玻璃材质库，通过光线追踪算法模拟表面反射，智能手表表盘设计时可对比不同玻璃效果；</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4.集成色卡系统，建立色值精确映射数据库</w:t>
            </w:r>
            <w:r>
              <w:rPr>
                <w:rFonts w:hint="eastAsia" w:ascii="宋体" w:hAnsi="宋体" w:cs="宋体"/>
                <w:i w:val="0"/>
                <w:iCs w:val="0"/>
                <w:color w:val="000000"/>
                <w:kern w:val="0"/>
                <w:sz w:val="20"/>
                <w:szCs w:val="20"/>
                <w:u w:val="none"/>
                <w:lang w:val="en-US" w:eastAsia="zh-CN" w:bidi="ar"/>
              </w:rPr>
              <w:t>，在</w:t>
            </w:r>
            <w:r>
              <w:rPr>
                <w:rFonts w:hint="eastAsia" w:ascii="宋体" w:hAnsi="宋体" w:eastAsia="宋体" w:cs="宋体"/>
                <w:i w:val="0"/>
                <w:iCs w:val="0"/>
                <w:color w:val="000000"/>
                <w:kern w:val="0"/>
                <w:sz w:val="20"/>
                <w:szCs w:val="20"/>
                <w:u w:val="none"/>
                <w:lang w:val="en-US" w:eastAsia="zh-CN" w:bidi="ar"/>
              </w:rPr>
              <w:t>品牌VI设计时调用标准色值以确保印刷一致性；</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5.包含多种表面处理工艺模拟，采用程序化纹理生成技术，比较不同工艺对产品手感的影响；</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6.支持材质实时更换预览，通过GPU加速实时渲染</w:t>
            </w:r>
            <w:r>
              <w:rPr>
                <w:rFonts w:hint="eastAsia" w:ascii="宋体" w:hAnsi="宋体" w:cs="宋体"/>
                <w:i w:val="0"/>
                <w:iCs w:val="0"/>
                <w:color w:val="000000"/>
                <w:kern w:val="0"/>
                <w:sz w:val="20"/>
                <w:szCs w:val="20"/>
                <w:u w:val="none"/>
                <w:lang w:val="en-US" w:eastAsia="zh-CN" w:bidi="ar"/>
              </w:rPr>
              <w:t>，在</w:t>
            </w:r>
            <w:r>
              <w:rPr>
                <w:rFonts w:hint="eastAsia" w:ascii="宋体" w:hAnsi="宋体" w:eastAsia="宋体" w:cs="宋体"/>
                <w:i w:val="0"/>
                <w:iCs w:val="0"/>
                <w:color w:val="000000"/>
                <w:kern w:val="0"/>
                <w:sz w:val="20"/>
                <w:szCs w:val="20"/>
                <w:u w:val="none"/>
                <w:lang w:val="en-US" w:eastAsia="zh-CN" w:bidi="ar"/>
              </w:rPr>
              <w:t>设计评审时快速切换多种材质方案以缩短决策周期；</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7.提供材质组合方案推荐，基于设计风格的协同过滤算法，户外产品设计时自动推荐耐候性材质组合。</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（三）设计智能体局部重绘</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1.支持画笔工具选区，基于实时轮廓跟踪修改产品按键细节，精确控制重绘范围；</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2.支持矩形框选工具，通过坐标映射与区域裁剪算法重绘产品屏幕显示内容，保持界面比例；</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3.支持圆形框选工具，采用贝塞尔曲线拟合技术修改耳机听筒圆形区域的网格纹理；</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4.支持AI智能识别选区，通过语义分割模型自动区分产品主体与背景，实现一键换色；</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5.提供边缘羽化功能，采用高斯模糊与 alpha 通道混合使重绘区域与原图自然过渡，避免生硬边界；</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6.支持多次撤销/重做操作，通过操作历史栈数据结构在设计迭代过程中对比不同方案效果；</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7.重绘结果实时预览，运用WebGL实时渲染技术在调整参数时即时查看效果，提升设计效率。</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（四）设计智能体高清放大</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1.支持基础放大，通过双三次插值算法快速预览产品细节，保持图像清晰度；</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2.支持标准放大，采用超分辨率模型在设计评审时查看按键纹理细节；</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3.支持精细放大，运用注意力机制导向的图像修复检查产品表面微小瑕疵；</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4.支持极限放大，通过多尺度特征融合超分算法展示微结构设计细节；</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5.采用AI超分辨率算法，基于深度学习的纹理重建将低分辨率参考图转换为高清设计素材；</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6.支持放大区域局部预览，通过视口裁剪与内存优化技术在低配置设备上流畅查看高清细节；</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7.适配工业设计特殊场景，针对金属/塑料纹理优化算法以展示表面细微纹理走向。</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（五）背景更换</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1.支持AI自动抠图，通过实例分割模型快速将产品从白底图转换为场景图；</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2.处理复杂边缘场景，采用算法与边缘细化技术保留耳机线材的发丝级细节边缘；</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3.提供纯色背景替换，通过HSV颜色空间调整生成符合品牌VI的产品宣传图；</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4.支持场景背景库，运用语义场景分类与匹配算法将智能音箱放置于客厅环境中展示；</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5.实现背景光影匹配，通过光照方向估计算法使产品阴影与新背景光源方向自动对齐；</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6.支持背景虚化效果，采用深度估计与高斯模糊模拟单反相机浅景深效果，突出产品主体；</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7.保留产品阴影细节，通过阴影分离与重合成技术在更换背景后保持产品原有立体感。</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四、信息处理智能体</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1.整合市场数据采集功能，对接第三方数据API与网络爬虫结合，监控竞品价格波动以生成市场动态报告；</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2.处理技术文档解析，基于文档理解模型自动提取专利文献中的技术参数，构建知识库；</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3.分析用户反馈数据，通过情感分析与主题建模算法从电商评论中识别产品痛点，指导设计改进；</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4.整合行业报告资源，采用结构化数据抽取与知识融合生成季度设计趋势简报，辅助决策；</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5.实现实体信息抽取，通过实体识别模型从技术文档中自动提取材料型号与性能参数；</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6.构建实体关系网络，运用知识图谱与关系推理算法分析供应链关系，识别潜在合作机会；</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7.提供趋势预测模型，通过时间序列预测下季度流行色趋势，指导产品配色设计；</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8.开展关联分析功能，采用关联规则挖掘算法发现设计元素与用户满意度的相关性；</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9.实现异常检测机制，通过孤立森林算法预警原材料价格异常波动，降低成本风险；</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10.提供聚类分析服务，采用聚类算法自动归类相似设计方案，避免重复开发；</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11.支持产品类型文本分类，通过分类模型自动识别设计方案所属品类，优化存储管理；</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12.开展用户评论情感分析，采用情感极性分类分析用户对产品外观的正面/负面反馈；</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13.生成设计文档自动摘要，通过摘要生成模型快速提取技术文档核心创新点，加速评审流程；</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14.实现关键词智能提取，通过关键词提取算法从设计说明中提取核心技术特征，优化检索效率；</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15.基于用户职位推送专业信息，采用协同过滤推荐算法向结构工程师推送材料强度数据，向UI设计师推送色彩趋势；</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16.根据项目阶段推送相关资源，通过基于规则的场景匹配在概念设计阶段推送灵感案例</w:t>
            </w:r>
            <w:r>
              <w:rPr>
                <w:rFonts w:hint="eastAsia" w:ascii="宋体" w:hAnsi="宋体" w:cs="宋体"/>
                <w:i w:val="0"/>
                <w:iCs w:val="0"/>
                <w:color w:val="000000"/>
                <w:kern w:val="0"/>
                <w:sz w:val="20"/>
                <w:szCs w:val="20"/>
                <w:u w:val="none"/>
                <w:lang w:val="en-US" w:eastAsia="zh-CN" w:bidi="ar"/>
              </w:rPr>
              <w:t>，在</w:t>
            </w:r>
            <w:r>
              <w:rPr>
                <w:rFonts w:hint="eastAsia" w:ascii="宋体" w:hAnsi="宋体" w:eastAsia="宋体" w:cs="宋体"/>
                <w:i w:val="0"/>
                <w:iCs w:val="0"/>
                <w:color w:val="000000"/>
                <w:kern w:val="0"/>
                <w:sz w:val="20"/>
                <w:szCs w:val="20"/>
                <w:u w:val="none"/>
                <w:lang w:val="en-US" w:eastAsia="zh-CN" w:bidi="ar"/>
              </w:rPr>
              <w:t>原型阶段推送工艺参数；</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17.支持个性化兴趣设置，通过用户画像与偏好学习让设计师自定义关注领域，接收定制化资讯推送。</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166</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数据清洗与入库服务</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一、历史设计资产整理服务</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支持对存量设计资产进行统一归集梳理，涵盖设计图纸、方案文档、图片素材、工艺文件、历史项目资料等多类型设计数据。</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支持按项目、品类、时间、类型等维度进行分类归档，实现散乱数据的结构化组织，支持批量导入、目录自动识别与文件格式兼容处理。</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提供资产清单生成功能，自动统计数据总量、类型分布、存储位置，形成可追溯的历史设计资产目录。</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二、数据去重功能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支持基于文件哈希值、内容特征、文件名、元数据等多维度自动识别重复数据。</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可对完全重复、高度相似数据进行标记与合并，支持人工复核机制，避免有效数据误删。</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提供去重前后数据对比统计，保留去重日志，数据处理过程可追溯。</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三、数据打标功能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支持对设计类数据进行标准化标签标注，包括行业品类、风格、色彩、材质、结构、应用场景、工艺类型等业务标签。</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提供系统自动打标与人工修正相结合模式，支持标签体系自定义配置、标签层级管理。</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支持批量标签编辑、标签导入导出、标签关联检索，为后续数据检索与模型调用提供基础。</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四、向量化处理功能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支持对文本、图像类设计数据进行特征提取与向量化转换，生成标准化向量数据。</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适配大模型检索需求，支持向量库对接，实现设计素材的语义检索、相似图检索能力。</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支持向量数据增量更新，保证向量库与原始数据同步，支持向量维度、算法参数的合理配置。</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五、数据质量校验与修复功能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数据完整性校验：检查文件缺失、内容残缺、格式损坏、关键信息缺失等问题并标记。</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数据规范性校验：对文件命名、格式、尺寸、分辨率、元数据信息进行规范性检查。</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数据有效性校验：识别无效文件、异常数据、涉密敏感信息，支持自动过滤或隔离处理。</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对可修复问题提供自动修复能力，包括格式标准化、缺失信息补全、异常值修正等，不可修复数据形成异常清单。</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六、数据管理系统功能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提供统一的数据资产管理界面，实现清洗后数据的集中存储、分类展示、权限管理与版本管理。</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支持数据预览、检索、下载、分享、禁用、归档等全生命周期管理操作。</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具备数据访问日志、操作日志记录功能，支持按人员、时间、操作类型检索审计。</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支持数据备份、恢复与容灾机制。</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七、数据收集与标注服务</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支持多源数据收集，包括系统上传、第三方接口对接、业务系统自动同步等方式。</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提供结构化数据、非结构化数据的统一接入能力，兼容常见设计文件格式。</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支持按需开展专业数据标注工作，包括设计要素标注、语义标注、目标检测标注、工艺标注等。</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提供标注任务管理、进度监控、质量抽检、结果验收功能，保证标注数据可用、可靠。</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八、性能与合规要求</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支持批量数据并行处理，处理效率满足项目级数据治理需求，无明显卡顿与数据丢失。</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数据处理准确率、标签匹配率、向量生成一致性满足业务应用与 AI 模型调用要求。</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数据全流程处理符合《中华人民共和国个人信息保护法》及行业数据安全规范，不泄露、不滥用原始数据。</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支持与统一门户站点、大模型 MaaS 底座、AI 创意设计工作台等系统对接，实现数据标准化入库与共享调用。</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九、操作与维护要求</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界面简洁清晰，支持批量操作、进度可视化、任务状态实时展示。</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提供处理日志、质量报告、入库统计报表，支持导出留存。</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FF0000"/>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系统运行稳定，具备异常中断恢复能力，保障大批量数据处理任务连续性。</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167</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模型微调训练服务</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一、行业专用风格模型</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（一）训练数据准备</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1.筛选行业专用训练数据，通过风格迁移算法与人工筛选从图片中精选符合家电风格的训练样本；</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2.进行数据去重处理，采用感知哈希与聚类算法去除重复或高度相似的设计样本，提升训练效率；</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3.实施数据标注，通过多标签分类体系为训练样本添加风格特征标签；</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4.统一数据格式，通过批量图像处理流水线将所有训练图统一为指定分辨率，RGB色彩模式；</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5.按比例划分训练集、验证集与测试集，通过分层抽样技术确保各风格类别在数据集分布均衡；</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6.生成训练数据清单，通过元数据管理系统记录样本来源、标签分布与数据质量评分；</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7.编写数据说明文档，通过数据字典与统计报告向算法团队提供数据采集与预处理的完整说明。</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二、行业专用风格模型微调训练</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（一）LoRA微调参数调试</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1.设计学习率参数组合方案，通过网格搜索与贝叶斯优化测试不同学习率对家电风格迁移效果的影响；</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2.制定迭代次数测试计划，采用早期停止策略通过验证集损失确定最优训练轮次，避免过拟合；</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3.测试不同正则化参数，通过交叉验证法对比正则与Dropout对模型泛化能力的影响；</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4.进行参数调试实验，通过控制变量法保持其他参数不变，单独测试批量大小对训练效果的影响；</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5.分析验证集效果，通过FID分数与人工评估确定生成图像与真实样本的相似度以确定最优参数；</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6.输出参数调试报告，通过参数敏感性分析向技术团队提供各参数对模型性能影响的分析。</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（二）多轮微调训练</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1.基于最优参数进行第一轮LoRA微调训练，通过低秩适应技术在保持基础模型能力的同时注入家电风格特征；</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2.分析训练结果，通过混淆矩阵与特征可视化识别模型对风格的学习效果问题；</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3.针对薄弱风格特征进行第二轮微调，通过样本增强与权重调整增加样本比例，强化模型学习；</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4.进行家电产品简约风格专项微调，通过领域自适应训练优化模型对直线条、功能化设计的表现能力；</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5.开展汽车产品运动风格专项微调，通过风格迁移损失函数优化强化模型对设计元素的表达；</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6.监控训练过程中的精度变化，通过可视化实时观察训练Loss曲线，及时调整超参数；</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7.记录每轮训练的超参数配置，通过实验管理平台保存完整训练记录，支持结果复现与对比分析。</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w:t>
            </w:r>
            <w:r>
              <w:rPr>
                <w:rFonts w:hint="eastAsia" w:ascii="宋体" w:hAnsi="宋体" w:cs="宋体"/>
                <w:i w:val="0"/>
                <w:iCs w:val="0"/>
                <w:color w:val="000000"/>
                <w:kern w:val="0"/>
                <w:sz w:val="20"/>
                <w:szCs w:val="20"/>
                <w:u w:val="none"/>
                <w:lang w:val="en-US" w:eastAsia="zh-CN" w:bidi="ar"/>
              </w:rPr>
              <w:t>提供</w:t>
            </w:r>
            <w:r>
              <w:rPr>
                <w:rFonts w:hint="eastAsia" w:ascii="宋体" w:hAnsi="宋体" w:eastAsia="宋体" w:cs="宋体"/>
                <w:i w:val="0"/>
                <w:iCs w:val="0"/>
                <w:color w:val="000000"/>
                <w:kern w:val="0"/>
                <w:sz w:val="20"/>
                <w:szCs w:val="20"/>
                <w:u w:val="none"/>
                <w:lang w:val="en-US" w:eastAsia="zh-CN" w:bidi="ar"/>
              </w:rPr>
              <w:t>不少于3个行业专用风格模型交付</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1.完成农产品包装行业风格模型，通过领域数据微调与风格约束生成符合传统中式与现代简约风格的农产品包装设计；</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2.完成文创产品风格模型，采用文化元素融合算法生成具有国潮风格的文创产品设计方案；</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3.完成消费电子风格模型，通过科技感元素强化学习生成符合科技感与极简主义的智能手机设计；</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4.优化模型推理速度，通过模型量化与剪枝缩短图像生成时间，提升用户体验；</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5.降低模型显存占用，通过内存优化与推理优化使模型能在消费级GPU上运行，降低硬件门槛；</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6.生成模型说明文档，按照技术白皮书规范向用户提供模型能力边界、使用场景与参数调优指南；</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7.提供模型效果样例集，通过对比实验与案例展示不同风格模型在相同输入下的生成效果差异。</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三、模型测试与交付</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（一）模型功能测试</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1.测试文生图核心功能，通过Prompt工程与效果评估输入</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红色智能手表</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生成符合描述的产品设计图；</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2.测试图生图功能，采用风格迁移评估指标将草图转换为渲染图，保持设计意图同时提升视觉效果；</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3.验证行业风格还原度，通过风格相似度计算对比生成的家电设计与真实家电产品的风格一致性；</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4.测试模型生成质量，通过清晰度评分与细节完整性检查评估生成图像的纹理细节与结构合理性；</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5.进行模型稳定性测试，通过压力测试与长时间运行连续高并发调用，验证输出一致性；</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6.测试极端输入场景，通过边界值测试处理包含矛盾描述的Prompt，验证模型容错能力。</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（二）模型交付与培训</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1.提供模型权重文件，通过加密存储与版本管理交付基础模型与LoRA适配器，确保知识产权保护；</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2.提供模型配置文件，采用YAML格式标准化包含推理参数与硬件需求，简化部署流程；</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3.开发模型部署脚本，通过Docker容器化与自动化部署支持一键部署至本地服务器或云平台；</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4.对用户进行模型使用培训，通过案例教学与实操演练培训设计师掌握Prompt编写技巧，提升生成效果；</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5.提供模型调优指南，通过参数调优手册指导用户根据需求调整生成风格、细节程度等参数；</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6.制定模型后续优化建议，通过性能评估与需求分析建议通过新增训练数据提升特定风格的生成能力；</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7.提供技术支持方案，通过SLA服务协议承诺响应，解决模型使用问题。</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168</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第三方接口集成</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一、行业资讯/趋势数据API集成</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（一）接口调研与适配</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 调研主流行业资讯/趋势数据API服务商；</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 分析API接口文档（请求格式、响应参数、调用限制）；</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 设计API适配层架构（统一请求/响应格式）；</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 输出接口集成方案文档。</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（二）接口与联调</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 开发API请求模块（参数拼接、签名验证）；</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 实现响应数据解析与格式化功能；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 开发接口调用异常处理模块（重试、降级、告警）；</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 与API服务商进行联调测试；</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 优化接口调用稳定性（超时设置、缓存策略）。</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（三）接口测试与文档编写</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 编写接口单元测试用例；</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 进行高并发接口调用测试；</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 验证数据获取准确性与实时性；</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 编写接口使用文档（调用方式、参数说明、注意事项）</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二、原材料价格行情API集成</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（一）接口调研与适配</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 调研主流原材料价格行情API服务商；</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 分析API接口文档（数据维度、更新频率、调用费用）；</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 设计数据存储结构（原材料类型、价格、时间戳、来源）；</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 输出接口集成方案文档</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（二）接口与联调</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 开发API请求模块（支持按原材料类型、时间范围查询）；</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 实现价格数据清洗与整合功能；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 开发接口调用缓存模块（减少重复调用）；</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 与API服务商进行联调测试；5. 处理API调用限制与配额管理</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（三）接口测试与文档编写</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 编写接口测试用例（正常请求、异常场景）；</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 测试数据更新实时性与准确性；</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 验证缓存策略有效性；</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 编写接口维护文档</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三、社交媒体发布接口预留</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（一）接口调研与设计</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 调研微信公众号/小红书开放平台接口文档；</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 设计接口预留架构（兼容不同平台API规范）；</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 制定接口适配层标准（统一参数格式、回调处理）；</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 输出预留接口设计文档</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（二）预留接口</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 开发平台认证模块（Token获取、刷新）；</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 实现发布内容格式化模块（适配不同平台要求）；</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 开发接口调用封装功能（统一调用入口）；</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 预留回调处理接口（发布状态通知、粉丝互动）</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（三）接口测试与文档编写</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 编写接口单元测试用例；</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 进行模拟接口调用测试；</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 验证接口兼容性与扩展性；</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 编写接口对接指南（供后续实际对接使用）</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四、OA/ERP/PLM系统接口集成</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（一）系统调研与适配</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 调研企业现有OA/ERP/PLM系统接口文档；</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 分析数据交互需求（用户数据、产品数据、流程数据）；</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 设计数据映射规则（系统间字段对应）；</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 输出系统集成方案文档</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（二）接口与联调</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 开发数据同步接口（单向/双向同步）；</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 实现数据格式转换模块（适配不同系统规范）；</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 开发接口调用权限控制模块；</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 与企业现有系统进行联调测试；</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 处理数据冲突与异常（重复数据、数据缺失）</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（三）接口测试与文档编写</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 编写接口功能测试用例（数据同步准确性、完整性）；</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 进行高并发数据同步测试；</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 验证接口稳定性（长时间运行测试）；</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 编写接口维护与故障排查文档</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169</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国产化适配与调优</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一、开源大模型迁移</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（一）迁移环境调研与准备</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1.采用兼容性矩阵分析法调研昇腾环境：梳理昇腾芯片的系统版本要求、驱动版本及固件依赖，确定环境兼容性基线；</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可</w:t>
            </w:r>
            <w:r>
              <w:rPr>
                <w:rFonts w:hint="eastAsia" w:ascii="宋体" w:hAnsi="宋体" w:eastAsia="宋体" w:cs="宋体"/>
                <w:i w:val="0"/>
                <w:iCs w:val="0"/>
                <w:color w:val="000000"/>
                <w:kern w:val="0"/>
                <w:sz w:val="20"/>
                <w:szCs w:val="20"/>
                <w:u w:val="none"/>
                <w:lang w:val="en-US" w:eastAsia="zh-CN" w:bidi="ar"/>
              </w:rPr>
              <w:t>通过硬件诊断工具分析海光处理器：检查CPU架构、核心数、缓存大小，制定驱动安装配置方案；</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3.对比测试主流国产操作系统：在统信UOS/麒麟OS上验证基础依赖，选择满足模型运行要求的系统版本；</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4.运用依赖扫描工具分析模型兼容性：识别与国产环境冲突的组件，输出兼容性报告；</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5.制定分层适配方案：硬件层、系统层、应用层，明确每层级调整措施；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6.设计轻量级适配策略：采用API封装层隔离框架差异，通过条件编译保留核心逻辑，最小化代码修改量；</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7.搭建国产化测试环境：部署昇腾服务器、安装MindSpore、配置NPU资源调度，通过环境检查脚本验证配置完整性。</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（二）模型运行配置与兼容性适配</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1.采用替换法迁移依赖库：将TensorFlow/PyTorch依赖替换为MindSpore等效实现，通过单元测试验证功能一致性；</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2.优化系统配置参数：调整NPU设备内存分配、设置CPU亲和性，提升硬件资源利用率；</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3.采用适配器模式修改接口调用：封装框架差异接口，通过统一抽象接口隔离底层框架，实现</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一次调用，多框架兼容</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4.调整运行参数适配国产算力：设置昇腾NPU的精度模式、优化算子选择；</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5.通过MD5校验验证模型权重加载：对比迁移前后权重文件哈希值，确保权重参数完整迁移，无数据损坏；</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6.开展功能验证测试：使用标准测试集验证模型推理功能，确保输出结果与原环境一致；</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7.开发标准化部署脚本：集成环境检查、依赖安装、模型转换功能，实现一键部署。</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（三）迁移测试与问题修复</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1.设计全量功能测试用例：覆盖模型推理、性能指标、异常处理等核心功能点；</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2.实施对比测试方案：在原环境与国产环境运行相同测试集，对比输出结果，确保差异在可接受范围；</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3.开发国产化问题排查工具：监控NPU利用率、算子执行耗时，定位国产环境特有问题；</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4.修复兼容性问题：对不支持的算子采用自定义实现，对精度问题通过混合精度训练优化；</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5.开展长时间稳定性测试：连续运行模型推理服务，监控内存泄漏、服务可用性及输出一致性；</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6.测试极端负载场景：模拟峰值流量，验证系统容错能力与资源调度效率。</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二、国产运行环境推理性能评估与参数级调优</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（一）推理性能评估</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1.采用基准测试法测试推理时延：使用样本测试集，记录单样本平均处理时间及波动范围，识别长尾延迟样本；</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2.通过系统监控工具评估资源占用：记录CPU使用率、内存占用、NPU计算单元利用率，定位资源瓶颈；</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3.开展并发压力测试：逐步增加并发请求数，记录吞吐量与错误率，确定最大支持并发数；</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4.运用性能分析工具识别优化空间：分析算子耗时占比、内存访问效率、计算密集型/IO密集型操作分布；</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5.对比不同输入尺寸性能：测试多尺寸输入下的推理耗时与精度，确定精度与性能平衡的最优输入配置；</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6.生成包含瓶颈分析、优化建议的性能评估报告，附与行业基准值对比。</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（二）参数级调优</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1.采用控制变量法调整批量大小：测试不同批量大小时的吞吐量与延迟，确定最优批量配置；</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2.优化并发处理策略：对比线程池与异步IO模式，结合NPU核心数设置最优线程数，平衡吞吐量与响应时间；</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3.调整推理精度等级：测试不同精度模式下的精度损失与性能提升，选择最优精度模式；</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4.优化内存分配策略：采用内存池技术预分配内存，减少动态内存申请开销；通过内存复用降低内存占用峰值；</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5.适配国产CPU特性调整线程池：根据CPU的NUMA架构配置线程绑定，设置CPU缓存亲和性，减少跨节点内存访问开销；</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6.通过正交实验法测试参数组合：设计批量大小、精度模式、线程数的多组组合，通过极差分析确定最优配置。</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（三）运行效果验证</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1.对比调优前后性能指标：响应速度提升幅度、吞吐量增长倍数；</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2.开展精度一致性验证：使用样本测试集对比调优前后输出结果，确保关键指标差异在可接受范围，质量不下降；</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3.测试高并发稳定性：模拟多用户并发请求，监控输出结果一致性、错误率及服务可用性；</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4.评估资源优化效果：对比调优前后CPU占用率、内存占用峰值、NPU利用率；</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5.进行长时间运行测试：监控系统资源泄漏、服务响应时间稳定性及异常恢复能力；</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6.输出包含调优前后性能对比表、精度验证报告、稳定性测试结果的调优验证文档，附优化参数配置清单。</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7.对比调优前后的模型响应速度，评估性能提升幅度；</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8.验证调优后输出效果与原效果的一致性，确保质量不下降；</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9.测试高并发场景下的输出稳定性，确保结果一致性；</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10.评估资源占用优化效果，验证CPU/内存使用降低比例；</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11.进行长时间运行测试，验证调优后系统稳定性；</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12.输出调优验证报告，包含性能对比与质量评估。</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170</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超写实数字人定制</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◆1、建模精度：采用高精度3D扫描与建模技术，面部三角面数≥200万面，身体建模≥800万面； </w:t>
            </w:r>
            <w:r>
              <w:rPr>
                <w:rFonts w:hint="eastAsia" w:ascii="宋体" w:hAnsi="宋体" w:cs="宋体"/>
                <w:i w:val="0"/>
                <w:iCs w:val="0"/>
                <w:color w:val="000000"/>
                <w:kern w:val="0"/>
                <w:sz w:val="20"/>
                <w:szCs w:val="20"/>
                <w:u w:val="none"/>
                <w:lang w:val="en-US" w:eastAsia="zh-CN" w:bidi="ar"/>
              </w:rPr>
              <w:t>（在投标文件中提供有相应检测资质的第三方检测机构出具的关于此要求的检测报告扫描件并加盖投标人公章）</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表情系统：支持≥52种微表情驱动，包括眼球转动、嘴唇微张、眉毛挑动等；</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动作捕捉：支持全身动作实时驱动，动作延迟≤50ms；</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渲染输出：支持≥4K（3840×2160）实时渲染，帧率≥30fps，支持HDR色彩；</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声线克隆：支持个性化声线定制，语音合成自然度≥4.5MOS分；</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服装系统：支持多套服装、发型、配饰实时切换，每套模型加载时间≤3秒；</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输出格式：支持RTMP、SRT、WebRTC等多协议推流；</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系统兼容：支持Windows10/11，配置GPU参照</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魔珐科技 / 腾讯智影</w:t>
            </w:r>
            <w:r>
              <w:rPr>
                <w:rFonts w:hint="eastAsia" w:ascii="宋体" w:hAnsi="宋体" w:cs="宋体"/>
                <w:i w:val="0"/>
                <w:iCs w:val="0"/>
                <w:color w:val="000000"/>
                <w:kern w:val="0"/>
                <w:sz w:val="20"/>
                <w:szCs w:val="20"/>
                <w:u w:val="none"/>
                <w:lang w:val="en-US" w:eastAsia="zh-CN" w:bidi="ar"/>
              </w:rPr>
              <w:t>、百度智能云·数字人平台、网易伏羲·数字人系统）</w:t>
            </w:r>
            <w:r>
              <w:rPr>
                <w:rFonts w:hint="eastAsia" w:ascii="宋体" w:hAnsi="宋体" w:eastAsia="宋体" w:cs="宋体"/>
                <w:i w:val="0"/>
                <w:iCs w:val="0"/>
                <w:color w:val="000000"/>
                <w:kern w:val="0"/>
                <w:sz w:val="20"/>
                <w:szCs w:val="20"/>
                <w:u w:val="none"/>
                <w:lang w:val="en-US" w:eastAsia="zh-CN" w:bidi="ar"/>
              </w:rPr>
              <w:t>；</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171</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AI直播驱动引擎</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 语音驱动：支持实时语音识别与口型同步，识别准确率≥98%；</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 智能问答：内置行业知识库，支持实时问答与弹幕互动，响应时间≤1秒；</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 脚本联动：支持PPT、Word、Excel脚本自动解析与场景切换；</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 话术库：内置电商、教育、金融等行业话术模板≥1000条；</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 多平台推流：支持抖音、淘宝、快手、视频号等主流平台同步推流；</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 系统要求：运行环境为Windows Server 2019或更高版本，内存≥64GB；</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172</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数字人系统年度服务</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 服务内容</w:t>
            </w:r>
            <w:r>
              <w:rPr>
                <w:rFonts w:hint="eastAsia" w:ascii="宋体" w:hAnsi="宋体" w:cs="宋体"/>
                <w:i w:val="0"/>
                <w:iCs w:val="0"/>
                <w:color w:val="000000"/>
                <w:kern w:val="0"/>
                <w:sz w:val="20"/>
                <w:szCs w:val="20"/>
                <w:u w:val="none"/>
                <w:lang w:val="en-US" w:eastAsia="zh-CN" w:bidi="ar"/>
              </w:rPr>
              <w:t>：包</w:t>
            </w:r>
            <w:r>
              <w:rPr>
                <w:rFonts w:hint="eastAsia" w:ascii="宋体" w:hAnsi="宋体" w:eastAsia="宋体" w:cs="宋体"/>
                <w:i w:val="0"/>
                <w:iCs w:val="0"/>
                <w:color w:val="000000"/>
                <w:kern w:val="0"/>
                <w:sz w:val="20"/>
                <w:szCs w:val="20"/>
                <w:u w:val="none"/>
                <w:lang w:val="en-US" w:eastAsia="zh-CN" w:bidi="ar"/>
              </w:rPr>
              <w:t>含系统授权、算法更新、故障排查、性能优化；</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 支持方式：7×24小时远程+现场支持，响应时间≤2小时；</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 更新频率：每季度至少一次系统更新与模型优化；</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 培训服务：提供不少于2次技术培训，每次≥4课时；</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 服务报告：每月提供系统运行状态报告；</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173</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AI直播中控</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 功能：自动场控、弹幕过滤、智能回复、数据统计；</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 兼容平台：抖音、快手、淘宝、视频号等；</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 系统要求：Windows Server 2019，内存≥16GB；</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 提供系统一年期更新服务。</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174</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数据分析服务</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一、核心功能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（一）账号分析</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支持≥20种账号核心分析指标，包括但不限于粉丝数、点赞数、评论数、转发数、播放量、发布频率等。</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提供多维度账号分析视图，可按时间周期、内容类型、平台类型等维度查看账号数据。</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支持账号历史数据查询，可查询≥365天的历史账号数据。</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账号分析准确率≥95%。</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（二）竞品追踪</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支持≥500个竞品账号同时追踪。</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提供竞品实时数据监控，可实时查看竞品账号的最新动态。</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支持竞品对比分析，可对比多个竞品账号的核心指标。</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竞品追踪数据更新频率≥1次/小时。</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（三）流量来源分析</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支持≥10种流量来源分析，包括但不限于自然流量、搜索流量、推荐流量、广告流量、社交流量等。</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提供流量转化率分析，可分析不同流量来源的转化效果。</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支持流量路径分析，可查看用户从进入平台到完成转化的完整路径。</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流量来源分析准确率≥90%。</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（四）GMV预测</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提供GMV智能预测功能，可根据历史数据预测未来GMV。</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支持多时间维度预测，可预测未来7天、14天、30天的GMV。</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提供GMV影响因素分析，可分析影响GMV的关键因素。</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GMV预测准确率≥90%。</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二、功能扩展</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（一）内容分析</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支持≥20种内容核心分析指标，包括但不限于内容类型、时长、标题、关键词、话题标签等。</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提供热门内容分析，可分析平台上的热门内容趋势。</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支持内容传播路径分析，可查看内容的传播过程。</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内容分析准确率≥95%。</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（二）用户分析</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支持≥20种用户核心分析指标，包括但不限于用户性别、年龄、地域、兴趣爱好、消费行为等。</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提供用户画像构建，可根据用户数据生成用户画像。</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支持用户行为分析，可分析用户的浏览、点赞、评论、分享等行为。</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用户分析准确率≥95%。</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（三）广告效果分析</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支持≥10种广告核心分析指标，包括但不限于曝光量、点击量、转化率、投放成本、ROI等。</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提供广告投放效果优化建议，可根据分析结果优化广告投放策略。</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支持广告对比分析，可对比多个广告的投放效果。</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广告效果分析准确率≥90%。</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（四）市场洞察</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提供市场趋势分析，可分析平台的整体市场趋势。</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支持竞品市场占有率分析，可分析竞品在平台上的市场占有率。</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提供行业报告生成功能，可根据分析结果生成行业报告。</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市场洞察准确率≥90%。</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三、数据更新频率</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（一）实时数据更新</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核心数据更新频率≥1次/小时。</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实时数据更新延迟≤5分钟。</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实时数据准确率≥99%。</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实时数据丢失率≤0.1%。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（二）每日数据更新</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每日数据更新时间≤24小时。</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每日数据更新覆盖率≥98%。</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每日数据更新准确率≥99%。</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每日数据更新丢失率≤0.5%。</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（三）历史数据更新</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历史数据更新频率≥1次/周。</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历史数据更新覆盖率≥95%。</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历史数据更新准确率≥99%。</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历史数据更新丢失率≤1%。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（四）特殊数据更新</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支持自定义数据更新频率，可根据需求设置特殊数据的更新频率。</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支持数据增量更新，可只更新新增或变更的数据。</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特殊数据更新响应时间≤24小时。</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特殊数据更新准确率≥99%。</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四、平台性能与安全</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（一）平台性能指标</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并发用户数≥1000人。</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系统响应时间≤2秒。</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系统可用性≥99.9%。</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平台存储容量≥10TB。</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（二）平台安全保障</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符合国家网络安全等级保护2.0三级标准。</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采用HTTPS协议保障数据传输安全。</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支持用户身份认证与权限控制，采用RBAC权限模型。</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提供操作审计功能，可记录所有用户操作日志。</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（三）数据安全与合规</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支持数据加密存储，采用AES-256加密算法。</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提供数据备份与恢复功能，可定期备份关键数据。</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符合《</w:t>
            </w:r>
            <w:r>
              <w:rPr>
                <w:rFonts w:hint="eastAsia" w:ascii="宋体" w:hAnsi="宋体" w:cs="宋体"/>
                <w:i w:val="0"/>
                <w:iCs w:val="0"/>
                <w:color w:val="auto"/>
                <w:kern w:val="0"/>
                <w:sz w:val="20"/>
                <w:szCs w:val="20"/>
                <w:u w:val="none"/>
                <w:lang w:val="en-US" w:eastAsia="zh-CN" w:bidi="ar"/>
              </w:rPr>
              <w:t>中华人民共和国网络安全法</w:t>
            </w:r>
            <w:r>
              <w:rPr>
                <w:rFonts w:hint="eastAsia" w:ascii="宋体" w:hAnsi="宋体" w:eastAsia="宋体" w:cs="宋体"/>
                <w:i w:val="0"/>
                <w:iCs w:val="0"/>
                <w:color w:val="auto"/>
                <w:kern w:val="0"/>
                <w:sz w:val="20"/>
                <w:szCs w:val="20"/>
                <w:u w:val="none"/>
                <w:lang w:val="en-US" w:eastAsia="zh-CN" w:bidi="ar"/>
              </w:rPr>
              <w:t>》《</w:t>
            </w:r>
            <w:r>
              <w:rPr>
                <w:rFonts w:hint="eastAsia" w:ascii="宋体" w:hAnsi="宋体" w:cs="宋体"/>
                <w:i w:val="0"/>
                <w:iCs w:val="0"/>
                <w:color w:val="auto"/>
                <w:kern w:val="0"/>
                <w:sz w:val="20"/>
                <w:szCs w:val="20"/>
                <w:u w:val="none"/>
                <w:lang w:val="en-US" w:eastAsia="zh-CN" w:bidi="ar"/>
              </w:rPr>
              <w:t>中华人民共和国数据安全法</w:t>
            </w:r>
            <w:r>
              <w:rPr>
                <w:rFonts w:hint="eastAsia" w:ascii="宋体" w:hAnsi="宋体" w:eastAsia="宋体" w:cs="宋体"/>
                <w:i w:val="0"/>
                <w:iCs w:val="0"/>
                <w:color w:val="auto"/>
                <w:kern w:val="0"/>
                <w:sz w:val="20"/>
                <w:szCs w:val="20"/>
                <w:u w:val="none"/>
                <w:lang w:val="en-US" w:eastAsia="zh-CN" w:bidi="ar"/>
              </w:rPr>
              <w:t>》《</w:t>
            </w:r>
            <w:r>
              <w:rPr>
                <w:rFonts w:hint="eastAsia" w:ascii="宋体" w:hAnsi="宋体" w:cs="宋体"/>
                <w:i w:val="0"/>
                <w:iCs w:val="0"/>
                <w:color w:val="auto"/>
                <w:kern w:val="0"/>
                <w:sz w:val="20"/>
                <w:szCs w:val="20"/>
                <w:u w:val="none"/>
                <w:lang w:val="en-US" w:eastAsia="zh-CN" w:bidi="ar"/>
              </w:rPr>
              <w:t>中华人民共和国个人信息保护法</w:t>
            </w:r>
            <w:r>
              <w:rPr>
                <w:rFonts w:hint="eastAsia" w:ascii="宋体" w:hAnsi="宋体" w:eastAsia="宋体" w:cs="宋体"/>
                <w:i w:val="0"/>
                <w:iCs w:val="0"/>
                <w:color w:val="auto"/>
                <w:kern w:val="0"/>
                <w:sz w:val="20"/>
                <w:szCs w:val="20"/>
                <w:u w:val="none"/>
                <w:lang w:val="en-US" w:eastAsia="zh-CN" w:bidi="ar"/>
              </w:rPr>
              <w:t>》等法律法规。</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数据合规性≥99%。</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175</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内容合规审核</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一、审核方式</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（一）AI实时审核</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采用基于深度学习的AI审核模型，模型准确率≥95%。</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支持语音、画面、弹幕、商品信息等多种内容类型的实时审核。</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3、AI审核响应时间≤3秒。</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4、AI审核并发数≥1000次/秒。</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（二）人工复核</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配置≥5名专业人工审核人员，具有3年以上内容合规审核经验。</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提供人工复核工作台，可查看AI审核结果、提交人工复核意见。</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人工复核响应时间≤15分钟。</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人工复核准确率≥99%。</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（三）审核流程</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提供全链路审核流程管理，可实现AI审核、人工复核、结果反馈的完整闭环。</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支持审核流程自定义配置，可根据业务需求调整审核步骤。</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审核流程可视化展示，可直观查看审核进度与结果。</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审核流程准确率≥99%。</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（四）审核优先级管理</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支持审核优先级配置，可设置高、中、低三种审核优先级。</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高优先级审核请求优先处理，处理时间≤1秒。</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审核优先级准确率≥99%。</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高优先级审核请求占比≤30%。</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二、审核内容</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（一）语音审核</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支持≥20种语音违规内容类型检测，包括但不限于低俗、暴力、色情、政治敏感等。</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提供语音转文字功能，可将语音转换为文本进行审核。</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语音审核准确率≥90%。</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语音审核延迟≤3秒。</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（二）画面审核</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支持≥30种画面违规内容类型检测，包括但不限于低俗、暴力、色情、政治敏感、广告违禁等。</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提供画面特征提取技术，可自动识别画面中的违规元素。</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画面审核准确率≥95%。</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画面审核延迟≤3秒。</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（三）弹幕审核</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支持≥10种弹幕违规内容类型检测，包括但不限于低俗、暴力、色情、政治敏感、广告违禁等。</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提供弹幕实时拦截功能，可自动拦截违规弹幕。</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弹幕审核准确率≥95%。</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弹幕审核延迟≤1秒。</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（四）商品信息审核</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支持≥20种商品信息违规类型检测，包括但不限于虚假宣传、夸大效果、违规宣称、价格欺诈等。</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提供商品信息智能比对功能，可自动比对商品信息与平台规则。</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商品信息审核准确率≥90%。</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商品信息审核延迟≤5秒。</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三、审核能力与质量</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（一）审核覆盖范围</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审核覆盖≥95%的工业设计内容类型，包括但不限于产品展示、设计图纸、创意视频、直播内容等。</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支持多语言内容审核，包括但不限于中文、英文、日文等。</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审核覆盖率≥98%。</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多语言审核准确率≥90%。</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（二）审核准确率与召回率</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整体审核准确率≥95%。</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违规内容召回率≥99%。</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误判率≤1%。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漏判率≤0.1%。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（三）审核效率与性能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单条内容审核时间≤5秒。</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批量内容审核速度≥1000条/分钟。</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系统支持≥10000条内容同时在线审核。</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审核系统可用性≥99.9%。</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（四）审核质量监控</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提供审核质量监控功能，可实时监控AI审核与人工复核的准确率、误判率、漏判率。</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支持审核质量统计与分析，可生成审核质量报告。</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审核质量监控数据更新频率≥1次/分钟。</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审核质量监控准确率≥99%。</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四、审核规则管理</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（一）规则配置能力</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支持≥100种审核规则类型，包括但不限于内容合规、广告违禁、虚假宣传、违规宣称等。</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提供可视化规则配置界面，可自定义审核规则、阈值、权重等。</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支持规则批量配置与管理。</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规则配置准确率≥99%。</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（二）规则更新与维护</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提供规则自动更新功能，可根据监管政策与平台规则变化实时更新审核规则。</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支持规则版本管理，可查看不同版本的审核规则配置。</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规则更新响应时间≤24小时。</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规则更新准确率≥99%。</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（三）规则效果评估</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提供规则效果评估功能，可分析不同审核规则的准确率、召回率、误判率。</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支持规则优化建议，可根据评估结果优化审核规则。</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规则效果评估准确率≥99%。</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规则优化效果≥10%。</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（四）规则权限管理</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支持规则权限控制，可设置不同用户对审核规则的查看、编辑、审核权限。</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采用RBAC权限模型，实现权限分级管理。</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规则权限配置准确率≥99%。</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非法权限拦截率≥99%。</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五、审核结果管理</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（一）结果记录与存储</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支持≥365天的审核结果记录存储。</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提供审核结果查询功能，可按审核时间、内容类型、审核结果等条件查询审核记录。</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支持审核结果导出，可导出为CSV、Excel、JSON等格式。</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审核结果记录完整性≥99%。</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（二）结果反馈机制</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提供审核结果自动反馈功能，可将审核结果实时反馈给内容提交者。</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支持人工审核结果反馈，可提交人工复核意见与建议。</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结果反馈响应时间≤10秒。</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结果反馈准确率≥99%。</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（三）结果预警功能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提供审核结果预警功能，可对高风险内容进行实时预警。</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支持预警规则自定义配置，可根据风险等级设置预警方式。</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预警响应时间≤1秒。</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预警准确率≥95%。</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（四）结果分析与统计</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提供审核结果分析功能，可分析审核数据的趋势、分布、变化等。</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支持审核结果统计报表生成，可生成日报、周报、月报等统计报表。</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结果分析准确率≥99%。</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统计报表生成时间≤1分钟。</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六、平台性能与安全</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（一）平台性能指标</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审核系统并发数≥1000次/秒。</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审核系统响应时间≤3秒。</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审核系统可用性≥99.9%。</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审核系统存储容量≥10TB。</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（二）平台安全保障</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符合国家网络安全等级保护2.0三级标准。</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采用HTTPS协议保障数据传输安全。</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支持用户身份认证与权限控制，采用RBAC权限模型。</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提供操作审计功能，可记录所有用户操作日志。</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（三）数据安全与合规</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支持数据加密存储，采用AES-256加密算法。</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提供数据备份与恢复功能，可定期备份审核数据。</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符合《</w:t>
            </w:r>
            <w:r>
              <w:rPr>
                <w:rFonts w:hint="eastAsia" w:ascii="宋体" w:hAnsi="宋体" w:cs="宋体"/>
                <w:i w:val="0"/>
                <w:iCs w:val="0"/>
                <w:color w:val="auto"/>
                <w:kern w:val="0"/>
                <w:sz w:val="20"/>
                <w:szCs w:val="20"/>
                <w:u w:val="none"/>
                <w:lang w:val="en-US" w:eastAsia="zh-CN" w:bidi="ar"/>
              </w:rPr>
              <w:t>中华人民共和国网络安全法</w:t>
            </w:r>
            <w:r>
              <w:rPr>
                <w:rFonts w:hint="eastAsia" w:ascii="宋体" w:hAnsi="宋体" w:eastAsia="宋体" w:cs="宋体"/>
                <w:i w:val="0"/>
                <w:iCs w:val="0"/>
                <w:color w:val="auto"/>
                <w:kern w:val="0"/>
                <w:sz w:val="20"/>
                <w:szCs w:val="20"/>
                <w:u w:val="none"/>
                <w:lang w:val="en-US" w:eastAsia="zh-CN" w:bidi="ar"/>
              </w:rPr>
              <w:t>》《</w:t>
            </w:r>
            <w:r>
              <w:rPr>
                <w:rFonts w:hint="eastAsia" w:ascii="宋体" w:hAnsi="宋体" w:cs="宋体"/>
                <w:i w:val="0"/>
                <w:iCs w:val="0"/>
                <w:color w:val="auto"/>
                <w:kern w:val="0"/>
                <w:sz w:val="20"/>
                <w:szCs w:val="20"/>
                <w:u w:val="none"/>
                <w:lang w:val="en-US" w:eastAsia="zh-CN" w:bidi="ar"/>
              </w:rPr>
              <w:t>中华人民共和国数据安全法</w:t>
            </w:r>
            <w:r>
              <w:rPr>
                <w:rFonts w:hint="eastAsia" w:ascii="宋体" w:hAnsi="宋体" w:eastAsia="宋体" w:cs="宋体"/>
                <w:i w:val="0"/>
                <w:iCs w:val="0"/>
                <w:color w:val="auto"/>
                <w:kern w:val="0"/>
                <w:sz w:val="20"/>
                <w:szCs w:val="20"/>
                <w:u w:val="none"/>
                <w:lang w:val="en-US" w:eastAsia="zh-CN" w:bidi="ar"/>
              </w:rPr>
              <w:t>》《</w:t>
            </w:r>
            <w:r>
              <w:rPr>
                <w:rFonts w:hint="eastAsia" w:ascii="宋体" w:hAnsi="宋体" w:cs="宋体"/>
                <w:i w:val="0"/>
                <w:iCs w:val="0"/>
                <w:color w:val="auto"/>
                <w:kern w:val="0"/>
                <w:sz w:val="20"/>
                <w:szCs w:val="20"/>
                <w:u w:val="none"/>
                <w:lang w:val="en-US" w:eastAsia="zh-CN" w:bidi="ar"/>
              </w:rPr>
              <w:t>中华人民共和国个人信息保护法</w:t>
            </w:r>
            <w:r>
              <w:rPr>
                <w:rFonts w:hint="eastAsia" w:ascii="宋体" w:hAnsi="宋体" w:eastAsia="宋体" w:cs="宋体"/>
                <w:i w:val="0"/>
                <w:iCs w:val="0"/>
                <w:color w:val="auto"/>
                <w:kern w:val="0"/>
                <w:sz w:val="20"/>
                <w:szCs w:val="20"/>
                <w:u w:val="none"/>
                <w:lang w:val="en-US" w:eastAsia="zh-CN" w:bidi="ar"/>
              </w:rPr>
              <w:t>》等法律法规。</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4.</w:t>
            </w:r>
            <w:r>
              <w:rPr>
                <w:rFonts w:hint="eastAsia" w:ascii="宋体" w:hAnsi="宋体" w:eastAsia="宋体" w:cs="宋体"/>
                <w:i w:val="0"/>
                <w:iCs w:val="0"/>
                <w:color w:val="auto"/>
                <w:kern w:val="0"/>
                <w:sz w:val="20"/>
                <w:szCs w:val="20"/>
                <w:u w:val="none"/>
                <w:lang w:val="en-US" w:eastAsia="zh-CN" w:bidi="ar"/>
              </w:rPr>
              <w:t>数据合规性≥99%。</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176</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Kinect传感器</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感应器：深度感应镜头（≥320×240分辨率，16bit，30fps）和彩色镜头（≥640×480分辨率，32bit，30fps）</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音效：16bit，16kHz，支持语音聊天和回声消除</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视野：水平≥57度，垂直≥43度，追踪范围1.2</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3.5米</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语音识别：支持多语言，≥4麦克风阵列</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功能特性</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最多同时追踪≥6人</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支持骨骼追踪（≥48个骨骼点）、面部识别和手势控制</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支持≥1080P高清视频，改进骨骼追踪（≥25个骨骼点/人）</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新增主动式红外检测、拇指追踪和手势识别</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177</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全频主扩音箱</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频率响应；45 Hz 39 kHz (-6dB)</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相位响应：200 Hz 20kHz（±45°）</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模拟输入到声音输出最小延时：</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2.3ms</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最大声压级：≥107dB</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功放功率：≥50W+50W</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谐波失真at 85 dB SPL @ 1 m：</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 xml:space="preserve"> 0.5 %（</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200 Hz）</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低音单元：5"</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高音单元：0.75"</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参量均衡器：≥20个（增益：-20</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+2 dB，Q值：0.1</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20，中心频点：10 Hz</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16 kHz）</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灵敏度：-60</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0 dB</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11.</w:t>
            </w:r>
            <w:r>
              <w:rPr>
                <w:rFonts w:hint="eastAsia" w:ascii="宋体" w:hAnsi="宋体" w:eastAsia="宋体" w:cs="宋体"/>
                <w:i w:val="0"/>
                <w:iCs w:val="0"/>
                <w:color w:val="000000"/>
                <w:kern w:val="0"/>
                <w:sz w:val="20"/>
                <w:szCs w:val="20"/>
                <w:u w:val="none"/>
                <w:lang w:val="en-US" w:eastAsia="zh-CN" w:bidi="ar"/>
              </w:rPr>
              <w:t>延时器：0</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98 ms</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12.支持</w:t>
            </w:r>
            <w:r>
              <w:rPr>
                <w:rFonts w:hint="eastAsia" w:ascii="宋体" w:hAnsi="宋体" w:eastAsia="宋体" w:cs="宋体"/>
                <w:i w:val="0"/>
                <w:iCs w:val="0"/>
                <w:color w:val="000000"/>
                <w:kern w:val="0"/>
                <w:sz w:val="20"/>
                <w:szCs w:val="20"/>
                <w:u w:val="none"/>
                <w:lang w:val="en-US" w:eastAsia="zh-CN" w:bidi="ar"/>
              </w:rPr>
              <w:t>数字与模拟输入双备份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13.</w:t>
            </w:r>
            <w:r>
              <w:rPr>
                <w:rFonts w:hint="eastAsia" w:ascii="宋体" w:hAnsi="宋体" w:eastAsia="宋体" w:cs="宋体"/>
                <w:i w:val="0"/>
                <w:iCs w:val="0"/>
                <w:color w:val="000000"/>
                <w:kern w:val="0"/>
                <w:sz w:val="20"/>
                <w:szCs w:val="20"/>
                <w:u w:val="none"/>
                <w:lang w:val="en-US" w:eastAsia="zh-CN" w:bidi="ar"/>
              </w:rPr>
              <w:t>IP音频格式：AES67, Dante</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14.</w:t>
            </w:r>
            <w:r>
              <w:rPr>
                <w:rFonts w:hint="eastAsia" w:ascii="宋体" w:hAnsi="宋体" w:eastAsia="宋体" w:cs="宋体"/>
                <w:i w:val="0"/>
                <w:iCs w:val="0"/>
                <w:color w:val="000000"/>
                <w:kern w:val="0"/>
                <w:sz w:val="20"/>
                <w:szCs w:val="20"/>
                <w:u w:val="none"/>
                <w:lang w:val="en-US" w:eastAsia="zh-CN" w:bidi="ar"/>
              </w:rPr>
              <w:t>模拟音频输入：Phonenix</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15.</w:t>
            </w:r>
            <w:r>
              <w:rPr>
                <w:rFonts w:hint="eastAsia" w:ascii="宋体" w:hAnsi="宋体" w:eastAsia="宋体" w:cs="宋体"/>
                <w:i w:val="0"/>
                <w:iCs w:val="0"/>
                <w:color w:val="000000"/>
                <w:kern w:val="0"/>
                <w:sz w:val="20"/>
                <w:szCs w:val="20"/>
                <w:u w:val="none"/>
                <w:lang w:val="en-US" w:eastAsia="zh-CN" w:bidi="ar"/>
              </w:rPr>
              <w:t>供电：PoE+ 和 PoE</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16.</w:t>
            </w:r>
            <w:r>
              <w:rPr>
                <w:rFonts w:hint="eastAsia" w:ascii="宋体" w:hAnsi="宋体" w:eastAsia="宋体" w:cs="宋体"/>
                <w:i w:val="0"/>
                <w:iCs w:val="0"/>
                <w:color w:val="000000"/>
                <w:kern w:val="0"/>
                <w:sz w:val="20"/>
                <w:szCs w:val="20"/>
                <w:u w:val="none"/>
                <w:lang w:val="en-US" w:eastAsia="zh-CN" w:bidi="ar"/>
              </w:rPr>
              <w:t>自动节能：ISS自动开机、待机，无需关音箱</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17.</w:t>
            </w:r>
            <w:r>
              <w:rPr>
                <w:rFonts w:hint="eastAsia" w:ascii="宋体" w:hAnsi="宋体" w:eastAsia="宋体" w:cs="宋体"/>
                <w:i w:val="0"/>
                <w:iCs w:val="0"/>
                <w:color w:val="000000"/>
                <w:kern w:val="0"/>
                <w:sz w:val="20"/>
                <w:szCs w:val="20"/>
                <w:u w:val="none"/>
                <w:lang w:val="en-US" w:eastAsia="zh-CN" w:bidi="ar"/>
              </w:rPr>
              <w:t>开放的API公共接口</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178</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超低频音响</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频率响应；35 Hz 120Hz (-6dB)</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相位响应：200 Hz 120Hz（±45°）</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模拟输入到声音输出最小延时：</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2.3ms</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最大声压级：≥106dB</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功放功率：≥70W</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谐波失真at 85 dB SPL @ 1 m：</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 xml:space="preserve"> 0.5 %（</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200 Hz）</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低音单元：6.5"</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参量均衡器：≥20个（增益：-20</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+2 dB，Q值：0.1</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20，中心频点：10 Hz</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16 kHz）</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灵敏度：-60</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0 dB</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延时器：0</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98 ms</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11.支持</w:t>
            </w:r>
            <w:r>
              <w:rPr>
                <w:rFonts w:hint="eastAsia" w:ascii="宋体" w:hAnsi="宋体" w:eastAsia="宋体" w:cs="宋体"/>
                <w:i w:val="0"/>
                <w:iCs w:val="0"/>
                <w:color w:val="000000"/>
                <w:kern w:val="0"/>
                <w:sz w:val="20"/>
                <w:szCs w:val="20"/>
                <w:u w:val="none"/>
                <w:lang w:val="en-US" w:eastAsia="zh-CN" w:bidi="ar"/>
              </w:rPr>
              <w:t>数字与模拟输入双备份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12.</w:t>
            </w:r>
            <w:r>
              <w:rPr>
                <w:rFonts w:hint="eastAsia" w:ascii="宋体" w:hAnsi="宋体" w:eastAsia="宋体" w:cs="宋体"/>
                <w:i w:val="0"/>
                <w:iCs w:val="0"/>
                <w:color w:val="000000"/>
                <w:kern w:val="0"/>
                <w:sz w:val="20"/>
                <w:szCs w:val="20"/>
                <w:u w:val="none"/>
                <w:lang w:val="en-US" w:eastAsia="zh-CN" w:bidi="ar"/>
              </w:rPr>
              <w:t>IP音频格式：AES67, Dante</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13.</w:t>
            </w:r>
            <w:r>
              <w:rPr>
                <w:rFonts w:hint="eastAsia" w:ascii="宋体" w:hAnsi="宋体" w:eastAsia="宋体" w:cs="宋体"/>
                <w:i w:val="0"/>
                <w:iCs w:val="0"/>
                <w:color w:val="000000"/>
                <w:kern w:val="0"/>
                <w:sz w:val="20"/>
                <w:szCs w:val="20"/>
                <w:u w:val="none"/>
                <w:lang w:val="en-US" w:eastAsia="zh-CN" w:bidi="ar"/>
              </w:rPr>
              <w:t>模拟音频输入：Phonenix</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14.</w:t>
            </w:r>
            <w:r>
              <w:rPr>
                <w:rFonts w:hint="eastAsia" w:ascii="宋体" w:hAnsi="宋体" w:eastAsia="宋体" w:cs="宋体"/>
                <w:i w:val="0"/>
                <w:iCs w:val="0"/>
                <w:color w:val="000000"/>
                <w:kern w:val="0"/>
                <w:sz w:val="20"/>
                <w:szCs w:val="20"/>
                <w:u w:val="none"/>
                <w:lang w:val="en-US" w:eastAsia="zh-CN" w:bidi="ar"/>
              </w:rPr>
              <w:t>供电：PoE+ 和 PoE</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15.</w:t>
            </w:r>
            <w:r>
              <w:rPr>
                <w:rFonts w:hint="eastAsia" w:ascii="宋体" w:hAnsi="宋体" w:eastAsia="宋体" w:cs="宋体"/>
                <w:i w:val="0"/>
                <w:iCs w:val="0"/>
                <w:color w:val="000000"/>
                <w:kern w:val="0"/>
                <w:sz w:val="20"/>
                <w:szCs w:val="20"/>
                <w:u w:val="none"/>
                <w:lang w:val="en-US" w:eastAsia="zh-CN" w:bidi="ar"/>
              </w:rPr>
              <w:t>自动节能：ISS自动开机、待机，无需关音箱</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16.</w:t>
            </w:r>
            <w:r>
              <w:rPr>
                <w:rFonts w:hint="eastAsia" w:ascii="宋体" w:hAnsi="宋体" w:eastAsia="宋体" w:cs="宋体"/>
                <w:i w:val="0"/>
                <w:iCs w:val="0"/>
                <w:color w:val="000000"/>
                <w:kern w:val="0"/>
                <w:sz w:val="20"/>
                <w:szCs w:val="20"/>
                <w:u w:val="none"/>
                <w:lang w:val="en-US" w:eastAsia="zh-CN" w:bidi="ar"/>
              </w:rPr>
              <w:t>开放的API公共接口</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179</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POE++交换机</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1.支持</w:t>
            </w:r>
            <w:r>
              <w:rPr>
                <w:rFonts w:hint="eastAsia" w:ascii="宋体" w:hAnsi="宋体" w:eastAsia="宋体" w:cs="宋体"/>
                <w:i w:val="0"/>
                <w:iCs w:val="0"/>
                <w:color w:val="000000"/>
                <w:kern w:val="0"/>
                <w:sz w:val="20"/>
                <w:szCs w:val="20"/>
                <w:u w:val="none"/>
                <w:lang w:val="en-US" w:eastAsia="zh-CN" w:bidi="ar"/>
              </w:rPr>
              <w:t>≥16个10/100/1000Mbps自适应电口</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2.支持</w:t>
            </w:r>
            <w:r>
              <w:rPr>
                <w:rFonts w:hint="eastAsia" w:ascii="宋体" w:hAnsi="宋体" w:eastAsia="宋体" w:cs="宋体"/>
                <w:i w:val="0"/>
                <w:iCs w:val="0"/>
                <w:color w:val="000000"/>
                <w:kern w:val="0"/>
                <w:sz w:val="20"/>
                <w:szCs w:val="20"/>
                <w:u w:val="none"/>
                <w:lang w:val="en-US" w:eastAsia="zh-CN" w:bidi="ar"/>
              </w:rPr>
              <w:t>≥2个10/100/1000Mbps自适应上联电口</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3.支持</w:t>
            </w:r>
            <w:r>
              <w:rPr>
                <w:rFonts w:hint="eastAsia" w:ascii="宋体" w:hAnsi="宋体" w:eastAsia="宋体" w:cs="宋体"/>
                <w:i w:val="0"/>
                <w:iCs w:val="0"/>
                <w:color w:val="000000"/>
                <w:kern w:val="0"/>
                <w:sz w:val="20"/>
                <w:szCs w:val="20"/>
                <w:u w:val="none"/>
                <w:lang w:val="en-US" w:eastAsia="zh-CN" w:bidi="ar"/>
              </w:rPr>
              <w:t>≥2个1000Mbps上联SFP光口</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其中≥16个口支持PoE/PoE+供电，整机最大PoE输出功率250W</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交换容量≥336Gbps，包转发率≥54Mpps</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网管型交换机，金属外壳，6kV防雷，桌面式，带挂耳可上机架。</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180</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总控系统</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可与中央控制主机/平板联动，管理整个展厅灯光、多媒体等设备开关，</w:t>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处理器核心 八核心 2G或以上 内存容量 6GB或以上；</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 xml:space="preserve">存储容量≥256GB </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屏幕尺寸 10英寸或以上；</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屏幕分辨率 2000×1200或以上 摄像头 双摄像头；</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内置LED画面控制程序，实现开窗、关窗、切换窗口视频信号等功能；</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181</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中央控制主机</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一、整机定位</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CPU：2×32核 = 64核 ARM64</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内存：128GB</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存储：3×4TB（建议 RAID5 或 LVM 条带）</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场景：企业级服务、数据库、应用集群、信创节点</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二、BIOS 基础优化（鲲鹏必开）</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CPU 工作模式：Performance 性能模式</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关闭 C6 休眠、CPU 节能、内存低功耗</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NUMA：Enable（双路必须开）</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内存频率：最高可跑 2933/3200MT/s</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预取、分支预测：全开</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 xml:space="preserve">PCIe </w:t>
            </w:r>
            <w:r>
              <w:rPr>
                <w:rFonts w:hint="eastAsia" w:ascii="宋体" w:hAnsi="宋体" w:cs="宋体"/>
                <w:i w:val="0"/>
                <w:iCs w:val="0"/>
                <w:color w:val="000000"/>
                <w:kern w:val="0"/>
                <w:sz w:val="20"/>
                <w:szCs w:val="20"/>
                <w:u w:val="none"/>
                <w:lang w:val="en-US" w:eastAsia="zh-CN" w:bidi="ar"/>
              </w:rPr>
              <w:t>3.0，</w:t>
            </w:r>
            <w:r>
              <w:rPr>
                <w:rFonts w:hint="eastAsia" w:ascii="宋体" w:hAnsi="宋体" w:eastAsia="宋体" w:cs="宋体"/>
                <w:i w:val="0"/>
                <w:iCs w:val="0"/>
                <w:color w:val="000000"/>
                <w:kern w:val="0"/>
                <w:sz w:val="20"/>
                <w:szCs w:val="20"/>
                <w:u w:val="none"/>
                <w:lang w:val="en-US" w:eastAsia="zh-CN" w:bidi="ar"/>
              </w:rPr>
              <w:t>限速拉满，关闭无用外设</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182</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深度学习高性能服务站</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针对 双路鲲鹏920（128核）+ 4GB内存 + 64GB存储 这种核心极强、内存和存储极弱的极端配置，优化核心思路是：严控并发、榨干CPU、锁死内存、极致精简IO。以下是全套可落地参数（适配openEuler/麒麟等ARM国产系统）。</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一、BIOS级优化（必须先设）</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 xml:space="preserve">- CPU 性能模式- Performance Config → Power Policy：Performance（性能模式） </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 xml:space="preserve">- DEMT：Fast Mode（快速调频） </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 关闭 C6/C7 休眠、CPU 节能、内存低功耗模式</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 xml:space="preserve">- NUMA 与内存- NUMA：Enable（双路128核必须开） </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 内存频率：强制 2933MT/s，关闭 Power Down</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 内存预取：Enable（小内存更依赖预取）</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 PCIe / IO- PCIe 4.0：Enable</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 关闭不使用的板载网卡、SATA、NVMe 控制器</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183</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激光雷达（地面互动）</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探测范围</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@90%反射率  ≥10 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探测范围</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@10%反射率  ≥5 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测距精度</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±30 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扫描范围</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≥270°</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点云数据合并</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n/a</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扫描帧率</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 xml:space="preserve">20 Hz </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最小角分辨率</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0.32°</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固定</w:t>
            </w:r>
            <w:r>
              <w:rPr>
                <w:rFonts w:hint="eastAsia" w:ascii="宋体" w:hAnsi="宋体" w:cs="宋体"/>
                <w:i w:val="0"/>
                <w:iCs w:val="0"/>
                <w:color w:val="000000"/>
                <w:kern w:val="0"/>
                <w:sz w:val="20"/>
                <w:szCs w:val="20"/>
                <w:u w:val="none"/>
                <w:lang w:val="en-US" w:eastAsia="zh-CN" w:bidi="ar"/>
              </w:rPr>
              <w:t>）</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184</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交互终端（平板）</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 屏幕：≥13.2英寸OLED，分辨率≥2880×1920，刷新率120Hz；</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 处理器：国产处理器，8核心；</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 内存与存储：≥12GB RAM + 512GB ROM；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 含操作系统；</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185</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超五类网线</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国标</w:t>
            </w:r>
            <w:r>
              <w:rPr>
                <w:rFonts w:hint="eastAsia" w:ascii="宋体" w:hAnsi="宋体" w:eastAsia="宋体" w:cs="宋体"/>
                <w:i w:val="0"/>
                <w:iCs w:val="0"/>
                <w:color w:val="000000"/>
                <w:kern w:val="0"/>
                <w:sz w:val="20"/>
                <w:szCs w:val="20"/>
                <w:u w:val="none"/>
                <w:lang w:val="en-US" w:eastAsia="zh-CN" w:bidi="ar"/>
              </w:rPr>
              <w:t>超五类网线</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90</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186</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电源线</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1.规格：</w:t>
            </w:r>
            <w:r>
              <w:rPr>
                <w:rFonts w:hint="eastAsia" w:ascii="宋体" w:hAnsi="宋体" w:eastAsia="宋体" w:cs="宋体"/>
                <w:i w:val="0"/>
                <w:iCs w:val="0"/>
                <w:color w:val="000000"/>
                <w:kern w:val="0"/>
                <w:sz w:val="20"/>
                <w:szCs w:val="20"/>
                <w:u w:val="none"/>
                <w:lang w:val="en-US" w:eastAsia="zh-CN" w:bidi="ar"/>
              </w:rPr>
              <w:t>RVV3*1.5</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2.标准：国标。</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3.线芯：纯铜</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120</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187</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信号线</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符合国标</w:t>
            </w:r>
            <w:r>
              <w:rPr>
                <w:rFonts w:hint="eastAsia" w:ascii="宋体" w:hAnsi="宋体" w:eastAsia="宋体" w:cs="宋体"/>
                <w:i w:val="0"/>
                <w:iCs w:val="0"/>
                <w:color w:val="000000"/>
                <w:kern w:val="0"/>
                <w:sz w:val="20"/>
                <w:szCs w:val="20"/>
                <w:u w:val="none"/>
                <w:lang w:val="en-US" w:eastAsia="zh-CN" w:bidi="ar"/>
              </w:rPr>
              <w:t>HDMI线</w:t>
            </w:r>
            <w:r>
              <w:rPr>
                <w:rFonts w:hint="eastAsia" w:ascii="宋体" w:hAnsi="宋体" w:cs="宋体"/>
                <w:i w:val="0"/>
                <w:iCs w:val="0"/>
                <w:color w:val="000000"/>
                <w:kern w:val="0"/>
                <w:sz w:val="20"/>
                <w:szCs w:val="20"/>
                <w:u w:val="none"/>
                <w:lang w:val="en-US" w:eastAsia="zh-CN" w:bidi="ar"/>
              </w:rPr>
              <w:t>，长度</w:t>
            </w:r>
            <w:r>
              <w:rPr>
                <w:rFonts w:hint="eastAsia" w:ascii="宋体" w:hAnsi="宋体" w:eastAsia="宋体" w:cs="宋体"/>
                <w:i w:val="0"/>
                <w:iCs w:val="0"/>
                <w:color w:val="000000"/>
                <w:kern w:val="0"/>
                <w:sz w:val="20"/>
                <w:szCs w:val="20"/>
                <w:u w:val="none"/>
                <w:lang w:val="en-US" w:eastAsia="zh-CN" w:bidi="ar"/>
              </w:rPr>
              <w:t>5米</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188</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线管</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JDG25</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145</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189</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线槽开挖</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墙面线槽开挖规格宽5</w:t>
            </w:r>
            <w:r>
              <w:rPr>
                <w:rFonts w:hint="eastAsia" w:ascii="宋体" w:hAnsi="宋体" w:cs="宋体"/>
                <w:i w:val="0"/>
                <w:iCs w:val="0"/>
                <w:color w:val="000000"/>
                <w:kern w:val="0"/>
                <w:sz w:val="20"/>
                <w:szCs w:val="20"/>
                <w:u w:val="none"/>
                <w:lang w:val="en-US" w:eastAsia="zh-CN" w:bidi="ar"/>
              </w:rPr>
              <w:t>cm</w:t>
            </w:r>
            <w:r>
              <w:rPr>
                <w:rFonts w:hint="eastAsia" w:ascii="宋体" w:hAnsi="宋体" w:eastAsia="宋体" w:cs="宋体"/>
                <w:i w:val="0"/>
                <w:iCs w:val="0"/>
                <w:color w:val="000000"/>
                <w:kern w:val="0"/>
                <w:sz w:val="20"/>
                <w:szCs w:val="20"/>
                <w:u w:val="none"/>
                <w:lang w:val="en-US" w:eastAsia="zh-CN" w:bidi="ar"/>
              </w:rPr>
              <w:t>、深5</w:t>
            </w:r>
            <w:r>
              <w:rPr>
                <w:rFonts w:hint="eastAsia" w:ascii="宋体" w:hAnsi="宋体" w:cs="宋体"/>
                <w:i w:val="0"/>
                <w:iCs w:val="0"/>
                <w:color w:val="000000"/>
                <w:kern w:val="0"/>
                <w:sz w:val="20"/>
                <w:szCs w:val="20"/>
                <w:u w:val="none"/>
                <w:lang w:val="en-US" w:eastAsia="zh-CN" w:bidi="ar"/>
              </w:rPr>
              <w:t>cm</w:t>
            </w:r>
            <w:r>
              <w:rPr>
                <w:rFonts w:hint="eastAsia" w:ascii="宋体" w:hAnsi="宋体" w:eastAsia="宋体" w:cs="宋体"/>
                <w:i w:val="0"/>
                <w:iCs w:val="0"/>
                <w:color w:val="000000"/>
                <w:kern w:val="0"/>
                <w:sz w:val="20"/>
                <w:szCs w:val="20"/>
                <w:u w:val="none"/>
                <w:lang w:val="en-US" w:eastAsia="zh-CN" w:bidi="ar"/>
              </w:rPr>
              <w:t>，预埋JDG管，含开挖及恢复。</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145</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190</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中控管理软件</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 系统兼容覆盖</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受控客户端：适配Windows（Win7/Win10/Win11）、Android、iOS全主流操作系统，原生开发+跨平台框架结合，保障兼容性与运行效率；</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管控端：支持平板（Android/iOS平板）、PC多终端部署，统一操作界面，实现集中管控。</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 核心受控功能模块</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远程开关机控制：Windows端支持WOL网络唤醒、远程关机/重启/休眠；Android/iOS端适配设备底层权限，实现远程关机、重启、待机控制，支持定时开关机策略配置；</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播放集中管控：一键启动/暂停/停止终端音视频、图文、程序播放，支持播放列表下发、播放进度同步、音量统一调节、终端画面远程预览；</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联动协同能力：平板管控端与所有受控终端实时联动，单指令同步下发至多终端，支持分组管控、批量操作、状态实时回传（在线状态、播放状态、设备电量/负载）。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（三）集中管控核心功能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 一键式集中控制：支持全终端/分组终端一键开关机、一键启停播放、一键同步更新播放内容，操作流程极简；</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 状态实时监控：管控端可视化展示所有受控终端在线状态、网络类型、播放任务、设备运行参数，异常终端自动告警；</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 任务调度管理：支持定时任务、循环任务配置，预设开关机时间、播放时段，离线缓存任务，联网后自动执行；</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 权限分级管理：管理员/操作员权限划分，支持操作日志全记录，满足审计追溯需求。</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三、系统运行保障</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 部署方式：支持私有化服务器部署、云服务器部署、局域网本地部署，适配不同网络环境；</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 稳定性优化：客户端轻量化设计，低资源占用，不影响终端原有业务运行，支持异常自动恢复、进程守护；</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 扩展性预留：预留接口可拓展终端数量、新增控制指令、对接第三方系统。</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四、服务保障与验收</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 原厂质保：提供3年上门保修服务，覆盖硬件配套设备及定制软件系统，7×24小时技术响应，故障现场排查、修复、升级；</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 系统集成验收：提供标准化验收报告，包含功能验收清单、性能测试报告、兼容性测试报告、网络适配测试报告、操作手册及运维文档，确保系统符合既定技术要求与使用需求。</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五、方案适配场景</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适用于文旅展厅、智慧展馆、商业大屏、多媒体教室、连锁门店等多终端集中管控场景，实现跨网络、跨系统、多终端的一体化智能管控。</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191</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音箱管理软件</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公共局域网音响软件 整体描述</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公共局域网音响软件，是一套基于本地局域网 TCP/IP 网络运行，面向公共场所、园区、楼宇、校园、商超、展厅等场景，实现多终端音频统一播放、分区管理、定时广播、实时喊话的专业音频管控系统。</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系统以无延迟、高稳定、易扩展为核心，无需依赖公网，仅通过内部 Wi‑Fi/有线局域网即可完成音频信号的分发与控制，支持音箱、功放、平板、手机、PC 等多设备联动，满足背景音乐播放、应急广播、通知播报、分区寻呼等一体化音频管理需求。</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核心功能概述</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多终端统一播放</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支持局域网内多台音响、播放终端同步播放背景音乐、音频文件、语音通知，音视频画面与声音可做到毫秒级同步，无卡顿、无乱序。</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分区/分组灵活管控</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可按楼层、区域、功能场景划分音频分区，实现分区独立播放、全区统一广播、分组定时播放，互不干扰。</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定时任务与自动播报</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支持预设播放列表、定时开关机、定时打铃、定时背景音乐切换，可实现无人值守全自动运行。</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实时喊话与应急广播</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支持管控端（手机/</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192</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国产数据库</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1.具有可靠性、可用性、安全性、扩展性，支持读写分离集群部署，可实现支持负载均衡能力，提高集群性能，系统可在多节点上实现读负载的负载均衡；</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具备广泛的平台部署能力，支持主流芯片架构和平台，支持国产芯片、国产操作系统、国产硬件服务器等环境，同时可以运行在 Linux，Solaris，FreeBSD 以及基本上所有的类 UNIX 架构的平台上、具备日志传输功能、可通过图形化工具实现对集群的安装、部署、节点管理、日志查看、状态监控等功能，国产自主可控关系型数据库；</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 xml:space="preserve">支持多种数据库开发标准及接口，包括 ANSI/ISOSQL89、ANSI/ISOSQL92、ANSI/ISOSQL99 等；支持 UTF-8、Unicode、GBK、GB18030、EUC-KR 字符集，符合GB2312-80 标准。 </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集中式架构中能够支持单个非分区表≥100TB数据量，支持对表进行范围分区的分区机制；</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支持逻辑备份恢复、物理备份恢复，物理备份支持增量备份和联机热备份技术，逻辑和物理备份均支持本地和远程备份；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支持HA故障转移集群和主备同步技术，并且能够支持读写分离以及故障转移功能，支持主备、一主多备等架构，从库能设置延迟复制，一主多从架构支持优选同步复制策略；</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支持B-TREE索引、GIN倒排索引、Gist空间索引、psort索引、唯一索引、多字段索引、部分索引、表达式索引等多种索引访问方式；</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支持中文的全文检索功能，能够支持like操作符的全文检索，中文全文检索功能不依赖中文词典；</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支持自主访问控制、用户角色三权分立、审计、加密、身份识别与验证等安全功能。安全管理功能和审计功能都支持图形界面；</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支持通信和存储加密功能，支持字段级别和库级别的磁盘文件级加密，支持多种加密算法；</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11.</w:t>
            </w:r>
            <w:r>
              <w:rPr>
                <w:rFonts w:hint="eastAsia" w:ascii="宋体" w:hAnsi="宋体" w:eastAsia="宋体" w:cs="宋体"/>
                <w:i w:val="0"/>
                <w:iCs w:val="0"/>
                <w:color w:val="000000"/>
                <w:kern w:val="0"/>
                <w:sz w:val="20"/>
                <w:szCs w:val="20"/>
                <w:u w:val="none"/>
                <w:lang w:val="en-US" w:eastAsia="zh-CN" w:bidi="ar"/>
              </w:rPr>
              <w:t>兼容主流数据库语言，支持number、date、blob/clob、varchar2等数据类型，同时支持序列与自增列，支持事件触发器，支持基于</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操作符的表关联，支持connect by层次查询、支持merge语法，支持Package和永久定义的全局临时表等功能，支持Oracle数据库的常用数据字典，系统函数、系统功能；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12.</w:t>
            </w:r>
            <w:r>
              <w:rPr>
                <w:rFonts w:hint="eastAsia" w:ascii="宋体" w:hAnsi="宋体" w:eastAsia="宋体" w:cs="宋体"/>
                <w:i w:val="0"/>
                <w:iCs w:val="0"/>
                <w:color w:val="000000"/>
                <w:kern w:val="0"/>
                <w:sz w:val="20"/>
                <w:szCs w:val="20"/>
                <w:u w:val="none"/>
                <w:lang w:val="en-US" w:eastAsia="zh-CN" w:bidi="ar"/>
              </w:rPr>
              <w:t>支持通过外部表的方式直接访问外部主流的关系型数据库等；</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13.</w:t>
            </w:r>
            <w:r>
              <w:rPr>
                <w:rFonts w:hint="eastAsia" w:ascii="宋体" w:hAnsi="宋体" w:eastAsia="宋体" w:cs="宋体"/>
                <w:i w:val="0"/>
                <w:iCs w:val="0"/>
                <w:color w:val="000000"/>
                <w:kern w:val="0"/>
                <w:sz w:val="20"/>
                <w:szCs w:val="20"/>
                <w:u w:val="none"/>
                <w:lang w:val="en-US" w:eastAsia="zh-CN" w:bidi="ar"/>
              </w:rPr>
              <w:t xml:space="preserve">支持系统性能监控动态视图，TOP SQL信息、内存管理信息、事务信息、线程信息、操作历史等信息； </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14.</w:t>
            </w:r>
            <w:r>
              <w:rPr>
                <w:rFonts w:hint="eastAsia" w:ascii="宋体" w:hAnsi="宋体" w:eastAsia="宋体" w:cs="宋体"/>
                <w:i w:val="0"/>
                <w:iCs w:val="0"/>
                <w:color w:val="000000"/>
                <w:kern w:val="0"/>
                <w:sz w:val="20"/>
                <w:szCs w:val="20"/>
                <w:u w:val="none"/>
                <w:lang w:val="en-US" w:eastAsia="zh-CN" w:bidi="ar"/>
              </w:rPr>
              <w:t>支持基于成本的全局优化功能，实现基于成本的查询机制，能够选择合适的查询计划；并支持查询的hint技术，能够对查询计划进行手动调整；</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15.</w:t>
            </w:r>
            <w:r>
              <w:rPr>
                <w:rFonts w:hint="eastAsia" w:ascii="宋体" w:hAnsi="宋体" w:eastAsia="宋体" w:cs="宋体"/>
                <w:i w:val="0"/>
                <w:iCs w:val="0"/>
                <w:color w:val="000000"/>
                <w:kern w:val="0"/>
                <w:sz w:val="20"/>
                <w:szCs w:val="20"/>
                <w:u w:val="none"/>
                <w:lang w:val="en-US" w:eastAsia="zh-CN" w:bidi="ar"/>
              </w:rPr>
              <w:t>数据库内核支</w:t>
            </w:r>
            <w:r>
              <w:rPr>
                <w:rFonts w:hint="eastAsia" w:ascii="宋体" w:hAnsi="宋体" w:eastAsia="宋体" w:cs="宋体"/>
                <w:i w:val="0"/>
                <w:iCs w:val="0"/>
                <w:color w:val="000000"/>
                <w:kern w:val="0"/>
                <w:sz w:val="20"/>
                <w:szCs w:val="20"/>
                <w:highlight w:val="none"/>
                <w:u w:val="none"/>
                <w:lang w:val="en-US" w:eastAsia="zh-CN" w:bidi="ar"/>
              </w:rPr>
              <w:t>持并行查询技术，且能够完全自动化启动并行查询，无需人工启动或干预。</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◆16、支持同一模式（schema）下不同表创建同名索引。</w:t>
            </w:r>
            <w:r>
              <w:rPr>
                <w:rFonts w:hint="eastAsia" w:ascii="宋体" w:hAnsi="宋体" w:cs="宋体"/>
                <w:i w:val="0"/>
                <w:iCs w:val="0"/>
                <w:color w:val="000000"/>
                <w:kern w:val="0"/>
                <w:sz w:val="20"/>
                <w:szCs w:val="20"/>
                <w:highlight w:val="none"/>
                <w:u w:val="none"/>
                <w:lang w:val="en-US" w:eastAsia="zh-CN" w:bidi="ar"/>
              </w:rPr>
              <w:t>（投标文件中</w:t>
            </w:r>
            <w:r>
              <w:rPr>
                <w:rFonts w:hint="eastAsia" w:ascii="宋体" w:hAnsi="宋体" w:eastAsia="宋体" w:cs="宋体"/>
                <w:i w:val="0"/>
                <w:iCs w:val="0"/>
                <w:color w:val="000000"/>
                <w:kern w:val="0"/>
                <w:sz w:val="20"/>
                <w:szCs w:val="20"/>
                <w:highlight w:val="none"/>
                <w:u w:val="none"/>
                <w:lang w:val="en-US" w:eastAsia="zh-CN" w:bidi="ar"/>
              </w:rPr>
              <w:t>提供操作截图，并加盖投标人公章）</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17、内置内存存储引擎，可通过简单操作语句直接指定是否启用内存引擎。能够实现在同一个实例中内存表跟普通的磁盘表的共存，内存表支持ACID、常用SQL语法、存储过程和数据持久化等功能特性，针对内存表支持使用PREPARE语句的查询原生编译。（</w:t>
            </w:r>
            <w:r>
              <w:rPr>
                <w:rFonts w:hint="eastAsia" w:ascii="宋体" w:hAnsi="宋体" w:cs="宋体"/>
                <w:i w:val="0"/>
                <w:iCs w:val="0"/>
                <w:color w:val="000000"/>
                <w:kern w:val="0"/>
                <w:sz w:val="20"/>
                <w:szCs w:val="20"/>
                <w:highlight w:val="none"/>
                <w:u w:val="none"/>
                <w:lang w:val="en-US" w:eastAsia="zh-CN" w:bidi="ar"/>
              </w:rPr>
              <w:t>投标文件中</w:t>
            </w:r>
            <w:r>
              <w:rPr>
                <w:rFonts w:hint="eastAsia" w:ascii="宋体" w:hAnsi="宋体" w:eastAsia="宋体" w:cs="宋体"/>
                <w:i w:val="0"/>
                <w:iCs w:val="0"/>
                <w:color w:val="000000"/>
                <w:kern w:val="0"/>
                <w:sz w:val="20"/>
                <w:szCs w:val="20"/>
                <w:highlight w:val="none"/>
                <w:u w:val="none"/>
                <w:lang w:val="en-US" w:eastAsia="zh-CN" w:bidi="ar"/>
              </w:rPr>
              <w:t>提供具有</w:t>
            </w:r>
            <w:r>
              <w:rPr>
                <w:rFonts w:hint="eastAsia" w:ascii="宋体" w:hAnsi="宋体" w:cs="宋体"/>
                <w:i w:val="0"/>
                <w:iCs w:val="0"/>
                <w:color w:val="000000"/>
                <w:kern w:val="0"/>
                <w:sz w:val="20"/>
                <w:szCs w:val="20"/>
                <w:highlight w:val="none"/>
                <w:u w:val="none"/>
                <w:lang w:val="en-US" w:eastAsia="zh-CN" w:bidi="ar"/>
              </w:rPr>
              <w:t>相应检测资质</w:t>
            </w:r>
            <w:r>
              <w:rPr>
                <w:rFonts w:hint="eastAsia" w:ascii="宋体" w:hAnsi="宋体" w:eastAsia="宋体" w:cs="宋体"/>
                <w:i w:val="0"/>
                <w:iCs w:val="0"/>
                <w:color w:val="000000"/>
                <w:kern w:val="0"/>
                <w:sz w:val="20"/>
                <w:szCs w:val="20"/>
                <w:highlight w:val="none"/>
                <w:u w:val="none"/>
                <w:lang w:val="en-US" w:eastAsia="zh-CN" w:bidi="ar"/>
              </w:rPr>
              <w:t>的第三方检测机构出具的检测报告</w:t>
            </w:r>
            <w:r>
              <w:rPr>
                <w:rFonts w:hint="eastAsia" w:ascii="宋体" w:hAnsi="宋体" w:cs="宋体"/>
                <w:i w:val="0"/>
                <w:iCs w:val="0"/>
                <w:color w:val="000000"/>
                <w:kern w:val="0"/>
                <w:sz w:val="20"/>
                <w:szCs w:val="20"/>
                <w:highlight w:val="none"/>
                <w:u w:val="none"/>
                <w:lang w:val="en-US" w:eastAsia="zh-CN" w:bidi="ar"/>
              </w:rPr>
              <w:t>扫描件</w:t>
            </w:r>
            <w:r>
              <w:rPr>
                <w:rFonts w:hint="eastAsia" w:ascii="宋体" w:hAnsi="宋体" w:eastAsia="宋体" w:cs="宋体"/>
                <w:i w:val="0"/>
                <w:iCs w:val="0"/>
                <w:color w:val="000000"/>
                <w:kern w:val="0"/>
                <w:sz w:val="20"/>
                <w:szCs w:val="20"/>
                <w:highlight w:val="none"/>
                <w:u w:val="none"/>
                <w:lang w:val="en-US" w:eastAsia="zh-CN" w:bidi="ar"/>
              </w:rPr>
              <w:t>，</w:t>
            </w:r>
            <w:r>
              <w:rPr>
                <w:rFonts w:hint="eastAsia" w:ascii="宋体" w:hAnsi="宋体" w:cs="宋体"/>
                <w:i w:val="0"/>
                <w:iCs w:val="0"/>
                <w:color w:val="000000"/>
                <w:kern w:val="0"/>
                <w:sz w:val="20"/>
                <w:szCs w:val="20"/>
                <w:highlight w:val="none"/>
                <w:u w:val="none"/>
                <w:lang w:val="en-US" w:eastAsia="zh-CN" w:bidi="ar"/>
              </w:rPr>
              <w:t>同时</w:t>
            </w:r>
            <w:r>
              <w:rPr>
                <w:rFonts w:hint="eastAsia" w:ascii="宋体" w:hAnsi="宋体" w:eastAsia="宋体" w:cs="宋体"/>
                <w:i w:val="0"/>
                <w:iCs w:val="0"/>
                <w:color w:val="000000"/>
                <w:kern w:val="0"/>
                <w:sz w:val="20"/>
                <w:szCs w:val="20"/>
                <w:highlight w:val="none"/>
                <w:u w:val="none"/>
                <w:lang w:val="en-US" w:eastAsia="zh-CN" w:bidi="ar"/>
              </w:rPr>
              <w:t>提供操作截图，截图加盖投标人公章。）</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◆18、数据库内核自带检测坏块函数，可以通过该内置函数发现丢失的文件，并可以修复。对于表文件损坏的页面，不借助任何工具通过备库自动修复。（</w:t>
            </w:r>
            <w:r>
              <w:rPr>
                <w:rFonts w:hint="eastAsia" w:ascii="宋体" w:hAnsi="宋体" w:cs="宋体"/>
                <w:i w:val="0"/>
                <w:iCs w:val="0"/>
                <w:color w:val="000000"/>
                <w:kern w:val="0"/>
                <w:sz w:val="20"/>
                <w:szCs w:val="20"/>
                <w:highlight w:val="none"/>
                <w:u w:val="none"/>
                <w:lang w:val="en-US" w:eastAsia="zh-CN" w:bidi="ar"/>
              </w:rPr>
              <w:t>投标文件中</w:t>
            </w:r>
            <w:r>
              <w:rPr>
                <w:rFonts w:hint="eastAsia" w:ascii="宋体" w:hAnsi="宋体" w:eastAsia="宋体" w:cs="宋体"/>
                <w:i w:val="0"/>
                <w:iCs w:val="0"/>
                <w:color w:val="000000"/>
                <w:kern w:val="0"/>
                <w:sz w:val="20"/>
                <w:szCs w:val="20"/>
                <w:highlight w:val="none"/>
                <w:u w:val="none"/>
                <w:lang w:val="en-US" w:eastAsia="zh-CN" w:bidi="ar"/>
              </w:rPr>
              <w:t>提供具有</w:t>
            </w:r>
            <w:r>
              <w:rPr>
                <w:rFonts w:hint="eastAsia" w:ascii="宋体" w:hAnsi="宋体" w:cs="宋体"/>
                <w:i w:val="0"/>
                <w:iCs w:val="0"/>
                <w:color w:val="000000"/>
                <w:kern w:val="0"/>
                <w:sz w:val="20"/>
                <w:szCs w:val="20"/>
                <w:highlight w:val="none"/>
                <w:u w:val="none"/>
                <w:lang w:val="en-US" w:eastAsia="zh-CN" w:bidi="ar"/>
              </w:rPr>
              <w:t>相应检测资质</w:t>
            </w:r>
            <w:r>
              <w:rPr>
                <w:rFonts w:hint="eastAsia" w:ascii="宋体" w:hAnsi="宋体" w:eastAsia="宋体" w:cs="宋体"/>
                <w:i w:val="0"/>
                <w:iCs w:val="0"/>
                <w:color w:val="000000"/>
                <w:kern w:val="0"/>
                <w:sz w:val="20"/>
                <w:szCs w:val="20"/>
                <w:highlight w:val="none"/>
                <w:u w:val="none"/>
                <w:lang w:val="en-US" w:eastAsia="zh-CN" w:bidi="ar"/>
              </w:rPr>
              <w:t>的第三方检测机构出具的检测报告</w:t>
            </w:r>
            <w:r>
              <w:rPr>
                <w:rFonts w:hint="eastAsia" w:ascii="宋体" w:hAnsi="宋体" w:cs="宋体"/>
                <w:i w:val="0"/>
                <w:iCs w:val="0"/>
                <w:color w:val="000000"/>
                <w:kern w:val="0"/>
                <w:sz w:val="20"/>
                <w:szCs w:val="20"/>
                <w:highlight w:val="none"/>
                <w:u w:val="none"/>
                <w:lang w:val="en-US" w:eastAsia="zh-CN" w:bidi="ar"/>
              </w:rPr>
              <w:t>扫描件</w:t>
            </w:r>
            <w:r>
              <w:rPr>
                <w:rFonts w:hint="eastAsia" w:ascii="宋体" w:hAnsi="宋体" w:eastAsia="宋体" w:cs="宋体"/>
                <w:i w:val="0"/>
                <w:iCs w:val="0"/>
                <w:color w:val="000000"/>
                <w:kern w:val="0"/>
                <w:sz w:val="20"/>
                <w:szCs w:val="20"/>
                <w:highlight w:val="none"/>
                <w:u w:val="none"/>
                <w:lang w:val="en-US" w:eastAsia="zh-CN" w:bidi="ar"/>
              </w:rPr>
              <w:t>，</w:t>
            </w:r>
            <w:r>
              <w:rPr>
                <w:rFonts w:hint="eastAsia" w:ascii="宋体" w:hAnsi="宋体" w:cs="宋体"/>
                <w:i w:val="0"/>
                <w:iCs w:val="0"/>
                <w:color w:val="000000"/>
                <w:kern w:val="0"/>
                <w:sz w:val="20"/>
                <w:szCs w:val="20"/>
                <w:highlight w:val="none"/>
                <w:u w:val="none"/>
                <w:lang w:val="en-US" w:eastAsia="zh-CN" w:bidi="ar"/>
              </w:rPr>
              <w:t>同时</w:t>
            </w:r>
            <w:r>
              <w:rPr>
                <w:rFonts w:hint="eastAsia" w:ascii="宋体" w:hAnsi="宋体" w:eastAsia="宋体" w:cs="宋体"/>
                <w:i w:val="0"/>
                <w:iCs w:val="0"/>
                <w:color w:val="000000"/>
                <w:kern w:val="0"/>
                <w:sz w:val="20"/>
                <w:szCs w:val="20"/>
                <w:highlight w:val="none"/>
                <w:u w:val="none"/>
                <w:lang w:val="en-US" w:eastAsia="zh-CN" w:bidi="ar"/>
              </w:rPr>
              <w:t>提供操作截图，截图加盖投标人公章。）</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◆19、在2 路国产处理器平台上，在不低于100张千万行表的数据规模下，持续10分钟的不低于1000并发操作，数据库的批量数据插入的事务处理能力可达120万次/秒、单值插入数据</w:t>
            </w:r>
            <w:r>
              <w:rPr>
                <w:rFonts w:hint="eastAsia" w:ascii="宋体" w:hAnsi="宋体" w:cs="宋体"/>
                <w:i w:val="0"/>
                <w:iCs w:val="0"/>
                <w:color w:val="000000"/>
                <w:kern w:val="0"/>
                <w:sz w:val="20"/>
                <w:szCs w:val="20"/>
                <w:highlight w:val="none"/>
                <w:u w:val="none"/>
                <w:lang w:val="en-US" w:eastAsia="zh-CN" w:bidi="ar"/>
              </w:rPr>
              <w:t>的</w:t>
            </w:r>
            <w:r>
              <w:rPr>
                <w:rFonts w:hint="eastAsia" w:ascii="宋体" w:hAnsi="宋体" w:eastAsia="宋体" w:cs="宋体"/>
                <w:i w:val="0"/>
                <w:iCs w:val="0"/>
                <w:color w:val="000000"/>
                <w:kern w:val="0"/>
                <w:sz w:val="20"/>
                <w:szCs w:val="20"/>
                <w:highlight w:val="none"/>
                <w:u w:val="none"/>
                <w:lang w:val="en-US" w:eastAsia="zh-CN" w:bidi="ar"/>
              </w:rPr>
              <w:t>事务处理能力可达10万次/秒、删除数据的事务处理能力可达60万次/秒、单值数据查询的事务处理能力可达100万次/秒。（</w:t>
            </w:r>
            <w:r>
              <w:rPr>
                <w:rFonts w:hint="eastAsia" w:ascii="宋体" w:hAnsi="宋体" w:cs="宋体"/>
                <w:i w:val="0"/>
                <w:iCs w:val="0"/>
                <w:color w:val="000000"/>
                <w:kern w:val="0"/>
                <w:sz w:val="20"/>
                <w:szCs w:val="20"/>
                <w:highlight w:val="none"/>
                <w:u w:val="none"/>
                <w:lang w:val="en-US" w:eastAsia="zh-CN" w:bidi="ar"/>
              </w:rPr>
              <w:t>投标文件中</w:t>
            </w:r>
            <w:r>
              <w:rPr>
                <w:rFonts w:hint="eastAsia" w:ascii="宋体" w:hAnsi="宋体" w:eastAsia="宋体" w:cs="宋体"/>
                <w:i w:val="0"/>
                <w:iCs w:val="0"/>
                <w:color w:val="000000"/>
                <w:kern w:val="0"/>
                <w:sz w:val="20"/>
                <w:szCs w:val="20"/>
                <w:highlight w:val="none"/>
                <w:u w:val="none"/>
                <w:lang w:val="en-US" w:eastAsia="zh-CN" w:bidi="ar"/>
              </w:rPr>
              <w:t>提供具有</w:t>
            </w:r>
            <w:r>
              <w:rPr>
                <w:rFonts w:hint="eastAsia" w:ascii="宋体" w:hAnsi="宋体" w:cs="宋体"/>
                <w:i w:val="0"/>
                <w:iCs w:val="0"/>
                <w:color w:val="000000"/>
                <w:kern w:val="0"/>
                <w:sz w:val="20"/>
                <w:szCs w:val="20"/>
                <w:highlight w:val="none"/>
                <w:u w:val="none"/>
                <w:lang w:val="en-US" w:eastAsia="zh-CN" w:bidi="ar"/>
              </w:rPr>
              <w:t>相应检测资质</w:t>
            </w:r>
            <w:r>
              <w:rPr>
                <w:rFonts w:hint="eastAsia" w:ascii="宋体" w:hAnsi="宋体" w:eastAsia="宋体" w:cs="宋体"/>
                <w:i w:val="0"/>
                <w:iCs w:val="0"/>
                <w:color w:val="000000"/>
                <w:kern w:val="0"/>
                <w:sz w:val="20"/>
                <w:szCs w:val="20"/>
                <w:highlight w:val="none"/>
                <w:u w:val="none"/>
                <w:lang w:val="en-US" w:eastAsia="zh-CN" w:bidi="ar"/>
              </w:rPr>
              <w:t>的第三方检测机构出具的检测报告</w:t>
            </w:r>
            <w:r>
              <w:rPr>
                <w:rFonts w:hint="eastAsia" w:ascii="宋体" w:hAnsi="宋体" w:cs="宋体"/>
                <w:i w:val="0"/>
                <w:iCs w:val="0"/>
                <w:color w:val="000000"/>
                <w:kern w:val="0"/>
                <w:sz w:val="20"/>
                <w:szCs w:val="20"/>
                <w:highlight w:val="none"/>
                <w:u w:val="none"/>
                <w:lang w:val="en-US" w:eastAsia="zh-CN" w:bidi="ar"/>
              </w:rPr>
              <w:t>扫描件</w:t>
            </w:r>
            <w:r>
              <w:rPr>
                <w:rFonts w:hint="eastAsia" w:ascii="宋体" w:hAnsi="宋体" w:eastAsia="宋体" w:cs="宋体"/>
                <w:i w:val="0"/>
                <w:iCs w:val="0"/>
                <w:color w:val="000000"/>
                <w:kern w:val="0"/>
                <w:sz w:val="20"/>
                <w:szCs w:val="20"/>
                <w:highlight w:val="none"/>
                <w:u w:val="none"/>
                <w:lang w:val="en-US" w:eastAsia="zh-CN" w:bidi="ar"/>
              </w:rPr>
              <w:t>，</w:t>
            </w:r>
            <w:r>
              <w:rPr>
                <w:rFonts w:hint="eastAsia" w:ascii="宋体" w:hAnsi="宋体" w:cs="宋体"/>
                <w:i w:val="0"/>
                <w:iCs w:val="0"/>
                <w:color w:val="000000"/>
                <w:kern w:val="0"/>
                <w:sz w:val="20"/>
                <w:szCs w:val="20"/>
                <w:highlight w:val="none"/>
                <w:u w:val="none"/>
                <w:lang w:val="en-US" w:eastAsia="zh-CN" w:bidi="ar"/>
              </w:rPr>
              <w:t>同时</w:t>
            </w:r>
            <w:r>
              <w:rPr>
                <w:rFonts w:hint="eastAsia" w:ascii="宋体" w:hAnsi="宋体" w:eastAsia="宋体" w:cs="宋体"/>
                <w:i w:val="0"/>
                <w:iCs w:val="0"/>
                <w:color w:val="000000"/>
                <w:kern w:val="0"/>
                <w:sz w:val="20"/>
                <w:szCs w:val="20"/>
                <w:highlight w:val="none"/>
                <w:u w:val="none"/>
                <w:lang w:val="en-US" w:eastAsia="zh-CN" w:bidi="ar"/>
              </w:rPr>
              <w:t>提供操作截图，截图加盖投标人公章。）</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193</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单屏收银</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前台收银：支持前台收银机、PAD、手机收银、门店扫码点餐；</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库存管理：进货、销售、报表查询、利润分析；</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茶饮免费：对接外卖平台</w:t>
            </w:r>
            <w:r>
              <w:rPr>
                <w:rFonts w:hint="eastAsia" w:ascii="宋体" w:hAnsi="宋体" w:cs="宋体"/>
                <w:i w:val="0"/>
                <w:iCs w:val="0"/>
                <w:color w:val="000000"/>
                <w:kern w:val="0"/>
                <w:sz w:val="20"/>
                <w:szCs w:val="20"/>
                <w:u w:val="none"/>
                <w:lang w:val="en-US" w:eastAsia="zh-CN" w:bidi="ar"/>
              </w:rPr>
              <w:t>。</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194</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小票打印机</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收银前台打印小票</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195</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扫码枪</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可用于收发货扫描、盘点扫描</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196</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自助收银终端</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盘点方式：UHF RFID</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屏幕规格：</w:t>
            </w:r>
            <w:r>
              <w:rPr>
                <w:rFonts w:hint="eastAsia" w:ascii="宋体" w:hAnsi="宋体" w:cs="宋体"/>
                <w:szCs w:val="21"/>
                <w:lang w:eastAsia="zh-CN"/>
              </w:rPr>
              <w:t>≥</w:t>
            </w:r>
            <w:r>
              <w:rPr>
                <w:rFonts w:hint="eastAsia" w:ascii="宋体" w:hAnsi="宋体" w:eastAsia="宋体" w:cs="宋体"/>
                <w:i w:val="0"/>
                <w:iCs w:val="0"/>
                <w:color w:val="000000"/>
                <w:kern w:val="0"/>
                <w:sz w:val="20"/>
                <w:szCs w:val="20"/>
                <w:u w:val="none"/>
                <w:lang w:val="en-US" w:eastAsia="zh-CN" w:bidi="ar"/>
              </w:rPr>
              <w:t>22寸触控式显示屏</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通讯接口：网口</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工作频率：840MHz-960MHz</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可设置</w:t>
            </w:r>
            <w:r>
              <w:rPr>
                <w:rFonts w:hint="eastAsia" w:ascii="宋体" w:hAnsi="宋体" w:cs="宋体"/>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权限识别：二维码识别等</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操作系统：Android/Windows</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供电方式：AC220V</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用于自助收银结算</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197</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智能移动终端</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4+64G 移动终端优化参数（通用精简版）</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一、内存（4GB）优化参数</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 后台进程限制：标准/不超过 2 个进程</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 内存压缩阈值：开启，压缩比例 60%</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 系统缓存：最大占用 ≤1.2GB</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 前台优先：禁止后台应用自启动、关联启动</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 交换分区（Swap/ZRAM）：ZRAM 大小 1GB，swappiness 60</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二、存储（64GB）优化参数</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 系统预留空间：≥5GB 空闲</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 应用缓存上限：单应用缓存 ≤200MB</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 垃圾清理周期：每 3 天自动清理</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 安装空间阈值：低于 3GB 禁止新应用安装</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 日志/临时文件保留时长：≤7 天</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三、系统性能调度参数</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 CPU 调度：均衡模式，后台降频阈值 50%</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 GPU 频率：中低负载自动降频</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 显示帧率：60Hz 固定，关闭动态帧率</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 动画缩放：0.5x 或关闭</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 后台网络限速：非前台应用限速 128kbps</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四、存储寿命与IO优化</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 F2EC/EXT4 挂载参数：discard 关闭，使用 fstrim 定期修剪</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 定期 TRIM 周期：每周一次</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 写入缓冲：512MB，避免频繁小文件写入</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198</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POE摄像枪机</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传感器类型：</w:t>
            </w:r>
            <w:r>
              <w:rPr>
                <w:rFonts w:hint="eastAsia" w:ascii="宋体" w:hAnsi="宋体" w:cs="宋体"/>
                <w:szCs w:val="21"/>
                <w:lang w:eastAsia="zh-CN"/>
              </w:rPr>
              <w:t>≥</w:t>
            </w:r>
            <w:r>
              <w:rPr>
                <w:rFonts w:hint="eastAsia" w:ascii="宋体" w:hAnsi="宋体" w:eastAsia="宋体" w:cs="宋体"/>
                <w:i w:val="0"/>
                <w:iCs w:val="0"/>
                <w:color w:val="000000"/>
                <w:kern w:val="0"/>
                <w:sz w:val="20"/>
                <w:szCs w:val="20"/>
                <w:u w:val="none"/>
                <w:lang w:val="en-US" w:eastAsia="zh-CN" w:bidi="ar"/>
              </w:rPr>
              <w:t>1/2.7英寸CMOS；</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像素：</w:t>
            </w:r>
            <w:r>
              <w:rPr>
                <w:rFonts w:hint="eastAsia" w:ascii="宋体" w:hAnsi="宋体" w:cs="宋体"/>
                <w:szCs w:val="21"/>
                <w:lang w:eastAsia="zh-CN"/>
              </w:rPr>
              <w:t>≥</w:t>
            </w:r>
            <w:r>
              <w:rPr>
                <w:rFonts w:hint="eastAsia" w:ascii="宋体" w:hAnsi="宋体" w:eastAsia="宋体" w:cs="宋体"/>
                <w:i w:val="0"/>
                <w:iCs w:val="0"/>
                <w:color w:val="000000"/>
                <w:kern w:val="0"/>
                <w:sz w:val="20"/>
                <w:szCs w:val="20"/>
                <w:u w:val="none"/>
                <w:lang w:val="en-US" w:eastAsia="zh-CN" w:bidi="ar"/>
              </w:rPr>
              <w:t>400万；</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最大分辨率：</w:t>
            </w:r>
            <w:r>
              <w:rPr>
                <w:rFonts w:hint="eastAsia" w:ascii="宋体" w:hAnsi="宋体" w:cs="宋体"/>
                <w:szCs w:val="21"/>
                <w:lang w:eastAsia="zh-CN"/>
              </w:rPr>
              <w:t>≥</w:t>
            </w:r>
            <w:r>
              <w:rPr>
                <w:rFonts w:hint="eastAsia" w:ascii="宋体" w:hAnsi="宋体" w:eastAsia="宋体" w:cs="宋体"/>
                <w:i w:val="0"/>
                <w:iCs w:val="0"/>
                <w:color w:val="000000"/>
                <w:kern w:val="0"/>
                <w:sz w:val="20"/>
                <w:szCs w:val="20"/>
                <w:u w:val="none"/>
                <w:lang w:val="en-US" w:eastAsia="zh-CN" w:bidi="ar"/>
              </w:rPr>
              <w:t>2688×1520；</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最低照度：0.002lux（彩色模式）；0.0002lux（黑白模式）；0lux（补光灯开启）；</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w:t>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环境照度不高于0.51x</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开启超感光功能后</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可自动调节画面中人脸、人体目标以及环境景物的亮度、色彩饱和度、对比度、锐度；</w:t>
            </w:r>
            <w:r>
              <w:rPr>
                <w:rFonts w:hint="eastAsia" w:ascii="宋体" w:hAnsi="宋体" w:cs="宋体"/>
                <w:i w:val="0"/>
                <w:iCs w:val="0"/>
                <w:color w:val="000000"/>
                <w:kern w:val="0"/>
                <w:sz w:val="20"/>
                <w:szCs w:val="20"/>
                <w:u w:val="none"/>
                <w:lang w:val="en-US" w:eastAsia="zh-CN" w:bidi="ar"/>
              </w:rPr>
              <w:t>（在投标文件中提供有相应检测资质的第三方检测机构出具的关于此要求的检测报告扫描件并加盖投标人公章）</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最大补光距离：</w:t>
            </w:r>
            <w:r>
              <w:rPr>
                <w:rFonts w:hint="eastAsia" w:ascii="宋体" w:hAnsi="宋体" w:cs="宋体"/>
                <w:szCs w:val="21"/>
                <w:lang w:eastAsia="zh-CN"/>
              </w:rPr>
              <w:t>≥</w:t>
            </w:r>
            <w:r>
              <w:rPr>
                <w:rFonts w:hint="eastAsia" w:ascii="宋体" w:hAnsi="宋体" w:eastAsia="宋体" w:cs="宋体"/>
                <w:i w:val="0"/>
                <w:iCs w:val="0"/>
                <w:color w:val="000000"/>
                <w:kern w:val="0"/>
                <w:sz w:val="20"/>
                <w:szCs w:val="20"/>
                <w:u w:val="none"/>
                <w:lang w:val="en-US" w:eastAsia="zh-CN" w:bidi="ar"/>
              </w:rPr>
              <w:t>60m（红外）；</w:t>
            </w:r>
            <w:r>
              <w:rPr>
                <w:rFonts w:hint="eastAsia" w:ascii="宋体" w:hAnsi="宋体" w:cs="宋体"/>
                <w:szCs w:val="21"/>
                <w:lang w:eastAsia="zh-CN"/>
              </w:rPr>
              <w:t>≥</w:t>
            </w:r>
            <w:r>
              <w:rPr>
                <w:rFonts w:hint="eastAsia" w:ascii="宋体" w:hAnsi="宋体" w:eastAsia="宋体" w:cs="宋体"/>
                <w:i w:val="0"/>
                <w:iCs w:val="0"/>
                <w:color w:val="000000"/>
                <w:kern w:val="0"/>
                <w:sz w:val="20"/>
                <w:szCs w:val="20"/>
                <w:u w:val="none"/>
                <w:lang w:val="en-US" w:eastAsia="zh-CN" w:bidi="ar"/>
              </w:rPr>
              <w:t>30m（暖光）；</w:t>
            </w:r>
            <w:r>
              <w:rPr>
                <w:rFonts w:hint="eastAsia" w:ascii="宋体" w:hAnsi="宋体" w:cs="宋体"/>
                <w:szCs w:val="21"/>
                <w:lang w:eastAsia="zh-CN"/>
              </w:rPr>
              <w:t>≥</w:t>
            </w:r>
            <w:r>
              <w:rPr>
                <w:rFonts w:hint="eastAsia" w:ascii="宋体" w:hAnsi="宋体" w:eastAsia="宋体" w:cs="宋体"/>
                <w:i w:val="0"/>
                <w:iCs w:val="0"/>
                <w:color w:val="000000"/>
                <w:kern w:val="0"/>
                <w:sz w:val="20"/>
                <w:szCs w:val="20"/>
                <w:u w:val="none"/>
                <w:lang w:val="en-US" w:eastAsia="zh-CN" w:bidi="ar"/>
              </w:rPr>
              <w:t>2m（人脸检测距离）；</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补光灯：</w:t>
            </w:r>
            <w:r>
              <w:rPr>
                <w:rFonts w:hint="eastAsia" w:ascii="宋体" w:hAnsi="宋体" w:cs="宋体"/>
                <w:szCs w:val="21"/>
                <w:lang w:eastAsia="zh-CN"/>
              </w:rPr>
              <w:t>≥</w:t>
            </w:r>
            <w:r>
              <w:rPr>
                <w:rFonts w:hint="eastAsia" w:ascii="宋体" w:hAnsi="宋体" w:eastAsia="宋体" w:cs="宋体"/>
                <w:i w:val="0"/>
                <w:iCs w:val="0"/>
                <w:color w:val="000000"/>
                <w:kern w:val="0"/>
                <w:sz w:val="20"/>
                <w:szCs w:val="20"/>
                <w:u w:val="none"/>
                <w:lang w:val="en-US" w:eastAsia="zh-CN" w:bidi="ar"/>
              </w:rPr>
              <w:t>4颗（多晶（红外+暖光）灯）；</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镜头类型：定焦；</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镜头焦距：3.6mm；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镜头光圈：F1.6；</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11.</w:t>
            </w:r>
            <w:r>
              <w:rPr>
                <w:rFonts w:hint="eastAsia" w:ascii="宋体" w:hAnsi="宋体" w:eastAsia="宋体" w:cs="宋体"/>
                <w:i w:val="0"/>
                <w:iCs w:val="0"/>
                <w:color w:val="000000"/>
                <w:kern w:val="0"/>
                <w:sz w:val="20"/>
                <w:szCs w:val="20"/>
                <w:u w:val="none"/>
                <w:lang w:val="en-US" w:eastAsia="zh-CN" w:bidi="ar"/>
              </w:rPr>
              <w:t>视场角</w:t>
            </w:r>
            <w:r>
              <w:rPr>
                <w:rFonts w:hint="eastAsia" w:ascii="宋体" w:hAnsi="宋体" w:cs="宋体"/>
                <w:i w:val="0"/>
                <w:iCs w:val="0"/>
                <w:color w:val="000000"/>
                <w:kern w:val="0"/>
                <w:sz w:val="20"/>
                <w:szCs w:val="20"/>
                <w:u w:val="none"/>
                <w:lang w:val="en-US" w:eastAsia="zh-CN" w:bidi="ar"/>
              </w:rPr>
              <w:t>不低于</w:t>
            </w:r>
            <w:r>
              <w:rPr>
                <w:rFonts w:hint="eastAsia" w:ascii="宋体" w:hAnsi="宋体" w:eastAsia="宋体" w:cs="宋体"/>
                <w:i w:val="0"/>
                <w:iCs w:val="0"/>
                <w:color w:val="000000"/>
                <w:kern w:val="0"/>
                <w:sz w:val="20"/>
                <w:szCs w:val="20"/>
                <w:u w:val="none"/>
                <w:lang w:val="en-US" w:eastAsia="zh-CN" w:bidi="ar"/>
              </w:rPr>
              <w:t>：水平：83°；垂直：44°；对角：98°；</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12.</w:t>
            </w:r>
            <w:r>
              <w:rPr>
                <w:rFonts w:hint="eastAsia" w:ascii="宋体" w:hAnsi="宋体" w:eastAsia="宋体" w:cs="宋体"/>
                <w:i w:val="0"/>
                <w:iCs w:val="0"/>
                <w:color w:val="000000"/>
                <w:kern w:val="0"/>
                <w:sz w:val="20"/>
                <w:szCs w:val="20"/>
                <w:u w:val="none"/>
                <w:lang w:val="en-US" w:eastAsia="zh-CN" w:bidi="ar"/>
              </w:rPr>
              <w:t>热度图：支持；</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13.</w:t>
            </w:r>
            <w:r>
              <w:rPr>
                <w:rFonts w:hint="eastAsia" w:ascii="宋体" w:hAnsi="宋体" w:eastAsia="宋体" w:cs="宋体"/>
                <w:i w:val="0"/>
                <w:iCs w:val="0"/>
                <w:color w:val="000000"/>
                <w:kern w:val="0"/>
                <w:sz w:val="20"/>
                <w:szCs w:val="20"/>
                <w:u w:val="none"/>
                <w:lang w:val="en-US" w:eastAsia="zh-CN" w:bidi="ar"/>
              </w:rPr>
              <w:t>周界防范：绊线入侵；区域入侵；快速移动（三项均支持人车分类及精准检测）；徘徊检测；人员聚集；停车检测；物品遗留；物品搬移。支持周界大模型模式，提升目标检测距离，降低目标误报率。支持自学习，通过自学习过滤误报；</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w:t>
            </w:r>
            <w:r>
              <w:rPr>
                <w:rFonts w:hint="eastAsia" w:ascii="宋体" w:hAnsi="宋体" w:cs="宋体"/>
                <w:i w:val="0"/>
                <w:iCs w:val="0"/>
                <w:color w:val="000000"/>
                <w:kern w:val="0"/>
                <w:sz w:val="20"/>
                <w:szCs w:val="20"/>
                <w:u w:val="none"/>
                <w:lang w:val="en-US" w:eastAsia="zh-CN" w:bidi="ar"/>
              </w:rPr>
              <w:t>14.</w:t>
            </w:r>
            <w:r>
              <w:rPr>
                <w:rFonts w:hint="eastAsia" w:ascii="宋体" w:hAnsi="宋体" w:eastAsia="宋体" w:cs="宋体"/>
                <w:i w:val="0"/>
                <w:iCs w:val="0"/>
                <w:color w:val="000000"/>
                <w:kern w:val="0"/>
                <w:sz w:val="20"/>
                <w:szCs w:val="20"/>
                <w:u w:val="none"/>
                <w:lang w:val="en-US" w:eastAsia="zh-CN" w:bidi="ar"/>
              </w:rPr>
              <w:t>支持针对人、机动车、动物3类有效目标进行检测</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并触发报警和设置事件联动；</w:t>
            </w:r>
            <w:r>
              <w:rPr>
                <w:rFonts w:hint="eastAsia" w:ascii="宋体" w:hAnsi="宋体" w:cs="宋体"/>
                <w:i w:val="0"/>
                <w:iCs w:val="0"/>
                <w:color w:val="000000"/>
                <w:kern w:val="0"/>
                <w:sz w:val="20"/>
                <w:szCs w:val="20"/>
                <w:u w:val="none"/>
                <w:lang w:val="en-US" w:eastAsia="zh-CN" w:bidi="ar"/>
              </w:rPr>
              <w:t>（在投标文件中提供有相应检测资质的第三方检测机构出具的关于此要求的检测报告扫描件并加盖投标人公章）</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15.</w:t>
            </w:r>
            <w:r>
              <w:rPr>
                <w:rFonts w:hint="eastAsia" w:ascii="宋体" w:hAnsi="宋体" w:eastAsia="宋体" w:cs="宋体"/>
                <w:i w:val="0"/>
                <w:iCs w:val="0"/>
                <w:color w:val="000000"/>
                <w:kern w:val="0"/>
                <w:sz w:val="20"/>
                <w:szCs w:val="20"/>
                <w:u w:val="none"/>
                <w:lang w:val="en-US" w:eastAsia="zh-CN" w:bidi="ar"/>
              </w:rPr>
              <w:t>人脸检测：支持人脸检测；支持跟踪；支持优选；支持抓拍；支持上报最优的人脸抓图；支持人脸抓图增强，支持人脸曝光；支持人脸属性提取，支持</w:t>
            </w:r>
            <w:r>
              <w:rPr>
                <w:rFonts w:hint="eastAsia" w:ascii="宋体" w:hAnsi="宋体" w:cs="宋体"/>
                <w:szCs w:val="21"/>
                <w:lang w:eastAsia="zh-CN"/>
              </w:rPr>
              <w:t>≥</w:t>
            </w:r>
            <w:r>
              <w:rPr>
                <w:rFonts w:hint="eastAsia" w:ascii="宋体" w:hAnsi="宋体" w:eastAsia="宋体" w:cs="宋体"/>
                <w:i w:val="0"/>
                <w:iCs w:val="0"/>
                <w:color w:val="000000"/>
                <w:kern w:val="0"/>
                <w:sz w:val="20"/>
                <w:szCs w:val="20"/>
                <w:u w:val="none"/>
                <w:lang w:val="en-US" w:eastAsia="zh-CN" w:bidi="ar"/>
              </w:rPr>
              <w:t>6种属性8种表情：性别，年龄，眼镜，表情（愤怒，平静，高兴，悲伤，厌恶，惊讶，困惑，害怕），口罩，胡子；支持人脸抠图区域可设</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人脸，单寸照，自定义；支持实时抓拍、优选抓拍、质量优先三种抓拍策略；支持人脸角度过滤功能；支持优选时长可设；</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w:t>
            </w:r>
            <w:r>
              <w:rPr>
                <w:rFonts w:hint="eastAsia" w:ascii="宋体" w:hAnsi="宋体" w:cs="宋体"/>
                <w:i w:val="0"/>
                <w:iCs w:val="0"/>
                <w:color w:val="000000"/>
                <w:kern w:val="0"/>
                <w:sz w:val="20"/>
                <w:szCs w:val="20"/>
                <w:u w:val="none"/>
                <w:lang w:val="en-US" w:eastAsia="zh-CN" w:bidi="ar"/>
              </w:rPr>
              <w:t>16.</w:t>
            </w:r>
            <w:r>
              <w:rPr>
                <w:rFonts w:hint="eastAsia" w:ascii="宋体" w:hAnsi="宋体" w:eastAsia="宋体" w:cs="宋体"/>
                <w:i w:val="0"/>
                <w:iCs w:val="0"/>
                <w:color w:val="000000"/>
                <w:kern w:val="0"/>
                <w:sz w:val="20"/>
                <w:szCs w:val="20"/>
                <w:u w:val="none"/>
                <w:lang w:val="en-US" w:eastAsia="zh-CN" w:bidi="ar"/>
              </w:rPr>
              <w:t>支持自学习功能</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可通过设备本地SD卡将录像导入负样本经验库</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可有效过滤经验库中的误报事件</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最大支持关联</w:t>
            </w:r>
            <w:r>
              <w:rPr>
                <w:rFonts w:hint="eastAsia" w:ascii="宋体" w:hAnsi="宋体" w:cs="宋体"/>
                <w:szCs w:val="21"/>
                <w:lang w:eastAsia="zh-CN"/>
              </w:rPr>
              <w:t>≥</w:t>
            </w:r>
            <w:r>
              <w:rPr>
                <w:rFonts w:hint="eastAsia" w:ascii="宋体" w:hAnsi="宋体" w:eastAsia="宋体" w:cs="宋体"/>
                <w:i w:val="0"/>
                <w:iCs w:val="0"/>
                <w:color w:val="000000"/>
                <w:kern w:val="0"/>
                <w:sz w:val="20"/>
                <w:szCs w:val="20"/>
                <w:u w:val="none"/>
                <w:lang w:val="en-US" w:eastAsia="zh-CN" w:bidi="ar"/>
              </w:rPr>
              <w:t>5个经验库；支持定时语音播报</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最大可添加</w:t>
            </w:r>
            <w:r>
              <w:rPr>
                <w:rFonts w:hint="eastAsia" w:ascii="宋体" w:hAnsi="宋体" w:cs="宋体"/>
                <w:szCs w:val="21"/>
                <w:lang w:eastAsia="zh-CN"/>
              </w:rPr>
              <w:t>≥</w:t>
            </w:r>
            <w:r>
              <w:rPr>
                <w:rFonts w:hint="eastAsia" w:ascii="宋体" w:hAnsi="宋体" w:eastAsia="宋体" w:cs="宋体"/>
                <w:i w:val="0"/>
                <w:iCs w:val="0"/>
                <w:color w:val="000000"/>
                <w:kern w:val="0"/>
                <w:sz w:val="20"/>
                <w:szCs w:val="20"/>
                <w:u w:val="none"/>
                <w:lang w:val="en-US" w:eastAsia="zh-CN" w:bidi="ar"/>
              </w:rPr>
              <w:t>10个不同语音文件</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可设置时间优先、次数优先</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播放间隔可设置</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支持针对不同语音单独配置播放时间计划；</w:t>
            </w:r>
            <w:r>
              <w:rPr>
                <w:rFonts w:hint="eastAsia" w:ascii="宋体" w:hAnsi="宋体" w:cs="宋体"/>
                <w:i w:val="0"/>
                <w:iCs w:val="0"/>
                <w:color w:val="000000"/>
                <w:kern w:val="0"/>
                <w:sz w:val="20"/>
                <w:szCs w:val="20"/>
                <w:u w:val="none"/>
                <w:lang w:val="en-US" w:eastAsia="zh-CN" w:bidi="ar"/>
              </w:rPr>
              <w:t>（在投标文件中提供有相应检测资质的第三方检测机构出具的关于此要求的检测报告扫描件并加盖投标人公章）</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17.</w:t>
            </w:r>
            <w:r>
              <w:rPr>
                <w:rFonts w:hint="eastAsia" w:ascii="宋体" w:hAnsi="宋体" w:eastAsia="宋体" w:cs="宋体"/>
                <w:i w:val="0"/>
                <w:iCs w:val="0"/>
                <w:color w:val="000000"/>
                <w:kern w:val="0"/>
                <w:sz w:val="20"/>
                <w:szCs w:val="20"/>
                <w:u w:val="none"/>
                <w:lang w:val="en-US" w:eastAsia="zh-CN" w:bidi="ar"/>
              </w:rPr>
              <w:t>车辆检测：支持机动车抓拍及报警联动，支持机动车号牌识别；</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18.</w:t>
            </w:r>
            <w:r>
              <w:rPr>
                <w:rFonts w:hint="eastAsia" w:ascii="宋体" w:hAnsi="宋体" w:eastAsia="宋体" w:cs="宋体"/>
                <w:i w:val="0"/>
                <w:iCs w:val="0"/>
                <w:color w:val="000000"/>
                <w:kern w:val="0"/>
                <w:sz w:val="20"/>
                <w:szCs w:val="20"/>
                <w:u w:val="none"/>
                <w:lang w:val="en-US" w:eastAsia="zh-CN" w:bidi="ar"/>
              </w:rPr>
              <w:t>AI编码：H.264：支持；H.265：支持*包含智能编码；</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19.</w:t>
            </w:r>
            <w:r>
              <w:rPr>
                <w:rFonts w:hint="eastAsia" w:ascii="宋体" w:hAnsi="宋体" w:eastAsia="宋体" w:cs="宋体"/>
                <w:i w:val="0"/>
                <w:iCs w:val="0"/>
                <w:color w:val="000000"/>
                <w:kern w:val="0"/>
                <w:sz w:val="20"/>
                <w:szCs w:val="20"/>
                <w:u w:val="none"/>
                <w:lang w:val="en-US" w:eastAsia="zh-CN" w:bidi="ar"/>
              </w:rPr>
              <w:t>宽动态：120dB；</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20.</w:t>
            </w:r>
            <w:r>
              <w:rPr>
                <w:rFonts w:hint="eastAsia" w:ascii="宋体" w:hAnsi="宋体" w:eastAsia="宋体" w:cs="宋体"/>
                <w:i w:val="0"/>
                <w:iCs w:val="0"/>
                <w:color w:val="000000"/>
                <w:kern w:val="0"/>
                <w:sz w:val="20"/>
                <w:szCs w:val="20"/>
                <w:u w:val="none"/>
                <w:lang w:val="en-US" w:eastAsia="zh-CN" w:bidi="ar"/>
              </w:rPr>
              <w:t>走廊模式：90°/270°（在2688×1520分辨率及以下支持）；</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21.</w:t>
            </w:r>
            <w:r>
              <w:rPr>
                <w:rFonts w:hint="eastAsia" w:ascii="宋体" w:hAnsi="宋体" w:eastAsia="宋体" w:cs="宋体"/>
                <w:i w:val="0"/>
                <w:iCs w:val="0"/>
                <w:color w:val="000000"/>
                <w:kern w:val="0"/>
                <w:sz w:val="20"/>
                <w:szCs w:val="20"/>
                <w:u w:val="none"/>
                <w:lang w:val="en-US" w:eastAsia="zh-CN" w:bidi="ar"/>
              </w:rPr>
              <w:t>自适应镜头校正（图像矫正）：支持；</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22.</w:t>
            </w:r>
            <w:r>
              <w:rPr>
                <w:rFonts w:hint="eastAsia" w:ascii="宋体" w:hAnsi="宋体" w:eastAsia="宋体" w:cs="宋体"/>
                <w:i w:val="0"/>
                <w:iCs w:val="0"/>
                <w:color w:val="000000"/>
                <w:kern w:val="0"/>
                <w:sz w:val="20"/>
                <w:szCs w:val="20"/>
                <w:u w:val="none"/>
                <w:lang w:val="en-US" w:eastAsia="zh-CN" w:bidi="ar"/>
              </w:rPr>
              <w:t>内置麦克风：支持，内置双麦克风；</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23.</w:t>
            </w:r>
            <w:r>
              <w:rPr>
                <w:rFonts w:hint="eastAsia" w:ascii="宋体" w:hAnsi="宋体" w:eastAsia="宋体" w:cs="宋体"/>
                <w:i w:val="0"/>
                <w:iCs w:val="0"/>
                <w:color w:val="000000"/>
                <w:kern w:val="0"/>
                <w:sz w:val="20"/>
                <w:szCs w:val="20"/>
                <w:u w:val="none"/>
                <w:lang w:val="en-US" w:eastAsia="zh-CN" w:bidi="ar"/>
              </w:rPr>
              <w:t>内置扬声器：支持，内置1个扬声器；</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24.</w:t>
            </w:r>
            <w:r>
              <w:rPr>
                <w:rFonts w:hint="eastAsia" w:ascii="宋体" w:hAnsi="宋体" w:eastAsia="宋体" w:cs="宋体"/>
                <w:i w:val="0"/>
                <w:iCs w:val="0"/>
                <w:color w:val="000000"/>
                <w:kern w:val="0"/>
                <w:sz w:val="20"/>
                <w:szCs w:val="20"/>
                <w:u w:val="none"/>
                <w:lang w:val="en-US" w:eastAsia="zh-CN" w:bidi="ar"/>
              </w:rPr>
              <w:t>报警事件：无SD卡；SD卡空间不足；SD卡出错；网络断开；IP冲突；非法访问；动态检测；智能动检；视频遮挡；绊线入侵；区域入侵；快速移动；物品遗留；物品搬移；徘徊检测；人员聚集；停车检测；场景变更；声强突变；音频异常；电压检测；人脸检测；车牌识别；安全异常；</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25.</w:t>
            </w:r>
            <w:r>
              <w:rPr>
                <w:rFonts w:hint="eastAsia" w:ascii="宋体" w:hAnsi="宋体" w:eastAsia="宋体" w:cs="宋体"/>
                <w:i w:val="0"/>
                <w:iCs w:val="0"/>
                <w:color w:val="000000"/>
                <w:kern w:val="0"/>
                <w:sz w:val="20"/>
                <w:szCs w:val="20"/>
                <w:u w:val="none"/>
                <w:lang w:val="en-US" w:eastAsia="zh-CN" w:bidi="ar"/>
              </w:rPr>
              <w:t>接入标准：ONVIF（Profile S &amp; Profile G &amp; Profile T &amp; Profile M）；CGI；GB/T28181-2022（双国标）；GA/T1400；</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26.</w:t>
            </w:r>
            <w:r>
              <w:rPr>
                <w:rFonts w:hint="eastAsia" w:ascii="宋体" w:hAnsi="宋体" w:eastAsia="宋体" w:cs="宋体"/>
                <w:i w:val="0"/>
                <w:iCs w:val="0"/>
                <w:color w:val="000000"/>
                <w:kern w:val="0"/>
                <w:sz w:val="20"/>
                <w:szCs w:val="20"/>
                <w:u w:val="none"/>
                <w:lang w:val="en-US" w:eastAsia="zh-CN" w:bidi="ar"/>
              </w:rPr>
              <w:t>预览最大用户数：</w:t>
            </w:r>
            <w:r>
              <w:rPr>
                <w:rFonts w:hint="eastAsia" w:ascii="宋体" w:hAnsi="宋体" w:cs="宋体"/>
                <w:szCs w:val="21"/>
                <w:lang w:eastAsia="zh-CN"/>
              </w:rPr>
              <w:t>≥</w:t>
            </w:r>
            <w:r>
              <w:rPr>
                <w:rFonts w:hint="eastAsia" w:ascii="宋体" w:hAnsi="宋体" w:eastAsia="宋体" w:cs="宋体"/>
                <w:i w:val="0"/>
                <w:iCs w:val="0"/>
                <w:color w:val="000000"/>
                <w:kern w:val="0"/>
                <w:sz w:val="20"/>
                <w:szCs w:val="20"/>
                <w:u w:val="none"/>
                <w:lang w:val="en-US" w:eastAsia="zh-CN" w:bidi="ar"/>
              </w:rPr>
              <w:t>20个（总带宽：</w:t>
            </w:r>
            <w:r>
              <w:rPr>
                <w:rFonts w:hint="eastAsia" w:ascii="宋体" w:hAnsi="宋体" w:cs="宋体"/>
                <w:szCs w:val="21"/>
                <w:lang w:eastAsia="zh-CN"/>
              </w:rPr>
              <w:t>≥</w:t>
            </w:r>
            <w:r>
              <w:rPr>
                <w:rFonts w:hint="eastAsia" w:ascii="宋体" w:hAnsi="宋体" w:eastAsia="宋体" w:cs="宋体"/>
                <w:i w:val="0"/>
                <w:iCs w:val="0"/>
                <w:color w:val="000000"/>
                <w:kern w:val="0"/>
                <w:sz w:val="20"/>
                <w:szCs w:val="20"/>
                <w:u w:val="none"/>
                <w:lang w:val="en-US" w:eastAsia="zh-CN" w:bidi="ar"/>
              </w:rPr>
              <w:t>80M）；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27.</w:t>
            </w:r>
            <w:r>
              <w:rPr>
                <w:rFonts w:hint="eastAsia" w:ascii="宋体" w:hAnsi="宋体" w:eastAsia="宋体" w:cs="宋体"/>
                <w:i w:val="0"/>
                <w:iCs w:val="0"/>
                <w:color w:val="000000"/>
                <w:kern w:val="0"/>
                <w:sz w:val="20"/>
                <w:szCs w:val="20"/>
                <w:u w:val="none"/>
                <w:lang w:val="en-US" w:eastAsia="zh-CN" w:bidi="ar"/>
              </w:rPr>
              <w:t>最大Micro SD卡：</w:t>
            </w:r>
            <w:r>
              <w:rPr>
                <w:rFonts w:hint="eastAsia" w:ascii="宋体" w:hAnsi="宋体" w:cs="宋体"/>
                <w:szCs w:val="21"/>
                <w:lang w:eastAsia="zh-CN"/>
              </w:rPr>
              <w:t>≥</w:t>
            </w:r>
            <w:r>
              <w:rPr>
                <w:rFonts w:hint="eastAsia" w:ascii="宋体" w:hAnsi="宋体" w:eastAsia="宋体" w:cs="宋体"/>
                <w:i w:val="0"/>
                <w:iCs w:val="0"/>
                <w:color w:val="000000"/>
                <w:kern w:val="0"/>
                <w:sz w:val="20"/>
                <w:szCs w:val="20"/>
                <w:u w:val="none"/>
                <w:lang w:val="en-US" w:eastAsia="zh-CN" w:bidi="ar"/>
              </w:rPr>
              <w:t>1TB；</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28.</w:t>
            </w:r>
            <w:r>
              <w:rPr>
                <w:rFonts w:hint="eastAsia" w:ascii="宋体" w:hAnsi="宋体" w:eastAsia="宋体" w:cs="宋体"/>
                <w:i w:val="0"/>
                <w:iCs w:val="0"/>
                <w:color w:val="000000"/>
                <w:kern w:val="0"/>
                <w:sz w:val="20"/>
                <w:szCs w:val="20"/>
                <w:u w:val="none"/>
                <w:lang w:val="en-US" w:eastAsia="zh-CN" w:bidi="ar"/>
              </w:rPr>
              <w:t>其他功能：支持定时语音播报功能，最大可支持添加10个不同语音文件，可设置时间优先、次数优先，播放间隔可设置并单独配置播放时间计划；</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29.</w:t>
            </w:r>
            <w:r>
              <w:rPr>
                <w:rFonts w:hint="eastAsia" w:ascii="宋体" w:hAnsi="宋体" w:eastAsia="宋体" w:cs="宋体"/>
                <w:i w:val="0"/>
                <w:iCs w:val="0"/>
                <w:color w:val="000000"/>
                <w:kern w:val="0"/>
                <w:sz w:val="20"/>
                <w:szCs w:val="20"/>
                <w:u w:val="none"/>
                <w:lang w:val="en-US" w:eastAsia="zh-CN" w:bidi="ar"/>
              </w:rPr>
              <w:t>供电方式：DC12V（±30%）；PoE+（802.3at）；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防护等级：</w:t>
            </w:r>
            <w:r>
              <w:rPr>
                <w:rFonts w:hint="eastAsia" w:ascii="宋体" w:hAnsi="宋体" w:cs="宋体"/>
                <w:szCs w:val="21"/>
                <w:lang w:eastAsia="zh-CN"/>
              </w:rPr>
              <w:t>≥</w:t>
            </w:r>
            <w:r>
              <w:rPr>
                <w:rFonts w:hint="eastAsia" w:ascii="宋体" w:hAnsi="宋体" w:eastAsia="宋体" w:cs="宋体"/>
                <w:i w:val="0"/>
                <w:iCs w:val="0"/>
                <w:color w:val="000000"/>
                <w:kern w:val="0"/>
                <w:sz w:val="20"/>
                <w:szCs w:val="20"/>
                <w:u w:val="none"/>
                <w:lang w:val="en-US" w:eastAsia="zh-CN" w:bidi="ar"/>
              </w:rPr>
              <w:t>IP67；</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199</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网络硬盘录像机</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1.主处理器：工业级微控制器；</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2.操作系统：嵌入式Linux操作系统；</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3.后智能分析：支持后智能人脸检测、人脸识别、周界防范、智能动检*后智能无法和异源输出或</w:t>
            </w:r>
            <w:r>
              <w:rPr>
                <w:rFonts w:hint="eastAsia" w:ascii="宋体" w:hAnsi="宋体" w:cs="宋体"/>
                <w:szCs w:val="21"/>
                <w:lang w:eastAsia="zh-CN"/>
              </w:rPr>
              <w:t>≥</w:t>
            </w:r>
            <w:r>
              <w:rPr>
                <w:rFonts w:hint="eastAsia" w:ascii="宋体" w:hAnsi="宋体" w:cs="宋体"/>
                <w:i w:val="0"/>
                <w:iCs w:val="0"/>
                <w:color w:val="000000"/>
                <w:kern w:val="0"/>
                <w:sz w:val="20"/>
                <w:szCs w:val="20"/>
                <w:u w:val="none"/>
                <w:lang w:val="en-US" w:eastAsia="zh-CN" w:bidi="ar"/>
              </w:rPr>
              <w:t>4K显示输出功能同时启用；</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4.前智能分析：支持前智能人脸检测、人脸识别、周界防范、智能动检、立体行为分析、人群分布、人数统计、车牌识别、物品监控、高空抛物检测、电瓶车入梯；</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5.周界后智能性能（路数）：</w:t>
            </w:r>
            <w:r>
              <w:rPr>
                <w:rFonts w:hint="eastAsia" w:ascii="宋体" w:hAnsi="宋体" w:cs="宋体"/>
                <w:szCs w:val="21"/>
                <w:lang w:eastAsia="zh-CN"/>
              </w:rPr>
              <w:t>≥</w:t>
            </w:r>
            <w:r>
              <w:rPr>
                <w:rFonts w:hint="eastAsia" w:ascii="宋体" w:hAnsi="宋体" w:cs="宋体"/>
                <w:i w:val="0"/>
                <w:iCs w:val="0"/>
                <w:color w:val="000000"/>
                <w:kern w:val="0"/>
                <w:sz w:val="20"/>
                <w:szCs w:val="20"/>
                <w:u w:val="none"/>
                <w:lang w:val="en-US" w:eastAsia="zh-CN" w:bidi="ar"/>
              </w:rPr>
              <w:t>2路，每路绘制</w:t>
            </w:r>
            <w:r>
              <w:rPr>
                <w:rFonts w:hint="eastAsia" w:ascii="宋体" w:hAnsi="宋体" w:cs="宋体"/>
                <w:szCs w:val="21"/>
                <w:lang w:eastAsia="zh-CN"/>
              </w:rPr>
              <w:t>≥</w:t>
            </w:r>
            <w:r>
              <w:rPr>
                <w:rFonts w:hint="eastAsia" w:ascii="宋体" w:hAnsi="宋体" w:cs="宋体"/>
                <w:i w:val="0"/>
                <w:iCs w:val="0"/>
                <w:color w:val="000000"/>
                <w:kern w:val="0"/>
                <w:sz w:val="20"/>
                <w:szCs w:val="20"/>
                <w:u w:val="none"/>
                <w:lang w:val="en-US" w:eastAsia="zh-CN" w:bidi="ar"/>
              </w:rPr>
              <w:t>10规则线；</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6.周界前智能性能（路数）：</w:t>
            </w:r>
            <w:r>
              <w:rPr>
                <w:rFonts w:hint="eastAsia" w:ascii="宋体" w:hAnsi="宋体" w:cs="宋体"/>
                <w:szCs w:val="21"/>
                <w:lang w:eastAsia="zh-CN"/>
              </w:rPr>
              <w:t>≥</w:t>
            </w:r>
            <w:r>
              <w:rPr>
                <w:rFonts w:hint="eastAsia" w:ascii="宋体" w:hAnsi="宋体" w:cs="宋体"/>
                <w:i w:val="0"/>
                <w:iCs w:val="0"/>
                <w:color w:val="000000"/>
                <w:kern w:val="0"/>
                <w:sz w:val="20"/>
                <w:szCs w:val="20"/>
                <w:u w:val="none"/>
                <w:lang w:val="en-US" w:eastAsia="zh-CN" w:bidi="ar"/>
              </w:rPr>
              <w:t>8路；</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7.人脸检测后智能性能（1080P）（路数）：1路，单路同时最多检测</w:t>
            </w:r>
            <w:r>
              <w:rPr>
                <w:rFonts w:hint="eastAsia" w:ascii="宋体" w:hAnsi="宋体" w:cs="宋体"/>
                <w:szCs w:val="21"/>
                <w:lang w:eastAsia="zh-CN"/>
              </w:rPr>
              <w:t>≥</w:t>
            </w:r>
            <w:r>
              <w:rPr>
                <w:rFonts w:hint="eastAsia" w:ascii="宋体" w:hAnsi="宋体" w:cs="宋体"/>
                <w:i w:val="0"/>
                <w:iCs w:val="0"/>
                <w:color w:val="000000"/>
                <w:kern w:val="0"/>
                <w:sz w:val="20"/>
                <w:szCs w:val="20"/>
                <w:u w:val="none"/>
                <w:lang w:val="en-US" w:eastAsia="zh-CN" w:bidi="ar"/>
              </w:rPr>
              <w:t>12张人脸；</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8.人脸识别后智能性能（1080P）（路数）：（1）前端人脸检测+后端人脸比对支持</w:t>
            </w:r>
            <w:r>
              <w:rPr>
                <w:rFonts w:hint="eastAsia" w:ascii="宋体" w:hAnsi="宋体" w:cs="宋体"/>
                <w:szCs w:val="21"/>
                <w:lang w:eastAsia="zh-CN"/>
              </w:rPr>
              <w:t>≥</w:t>
            </w:r>
            <w:r>
              <w:rPr>
                <w:rFonts w:hint="eastAsia" w:ascii="宋体" w:hAnsi="宋体" w:cs="宋体"/>
                <w:i w:val="0"/>
                <w:iCs w:val="0"/>
                <w:color w:val="000000"/>
                <w:kern w:val="0"/>
                <w:sz w:val="20"/>
                <w:szCs w:val="20"/>
                <w:u w:val="none"/>
                <w:lang w:val="en-US" w:eastAsia="zh-CN" w:bidi="ar"/>
              </w:rPr>
              <w:t>8路图片流，最多同时处理</w:t>
            </w:r>
            <w:r>
              <w:rPr>
                <w:rFonts w:hint="eastAsia" w:ascii="宋体" w:hAnsi="宋体" w:cs="宋体"/>
                <w:szCs w:val="21"/>
                <w:lang w:eastAsia="zh-CN"/>
              </w:rPr>
              <w:t>≥</w:t>
            </w:r>
            <w:r>
              <w:rPr>
                <w:rFonts w:hint="eastAsia" w:ascii="宋体" w:hAnsi="宋体" w:cs="宋体"/>
                <w:i w:val="0"/>
                <w:iCs w:val="0"/>
                <w:color w:val="000000"/>
                <w:kern w:val="0"/>
                <w:sz w:val="20"/>
                <w:szCs w:val="20"/>
                <w:u w:val="none"/>
                <w:lang w:val="en-US" w:eastAsia="zh-CN" w:bidi="ar"/>
              </w:rPr>
              <w:t>12张/秒人脸；（2）后端人脸检测+后端人脸比对支持1路视频流，最多同时处理</w:t>
            </w:r>
            <w:r>
              <w:rPr>
                <w:rFonts w:hint="eastAsia" w:ascii="宋体" w:hAnsi="宋体" w:cs="宋体"/>
                <w:szCs w:val="21"/>
                <w:lang w:eastAsia="zh-CN"/>
              </w:rPr>
              <w:t>≥</w:t>
            </w:r>
            <w:r>
              <w:rPr>
                <w:rFonts w:hint="eastAsia" w:ascii="宋体" w:hAnsi="宋体" w:cs="宋体"/>
                <w:i w:val="0"/>
                <w:iCs w:val="0"/>
                <w:color w:val="000000"/>
                <w:kern w:val="0"/>
                <w:sz w:val="20"/>
                <w:szCs w:val="20"/>
                <w:u w:val="none"/>
                <w:lang w:val="en-US" w:eastAsia="zh-CN" w:bidi="ar"/>
              </w:rPr>
              <w:t>12张/秒人脸；</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w:t>
            </w:r>
            <w:r>
              <w:rPr>
                <w:rFonts w:hint="default" w:ascii="宋体" w:hAnsi="宋体" w:cs="宋体"/>
                <w:i w:val="0"/>
                <w:iCs w:val="0"/>
                <w:color w:val="000000"/>
                <w:kern w:val="0"/>
                <w:sz w:val="20"/>
                <w:szCs w:val="20"/>
                <w:u w:val="none"/>
                <w:lang w:val="en-US" w:eastAsia="zh-CN" w:bidi="ar"/>
              </w:rPr>
              <w:t>9．</w:t>
            </w:r>
            <w:r>
              <w:rPr>
                <w:rFonts w:hint="eastAsia" w:ascii="宋体" w:hAnsi="宋体" w:cs="宋体"/>
                <w:i w:val="0"/>
                <w:iCs w:val="0"/>
                <w:color w:val="000000"/>
                <w:kern w:val="0"/>
                <w:sz w:val="20"/>
                <w:szCs w:val="20"/>
                <w:u w:val="none"/>
                <w:lang w:val="en-US" w:eastAsia="zh-CN" w:bidi="ar"/>
              </w:rPr>
              <w:t>可支持的音频编码格有G.711alaw、G711ulaw、G.711A、PCM、G.711Mu、G.726、AAC、G.722、G729、MPEG2-layer2；音频采样率有8kHz、16kHz、32kHz、48kHz、64kHz；可检测视频中异常音频，出现干扰信号和声音变化幅度过大时，进行报警提示；（在投标文件中提供有相应检测资质的第三方检测机构出具的关于此要求的检测报告扫描件并加盖投标人公章）</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10.人脸识别前智能性能（路数）：全通道（最大处理8个事件/秒）；</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w:t>
            </w:r>
            <w:r>
              <w:rPr>
                <w:rFonts w:hint="default" w:ascii="宋体" w:hAnsi="宋体" w:cs="宋体"/>
                <w:i w:val="0"/>
                <w:iCs w:val="0"/>
                <w:color w:val="000000"/>
                <w:kern w:val="0"/>
                <w:sz w:val="20"/>
                <w:szCs w:val="20"/>
                <w:u w:val="none"/>
                <w:lang w:val="en-US" w:eastAsia="zh-CN" w:bidi="ar"/>
              </w:rPr>
              <w:t>11．</w:t>
            </w:r>
            <w:r>
              <w:rPr>
                <w:rFonts w:hint="eastAsia" w:ascii="宋体" w:hAnsi="宋体" w:cs="宋体"/>
                <w:i w:val="0"/>
                <w:iCs w:val="0"/>
                <w:color w:val="000000"/>
                <w:kern w:val="0"/>
                <w:sz w:val="20"/>
                <w:szCs w:val="20"/>
                <w:u w:val="none"/>
                <w:lang w:val="en-US" w:eastAsia="zh-CN" w:bidi="ar"/>
              </w:rPr>
              <w:t>支持摄像头属性调节页面直接展示视频效果，调节效果随参数调整实时展现；（在投标文件中提供有相应检测资质的第三方检测机构出具的关于此要求的检测报告扫描件并加盖投标人公章）</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12.接入路数：</w:t>
            </w:r>
            <w:r>
              <w:rPr>
                <w:rFonts w:hint="eastAsia" w:ascii="宋体" w:hAnsi="宋体" w:cs="宋体"/>
                <w:szCs w:val="21"/>
                <w:lang w:eastAsia="zh-CN"/>
              </w:rPr>
              <w:t>≥</w:t>
            </w:r>
            <w:r>
              <w:rPr>
                <w:rFonts w:hint="eastAsia" w:ascii="宋体" w:hAnsi="宋体" w:cs="宋体"/>
                <w:i w:val="0"/>
                <w:iCs w:val="0"/>
                <w:color w:val="000000"/>
                <w:kern w:val="0"/>
                <w:sz w:val="20"/>
                <w:szCs w:val="20"/>
                <w:u w:val="none"/>
                <w:lang w:val="en-US" w:eastAsia="zh-CN" w:bidi="ar"/>
              </w:rPr>
              <w:t>16路；</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13.分辨率：支持16MP；12MP；8MP；6MP；5MP；4MP；3MP；1080p；720p；960p；D1；CIF；</w:t>
            </w:r>
          </w:p>
          <w:p>
            <w:pPr>
              <w:keepNext w:val="0"/>
              <w:keepLines w:val="0"/>
              <w:pageBreakBefore w:val="0"/>
              <w:widowControl/>
              <w:suppressLineNumbers w:val="0"/>
              <w:kinsoku/>
              <w:wordWrap/>
              <w:overflowPunct/>
              <w:topLinePunct w:val="0"/>
              <w:autoSpaceDE/>
              <w:autoSpaceDN/>
              <w:bidi w:val="0"/>
              <w:adjustRightInd/>
              <w:snapToGrid/>
              <w:spacing w:line="440" w:lineRule="exact"/>
              <w:jc w:val="righ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14.解码能力：1路16MP@30fps; 2路12MP@30fps; 3路8MP@30fps; 4路5MP@30fps; 6路4MP@30fps; 12路2MP@30fps；</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15.报警输入：</w:t>
            </w:r>
            <w:r>
              <w:rPr>
                <w:rFonts w:hint="eastAsia" w:ascii="宋体" w:hAnsi="宋体" w:cs="宋体"/>
                <w:szCs w:val="21"/>
                <w:lang w:eastAsia="zh-CN"/>
              </w:rPr>
              <w:t>≥</w:t>
            </w:r>
            <w:r>
              <w:rPr>
                <w:rFonts w:hint="eastAsia" w:ascii="宋体" w:hAnsi="宋体" w:cs="宋体"/>
                <w:i w:val="0"/>
                <w:iCs w:val="0"/>
                <w:color w:val="000000"/>
                <w:kern w:val="0"/>
                <w:sz w:val="20"/>
                <w:szCs w:val="20"/>
                <w:u w:val="none"/>
                <w:lang w:val="en-US" w:eastAsia="zh-CN" w:bidi="ar"/>
              </w:rPr>
              <w:t>16路；</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16.报警输出：</w:t>
            </w:r>
            <w:r>
              <w:rPr>
                <w:rFonts w:hint="eastAsia" w:ascii="宋体" w:hAnsi="宋体" w:cs="宋体"/>
                <w:szCs w:val="21"/>
                <w:lang w:eastAsia="zh-CN"/>
              </w:rPr>
              <w:t>≥</w:t>
            </w:r>
            <w:r>
              <w:rPr>
                <w:rFonts w:hint="eastAsia" w:ascii="宋体" w:hAnsi="宋体" w:cs="宋体"/>
                <w:i w:val="0"/>
                <w:iCs w:val="0"/>
                <w:color w:val="000000"/>
                <w:kern w:val="0"/>
                <w:sz w:val="20"/>
                <w:szCs w:val="20"/>
                <w:u w:val="none"/>
                <w:lang w:val="en-US" w:eastAsia="zh-CN" w:bidi="ar"/>
              </w:rPr>
              <w:t>4路；</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17.硬盘接口：</w:t>
            </w:r>
            <w:r>
              <w:rPr>
                <w:rFonts w:hint="eastAsia" w:ascii="宋体" w:hAnsi="宋体" w:cs="宋体"/>
                <w:szCs w:val="21"/>
                <w:lang w:eastAsia="zh-CN"/>
              </w:rPr>
              <w:t>≥</w:t>
            </w:r>
            <w:r>
              <w:rPr>
                <w:rFonts w:hint="eastAsia" w:ascii="宋体" w:hAnsi="宋体" w:cs="宋体"/>
                <w:i w:val="0"/>
                <w:iCs w:val="0"/>
                <w:color w:val="000000"/>
                <w:kern w:val="0"/>
                <w:sz w:val="20"/>
                <w:szCs w:val="20"/>
                <w:u w:val="none"/>
                <w:lang w:val="en-US" w:eastAsia="zh-CN" w:bidi="ar"/>
              </w:rPr>
              <w:t>5个SATA，单盘最大20T；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18.RS-485接口：1个；</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19.网络接口：</w:t>
            </w:r>
            <w:r>
              <w:rPr>
                <w:rFonts w:hint="eastAsia" w:ascii="宋体" w:hAnsi="宋体" w:cs="宋体"/>
                <w:szCs w:val="21"/>
                <w:lang w:eastAsia="zh-CN"/>
              </w:rPr>
              <w:t>≥</w:t>
            </w:r>
            <w:r>
              <w:rPr>
                <w:rFonts w:hint="eastAsia" w:ascii="宋体" w:hAnsi="宋体" w:cs="宋体"/>
                <w:i w:val="0"/>
                <w:iCs w:val="0"/>
                <w:color w:val="000000"/>
                <w:kern w:val="0"/>
                <w:sz w:val="20"/>
                <w:szCs w:val="20"/>
                <w:u w:val="none"/>
                <w:lang w:val="en-US" w:eastAsia="zh-CN" w:bidi="ar"/>
              </w:rPr>
              <w:t>2个（10M/100M/1000M以太网口，RJ-45）</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200</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硬盘</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规格：</w:t>
            </w:r>
            <w:r>
              <w:rPr>
                <w:rFonts w:hint="eastAsia" w:ascii="宋体" w:hAnsi="宋体" w:eastAsia="宋体" w:cs="宋体"/>
                <w:i w:val="0"/>
                <w:iCs w:val="0"/>
                <w:color w:val="000000"/>
                <w:kern w:val="0"/>
                <w:sz w:val="20"/>
                <w:szCs w:val="20"/>
                <w:u w:val="none"/>
                <w:lang w:val="en-US" w:eastAsia="zh-CN" w:bidi="ar"/>
              </w:rPr>
              <w:t>3.5 英寸；容量：</w:t>
            </w:r>
            <w:r>
              <w:rPr>
                <w:rFonts w:hint="eastAsia" w:ascii="宋体" w:hAnsi="宋体" w:cs="宋体"/>
                <w:szCs w:val="21"/>
                <w:lang w:eastAsia="zh-CN"/>
              </w:rPr>
              <w:t>≥</w:t>
            </w:r>
            <w:r>
              <w:rPr>
                <w:rFonts w:hint="eastAsia" w:ascii="宋体" w:hAnsi="宋体" w:eastAsia="宋体" w:cs="宋体"/>
                <w:i w:val="0"/>
                <w:iCs w:val="0"/>
                <w:color w:val="000000"/>
                <w:kern w:val="0"/>
                <w:sz w:val="20"/>
                <w:szCs w:val="20"/>
                <w:u w:val="none"/>
                <w:lang w:val="en-US" w:eastAsia="zh-CN" w:bidi="ar"/>
              </w:rPr>
              <w:t>4TB/IntelliPower/64M/SATA3</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201</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24口POE交换机</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1.交换容量：</w:t>
            </w:r>
            <w:r>
              <w:rPr>
                <w:rFonts w:hint="eastAsia" w:ascii="宋体" w:hAnsi="宋体" w:cs="宋体"/>
                <w:szCs w:val="21"/>
                <w:lang w:eastAsia="zh-CN"/>
              </w:rPr>
              <w:t>≥</w:t>
            </w:r>
            <w:r>
              <w:rPr>
                <w:rFonts w:hint="eastAsia" w:ascii="宋体" w:hAnsi="宋体" w:cs="宋体"/>
                <w:i w:val="0"/>
                <w:iCs w:val="0"/>
                <w:color w:val="000000"/>
                <w:kern w:val="0"/>
                <w:sz w:val="20"/>
                <w:szCs w:val="20"/>
                <w:u w:val="none"/>
                <w:lang w:val="en-US" w:eastAsia="zh-CN" w:bidi="ar"/>
              </w:rPr>
              <w:t>256Gbps；</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2.包转发率：</w:t>
            </w:r>
            <w:r>
              <w:rPr>
                <w:rFonts w:hint="eastAsia" w:ascii="宋体" w:hAnsi="宋体" w:cs="宋体"/>
                <w:szCs w:val="21"/>
                <w:lang w:eastAsia="zh-CN"/>
              </w:rPr>
              <w:t>≥</w:t>
            </w:r>
            <w:r>
              <w:rPr>
                <w:rFonts w:hint="eastAsia" w:ascii="宋体" w:hAnsi="宋体" w:cs="宋体"/>
                <w:i w:val="0"/>
                <w:iCs w:val="0"/>
                <w:color w:val="000000"/>
                <w:kern w:val="0"/>
                <w:sz w:val="20"/>
                <w:szCs w:val="20"/>
                <w:u w:val="none"/>
                <w:lang w:val="en-US" w:eastAsia="zh-CN" w:bidi="ar"/>
              </w:rPr>
              <w:t>60Mpps；</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3.业务端口：具备</w:t>
            </w:r>
            <w:r>
              <w:rPr>
                <w:rFonts w:hint="eastAsia" w:ascii="宋体" w:hAnsi="宋体" w:cs="宋体"/>
                <w:szCs w:val="21"/>
                <w:lang w:eastAsia="zh-CN"/>
              </w:rPr>
              <w:t>≥</w:t>
            </w:r>
            <w:r>
              <w:rPr>
                <w:rFonts w:hint="eastAsia" w:ascii="宋体" w:hAnsi="宋体" w:cs="宋体"/>
                <w:i w:val="0"/>
                <w:iCs w:val="0"/>
                <w:color w:val="000000"/>
                <w:kern w:val="0"/>
                <w:sz w:val="20"/>
                <w:szCs w:val="20"/>
                <w:u w:val="none"/>
                <w:lang w:val="en-US" w:eastAsia="zh-CN" w:bidi="ar"/>
              </w:rPr>
              <w:t>24个10/100/1000BASE-T电口（PoE）、2个10/100/1000BASE-T电口、2个1000BASE-X SFP端口；</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4.拨码开关：支持</w:t>
            </w:r>
            <w:r>
              <w:rPr>
                <w:rFonts w:hint="eastAsia" w:ascii="宋体" w:hAnsi="宋体" w:cs="宋体"/>
                <w:szCs w:val="21"/>
                <w:lang w:eastAsia="zh-CN"/>
              </w:rPr>
              <w:t>≥</w:t>
            </w:r>
            <w:r>
              <w:rPr>
                <w:rFonts w:hint="eastAsia" w:ascii="宋体" w:hAnsi="宋体" w:cs="宋体"/>
                <w:i w:val="0"/>
                <w:iCs w:val="0"/>
                <w:color w:val="000000"/>
                <w:kern w:val="0"/>
                <w:sz w:val="20"/>
                <w:szCs w:val="20"/>
                <w:u w:val="none"/>
                <w:lang w:val="en-US" w:eastAsia="zh-CN" w:bidi="ar"/>
              </w:rPr>
              <w:t>3个拨码开关；管理开关：通过拨码开关切换管理/非管模式，其中管理模式包括本地WEB管理和云管理，出厂默认开启状态； 远距离供电：端口1-24延长传输距离至</w:t>
            </w:r>
            <w:r>
              <w:rPr>
                <w:rFonts w:hint="eastAsia" w:ascii="宋体" w:hAnsi="宋体" w:cs="宋体"/>
                <w:szCs w:val="21"/>
                <w:lang w:eastAsia="zh-CN"/>
              </w:rPr>
              <w:t>≥</w:t>
            </w:r>
            <w:r>
              <w:rPr>
                <w:rFonts w:hint="eastAsia" w:ascii="宋体" w:hAnsi="宋体" w:cs="宋体"/>
                <w:i w:val="0"/>
                <w:iCs w:val="0"/>
                <w:color w:val="000000"/>
                <w:kern w:val="0"/>
                <w:sz w:val="20"/>
                <w:szCs w:val="20"/>
                <w:u w:val="none"/>
                <w:lang w:val="en-US" w:eastAsia="zh-CN" w:bidi="ar"/>
              </w:rPr>
              <w:t>250米，端口协商速率降低为10Mbps（非管模式生效）； PoE看门狗：端口1-24实时监听流量状态，2min内无流量重启PoE供电（非管模式生效）</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5.环网协议：STP、RSTP；</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6.VLAN功能：支持；</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7.链路聚合：支持；</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8.设备管理：WEB管理、APP管理；</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9.供电方式：默认内置电源：100–240VAC，47–63Hz，7A Max</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10.空载功耗：≤13.3W；</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11.满载功耗：≤391.7W；</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12.PoE：Port 1-4≤90W，Port 5-24≤30W，总功率≤375W；</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13.散热方式：内置风扇散热；</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14.安装方式：桌面式、机架式安装；</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15.工作湿度：5%～95%RH（无凝结）；</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16.工作温度：-10℃～55℃；</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202</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控制电脑</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CPU：参照</w:t>
            </w:r>
            <w:r>
              <w:rPr>
                <w:rFonts w:hint="eastAsia" w:ascii="宋体" w:hAnsi="宋体" w:eastAsia="宋体" w:cs="宋体"/>
                <w:i w:val="0"/>
                <w:iCs w:val="0"/>
                <w:color w:val="000000"/>
                <w:kern w:val="0"/>
                <w:sz w:val="20"/>
                <w:szCs w:val="20"/>
                <w:u w:val="none"/>
                <w:lang w:val="en-US" w:eastAsia="zh-CN" w:bidi="ar"/>
              </w:rPr>
              <w:t>i7-14700/</w:t>
            </w:r>
            <w:r>
              <w:rPr>
                <w:rFonts w:hint="eastAsia" w:ascii="宋体" w:hAnsi="宋体" w:cs="宋体"/>
                <w:i w:val="0"/>
                <w:iCs w:val="0"/>
                <w:color w:val="000000"/>
                <w:kern w:val="0"/>
                <w:sz w:val="20"/>
                <w:szCs w:val="20"/>
                <w:u w:val="none"/>
                <w:lang w:val="en-US" w:eastAsia="zh-CN" w:bidi="ar"/>
              </w:rPr>
              <w:t>内存：</w:t>
            </w:r>
            <w:r>
              <w:rPr>
                <w:rFonts w:hint="eastAsia" w:ascii="宋体" w:hAnsi="宋体" w:eastAsia="宋体" w:cs="宋体"/>
                <w:i w:val="0"/>
                <w:iCs w:val="0"/>
                <w:color w:val="000000"/>
                <w:kern w:val="0"/>
                <w:sz w:val="20"/>
                <w:szCs w:val="20"/>
                <w:u w:val="none"/>
                <w:lang w:val="en-US" w:eastAsia="zh-CN" w:bidi="ar"/>
              </w:rPr>
              <w:t>32GB/</w:t>
            </w:r>
            <w:r>
              <w:rPr>
                <w:rFonts w:hint="eastAsia" w:ascii="宋体" w:hAnsi="宋体" w:cs="宋体"/>
                <w:i w:val="0"/>
                <w:iCs w:val="0"/>
                <w:color w:val="000000"/>
                <w:kern w:val="0"/>
                <w:sz w:val="20"/>
                <w:szCs w:val="20"/>
                <w:u w:val="none"/>
                <w:lang w:val="en-US" w:eastAsia="zh-CN" w:bidi="ar"/>
              </w:rPr>
              <w:t>硬盘</w:t>
            </w:r>
            <w:r>
              <w:rPr>
                <w:rFonts w:hint="eastAsia" w:ascii="宋体" w:hAnsi="宋体" w:cs="宋体"/>
                <w:i w:val="0"/>
                <w:iCs w:val="0"/>
                <w:color w:val="auto"/>
                <w:kern w:val="0"/>
                <w:sz w:val="20"/>
                <w:szCs w:val="20"/>
                <w:u w:val="none"/>
                <w:lang w:val="en-US" w:eastAsia="zh-CN" w:bidi="ar"/>
              </w:rPr>
              <w:t>：</w:t>
            </w:r>
            <w:r>
              <w:rPr>
                <w:rFonts w:hint="eastAsia" w:ascii="宋体" w:hAnsi="宋体" w:cs="宋体"/>
                <w:color w:val="auto"/>
                <w:szCs w:val="21"/>
                <w:lang w:eastAsia="zh-CN"/>
              </w:rPr>
              <w:t>≥</w:t>
            </w:r>
            <w:r>
              <w:rPr>
                <w:rFonts w:hint="eastAsia" w:ascii="宋体" w:hAnsi="宋体" w:eastAsia="宋体" w:cs="宋体"/>
                <w:i w:val="0"/>
                <w:iCs w:val="0"/>
                <w:color w:val="auto"/>
                <w:kern w:val="0"/>
                <w:sz w:val="20"/>
                <w:szCs w:val="20"/>
                <w:u w:val="none"/>
                <w:lang w:val="en-US" w:eastAsia="zh-CN" w:bidi="ar"/>
              </w:rPr>
              <w:t>512GBSSD+2TBHDD/</w:t>
            </w:r>
            <w:r>
              <w:rPr>
                <w:rFonts w:hint="eastAsia" w:ascii="宋体" w:hAnsi="宋体" w:cs="宋体"/>
                <w:i w:val="0"/>
                <w:iCs w:val="0"/>
                <w:color w:val="000000"/>
                <w:kern w:val="0"/>
                <w:sz w:val="20"/>
                <w:szCs w:val="20"/>
                <w:u w:val="none"/>
                <w:lang w:val="en-US" w:eastAsia="zh-CN" w:bidi="ar"/>
              </w:rPr>
              <w:t>带</w:t>
            </w:r>
            <w:r>
              <w:rPr>
                <w:rFonts w:hint="eastAsia" w:ascii="宋体" w:hAnsi="宋体" w:eastAsia="宋体" w:cs="宋体"/>
                <w:i w:val="0"/>
                <w:iCs w:val="0"/>
                <w:color w:val="000000"/>
                <w:kern w:val="0"/>
                <w:sz w:val="20"/>
                <w:szCs w:val="20"/>
                <w:u w:val="none"/>
                <w:lang w:val="en-US" w:eastAsia="zh-CN" w:bidi="ar"/>
              </w:rPr>
              <w:t>独</w:t>
            </w:r>
            <w:r>
              <w:rPr>
                <w:rFonts w:hint="eastAsia" w:ascii="宋体" w:hAnsi="宋体" w:cs="宋体"/>
                <w:i w:val="0"/>
                <w:iCs w:val="0"/>
                <w:color w:val="000000"/>
                <w:kern w:val="0"/>
                <w:sz w:val="20"/>
                <w:szCs w:val="20"/>
                <w:u w:val="none"/>
                <w:lang w:val="en-US" w:eastAsia="zh-CN" w:bidi="ar"/>
              </w:rPr>
              <w:t>立</w:t>
            </w:r>
            <w:r>
              <w:rPr>
                <w:rFonts w:hint="eastAsia" w:ascii="宋体" w:hAnsi="宋体" w:eastAsia="宋体" w:cs="宋体"/>
                <w:i w:val="0"/>
                <w:iCs w:val="0"/>
                <w:color w:val="000000"/>
                <w:kern w:val="0"/>
                <w:sz w:val="20"/>
                <w:szCs w:val="20"/>
                <w:u w:val="none"/>
                <w:lang w:val="en-US" w:eastAsia="zh-CN" w:bidi="ar"/>
              </w:rPr>
              <w:t>显</w:t>
            </w:r>
            <w:r>
              <w:rPr>
                <w:rFonts w:hint="eastAsia" w:ascii="宋体" w:hAnsi="宋体" w:cs="宋体"/>
                <w:i w:val="0"/>
                <w:iCs w:val="0"/>
                <w:color w:val="000000"/>
                <w:kern w:val="0"/>
                <w:sz w:val="20"/>
                <w:szCs w:val="20"/>
                <w:u w:val="none"/>
                <w:lang w:val="en-US" w:eastAsia="zh-CN" w:bidi="ar"/>
              </w:rPr>
              <w:t>卡</w:t>
            </w:r>
            <w:r>
              <w:rPr>
                <w:rFonts w:hint="eastAsia" w:ascii="宋体" w:hAnsi="宋体" w:eastAsia="宋体" w:cs="宋体"/>
                <w:i w:val="0"/>
                <w:iCs w:val="0"/>
                <w:color w:val="000000"/>
                <w:kern w:val="0"/>
                <w:sz w:val="20"/>
                <w:szCs w:val="20"/>
                <w:u w:val="none"/>
                <w:lang w:val="en-US" w:eastAsia="zh-CN" w:bidi="ar"/>
              </w:rPr>
              <w:t>，</w:t>
            </w:r>
            <w:r>
              <w:rPr>
                <w:rFonts w:hint="eastAsia" w:ascii="宋体" w:hAnsi="宋体" w:cs="宋体"/>
                <w:szCs w:val="21"/>
                <w:lang w:eastAsia="zh-CN"/>
              </w:rPr>
              <w:t>≥</w:t>
            </w:r>
            <w:r>
              <w:rPr>
                <w:rFonts w:hint="eastAsia" w:ascii="宋体" w:hAnsi="宋体" w:eastAsia="宋体" w:cs="宋体"/>
                <w:i w:val="0"/>
                <w:iCs w:val="0"/>
                <w:color w:val="000000"/>
                <w:kern w:val="0"/>
                <w:sz w:val="20"/>
                <w:szCs w:val="20"/>
                <w:u w:val="none"/>
                <w:lang w:val="en-US" w:eastAsia="zh-CN" w:bidi="ar"/>
              </w:rPr>
              <w:t>27英寸高清显示器</w:t>
            </w:r>
            <w:r>
              <w:rPr>
                <w:rFonts w:hint="eastAsia" w:ascii="宋体" w:hAnsi="宋体" w:cs="宋体"/>
                <w:i w:val="0"/>
                <w:iCs w:val="0"/>
                <w:color w:val="000000"/>
                <w:kern w:val="0"/>
                <w:sz w:val="20"/>
                <w:szCs w:val="20"/>
                <w:u w:val="none"/>
                <w:lang w:val="en-US" w:eastAsia="zh-CN" w:bidi="ar"/>
              </w:rPr>
              <w:t>。</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203</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声磁消磁器</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声磁消磁器消磁范围：直径</w:t>
            </w:r>
            <w:r>
              <w:rPr>
                <w:rFonts w:hint="eastAsia" w:ascii="宋体" w:hAnsi="宋体" w:cs="宋体"/>
                <w:szCs w:val="21"/>
                <w:lang w:eastAsia="zh-CN"/>
              </w:rPr>
              <w:t>≥</w:t>
            </w:r>
            <w:r>
              <w:rPr>
                <w:rFonts w:hint="eastAsia" w:ascii="宋体" w:hAnsi="宋体" w:eastAsia="宋体" w:cs="宋体"/>
                <w:i w:val="0"/>
                <w:iCs w:val="0"/>
                <w:color w:val="000000"/>
                <w:kern w:val="0"/>
                <w:sz w:val="20"/>
                <w:szCs w:val="20"/>
                <w:u w:val="none"/>
                <w:lang w:val="en-US" w:eastAsia="zh-CN" w:bidi="ar"/>
              </w:rPr>
              <w:t>15cm，消磁时间</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0.5秒</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电源：220V AC，功耗</w:t>
            </w:r>
            <w:r>
              <w:rPr>
                <w:rFonts w:hint="eastAsia" w:ascii="宋体" w:hAnsi="宋体" w:cs="宋体"/>
                <w:szCs w:val="21"/>
                <w:lang w:eastAsia="zh-CN"/>
              </w:rPr>
              <w:t>≥</w:t>
            </w:r>
            <w:r>
              <w:rPr>
                <w:rFonts w:hint="eastAsia" w:ascii="宋体" w:hAnsi="宋体" w:eastAsia="宋体" w:cs="宋体"/>
                <w:i w:val="0"/>
                <w:iCs w:val="0"/>
                <w:color w:val="000000"/>
                <w:kern w:val="0"/>
                <w:sz w:val="20"/>
                <w:szCs w:val="20"/>
                <w:u w:val="none"/>
                <w:lang w:val="en-US" w:eastAsia="zh-CN" w:bidi="ar"/>
              </w:rPr>
              <w:t>30W</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功能：可快速消磁商品上的声磁磁条，支持批量消磁</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204</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通道门禁</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安装在出入口，商品</w:t>
            </w:r>
            <w:r>
              <w:rPr>
                <w:rFonts w:hint="eastAsia" w:ascii="宋体" w:hAnsi="宋体" w:cs="宋体"/>
                <w:i w:val="0"/>
                <w:iCs w:val="0"/>
                <w:color w:val="000000"/>
                <w:kern w:val="0"/>
                <w:sz w:val="20"/>
                <w:szCs w:val="20"/>
                <w:u w:val="none"/>
                <w:lang w:val="en-US" w:eastAsia="zh-CN" w:bidi="ar"/>
              </w:rPr>
              <w:t>未做</w:t>
            </w:r>
            <w:r>
              <w:rPr>
                <w:rFonts w:hint="eastAsia" w:ascii="宋体" w:hAnsi="宋体" w:eastAsia="宋体" w:cs="宋体"/>
                <w:i w:val="0"/>
                <w:iCs w:val="0"/>
                <w:color w:val="000000"/>
                <w:kern w:val="0"/>
                <w:sz w:val="20"/>
                <w:szCs w:val="20"/>
                <w:u w:val="none"/>
                <w:lang w:val="en-US" w:eastAsia="zh-CN" w:bidi="ar"/>
              </w:rPr>
              <w:t>结算出产生报警，支持与收银系统联动</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检测方式：采用声磁检测技术，检测距离15cm，误报率0.1%</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电源：24V DC，功耗</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20W</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205</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库存管理程序</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一、采购与入库：</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AI预测补货：基于销售趋势、季节因素、艺术潮流热度，AI建议采购/创作数量。</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艺术品专属入库流程：增加版权验证、数字证书上传、品相检查记录环节。</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二、库存调拨与盘点：</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自动化调拨建议：根据各店销售差异，AI建议店间调拨，生成调拨任务。</w:t>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AI视觉盘点辅助：店员盘点时，手持设备AI识别商品并比对系统数量。</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三、智能预警：</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低库存预警：阈值按商品设定，自动触发补货建议。</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滞销预警：标记长期未动销艺术品，建议促销或调整位置。</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异常库存预警：非营业时间库存变动、高频次商品移动等触发安全警报。</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206</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销售与交易管理程序</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一、扫码开门入场：</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小程序融合：用户首次需在小程序完成实名认证、签约免密支付（微信/支付宝），获得动态进门二维码。</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信用准入：结合消费记录、违约行为（如未关门）生成信用分，过低可限制入场。</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二、智能收银体系：</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自助收银台：商品放置识别区，AI视觉自动识别商品（支持多商品同时识别）。</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屏幕显示清单、总价，支持扫码支付（聚合支付）。</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无感支付通道：对开通免密支付的会员，通过RFID或视觉识别，实现“拿货即走，自动扣款”（需在入口授权）。</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人工远程协助：配备“一键呼叫”按钮，接通客服视频协助。</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三、订单与日结：</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订单溯源：每笔订单关联客户、时间、离店视频片段（加密存储）。</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自动化日结：系统自动对账（销售、支付通道、库存损耗），生成日结报告并标记异常。</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虚拟购物车：顾客在小程序可扫码预选商品，到店后自助取货结算。</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207</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会员与营销体系程序</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一、会员成长与权益：</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AI艺术鉴赏家等级：根据消费额、互动频次（如参与AI创作活动）升级，享受新品预览、线下活动邀请、专属AI创作等权益。</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会员标签体系：通过消费行为自动打标（如“抽象艺术爱好者</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科技艺术收藏者”），用于精准推荐。</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二、会员充值与流水：</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艺术储值卡：充值赠送限量数字艺术品或周边。</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消费积分：积分可兑换独家AI艺术画作打印服务、数字藏品等。</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三、互动营销：</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店</w:t>
            </w:r>
            <w:r>
              <w:rPr>
                <w:rFonts w:hint="eastAsia" w:ascii="宋体" w:hAnsi="宋体" w:cs="宋体"/>
                <w:i w:val="0"/>
                <w:iCs w:val="0"/>
                <w:color w:val="000000"/>
                <w:kern w:val="0"/>
                <w:sz w:val="20"/>
                <w:szCs w:val="20"/>
                <w:u w:val="none"/>
                <w:lang w:val="en-US" w:eastAsia="zh-CN" w:bidi="ar"/>
              </w:rPr>
              <w:t>内</w:t>
            </w:r>
            <w:r>
              <w:rPr>
                <w:rFonts w:hint="eastAsia" w:ascii="宋体" w:hAnsi="宋体" w:eastAsia="宋体" w:cs="宋体"/>
                <w:i w:val="0"/>
                <w:iCs w:val="0"/>
                <w:color w:val="000000"/>
                <w:kern w:val="0"/>
                <w:sz w:val="20"/>
                <w:szCs w:val="20"/>
                <w:u w:val="none"/>
                <w:lang w:val="en-US" w:eastAsia="zh-CN" w:bidi="ar"/>
              </w:rPr>
              <w:t>AI互动：通过小程序，顾客可扫描商品参与“AI艺术问答”、为喜欢的作品投票，投票数据影响热销榜。</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“AI艺术家”计划：会员可提交创意词，由店内AI生成专属作品并购买。</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208</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统计分析程序</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一、销售分析：</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热力分析：结合摄像头，分析顾客动线及商品关注热度。</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商品关联分析：发现艺术品搭配购买规律，优化陈列。</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二、客流与行为分析：</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入店转化率：统计入店人数与实际交易人数比例。</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平均停留时长：分析不同时段、商品区域的停留数据。</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三、艺术品表现分析：</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创作者/AI模型销量榜：追踪不同创作者（含AI模型）的作品销售表现。</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潮流趋势分析：分析搜索词、销售数据，预测新兴艺术风格。</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209</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用户与权限管理</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一、角色权限矩阵：</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超级管理员：全系统权限。</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区域经理：管理多店，查看经营数据。</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门店运维员：补货、盘点、日常维护，受限操作。</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客服专员：查看订单、处理远程协助。</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AI创作管理员：管理AI模型、上传生成作品。</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二、操作日志审计：所有敏感操作（如价格修改、库存调整）留痕可查。</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210</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系统集成与AI赋能</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一、AI视觉中台集成：</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行为识别：离店未支付提醒、长时间逗留预警、可疑行为（如破坏）警报。</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商品识别：自助结算、盘点、防盗复核。</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二、IoT设备管理平台：</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集中监控门锁、摄像头、收银机、温湿度传感器（如售卖高端打印品）状态。</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设备故障自动报修。</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三、小程序/APP深度集成：</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提供店铺查找、扫码开门、商品预览、在线支付、会员中心、互动活动等功能。</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宋体" w:hAnsi="宋体" w:eastAsia="宋体" w:cs="宋体"/>
                <w:i w:val="0"/>
                <w:iCs w:val="0"/>
                <w:color w:val="000000"/>
                <w:kern w:val="0"/>
                <w:sz w:val="22"/>
                <w:szCs w:val="22"/>
                <w:u w:val="none"/>
                <w:lang w:val="en-US" w:eastAsia="zh-CN" w:bidi="ar"/>
              </w:rPr>
            </w:pP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宋体" w:hAnsi="宋体" w:eastAsia="宋体" w:cs="宋体"/>
                <w:i w:val="0"/>
                <w:iCs w:val="0"/>
                <w:color w:val="000000"/>
                <w:kern w:val="0"/>
                <w:sz w:val="20"/>
                <w:szCs w:val="20"/>
                <w:u w:val="none"/>
                <w:lang w:val="en-US" w:eastAsia="zh-CN" w:bidi="ar"/>
              </w:rPr>
            </w:pP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（三）灯光系统</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宋体" w:hAnsi="宋体" w:eastAsia="宋体" w:cs="宋体"/>
                <w:i w:val="0"/>
                <w:iCs w:val="0"/>
                <w:color w:val="000000"/>
                <w:kern w:val="0"/>
                <w:sz w:val="20"/>
                <w:szCs w:val="20"/>
                <w:u w:val="none"/>
                <w:lang w:val="en-US" w:eastAsia="zh-CN" w:bidi="ar"/>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jc w:val="center"/>
              <w:rPr>
                <w:rFonts w:hint="default" w:ascii="宋体" w:hAnsi="宋体" w:eastAsia="宋体" w:cs="宋体"/>
                <w:kern w:val="2"/>
                <w:sz w:val="21"/>
                <w:szCs w:val="21"/>
                <w:lang w:val="en-US" w:eastAsia="zh-CN" w:bidi="ar-SA"/>
              </w:rPr>
            </w:pPr>
            <w:r>
              <w:rPr>
                <w:rFonts w:hint="eastAsia" w:ascii="宋体" w:hAnsi="宋体" w:cs="宋体"/>
                <w:szCs w:val="21"/>
              </w:rPr>
              <w:t>序号</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jc w:val="center"/>
              <w:rPr>
                <w:rFonts w:hint="default" w:ascii="宋体" w:hAnsi="宋体" w:eastAsia="宋体" w:cs="宋体"/>
                <w:kern w:val="2"/>
                <w:sz w:val="21"/>
                <w:szCs w:val="21"/>
                <w:lang w:val="en-US" w:eastAsia="zh-CN" w:bidi="ar-SA"/>
              </w:rPr>
            </w:pPr>
            <w:r>
              <w:rPr>
                <w:rFonts w:hint="eastAsia" w:ascii="宋体" w:hAnsi="宋体" w:cs="宋体"/>
                <w:szCs w:val="21"/>
              </w:rPr>
              <w:t>标的名称</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kern w:val="2"/>
                <w:sz w:val="21"/>
                <w:szCs w:val="21"/>
                <w:lang w:val="en-US" w:eastAsia="zh-CN" w:bidi="ar-SA"/>
              </w:rPr>
            </w:pPr>
            <w:r>
              <w:rPr>
                <w:rFonts w:hint="eastAsia" w:ascii="宋体" w:hAnsi="宋体" w:cs="宋体"/>
                <w:szCs w:val="21"/>
              </w:rPr>
              <w:t>主要技术参数及性能（配置）要求</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jc w:val="center"/>
              <w:rPr>
                <w:rFonts w:hint="default" w:ascii="宋体" w:hAnsi="宋体" w:eastAsia="宋体" w:cs="宋体"/>
                <w:kern w:val="2"/>
                <w:sz w:val="21"/>
                <w:szCs w:val="21"/>
                <w:lang w:val="en-US" w:eastAsia="zh-CN" w:bidi="ar-SA"/>
              </w:rPr>
            </w:pPr>
            <w:r>
              <w:rPr>
                <w:rFonts w:hint="eastAsia" w:ascii="宋体" w:hAnsi="宋体" w:cs="宋体"/>
                <w:szCs w:val="21"/>
              </w:rPr>
              <w:t>数量</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jc w:val="center"/>
              <w:rPr>
                <w:rFonts w:hint="default" w:ascii="宋体" w:hAnsi="宋体" w:eastAsia="宋体" w:cs="宋体"/>
                <w:kern w:val="2"/>
                <w:sz w:val="21"/>
                <w:szCs w:val="21"/>
                <w:lang w:val="en-US" w:eastAsia="zh-CN" w:bidi="ar-SA"/>
              </w:rPr>
            </w:pPr>
            <w:r>
              <w:rPr>
                <w:rFonts w:hint="eastAsia" w:ascii="宋体" w:hAnsi="宋体" w:cs="宋体"/>
                <w:szCs w:val="21"/>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11</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定制LOGO灯</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功率：</w:t>
            </w:r>
            <w:r>
              <w:rPr>
                <w:rFonts w:hint="eastAsia" w:ascii="宋体" w:hAnsi="宋体" w:cs="宋体"/>
                <w:szCs w:val="21"/>
                <w:lang w:eastAsia="zh-CN"/>
              </w:rPr>
              <w:t>≥</w:t>
            </w:r>
            <w:r>
              <w:rPr>
                <w:rFonts w:hint="eastAsia" w:ascii="宋体" w:hAnsi="宋体" w:eastAsia="宋体" w:cs="宋体"/>
                <w:i w:val="0"/>
                <w:iCs w:val="0"/>
                <w:color w:val="000000"/>
                <w:kern w:val="0"/>
                <w:sz w:val="20"/>
                <w:szCs w:val="20"/>
                <w:u w:val="none"/>
                <w:lang w:val="en-US" w:eastAsia="zh-CN" w:bidi="ar"/>
              </w:rPr>
              <w:t>500W</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色温：RGBW3000K</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防护等级：</w:t>
            </w:r>
            <w:r>
              <w:rPr>
                <w:rFonts w:hint="eastAsia" w:ascii="宋体" w:hAnsi="宋体" w:cs="宋体"/>
                <w:i w:val="0"/>
                <w:iCs w:val="0"/>
                <w:color w:val="000000"/>
                <w:kern w:val="0"/>
                <w:sz w:val="20"/>
                <w:szCs w:val="20"/>
                <w:u w:val="none"/>
                <w:lang w:val="en-US" w:eastAsia="zh-CN" w:bidi="ar"/>
              </w:rPr>
              <w:t>不低于</w:t>
            </w:r>
            <w:r>
              <w:rPr>
                <w:rFonts w:hint="eastAsia" w:ascii="宋体" w:hAnsi="宋体" w:eastAsia="宋体" w:cs="宋体"/>
                <w:i w:val="0"/>
                <w:iCs w:val="0"/>
                <w:color w:val="000000"/>
                <w:kern w:val="0"/>
                <w:sz w:val="20"/>
                <w:szCs w:val="20"/>
                <w:u w:val="none"/>
                <w:lang w:val="en-US" w:eastAsia="zh-CN" w:bidi="ar"/>
              </w:rPr>
              <w:t>IP65</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角度：30°</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电压：AC220V</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控制：DMX512</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芯片：CREE/OSRAM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8.</w:t>
            </w:r>
            <w:r>
              <w:rPr>
                <w:rFonts w:hint="eastAsia" w:ascii="宋体" w:hAnsi="宋体" w:cs="宋体"/>
                <w:szCs w:val="21"/>
                <w:lang w:eastAsia="zh-CN"/>
              </w:rPr>
              <w:t>≥</w:t>
            </w:r>
            <w:r>
              <w:rPr>
                <w:rFonts w:hint="eastAsia" w:ascii="宋体" w:hAnsi="宋体" w:eastAsia="宋体" w:cs="宋体"/>
                <w:i w:val="0"/>
                <w:iCs w:val="0"/>
                <w:color w:val="000000"/>
                <w:kern w:val="0"/>
                <w:sz w:val="20"/>
                <w:szCs w:val="20"/>
                <w:u w:val="none"/>
                <w:lang w:val="en-US" w:eastAsia="zh-CN" w:bidi="ar"/>
              </w:rPr>
              <w:t>500W大功率LED LOGO投影灯，采用高亮度COB LED光源与专业精密光学系统，可精准投射定制LOGO、图案、文字至墙面、地面、建筑外立面等各类介质，支持静态/动态效果自由切换，具备IP65级防水防尘、宽温适配、多重安全保护等特性，完全符合户外文旅亮化、商业广告、舞台演出、公共空间氛围营造等场景应用。</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功能特性</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光学性能优势</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采用高精密光学镜头组，画面边缘清晰无畸变，色彩还原度高，可精准呈现LOGO细节，满足品牌展示的高品质需求；支持手动调焦，快速适配不同投射距离，无需复杂操作即可完成聚焦；全彩款支持RGBW混色技术，可实现渐变、跳变、频闪、呼吸等多种动态效果，单白款色温稳定，适配不同场景的氛围营造，完全符合投标项目的光影效果要求。</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控制与智能优势</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兼容DMX512国际标准协议，可无缝接入各类灯光控台，实现多灯同步、编组控制、效果联动，适配大型投标项目的集中管控需求；内置多种预设效果模式，支持脱机自走，无需控台即可独立运行，降低使用成本；支持声控触发，可随音乐节奏自动切换图案、亮度、速度，丰富场景体验；可选配网络控制模块，支持远程APP/PC端集中管控、定时开关、效果编辑，操作便捷，提升项目管理效率。</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结构与防护优势</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整机采用IP65防水防尘设计，密封性能优良，可抵御暴雨、沙尘、高温、低温等恶劣户外环境，确保户外长期稳定运行；铝合金一体成型壳体，散热效率高，有效延长光源寿命，避免高温故障，降低维护成本；高强度金属支架，承重能力强，安装稳固，适配壁挂、吊装、地装等多种安装场景，可应对不同投标现场的安装需求；内置过压、过流、过热、短路多重保护电路，使用安全可靠，杜绝安全隐患。</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 xml:space="preserve"> 定制化与合规优势</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支持定制专属LOGO、图案、文字，可制作静态/动态图案片，免费提供1套定制服务，后续可按需更换；可定制特殊色温、特殊控制协议、特殊安装支架</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产品符合CE、RoHS、CCC等国际/国内安全标准，可提供完整的检测报告、认证证书，确保参数真实有效。</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i w:val="0"/>
                <w:iCs w:val="0"/>
                <w:color w:val="000000"/>
                <w:kern w:val="0"/>
                <w:sz w:val="20"/>
                <w:szCs w:val="20"/>
                <w:u w:val="none"/>
                <w:lang w:val="en-US" w:eastAsia="zh-CN" w:bidi="ar"/>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12</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点光源</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1.功率：2W</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2.色温：RGBW3000K</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3.防护等级：IP65</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default" w:ascii="宋体" w:hAnsi="宋体" w:cs="宋体"/>
                <w:i w:val="0"/>
                <w:iCs w:val="0"/>
                <w:color w:val="000000"/>
                <w:kern w:val="0"/>
                <w:sz w:val="20"/>
                <w:szCs w:val="20"/>
                <w:u w:val="none"/>
                <w:lang w:val="en-US" w:eastAsia="zh-CN" w:bidi="ar"/>
              </w:rPr>
              <w:t>4．</w:t>
            </w:r>
            <w:r>
              <w:rPr>
                <w:rFonts w:hint="eastAsia" w:ascii="宋体" w:hAnsi="宋体" w:cs="宋体"/>
                <w:i w:val="0"/>
                <w:iCs w:val="0"/>
                <w:color w:val="000000"/>
                <w:kern w:val="0"/>
                <w:sz w:val="20"/>
                <w:szCs w:val="20"/>
                <w:u w:val="none"/>
                <w:lang w:val="en-US" w:eastAsia="zh-CN" w:bidi="ar"/>
              </w:rPr>
              <w:t>角度：120°</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5.电压：DC24V</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6.控制：DMX512</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7.材质：聚碳酸酯</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8.芯片：CREE/OSRAM/LUMILEDS</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9.20个一串，一串16米，间隔0.8米</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10.核心材质构成</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外壳 / 结构件</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透明灯罩 / 面盖：采用光学级聚碳酸酯（PC） 材质，部分高端型号采用钢化玻璃。具备高透光率（≥90%）、抗 UV 老化、抗冲击（IK08 以上）、耐高低温特性，适配户外 40℃~60℃极端环境，同时满足 IP68 防水防尘要求。</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灯体底座：像素灯采用德国拜耳料注塑成型兼具结构强度与优异散热性能，可延长 LED 灯珠寿命。</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光学与光源部件</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LED 灯珠：常规采用 CREE/OSRAM/LUMILEDS 全彩SMD贴片灯珠，单色款为单色温芯片。光效可达 110</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140lm/W，寿命≥50000 小时。</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电路与线材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ind w:left="0" w:leftChars="0" w:firstLine="400" w:firstLineChars="20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①PCB 电路板：采用 FR-4 玻纤板，</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ind w:left="0" w:leftChars="0" w:firstLine="400" w:firstLineChars="20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②驱动 / 控制板：内置恒流驱动芯片、IC 控制芯片（全彩款），支持 DMX512、SPI、UCS 等控制协议。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ind w:left="0" w:leftChars="0" w:firstLine="400" w:firstLineChars="20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③电源线 / 信号线：户外款采用国标 RVV 护套线，线径不小于 1.0mm²，符合 GB/T 5013.1 标准，具备耐候、防老化特性。</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i w:val="0"/>
                <w:iCs w:val="0"/>
                <w:color w:val="000000"/>
                <w:kern w:val="0"/>
                <w:sz w:val="20"/>
                <w:szCs w:val="20"/>
                <w:u w:val="none"/>
                <w:lang w:val="en-US" w:eastAsia="zh-CN" w:bidi="ar"/>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13</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轮廓灯</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1.功率：15W</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2.色温：RGBW3000K</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3.防护等级：IP65</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default" w:ascii="宋体" w:hAnsi="宋体" w:cs="宋体"/>
                <w:i w:val="0"/>
                <w:iCs w:val="0"/>
                <w:color w:val="000000"/>
                <w:kern w:val="0"/>
                <w:sz w:val="20"/>
                <w:szCs w:val="20"/>
                <w:u w:val="none"/>
                <w:lang w:val="en-US" w:eastAsia="zh-CN" w:bidi="ar"/>
              </w:rPr>
              <w:t>4．</w:t>
            </w:r>
            <w:r>
              <w:rPr>
                <w:rFonts w:hint="eastAsia" w:ascii="宋体" w:hAnsi="宋体" w:cs="宋体"/>
                <w:i w:val="0"/>
                <w:iCs w:val="0"/>
                <w:color w:val="000000"/>
                <w:kern w:val="0"/>
                <w:sz w:val="20"/>
                <w:szCs w:val="20"/>
                <w:u w:val="none"/>
                <w:lang w:val="en-US" w:eastAsia="zh-CN" w:bidi="ar"/>
              </w:rPr>
              <w:t>角度：120°</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5.电压：DC24V</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6.控制：DMX512</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7.表面处理：灰色</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8.材质：航空级铝材</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9.芯片：CREE/OSRAM/LUMILEDS</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default" w:ascii="宋体" w:hAnsi="宋体" w:cs="宋体"/>
                <w:i w:val="0"/>
                <w:iCs w:val="0"/>
                <w:color w:val="000000"/>
                <w:kern w:val="0"/>
                <w:sz w:val="20"/>
                <w:szCs w:val="20"/>
                <w:u w:val="none"/>
                <w:lang w:val="en-US" w:eastAsia="zh-CN" w:bidi="ar"/>
              </w:rPr>
              <w:t>10．</w:t>
            </w:r>
            <w:r>
              <w:rPr>
                <w:rFonts w:hint="eastAsia" w:ascii="宋体" w:hAnsi="宋体" w:cs="宋体"/>
                <w:i w:val="0"/>
                <w:iCs w:val="0"/>
                <w:color w:val="000000"/>
                <w:kern w:val="0"/>
                <w:sz w:val="20"/>
                <w:szCs w:val="20"/>
                <w:u w:val="none"/>
                <w:lang w:val="en-US" w:eastAsia="zh-CN" w:bidi="ar"/>
              </w:rPr>
              <w:t>长度：1000mm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11.LED 灯珠：采用LUMILEDS  SMD 四合一全彩贴片灯珠，寿命≥50000 小时。</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12.光学透镜：PMMA材质， 120° 光束角，实现漫射匀光效果，避免眩光。</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13.PCB 电路板：高导热铝基板，提升散热效率，降低光衰，保障长期稳定运行。</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14.电路与线材</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驱动 / 控制模块：内置恒流驱动芯片，全彩款搭载 DMX512/SPI/UCS 等控制 IC，</w:t>
            </w:r>
            <w:r>
              <w:rPr>
                <w:rFonts w:hint="eastAsia" w:ascii="宋体" w:hAnsi="宋体" w:cs="宋体"/>
                <w:i w:val="0"/>
                <w:iCs w:val="0"/>
                <w:color w:val="000000"/>
                <w:kern w:val="0"/>
                <w:sz w:val="20"/>
                <w:szCs w:val="20"/>
                <w:u w:val="none"/>
                <w:lang w:val="en-US" w:eastAsia="zh-CN" w:bidi="ar"/>
              </w:rPr>
              <w:t>一米八</w:t>
            </w:r>
            <w:r>
              <w:rPr>
                <w:rFonts w:hint="eastAsia" w:ascii="宋体" w:hAnsi="宋体" w:eastAsia="宋体" w:cs="宋体"/>
                <w:i w:val="0"/>
                <w:iCs w:val="0"/>
                <w:color w:val="000000"/>
                <w:kern w:val="0"/>
                <w:sz w:val="20"/>
                <w:szCs w:val="20"/>
                <w:u w:val="none"/>
                <w:lang w:val="en-US" w:eastAsia="zh-CN" w:bidi="ar"/>
              </w:rPr>
              <w:t>段，支持编程动态效果；</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15.</w:t>
            </w:r>
            <w:r>
              <w:rPr>
                <w:rFonts w:hint="eastAsia" w:ascii="宋体" w:hAnsi="宋体" w:eastAsia="宋体" w:cs="宋体"/>
                <w:i w:val="0"/>
                <w:iCs w:val="0"/>
                <w:color w:val="000000"/>
                <w:kern w:val="0"/>
                <w:sz w:val="20"/>
                <w:szCs w:val="20"/>
                <w:u w:val="none"/>
                <w:lang w:val="en-US" w:eastAsia="zh-CN" w:bidi="ar"/>
              </w:rPr>
              <w:t>电源线 / 信号线：国标 RVV 护套线（线径≥1.0mm²），户外款采用耐候橡胶线，符合 GB/T 5013.1 标准。</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i w:val="0"/>
                <w:iCs w:val="0"/>
                <w:color w:val="000000"/>
                <w:kern w:val="0"/>
                <w:sz w:val="20"/>
                <w:szCs w:val="20"/>
                <w:u w:val="none"/>
                <w:lang w:val="en-US" w:eastAsia="zh-CN" w:bidi="ar"/>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14</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轮廓灯</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1.功率：15W</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2.色温：RGBW3000K</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3.防护等级：IP65</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default" w:ascii="宋体" w:hAnsi="宋体" w:cs="宋体"/>
                <w:i w:val="0"/>
                <w:iCs w:val="0"/>
                <w:color w:val="000000"/>
                <w:kern w:val="0"/>
                <w:sz w:val="20"/>
                <w:szCs w:val="20"/>
                <w:u w:val="none"/>
                <w:lang w:val="en-US" w:eastAsia="zh-CN" w:bidi="ar"/>
              </w:rPr>
              <w:t>4．</w:t>
            </w:r>
            <w:r>
              <w:rPr>
                <w:rFonts w:hint="eastAsia" w:ascii="宋体" w:hAnsi="宋体" w:cs="宋体"/>
                <w:i w:val="0"/>
                <w:iCs w:val="0"/>
                <w:color w:val="000000"/>
                <w:kern w:val="0"/>
                <w:sz w:val="20"/>
                <w:szCs w:val="20"/>
                <w:u w:val="none"/>
                <w:lang w:val="en-US" w:eastAsia="zh-CN" w:bidi="ar"/>
              </w:rPr>
              <w:t>角度：120°</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5.电压：DC24V</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6.控制：DMX512</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7.表面处理：灰色</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8.材质：航空级铝材</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9.芯片：CREE/OSRAM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default" w:ascii="宋体" w:hAnsi="宋体" w:cs="宋体"/>
                <w:i w:val="0"/>
                <w:iCs w:val="0"/>
                <w:color w:val="000000"/>
                <w:kern w:val="0"/>
                <w:sz w:val="20"/>
                <w:szCs w:val="20"/>
                <w:u w:val="none"/>
                <w:lang w:val="en-US" w:eastAsia="zh-CN" w:bidi="ar"/>
              </w:rPr>
              <w:t>10．</w:t>
            </w:r>
            <w:r>
              <w:rPr>
                <w:rFonts w:hint="eastAsia" w:ascii="宋体" w:hAnsi="宋体" w:cs="宋体"/>
                <w:i w:val="0"/>
                <w:iCs w:val="0"/>
                <w:color w:val="000000"/>
                <w:kern w:val="0"/>
                <w:sz w:val="20"/>
                <w:szCs w:val="20"/>
                <w:u w:val="none"/>
                <w:lang w:val="en-US" w:eastAsia="zh-CN" w:bidi="ar"/>
              </w:rPr>
              <w:t>长度：500mm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11.LED 灯珠：采用LUMILEDS  SMD 四合一全彩贴片灯珠，寿命≥50000 小时。</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12.光学透镜：PMMA材质， 120° 光束角，实现漫射匀光效果，避免眩光。</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13.PCB 电路板：高导热铝基板，提升散热效率，降低光衰，保障长期稳定运行。</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14. 电路与线材</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驱动 / 控制模块：内置恒流驱动芯片，全彩款搭载 DMX512/SPI/UCS 等控制 IC，1米8段，支持编程动态效果；</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电源线 / 信号线：国标 RVV 护套线（线径≥1.0mm²），户外款采用耐候橡胶线，符合 GB/T 5013.1 标准。</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i w:val="0"/>
                <w:iCs w:val="0"/>
                <w:color w:val="000000"/>
                <w:kern w:val="0"/>
                <w:sz w:val="20"/>
                <w:szCs w:val="20"/>
                <w:u w:val="none"/>
                <w:lang w:val="en-US" w:eastAsia="zh-CN" w:bidi="ar"/>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15</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洗墙灯</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1.功率：24W</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default" w:ascii="宋体" w:hAnsi="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色温：3000K</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3.防护等级：IP65</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default" w:ascii="宋体" w:hAnsi="宋体" w:cs="宋体"/>
                <w:i w:val="0"/>
                <w:iCs w:val="0"/>
                <w:color w:val="000000"/>
                <w:kern w:val="0"/>
                <w:sz w:val="20"/>
                <w:szCs w:val="20"/>
                <w:u w:val="none"/>
                <w:lang w:val="en-US" w:eastAsia="zh-CN" w:bidi="ar"/>
              </w:rPr>
              <w:t>4．</w:t>
            </w:r>
            <w:r>
              <w:rPr>
                <w:rFonts w:hint="eastAsia" w:ascii="宋体" w:hAnsi="宋体" w:cs="宋体"/>
                <w:i w:val="0"/>
                <w:iCs w:val="0"/>
                <w:color w:val="000000"/>
                <w:kern w:val="0"/>
                <w:sz w:val="20"/>
                <w:szCs w:val="20"/>
                <w:u w:val="none"/>
                <w:lang w:val="en-US" w:eastAsia="zh-CN" w:bidi="ar"/>
              </w:rPr>
              <w:t>角度：20*40°</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5.电压：DC24V</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6.控制：开关</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7.表面处理：银色</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8.材质：航空级铝材</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9.芯片：CREE/OSRAM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default" w:ascii="宋体" w:hAnsi="宋体" w:cs="宋体"/>
                <w:i w:val="0"/>
                <w:iCs w:val="0"/>
                <w:color w:val="000000"/>
                <w:kern w:val="0"/>
                <w:sz w:val="20"/>
                <w:szCs w:val="20"/>
                <w:u w:val="none"/>
                <w:lang w:val="en-US" w:eastAsia="zh-CN" w:bidi="ar"/>
              </w:rPr>
              <w:t>10．</w:t>
            </w:r>
            <w:r>
              <w:rPr>
                <w:rFonts w:hint="eastAsia" w:ascii="宋体" w:hAnsi="宋体" w:cs="宋体"/>
                <w:i w:val="0"/>
                <w:iCs w:val="0"/>
                <w:color w:val="000000"/>
                <w:kern w:val="0"/>
                <w:sz w:val="20"/>
                <w:szCs w:val="20"/>
                <w:u w:val="none"/>
                <w:lang w:val="en-US" w:eastAsia="zh-CN" w:bidi="ar"/>
              </w:rPr>
              <w:t>长度：1000mm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11.LED 灯珠：采用CREE\OSRAM\LUMILEDS  SMD 贴片灯珠，寿命≥50000 小时。</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12.光学透镜：PMMA光学透镜二次配光，出光均匀，指向精准。</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13.PCB 电路板：高导热铝基板，提升散热效率，降低光衰，保障长期稳定运行。</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14.电源线</w:t>
            </w:r>
            <w:r>
              <w:rPr>
                <w:rFonts w:hint="eastAsia" w:ascii="宋体" w:hAnsi="宋体" w:eastAsia="宋体" w:cs="宋体"/>
                <w:i w:val="0"/>
                <w:iCs w:val="0"/>
                <w:color w:val="000000"/>
                <w:kern w:val="0"/>
                <w:sz w:val="20"/>
                <w:szCs w:val="20"/>
                <w:u w:val="none"/>
                <w:lang w:val="en-US" w:eastAsia="zh-CN" w:bidi="ar"/>
              </w:rPr>
              <w:t xml:space="preserve"> ：国标 RVV 护套线（线径≥1.0mm²），户外款采用耐候橡胶线，符合 GB/T 5013.1 标准。</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i w:val="0"/>
                <w:iCs w:val="0"/>
                <w:color w:val="000000"/>
                <w:kern w:val="0"/>
                <w:sz w:val="20"/>
                <w:szCs w:val="20"/>
                <w:u w:val="none"/>
                <w:lang w:val="en-US" w:eastAsia="zh-CN" w:bidi="ar"/>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16</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洗墙灯</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1.功率：12W</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default" w:ascii="宋体" w:hAnsi="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色温：3000K</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3.防护等级：IP65</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default" w:ascii="宋体" w:hAnsi="宋体" w:cs="宋体"/>
                <w:i w:val="0"/>
                <w:iCs w:val="0"/>
                <w:color w:val="000000"/>
                <w:kern w:val="0"/>
                <w:sz w:val="20"/>
                <w:szCs w:val="20"/>
                <w:u w:val="none"/>
                <w:lang w:val="en-US" w:eastAsia="zh-CN" w:bidi="ar"/>
              </w:rPr>
              <w:t>4．</w:t>
            </w:r>
            <w:r>
              <w:rPr>
                <w:rFonts w:hint="eastAsia" w:ascii="宋体" w:hAnsi="宋体" w:cs="宋体"/>
                <w:i w:val="0"/>
                <w:iCs w:val="0"/>
                <w:color w:val="000000"/>
                <w:kern w:val="0"/>
                <w:sz w:val="20"/>
                <w:szCs w:val="20"/>
                <w:u w:val="none"/>
                <w:lang w:val="en-US" w:eastAsia="zh-CN" w:bidi="ar"/>
              </w:rPr>
              <w:t>角度：20*40°</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5.电压：DC24V</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6.控制：开关</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7.表面处理：银色</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8.材质：航空级铝材</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9.芯片：CREE/OSRAM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default" w:ascii="宋体" w:hAnsi="宋体" w:cs="宋体"/>
                <w:i w:val="0"/>
                <w:iCs w:val="0"/>
                <w:color w:val="000000"/>
                <w:kern w:val="0"/>
                <w:sz w:val="20"/>
                <w:szCs w:val="20"/>
                <w:u w:val="none"/>
                <w:lang w:val="en-US" w:eastAsia="zh-CN" w:bidi="ar"/>
              </w:rPr>
              <w:t>10．</w:t>
            </w:r>
            <w:r>
              <w:rPr>
                <w:rFonts w:hint="eastAsia" w:ascii="宋体" w:hAnsi="宋体" w:cs="宋体"/>
                <w:i w:val="0"/>
                <w:iCs w:val="0"/>
                <w:color w:val="000000"/>
                <w:kern w:val="0"/>
                <w:sz w:val="20"/>
                <w:szCs w:val="20"/>
                <w:u w:val="none"/>
                <w:lang w:val="en-US" w:eastAsia="zh-CN" w:bidi="ar"/>
              </w:rPr>
              <w:t>长度：500mm</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11.LED 灯珠：采用CREE\OSRAM\LUMILEDS  SMD 贴片灯珠，寿命≥50000 小时。</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12.光学透镜：PMMA光学透镜二次配光，出光均匀，指向精准。</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13.PCB 电路板：高导热铝基板，提升散热效率，降低光衰，保障长期稳定运行。</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14.电源线 ：国标 RVV 护套线（线径≥1.0mm²），户外款采用耐候橡胶线，符合 GB/T 5013.1 标准。</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i w:val="0"/>
                <w:iCs w:val="0"/>
                <w:color w:val="000000"/>
                <w:kern w:val="0"/>
                <w:sz w:val="20"/>
                <w:szCs w:val="20"/>
                <w:u w:val="none"/>
                <w:lang w:val="en-US" w:eastAsia="zh-CN" w:bidi="ar"/>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17</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电源</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输入AC110-270V</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 xml:space="preserve">输出DC24V, 350W, 14.5A 防水型 </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i w:val="0"/>
                <w:iCs w:val="0"/>
                <w:color w:val="000000"/>
                <w:kern w:val="0"/>
                <w:sz w:val="20"/>
                <w:szCs w:val="20"/>
                <w:u w:val="none"/>
                <w:lang w:val="en-US" w:eastAsia="zh-CN" w:bidi="ar"/>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18</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电力电缆</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规格</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ZRYJV</w:t>
            </w:r>
            <w:r>
              <w:rPr>
                <w:rFonts w:hint="eastAsia" w:ascii="宋体" w:hAnsi="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3</w:t>
            </w:r>
            <w:r>
              <w:rPr>
                <w:rFonts w:hint="default" w:ascii="宋体" w:hAnsi="宋体" w:eastAsia="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4mm</w:t>
            </w:r>
            <w:r>
              <w:rPr>
                <w:rFonts w:hint="eastAsia" w:ascii="宋体" w:hAnsi="宋体" w:cs="宋体"/>
                <w:i w:val="0"/>
                <w:iCs w:val="0"/>
                <w:color w:val="000000"/>
                <w:kern w:val="0"/>
                <w:sz w:val="20"/>
                <w:szCs w:val="20"/>
                <w:u w:val="none"/>
                <w:vertAlign w:val="superscript"/>
                <w:lang w:val="en-US" w:eastAsia="zh-CN" w:bidi="ar"/>
              </w:rPr>
              <w:t>2</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铜芯</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i w:val="0"/>
                <w:iCs w:val="0"/>
                <w:color w:val="000000"/>
                <w:kern w:val="0"/>
                <w:sz w:val="20"/>
                <w:szCs w:val="20"/>
                <w:u w:val="none"/>
                <w:lang w:val="en-US" w:eastAsia="zh-CN" w:bidi="ar"/>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19</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电力电缆</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规格</w:t>
            </w:r>
            <w:r>
              <w:rPr>
                <w:rFonts w:hint="eastAsia" w:ascii="宋体" w:hAnsi="宋体" w:cs="宋体"/>
                <w:i w:val="0"/>
                <w:iCs w:val="0"/>
                <w:color w:val="000000"/>
                <w:kern w:val="0"/>
                <w:sz w:val="20"/>
                <w:szCs w:val="20"/>
                <w:u w:val="none"/>
                <w:lang w:val="en-US" w:eastAsia="zh-CN" w:bidi="ar"/>
              </w:rPr>
              <w:t>：ZR</w:t>
            </w:r>
            <w:r>
              <w:rPr>
                <w:rFonts w:hint="eastAsia" w:ascii="宋体" w:hAnsi="宋体" w:eastAsia="宋体" w:cs="宋体"/>
                <w:i w:val="0"/>
                <w:iCs w:val="0"/>
                <w:color w:val="000000"/>
                <w:kern w:val="0"/>
                <w:sz w:val="20"/>
                <w:szCs w:val="20"/>
                <w:u w:val="none"/>
                <w:lang w:val="en-US" w:eastAsia="zh-CN" w:bidi="ar"/>
              </w:rPr>
              <w:t>RVV</w:t>
            </w:r>
            <w:r>
              <w:rPr>
                <w:rFonts w:hint="eastAsia" w:ascii="宋体" w:hAnsi="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2</w:t>
            </w:r>
            <w:r>
              <w:rPr>
                <w:rFonts w:hint="default" w:ascii="宋体" w:hAnsi="宋体" w:eastAsia="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4</w:t>
            </w:r>
            <w:r>
              <w:rPr>
                <w:rFonts w:hint="eastAsia" w:ascii="宋体" w:hAnsi="宋体" w:cs="宋体"/>
                <w:i w:val="0"/>
                <w:iCs w:val="0"/>
                <w:color w:val="000000"/>
                <w:kern w:val="0"/>
                <w:sz w:val="20"/>
                <w:szCs w:val="20"/>
                <w:u w:val="none"/>
                <w:lang w:val="en-US" w:eastAsia="zh-CN" w:bidi="ar"/>
              </w:rPr>
              <w:t>mm</w:t>
            </w:r>
            <w:r>
              <w:rPr>
                <w:rFonts w:hint="eastAsia" w:ascii="宋体" w:hAnsi="宋体" w:cs="宋体"/>
                <w:i w:val="0"/>
                <w:iCs w:val="0"/>
                <w:color w:val="000000"/>
                <w:kern w:val="0"/>
                <w:sz w:val="20"/>
                <w:szCs w:val="20"/>
                <w:u w:val="none"/>
                <w:vertAlign w:val="superscript"/>
                <w:lang w:val="en-US" w:eastAsia="zh-CN" w:bidi="ar"/>
              </w:rPr>
              <w:t>2</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铜芯</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i w:val="0"/>
                <w:iCs w:val="0"/>
                <w:color w:val="000000"/>
                <w:kern w:val="0"/>
                <w:sz w:val="20"/>
                <w:szCs w:val="20"/>
                <w:u w:val="none"/>
                <w:lang w:val="en-US" w:eastAsia="zh-CN" w:bidi="ar"/>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20</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网线</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规格</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超5类屏蔽网线</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铜芯</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敷设方式</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综合考虑</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i w:val="0"/>
                <w:iCs w:val="0"/>
                <w:color w:val="000000"/>
                <w:kern w:val="0"/>
                <w:sz w:val="20"/>
                <w:szCs w:val="20"/>
                <w:u w:val="none"/>
                <w:lang w:val="en-US" w:eastAsia="zh-CN" w:bidi="ar"/>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21</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穿线管</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名称</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金属线管</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材质及规格</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JDG25</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敷设方式</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明配，含穿引线、接线盒等</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i w:val="0"/>
                <w:iCs w:val="0"/>
                <w:color w:val="000000"/>
                <w:kern w:val="0"/>
                <w:sz w:val="20"/>
                <w:szCs w:val="20"/>
                <w:u w:val="none"/>
                <w:lang w:val="en-US" w:eastAsia="zh-CN" w:bidi="ar"/>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22</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定制铝线槽</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材质及规格</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铝合金33</w:t>
            </w:r>
            <w:r>
              <w:rPr>
                <w:rFonts w:hint="default" w:ascii="宋体" w:hAnsi="宋体" w:eastAsia="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40</w:t>
            </w:r>
            <w:r>
              <w:rPr>
                <w:rFonts w:hint="default" w:ascii="宋体" w:hAnsi="宋体" w:eastAsia="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mm</w:t>
            </w:r>
            <w:r>
              <w:rPr>
                <w:rFonts w:hint="eastAsia" w:ascii="宋体" w:hAnsi="宋体" w:eastAsia="宋体" w:cs="宋体"/>
                <w:i w:val="0"/>
                <w:iCs w:val="0"/>
                <w:color w:val="000000"/>
                <w:kern w:val="0"/>
                <w:sz w:val="20"/>
                <w:szCs w:val="20"/>
                <w:u w:val="none"/>
                <w:lang w:val="en-US" w:eastAsia="zh-CN" w:bidi="ar"/>
              </w:rPr>
              <w:t>厚（截面尺寸）</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敷设方式</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明配，含固定、接线盒等</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i w:val="0"/>
                <w:iCs w:val="0"/>
                <w:color w:val="000000"/>
                <w:kern w:val="0"/>
                <w:sz w:val="20"/>
                <w:szCs w:val="20"/>
                <w:u w:val="none"/>
                <w:lang w:val="en-US" w:eastAsia="zh-CN" w:bidi="ar"/>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23</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主控</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支持GPS/BDS双模</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卫星同步</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具有DMX512写址功能及地址测试，单端口或者全部端口带载DMX512 IC写地址，并对灯具进行地址测试。</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i w:val="0"/>
                <w:iCs w:val="0"/>
                <w:color w:val="000000"/>
                <w:kern w:val="0"/>
                <w:sz w:val="20"/>
                <w:szCs w:val="20"/>
                <w:u w:val="none"/>
                <w:lang w:val="en-US" w:eastAsia="zh-CN" w:bidi="ar"/>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24</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分控</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8个端口输出，每个端口最大可带载1024像素点（TTL &amp; DMX512）</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具有DMX512写址功能及地址测试，单端口或者全部端口带载DMX512 IC写地址，并对灯具进行地址测试。</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i w:val="0"/>
                <w:iCs w:val="0"/>
                <w:color w:val="000000"/>
                <w:kern w:val="0"/>
                <w:sz w:val="20"/>
                <w:szCs w:val="20"/>
                <w:u w:val="none"/>
                <w:lang w:val="en-US" w:eastAsia="zh-CN" w:bidi="ar"/>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25</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电箱</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规格</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Pe=85KW 箱体不锈钢防水型</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安装方式：基座隐蔽安装</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箱体安装</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防雷接地</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i w:val="0"/>
                <w:iCs w:val="0"/>
                <w:color w:val="000000"/>
                <w:kern w:val="0"/>
                <w:sz w:val="20"/>
                <w:szCs w:val="20"/>
                <w:u w:val="none"/>
                <w:lang w:val="en-US" w:eastAsia="zh-CN" w:bidi="ar"/>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2"/>
                <w:szCs w:val="22"/>
                <w:u w:val="none"/>
                <w:lang w:val="en-US" w:eastAsia="zh-CN" w:bidi="ar"/>
              </w:rPr>
            </w:pP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000000"/>
                <w:kern w:val="0"/>
                <w:sz w:val="20"/>
                <w:szCs w:val="20"/>
                <w:u w:val="none"/>
                <w:lang w:val="en-US" w:eastAsia="zh-CN" w:bidi="ar"/>
              </w:rPr>
            </w:pP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2"/>
                <w:szCs w:val="22"/>
                <w:u w:val="none"/>
                <w:lang w:val="en-US" w:eastAsia="zh-CN" w:bidi="ar"/>
              </w:rPr>
              <w:t>（四）精神堡垒</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i w:val="0"/>
                <w:iCs w:val="0"/>
                <w:color w:val="000000"/>
                <w:kern w:val="0"/>
                <w:sz w:val="20"/>
                <w:szCs w:val="20"/>
                <w:u w:val="none"/>
                <w:lang w:val="en-US" w:eastAsia="zh-CN" w:bidi="ar"/>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kern w:val="2"/>
                <w:sz w:val="21"/>
                <w:szCs w:val="21"/>
                <w:lang w:val="en-US" w:eastAsia="zh-CN" w:bidi="ar-SA"/>
              </w:rPr>
            </w:pPr>
            <w:r>
              <w:rPr>
                <w:rFonts w:hint="eastAsia" w:ascii="宋体" w:hAnsi="宋体" w:cs="宋体"/>
                <w:szCs w:val="21"/>
              </w:rPr>
              <w:t>序号</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kern w:val="2"/>
                <w:sz w:val="21"/>
                <w:szCs w:val="21"/>
                <w:lang w:val="en-US" w:eastAsia="zh-CN" w:bidi="ar-SA"/>
              </w:rPr>
            </w:pPr>
            <w:r>
              <w:rPr>
                <w:rFonts w:hint="eastAsia" w:ascii="宋体" w:hAnsi="宋体" w:cs="宋体"/>
                <w:szCs w:val="21"/>
              </w:rPr>
              <w:t>标的名称</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kern w:val="2"/>
                <w:sz w:val="21"/>
                <w:szCs w:val="21"/>
                <w:lang w:val="en-US" w:eastAsia="zh-CN" w:bidi="ar-SA"/>
              </w:rPr>
            </w:pPr>
            <w:r>
              <w:rPr>
                <w:rFonts w:hint="eastAsia" w:ascii="宋体" w:hAnsi="宋体" w:cs="宋体"/>
                <w:szCs w:val="21"/>
              </w:rPr>
              <w:t>主要技术参数及性能（配置）要求</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kern w:val="2"/>
                <w:sz w:val="21"/>
                <w:szCs w:val="21"/>
                <w:lang w:val="en-US" w:eastAsia="zh-CN" w:bidi="ar-SA"/>
              </w:rPr>
            </w:pPr>
            <w:r>
              <w:rPr>
                <w:rFonts w:hint="eastAsia" w:ascii="宋体" w:hAnsi="宋体" w:cs="宋体"/>
                <w:szCs w:val="21"/>
              </w:rPr>
              <w:t>数量</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kern w:val="2"/>
                <w:sz w:val="21"/>
                <w:szCs w:val="21"/>
                <w:lang w:val="en-US" w:eastAsia="zh-CN" w:bidi="ar-SA"/>
              </w:rPr>
            </w:pPr>
            <w:r>
              <w:rPr>
                <w:rFonts w:hint="eastAsia" w:ascii="宋体" w:hAnsi="宋体" w:cs="宋体"/>
                <w:szCs w:val="21"/>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jc w:val="center"/>
              <w:rPr>
                <w:rFonts w:hint="default" w:ascii="宋体" w:hAnsi="宋体" w:eastAsia="宋体" w:cs="宋体"/>
                <w:szCs w:val="21"/>
                <w:lang w:val="en-US" w:eastAsia="zh-CN"/>
              </w:rPr>
            </w:pPr>
            <w:r>
              <w:rPr>
                <w:rFonts w:hint="eastAsia" w:ascii="宋体" w:hAnsi="宋体" w:cs="宋体"/>
                <w:szCs w:val="21"/>
                <w:lang w:val="en-US" w:eastAsia="zh-CN"/>
              </w:rPr>
              <w:t>226</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jc w:val="center"/>
              <w:rPr>
                <w:rFonts w:hint="default" w:ascii="宋体" w:hAnsi="宋体" w:eastAsia="宋体" w:cs="宋体"/>
                <w:szCs w:val="21"/>
                <w:lang w:val="en-US" w:eastAsia="zh-CN"/>
              </w:rPr>
            </w:pPr>
            <w:r>
              <w:rPr>
                <w:rFonts w:hint="eastAsia" w:ascii="宋体" w:hAnsi="宋体" w:cs="宋体"/>
                <w:szCs w:val="21"/>
                <w:lang w:val="en-US" w:eastAsia="zh-CN"/>
              </w:rPr>
              <w:t>精神堡垒</w:t>
            </w:r>
          </w:p>
        </w:tc>
        <w:tc>
          <w:tcPr>
            <w:tcW w:w="3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both"/>
              <w:rPr>
                <w:rFonts w:hint="default" w:ascii="宋体" w:hAnsi="宋体" w:eastAsia="宋体" w:cs="宋体"/>
                <w:szCs w:val="21"/>
                <w:lang w:val="en-US" w:eastAsia="zh-CN"/>
              </w:rPr>
            </w:pPr>
            <w:r>
              <w:rPr>
                <w:rFonts w:hint="eastAsia" w:ascii="宋体" w:hAnsi="宋体" w:cs="宋体"/>
                <w:szCs w:val="21"/>
                <w:lang w:val="en-US" w:eastAsia="zh-CN"/>
              </w:rPr>
              <w:t>一、形象堡垒 1套</w:t>
            </w:r>
          </w:p>
          <w:p>
            <w:pPr>
              <w:keepNext w:val="0"/>
              <w:keepLines w:val="0"/>
              <w:pageBreakBefore w:val="0"/>
              <w:kinsoku/>
              <w:wordWrap/>
              <w:overflowPunct/>
              <w:topLinePunct w:val="0"/>
              <w:autoSpaceDE/>
              <w:autoSpaceDN/>
              <w:bidi w:val="0"/>
              <w:adjustRightInd/>
              <w:snapToGrid/>
              <w:spacing w:line="440" w:lineRule="exact"/>
              <w:jc w:val="both"/>
              <w:rPr>
                <w:rFonts w:hint="default" w:ascii="宋体" w:hAnsi="宋体" w:cs="宋体"/>
                <w:szCs w:val="21"/>
                <w:lang w:val="en-US" w:eastAsia="zh-CN"/>
              </w:rPr>
            </w:pPr>
            <w:r>
              <w:rPr>
                <w:rFonts w:hint="eastAsia" w:ascii="宋体" w:hAnsi="宋体" w:cs="宋体"/>
                <w:szCs w:val="21"/>
                <w:lang w:eastAsia="zh-CN"/>
              </w:rPr>
              <w:t>（</w:t>
            </w:r>
            <w:r>
              <w:rPr>
                <w:rFonts w:hint="eastAsia" w:ascii="宋体" w:hAnsi="宋体" w:cs="宋体"/>
                <w:szCs w:val="21"/>
                <w:lang w:val="en-US" w:eastAsia="zh-CN"/>
              </w:rPr>
              <w:t>一</w:t>
            </w:r>
            <w:r>
              <w:rPr>
                <w:rFonts w:hint="eastAsia" w:ascii="宋体" w:hAnsi="宋体" w:cs="宋体"/>
                <w:szCs w:val="21"/>
                <w:lang w:eastAsia="zh-CN"/>
              </w:rPr>
              <w:t>）</w:t>
            </w:r>
            <w:r>
              <w:rPr>
                <w:rFonts w:hint="eastAsia" w:ascii="宋体" w:hAnsi="宋体" w:cs="宋体"/>
                <w:szCs w:val="21"/>
                <w:lang w:val="en-US" w:eastAsia="zh-CN"/>
              </w:rPr>
              <w:t>技术参数规格要求</w:t>
            </w:r>
          </w:p>
          <w:p>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cs="宋体"/>
                <w:szCs w:val="21"/>
                <w:lang w:val="en-US" w:eastAsia="zh-CN"/>
              </w:rPr>
            </w:pPr>
            <w:r>
              <w:rPr>
                <w:rFonts w:hint="eastAsia" w:ascii="宋体" w:hAnsi="宋体" w:cs="宋体"/>
                <w:szCs w:val="21"/>
                <w:lang w:val="en-US" w:eastAsia="zh-CN"/>
              </w:rPr>
              <w:t>1.304不锈钢厚度</w:t>
            </w:r>
            <w:r>
              <w:rPr>
                <w:rFonts w:hint="eastAsia" w:ascii="宋体" w:hAnsi="宋体" w:cs="宋体"/>
                <w:szCs w:val="21"/>
                <w:lang w:eastAsia="zh-CN"/>
              </w:rPr>
              <w:t>≥</w:t>
            </w:r>
            <w:r>
              <w:rPr>
                <w:rFonts w:hint="eastAsia" w:ascii="宋体" w:hAnsi="宋体" w:cs="宋体"/>
                <w:szCs w:val="21"/>
                <w:lang w:val="en-US" w:eastAsia="zh-CN"/>
              </w:rPr>
              <w:t>1.2mm，304不锈钢方通厚度</w:t>
            </w:r>
            <w:r>
              <w:rPr>
                <w:rFonts w:hint="eastAsia" w:ascii="宋体" w:hAnsi="宋体" w:cs="宋体"/>
                <w:szCs w:val="21"/>
                <w:lang w:eastAsia="zh-CN"/>
              </w:rPr>
              <w:t>≥</w:t>
            </w:r>
            <w:r>
              <w:rPr>
                <w:rFonts w:hint="eastAsia" w:ascii="宋体" w:hAnsi="宋体" w:cs="宋体"/>
                <w:szCs w:val="21"/>
                <w:lang w:val="en-US" w:eastAsia="zh-CN"/>
              </w:rPr>
              <w:t>1.0mm，镀锌方通厚度</w:t>
            </w:r>
            <w:r>
              <w:rPr>
                <w:rFonts w:hint="eastAsia" w:ascii="宋体" w:hAnsi="宋体" w:cs="宋体"/>
                <w:szCs w:val="21"/>
                <w:lang w:eastAsia="zh-CN"/>
              </w:rPr>
              <w:t>≥</w:t>
            </w:r>
            <w:r>
              <w:rPr>
                <w:rFonts w:hint="eastAsia" w:ascii="宋体" w:hAnsi="宋体" w:cs="宋体"/>
                <w:szCs w:val="21"/>
                <w:lang w:val="en-US" w:eastAsia="zh-CN"/>
              </w:rPr>
              <w:t>3.0mm ，亚克力厚度</w:t>
            </w:r>
            <w:r>
              <w:rPr>
                <w:rFonts w:hint="eastAsia" w:ascii="宋体" w:hAnsi="宋体" w:cs="宋体"/>
                <w:szCs w:val="21"/>
                <w:lang w:eastAsia="zh-CN"/>
              </w:rPr>
              <w:t>≥</w:t>
            </w:r>
            <w:r>
              <w:rPr>
                <w:rFonts w:hint="eastAsia" w:ascii="宋体" w:hAnsi="宋体" w:cs="宋体"/>
                <w:szCs w:val="21"/>
                <w:lang w:val="en-US" w:eastAsia="zh-CN"/>
              </w:rPr>
              <w:t>3.0mm, 防水漫反射灯IP67,10颗灯珠</w:t>
            </w:r>
          </w:p>
          <w:p>
            <w:pPr>
              <w:keepNext w:val="0"/>
              <w:keepLines w:val="0"/>
              <w:pageBreakBefore w:val="0"/>
              <w:kinsoku/>
              <w:wordWrap/>
              <w:overflowPunct/>
              <w:topLinePunct w:val="0"/>
              <w:autoSpaceDE/>
              <w:autoSpaceDN/>
              <w:bidi w:val="0"/>
              <w:adjustRightInd/>
              <w:snapToGrid/>
              <w:spacing w:line="440" w:lineRule="exact"/>
              <w:jc w:val="both"/>
              <w:rPr>
                <w:rFonts w:hint="default" w:ascii="宋体" w:hAnsi="宋体" w:cs="宋体"/>
                <w:szCs w:val="21"/>
                <w:lang w:val="en-US" w:eastAsia="zh-CN"/>
              </w:rPr>
            </w:pPr>
            <w:r>
              <w:rPr>
                <w:rFonts w:hint="eastAsia" w:ascii="宋体" w:hAnsi="宋体" w:cs="宋体"/>
                <w:szCs w:val="21"/>
                <w:lang w:val="en-US" w:eastAsia="zh-CN"/>
              </w:rPr>
              <w:t>2.规格要求</w:t>
            </w:r>
          </w:p>
          <w:tbl>
            <w:tblPr>
              <w:tblStyle w:val="49"/>
              <w:tblW w:w="4696" w:type="dxa"/>
              <w:tblInd w:w="96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20"/>
              <w:gridCol w:w="932"/>
              <w:gridCol w:w="8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szCs w:val="21"/>
                      <w:lang w:val="en-US" w:eastAsia="zh-CN"/>
                    </w:rPr>
                  </w:pPr>
                  <w:r>
                    <w:rPr>
                      <w:rFonts w:hint="eastAsia" w:ascii="宋体" w:hAnsi="宋体" w:cs="宋体"/>
                      <w:szCs w:val="21"/>
                      <w:lang w:val="en-US" w:eastAsia="zh-CN"/>
                    </w:rPr>
                    <w:t>名称</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szCs w:val="21"/>
                      <w:lang w:val="en-US" w:eastAsia="zh-CN"/>
                    </w:rPr>
                  </w:pPr>
                  <w:r>
                    <w:rPr>
                      <w:rFonts w:hint="eastAsia" w:ascii="宋体" w:hAnsi="宋体" w:cs="宋体"/>
                      <w:szCs w:val="21"/>
                      <w:lang w:val="en-US" w:eastAsia="zh-CN"/>
                    </w:rPr>
                    <w:t>宽</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szCs w:val="21"/>
                      <w:lang w:val="en-US" w:eastAsia="zh-CN"/>
                    </w:rPr>
                  </w:pPr>
                  <w:r>
                    <w:rPr>
                      <w:rFonts w:hint="eastAsia" w:ascii="宋体" w:hAnsi="宋体" w:cs="宋体"/>
                      <w:szCs w:val="21"/>
                      <w:lang w:val="en-US" w:eastAsia="zh-CN"/>
                    </w:rPr>
                    <w:t>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szCs w:val="21"/>
                      <w:lang w:val="en-US" w:eastAsia="zh-CN"/>
                    </w:rPr>
                  </w:pPr>
                  <w:r>
                    <w:rPr>
                      <w:rFonts w:hint="eastAsia" w:ascii="宋体" w:hAnsi="宋体" w:cs="宋体"/>
                      <w:szCs w:val="21"/>
                      <w:lang w:val="en-US" w:eastAsia="zh-CN"/>
                    </w:rPr>
                    <w:t>304不锈钢</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rPr>
                      <w:rFonts w:hint="default" w:ascii="宋体" w:hAnsi="宋体" w:cs="宋体"/>
                      <w:szCs w:val="21"/>
                      <w:lang w:val="en-US" w:eastAsia="zh-CN"/>
                    </w:rPr>
                  </w:pPr>
                  <w:r>
                    <w:rPr>
                      <w:rFonts w:hint="eastAsia" w:ascii="宋体" w:hAnsi="宋体" w:cs="宋体"/>
                      <w:szCs w:val="21"/>
                      <w:lang w:val="en-US" w:eastAsia="zh-CN"/>
                    </w:rPr>
                    <w:t>1.22m</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rPr>
                      <w:rFonts w:hint="default" w:ascii="宋体" w:hAnsi="宋体" w:cs="宋体"/>
                      <w:szCs w:val="21"/>
                      <w:lang w:val="en-US" w:eastAsia="zh-CN"/>
                    </w:rPr>
                  </w:pPr>
                  <w:r>
                    <w:rPr>
                      <w:rFonts w:hint="eastAsia" w:ascii="宋体" w:hAnsi="宋体" w:cs="宋体"/>
                      <w:szCs w:val="21"/>
                      <w:lang w:val="en-US" w:eastAsia="zh-CN"/>
                    </w:rPr>
                    <w:t>3.05m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szCs w:val="21"/>
                      <w:lang w:val="en-US" w:eastAsia="zh-CN"/>
                    </w:rPr>
                  </w:pPr>
                  <w:r>
                    <w:rPr>
                      <w:rFonts w:hint="eastAsia" w:ascii="宋体" w:hAnsi="宋体" w:cs="宋体"/>
                      <w:szCs w:val="21"/>
                      <w:lang w:val="en-US" w:eastAsia="zh-CN"/>
                    </w:rPr>
                    <w:t>304不锈钢方通</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jc w:val="center"/>
                    <w:rPr>
                      <w:rFonts w:hint="default" w:ascii="宋体" w:hAnsi="宋体" w:cs="宋体"/>
                      <w:szCs w:val="21"/>
                      <w:lang w:val="en-US" w:eastAsia="zh-CN"/>
                    </w:rPr>
                  </w:pPr>
                  <w:r>
                    <w:rPr>
                      <w:rFonts w:hint="eastAsia" w:ascii="宋体" w:hAnsi="宋体" w:cs="宋体"/>
                      <w:szCs w:val="21"/>
                      <w:lang w:val="en-US" w:eastAsia="zh-CN"/>
                    </w:rPr>
                    <w:t>0.05m</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jc w:val="center"/>
                    <w:rPr>
                      <w:rFonts w:hint="default" w:ascii="宋体" w:hAnsi="宋体" w:cs="宋体"/>
                      <w:szCs w:val="21"/>
                      <w:lang w:val="en-US" w:eastAsia="zh-CN"/>
                    </w:rPr>
                  </w:pPr>
                  <w:r>
                    <w:rPr>
                      <w:rFonts w:hint="eastAsia" w:ascii="宋体" w:hAnsi="宋体" w:cs="宋体"/>
                      <w:szCs w:val="21"/>
                      <w:lang w:val="en-US" w:eastAsia="zh-CN"/>
                    </w:rPr>
                    <w:t>6m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szCs w:val="21"/>
                      <w:lang w:val="en-US" w:eastAsia="zh-CN"/>
                    </w:rPr>
                  </w:pPr>
                  <w:r>
                    <w:rPr>
                      <w:rFonts w:hint="eastAsia" w:ascii="宋体" w:hAnsi="宋体" w:cs="宋体"/>
                      <w:szCs w:val="21"/>
                      <w:lang w:val="en-US" w:eastAsia="zh-CN"/>
                    </w:rPr>
                    <w:t>镀方通</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rPr>
                      <w:rFonts w:hint="default" w:ascii="宋体" w:hAnsi="宋体" w:cs="宋体"/>
                      <w:szCs w:val="21"/>
                      <w:lang w:val="en-US" w:eastAsia="zh-CN"/>
                    </w:rPr>
                  </w:pPr>
                  <w:r>
                    <w:rPr>
                      <w:rFonts w:hint="eastAsia" w:ascii="宋体" w:hAnsi="宋体" w:cs="宋体"/>
                      <w:szCs w:val="21"/>
                      <w:lang w:val="en-US" w:eastAsia="zh-CN"/>
                    </w:rPr>
                    <w:t>0.1m</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rPr>
                      <w:rFonts w:hint="default" w:ascii="宋体" w:hAnsi="宋体" w:cs="宋体"/>
                      <w:szCs w:val="21"/>
                      <w:lang w:val="en-US" w:eastAsia="zh-CN"/>
                    </w:rPr>
                  </w:pPr>
                  <w:r>
                    <w:rPr>
                      <w:rFonts w:hint="eastAsia" w:ascii="宋体" w:hAnsi="宋体" w:cs="宋体"/>
                      <w:szCs w:val="21"/>
                      <w:lang w:val="en-US" w:eastAsia="zh-CN"/>
                    </w:rPr>
                    <w:t>6m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5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szCs w:val="21"/>
                      <w:lang w:val="en-US" w:eastAsia="zh-CN"/>
                    </w:rPr>
                  </w:pPr>
                  <w:r>
                    <w:rPr>
                      <w:rFonts w:hint="eastAsia" w:ascii="宋体" w:hAnsi="宋体" w:cs="宋体"/>
                      <w:szCs w:val="21"/>
                      <w:lang w:val="en-US" w:eastAsia="zh-CN"/>
                    </w:rPr>
                    <w:t>亚克力uv</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kinsoku/>
                    <w:wordWrap/>
                    <w:overflowPunct/>
                    <w:topLinePunct w:val="0"/>
                    <w:autoSpaceDE/>
                    <w:autoSpaceDN/>
                    <w:bidi w:val="0"/>
                    <w:adjustRightInd/>
                    <w:snapToGrid/>
                    <w:spacing w:line="440" w:lineRule="exact"/>
                    <w:jc w:val="center"/>
                    <w:rPr>
                      <w:rFonts w:hint="default" w:ascii="宋体" w:hAnsi="宋体" w:cs="宋体"/>
                      <w:szCs w:val="21"/>
                      <w:lang w:val="en-US" w:eastAsia="zh-CN"/>
                    </w:rPr>
                  </w:pPr>
                  <w:r>
                    <w:rPr>
                      <w:rFonts w:hint="eastAsia" w:ascii="宋体" w:hAnsi="宋体" w:cs="宋体"/>
                      <w:szCs w:val="21"/>
                      <w:lang w:val="en-US" w:eastAsia="zh-CN"/>
                    </w:rPr>
                    <w:t>1.22m</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kinsoku/>
                    <w:wordWrap/>
                    <w:overflowPunct/>
                    <w:topLinePunct w:val="0"/>
                    <w:autoSpaceDE/>
                    <w:autoSpaceDN/>
                    <w:bidi w:val="0"/>
                    <w:adjustRightInd/>
                    <w:snapToGrid/>
                    <w:spacing w:line="440" w:lineRule="exact"/>
                    <w:jc w:val="center"/>
                    <w:rPr>
                      <w:rFonts w:hint="default" w:ascii="宋体" w:hAnsi="宋体" w:cs="宋体"/>
                      <w:szCs w:val="21"/>
                      <w:lang w:val="en-US" w:eastAsia="zh-CN"/>
                    </w:rPr>
                  </w:pPr>
                  <w:r>
                    <w:rPr>
                      <w:rFonts w:hint="eastAsia" w:ascii="宋体" w:hAnsi="宋体" w:cs="宋体"/>
                      <w:szCs w:val="21"/>
                      <w:lang w:val="en-US" w:eastAsia="zh-CN"/>
                    </w:rPr>
                    <w:t>2.44m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5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cs="宋体"/>
                      <w:szCs w:val="21"/>
                      <w:lang w:val="en-US" w:eastAsia="zh-CN"/>
                    </w:rPr>
                  </w:pPr>
                  <w:r>
                    <w:rPr>
                      <w:rFonts w:hint="eastAsia" w:ascii="宋体" w:hAnsi="宋体" w:cs="宋体"/>
                      <w:szCs w:val="21"/>
                      <w:lang w:val="en-US" w:eastAsia="zh-CN"/>
                    </w:rPr>
                    <w:t>防水漫反射灯</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kinsoku/>
                    <w:wordWrap/>
                    <w:overflowPunct/>
                    <w:topLinePunct w:val="0"/>
                    <w:autoSpaceDE/>
                    <w:autoSpaceDN/>
                    <w:bidi w:val="0"/>
                    <w:adjustRightInd/>
                    <w:snapToGrid/>
                    <w:spacing w:line="440" w:lineRule="exact"/>
                    <w:jc w:val="center"/>
                    <w:rPr>
                      <w:rFonts w:hint="default" w:ascii="宋体" w:hAnsi="宋体" w:cs="宋体"/>
                      <w:szCs w:val="21"/>
                      <w:lang w:val="en-US" w:eastAsia="zh-CN"/>
                    </w:rPr>
                  </w:pPr>
                  <w:r>
                    <w:rPr>
                      <w:rFonts w:hint="eastAsia" w:ascii="宋体" w:hAnsi="宋体" w:cs="宋体"/>
                      <w:szCs w:val="21"/>
                      <w:lang w:val="en-US" w:eastAsia="zh-CN"/>
                    </w:rPr>
                    <w:t>0.15m</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kinsoku/>
                    <w:wordWrap/>
                    <w:overflowPunct/>
                    <w:topLinePunct w:val="0"/>
                    <w:autoSpaceDE/>
                    <w:autoSpaceDN/>
                    <w:bidi w:val="0"/>
                    <w:adjustRightInd/>
                    <w:snapToGrid/>
                    <w:spacing w:line="440" w:lineRule="exact"/>
                    <w:jc w:val="center"/>
                    <w:rPr>
                      <w:rFonts w:hint="default" w:ascii="宋体" w:hAnsi="宋体" w:cs="宋体"/>
                      <w:szCs w:val="21"/>
                      <w:lang w:val="en-US" w:eastAsia="zh-CN"/>
                    </w:rPr>
                  </w:pPr>
                  <w:r>
                    <w:rPr>
                      <w:rFonts w:hint="eastAsia" w:ascii="宋体" w:hAnsi="宋体" w:cs="宋体"/>
                      <w:szCs w:val="21"/>
                      <w:lang w:val="en-US" w:eastAsia="zh-CN"/>
                    </w:rPr>
                    <w:t>1.2m</w:t>
                  </w:r>
                </w:p>
              </w:tc>
            </w:tr>
          </w:tbl>
          <w:p>
            <w:pPr>
              <w:keepNext w:val="0"/>
              <w:keepLines w:val="0"/>
              <w:pageBreakBefore w:val="0"/>
              <w:kinsoku/>
              <w:wordWrap/>
              <w:overflowPunct/>
              <w:topLinePunct w:val="0"/>
              <w:autoSpaceDE/>
              <w:autoSpaceDN/>
              <w:bidi w:val="0"/>
              <w:adjustRightInd/>
              <w:snapToGrid/>
              <w:spacing w:line="440" w:lineRule="exact"/>
              <w:jc w:val="both"/>
              <w:rPr>
                <w:rFonts w:hint="default" w:ascii="宋体" w:hAnsi="宋体" w:cs="宋体"/>
                <w:szCs w:val="21"/>
                <w:lang w:val="en-US" w:eastAsia="zh-CN"/>
              </w:rPr>
            </w:pPr>
            <w:r>
              <w:rPr>
                <w:rFonts w:hint="eastAsia" w:ascii="宋体" w:hAnsi="宋体" w:cs="宋体"/>
                <w:szCs w:val="21"/>
                <w:lang w:val="en-US" w:eastAsia="zh-CN"/>
              </w:rPr>
              <w:t>3.配套材料及服务</w:t>
            </w:r>
          </w:p>
          <w:p>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cs="宋体"/>
                <w:szCs w:val="21"/>
                <w:lang w:val="en-US" w:eastAsia="zh-CN"/>
              </w:rPr>
            </w:pPr>
            <w:r>
              <w:rPr>
                <w:rFonts w:hint="eastAsia" w:ascii="宋体" w:hAnsi="宋体" w:cs="宋体"/>
                <w:szCs w:val="21"/>
                <w:lang w:val="en-US" w:eastAsia="zh-CN"/>
              </w:rPr>
              <w:t>（1）户外防水箱体：根据现场的情况和尺寸定制。</w:t>
            </w:r>
          </w:p>
          <w:p>
            <w:pPr>
              <w:keepNext w:val="0"/>
              <w:keepLines w:val="0"/>
              <w:pageBreakBefore w:val="0"/>
              <w:kinsoku/>
              <w:wordWrap/>
              <w:overflowPunct/>
              <w:topLinePunct w:val="0"/>
              <w:autoSpaceDE/>
              <w:autoSpaceDN/>
              <w:bidi w:val="0"/>
              <w:adjustRightInd/>
              <w:snapToGrid/>
              <w:spacing w:line="440" w:lineRule="exact"/>
              <w:jc w:val="both"/>
              <w:rPr>
                <w:rFonts w:hint="default" w:ascii="宋体" w:hAnsi="宋体" w:cs="宋体"/>
                <w:szCs w:val="21"/>
                <w:lang w:val="en-US" w:eastAsia="zh-CN"/>
              </w:rPr>
            </w:pPr>
            <w:r>
              <w:rPr>
                <w:rFonts w:hint="eastAsia" w:ascii="宋体" w:hAnsi="宋体" w:cs="宋体"/>
                <w:szCs w:val="21"/>
                <w:lang w:val="en-US" w:eastAsia="zh-CN"/>
              </w:rPr>
              <w:t>（2）含形象堡垒的精工打磨，要求表面平整。</w:t>
            </w:r>
          </w:p>
          <w:p>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cs="宋体"/>
                <w:szCs w:val="21"/>
                <w:lang w:val="en-US" w:eastAsia="zh-CN"/>
              </w:rPr>
            </w:pPr>
            <w:r>
              <w:rPr>
                <w:rFonts w:hint="eastAsia" w:ascii="宋体" w:hAnsi="宋体" w:cs="宋体"/>
                <w:szCs w:val="21"/>
                <w:lang w:val="en-US" w:eastAsia="zh-CN"/>
              </w:rPr>
              <w:t>（3）配套：配电功率</w:t>
            </w:r>
            <w:r>
              <w:rPr>
                <w:rFonts w:hint="eastAsia" w:ascii="宋体" w:hAnsi="宋体" w:cs="宋体"/>
                <w:szCs w:val="21"/>
                <w:lang w:eastAsia="zh-CN"/>
              </w:rPr>
              <w:t>≥</w:t>
            </w:r>
            <w:r>
              <w:rPr>
                <w:rFonts w:hint="eastAsia" w:ascii="宋体" w:hAnsi="宋体" w:cs="宋体"/>
                <w:szCs w:val="21"/>
                <w:lang w:val="en-US" w:eastAsia="zh-CN"/>
              </w:rPr>
              <w:t>1kW。</w:t>
            </w:r>
          </w:p>
          <w:p>
            <w:pPr>
              <w:keepNext w:val="0"/>
              <w:keepLines w:val="0"/>
              <w:pageBreakBefore w:val="0"/>
              <w:kinsoku/>
              <w:wordWrap/>
              <w:overflowPunct/>
              <w:topLinePunct w:val="0"/>
              <w:autoSpaceDE/>
              <w:autoSpaceDN/>
              <w:bidi w:val="0"/>
              <w:adjustRightInd/>
              <w:snapToGrid/>
              <w:spacing w:line="440" w:lineRule="exact"/>
              <w:jc w:val="both"/>
              <w:rPr>
                <w:rFonts w:hint="default" w:ascii="宋体" w:hAnsi="宋体" w:cs="宋体"/>
                <w:szCs w:val="21"/>
                <w:lang w:val="en-US" w:eastAsia="zh-CN"/>
              </w:rPr>
            </w:pPr>
            <w:r>
              <w:rPr>
                <w:rFonts w:hint="eastAsia" w:ascii="宋体" w:hAnsi="宋体" w:cs="宋体"/>
                <w:szCs w:val="21"/>
                <w:lang w:val="en-US" w:eastAsia="zh-CN"/>
              </w:rPr>
              <w:t>（4）满足本形象堡垒使用要求的1组3×4mm</w:t>
            </w:r>
            <w:r>
              <w:rPr>
                <w:rFonts w:hint="eastAsia" w:ascii="宋体" w:hAnsi="宋体" w:cs="宋体"/>
                <w:szCs w:val="21"/>
                <w:vertAlign w:val="superscript"/>
                <w:lang w:val="en-US" w:eastAsia="zh-CN"/>
              </w:rPr>
              <w:t>2</w:t>
            </w:r>
            <w:r>
              <w:rPr>
                <w:rFonts w:hint="eastAsia" w:ascii="宋体" w:hAnsi="宋体" w:cs="宋体"/>
                <w:szCs w:val="21"/>
                <w:vertAlign w:val="baseline"/>
                <w:lang w:val="en-US" w:eastAsia="zh-CN"/>
              </w:rPr>
              <w:t>电源</w:t>
            </w:r>
            <w:r>
              <w:rPr>
                <w:rFonts w:hint="eastAsia" w:ascii="宋体" w:hAnsi="宋体" w:cs="宋体"/>
                <w:szCs w:val="21"/>
                <w:lang w:val="en-US" w:eastAsia="zh-CN"/>
              </w:rPr>
              <w:t>电缆线。</w:t>
            </w:r>
          </w:p>
          <w:p>
            <w:pPr>
              <w:keepNext w:val="0"/>
              <w:keepLines w:val="0"/>
              <w:pageBreakBefore w:val="0"/>
              <w:kinsoku/>
              <w:wordWrap/>
              <w:overflowPunct/>
              <w:topLinePunct w:val="0"/>
              <w:autoSpaceDE/>
              <w:autoSpaceDN/>
              <w:bidi w:val="0"/>
              <w:adjustRightInd/>
              <w:snapToGrid/>
              <w:spacing w:line="440" w:lineRule="exact"/>
              <w:jc w:val="both"/>
              <w:rPr>
                <w:rFonts w:hint="default" w:ascii="宋体" w:hAnsi="宋体" w:cs="宋体"/>
                <w:szCs w:val="21"/>
                <w:lang w:val="en-US" w:eastAsia="zh-CN"/>
              </w:rPr>
            </w:pPr>
            <w:r>
              <w:rPr>
                <w:rFonts w:hint="eastAsia" w:ascii="宋体" w:hAnsi="宋体" w:cs="宋体"/>
                <w:szCs w:val="21"/>
                <w:lang w:val="en-US" w:eastAsia="zh-CN"/>
              </w:rPr>
              <w:t>（5）含运输安装加固等。</w:t>
            </w:r>
          </w:p>
          <w:p>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cs="宋体"/>
                <w:szCs w:val="21"/>
                <w:lang w:val="en-US" w:eastAsia="zh-CN"/>
              </w:rPr>
            </w:pPr>
            <w:r>
              <w:rPr>
                <w:rFonts w:hint="eastAsia" w:ascii="宋体" w:hAnsi="宋体" w:cs="宋体"/>
                <w:szCs w:val="21"/>
                <w:lang w:val="en-US" w:eastAsia="zh-CN"/>
              </w:rPr>
              <w:t>（二）参考示意图</w:t>
            </w:r>
          </w:p>
          <w:p>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cs="宋体"/>
                <w:szCs w:val="21"/>
                <w:lang w:val="en-US" w:eastAsia="zh-CN"/>
              </w:rPr>
            </w:pPr>
            <w:r>
              <w:rPr>
                <w:rFonts w:hint="eastAsia" w:ascii="宋体" w:hAnsi="宋体" w:cs="宋体"/>
                <w:szCs w:val="21"/>
                <w:lang w:val="en-US" w:eastAsia="zh-CN"/>
              </w:rPr>
              <w:t>二、球形展示装置 1套</w:t>
            </w:r>
          </w:p>
          <w:p>
            <w:pPr>
              <w:keepNext w:val="0"/>
              <w:keepLines w:val="0"/>
              <w:pageBreakBefore w:val="0"/>
              <w:kinsoku/>
              <w:wordWrap/>
              <w:overflowPunct/>
              <w:topLinePunct w:val="0"/>
              <w:autoSpaceDE/>
              <w:autoSpaceDN/>
              <w:bidi w:val="0"/>
              <w:adjustRightInd/>
              <w:snapToGrid/>
              <w:spacing w:line="440" w:lineRule="exact"/>
              <w:jc w:val="both"/>
              <w:rPr>
                <w:rFonts w:hint="default" w:ascii="宋体" w:hAnsi="宋体" w:cs="宋体"/>
                <w:szCs w:val="21"/>
                <w:highlight w:val="none"/>
                <w:lang w:val="en-US" w:eastAsia="zh-CN"/>
              </w:rPr>
            </w:pPr>
            <w:r>
              <w:rPr>
                <w:rFonts w:hint="eastAsia" w:ascii="宋体" w:hAnsi="宋体" w:cs="宋体"/>
                <w:szCs w:val="21"/>
                <w:highlight w:val="none"/>
                <w:lang w:val="en-US" w:eastAsia="zh-CN"/>
              </w:rPr>
              <w:t>1.户外球形屏面积≥0.785平方米，柔性可弯曲屏幕结构</w:t>
            </w:r>
          </w:p>
          <w:p>
            <w:pPr>
              <w:keepNext w:val="0"/>
              <w:keepLines w:val="0"/>
              <w:pageBreakBefore w:val="0"/>
              <w:kinsoku/>
              <w:wordWrap/>
              <w:overflowPunct/>
              <w:topLinePunct w:val="0"/>
              <w:autoSpaceDE/>
              <w:autoSpaceDN/>
              <w:bidi w:val="0"/>
              <w:adjustRightInd/>
              <w:snapToGrid/>
              <w:spacing w:line="440" w:lineRule="exact"/>
              <w:jc w:val="both"/>
              <w:rPr>
                <w:rFonts w:hint="default" w:ascii="宋体" w:hAnsi="宋体" w:cs="宋体"/>
                <w:szCs w:val="21"/>
                <w:highlight w:val="none"/>
                <w:lang w:val="en-US" w:eastAsia="zh-CN"/>
              </w:rPr>
            </w:pPr>
            <w:r>
              <w:rPr>
                <w:rFonts w:hint="eastAsia" w:ascii="宋体" w:hAnsi="宋体" w:cs="宋体"/>
                <w:szCs w:val="21"/>
                <w:highlight w:val="none"/>
                <w:lang w:val="en-US" w:eastAsia="zh-CN"/>
              </w:rPr>
              <w:t>2.屏体模组参数</w:t>
            </w:r>
          </w:p>
          <w:p>
            <w:pPr>
              <w:keepNext w:val="0"/>
              <w:keepLines w:val="0"/>
              <w:pageBreakBefore w:val="0"/>
              <w:numPr>
                <w:ilvl w:val="0"/>
                <w:numId w:val="0"/>
              </w:numPr>
              <w:kinsoku/>
              <w:wordWrap/>
              <w:overflowPunct/>
              <w:topLinePunct w:val="0"/>
              <w:autoSpaceDE/>
              <w:autoSpaceDN/>
              <w:bidi w:val="0"/>
              <w:adjustRightInd/>
              <w:snapToGrid/>
              <w:spacing w:line="440" w:lineRule="exact"/>
              <w:ind w:left="425" w:leftChars="0" w:hanging="425" w:firstLineChars="0"/>
              <w:jc w:val="both"/>
              <w:rPr>
                <w:rFonts w:hint="eastAsia" w:ascii="宋体" w:hAnsi="宋体" w:cs="宋体"/>
                <w:szCs w:val="21"/>
                <w:highlight w:val="none"/>
                <w:lang w:eastAsia="zh-CN"/>
              </w:rPr>
            </w:pPr>
            <w:r>
              <w:rPr>
                <w:rFonts w:hint="eastAsia" w:ascii="宋体" w:hAnsi="宋体" w:cs="宋体"/>
                <w:kern w:val="2"/>
                <w:sz w:val="21"/>
                <w:szCs w:val="21"/>
                <w:highlight w:val="none"/>
                <w:lang w:val="en-US" w:eastAsia="zh-CN" w:bidi="ar-SA"/>
              </w:rPr>
              <w:t>（1）像素</w:t>
            </w:r>
            <w:r>
              <w:rPr>
                <w:rFonts w:hint="eastAsia" w:ascii="宋体" w:hAnsi="宋体" w:cs="宋体"/>
                <w:szCs w:val="21"/>
                <w:highlight w:val="none"/>
                <w:lang w:eastAsia="zh-CN"/>
              </w:rPr>
              <w:t xml:space="preserve">点间距：≤3.0mm </w:t>
            </w:r>
          </w:p>
          <w:p>
            <w:pPr>
              <w:keepNext w:val="0"/>
              <w:keepLines w:val="0"/>
              <w:pageBreakBefore w:val="0"/>
              <w:numPr>
                <w:ilvl w:val="0"/>
                <w:numId w:val="0"/>
              </w:numPr>
              <w:kinsoku/>
              <w:wordWrap/>
              <w:overflowPunct/>
              <w:topLinePunct w:val="0"/>
              <w:autoSpaceDE/>
              <w:autoSpaceDN/>
              <w:bidi w:val="0"/>
              <w:adjustRightInd/>
              <w:snapToGrid/>
              <w:spacing w:line="440" w:lineRule="exact"/>
              <w:ind w:left="425" w:leftChars="0" w:hanging="425" w:firstLineChars="0"/>
              <w:jc w:val="both"/>
              <w:rPr>
                <w:rFonts w:hint="eastAsia" w:ascii="宋体" w:hAnsi="宋体" w:cs="宋体"/>
                <w:szCs w:val="21"/>
                <w:highlight w:val="none"/>
                <w:lang w:eastAsia="zh-CN"/>
              </w:rPr>
            </w:pPr>
            <w:r>
              <w:rPr>
                <w:rFonts w:hint="eastAsia" w:ascii="宋体" w:hAnsi="宋体" w:cs="宋体"/>
                <w:kern w:val="2"/>
                <w:sz w:val="21"/>
                <w:szCs w:val="21"/>
                <w:highlight w:val="none"/>
                <w:lang w:val="en-US" w:eastAsia="zh-CN" w:bidi="ar-SA"/>
              </w:rPr>
              <w:t>（</w:t>
            </w:r>
            <w:r>
              <w:rPr>
                <w:rFonts w:hint="default" w:ascii="宋体" w:hAnsi="宋体" w:eastAsia="宋体" w:cs="宋体"/>
                <w:kern w:val="2"/>
                <w:sz w:val="21"/>
                <w:szCs w:val="21"/>
                <w:highlight w:val="none"/>
                <w:lang w:val="en-US" w:eastAsia="zh-CN" w:bidi="ar-SA"/>
              </w:rPr>
              <w:t>2</w:t>
            </w:r>
            <w:r>
              <w:rPr>
                <w:rFonts w:hint="eastAsia" w:ascii="宋体" w:hAnsi="宋体" w:cs="宋体"/>
                <w:kern w:val="2"/>
                <w:sz w:val="21"/>
                <w:szCs w:val="21"/>
                <w:highlight w:val="none"/>
                <w:lang w:val="en-US" w:eastAsia="zh-CN" w:bidi="ar-SA"/>
              </w:rPr>
              <w:t>）</w:t>
            </w:r>
            <w:r>
              <w:rPr>
                <w:rFonts w:hint="eastAsia" w:ascii="宋体" w:hAnsi="宋体" w:cs="宋体"/>
                <w:szCs w:val="21"/>
                <w:highlight w:val="none"/>
                <w:lang w:eastAsia="zh-CN"/>
              </w:rPr>
              <w:t xml:space="preserve">尺寸（长×宽×厚）：320×160×17.5mm </w:t>
            </w:r>
          </w:p>
          <w:p>
            <w:pPr>
              <w:keepNext w:val="0"/>
              <w:keepLines w:val="0"/>
              <w:pageBreakBefore w:val="0"/>
              <w:numPr>
                <w:ilvl w:val="0"/>
                <w:numId w:val="0"/>
              </w:numPr>
              <w:kinsoku/>
              <w:wordWrap/>
              <w:overflowPunct/>
              <w:topLinePunct w:val="0"/>
              <w:autoSpaceDE/>
              <w:autoSpaceDN/>
              <w:bidi w:val="0"/>
              <w:adjustRightInd/>
              <w:snapToGrid/>
              <w:spacing w:line="440" w:lineRule="exact"/>
              <w:ind w:left="425" w:leftChars="0" w:hanging="425" w:firstLineChars="0"/>
              <w:jc w:val="both"/>
              <w:rPr>
                <w:rFonts w:hint="eastAsia" w:ascii="宋体" w:hAnsi="宋体" w:cs="宋体"/>
                <w:szCs w:val="21"/>
                <w:highlight w:val="none"/>
                <w:lang w:eastAsia="zh-CN"/>
              </w:rPr>
            </w:pPr>
            <w:r>
              <w:rPr>
                <w:rFonts w:hint="eastAsia" w:ascii="宋体" w:hAnsi="宋体" w:cs="宋体"/>
                <w:kern w:val="2"/>
                <w:sz w:val="21"/>
                <w:szCs w:val="21"/>
                <w:highlight w:val="none"/>
                <w:lang w:val="en-US" w:eastAsia="zh-CN" w:bidi="ar-SA"/>
              </w:rPr>
              <w:t>（</w:t>
            </w:r>
            <w:r>
              <w:rPr>
                <w:rFonts w:hint="default" w:ascii="宋体" w:hAnsi="宋体" w:eastAsia="宋体" w:cs="宋体"/>
                <w:kern w:val="2"/>
                <w:sz w:val="21"/>
                <w:szCs w:val="21"/>
                <w:highlight w:val="none"/>
                <w:lang w:val="en-US" w:eastAsia="zh-CN" w:bidi="ar-SA"/>
              </w:rPr>
              <w:t>3</w:t>
            </w:r>
            <w:r>
              <w:rPr>
                <w:rFonts w:hint="eastAsia" w:ascii="宋体" w:hAnsi="宋体" w:cs="宋体"/>
                <w:kern w:val="2"/>
                <w:sz w:val="21"/>
                <w:szCs w:val="21"/>
                <w:highlight w:val="none"/>
                <w:lang w:val="en-US" w:eastAsia="zh-CN" w:bidi="ar-SA"/>
              </w:rPr>
              <w:t>）</w:t>
            </w:r>
            <w:r>
              <w:rPr>
                <w:rFonts w:hint="eastAsia" w:ascii="宋体" w:hAnsi="宋体" w:cs="宋体"/>
                <w:szCs w:val="21"/>
                <w:highlight w:val="none"/>
                <w:lang w:eastAsia="zh-CN"/>
              </w:rPr>
              <w:t xml:space="preserve">亮度：≥4500cd/㎡ </w:t>
            </w:r>
          </w:p>
          <w:p>
            <w:pPr>
              <w:keepNext w:val="0"/>
              <w:keepLines w:val="0"/>
              <w:pageBreakBefore w:val="0"/>
              <w:numPr>
                <w:ilvl w:val="0"/>
                <w:numId w:val="0"/>
              </w:numPr>
              <w:kinsoku/>
              <w:wordWrap/>
              <w:overflowPunct/>
              <w:topLinePunct w:val="0"/>
              <w:autoSpaceDE/>
              <w:autoSpaceDN/>
              <w:bidi w:val="0"/>
              <w:adjustRightInd/>
              <w:snapToGrid/>
              <w:spacing w:line="440" w:lineRule="exact"/>
              <w:ind w:left="425" w:leftChars="0" w:hanging="425" w:firstLineChars="0"/>
              <w:jc w:val="both"/>
              <w:rPr>
                <w:rFonts w:hint="eastAsia" w:ascii="宋体" w:hAnsi="宋体" w:cs="宋体"/>
                <w:szCs w:val="21"/>
                <w:highlight w:val="none"/>
                <w:lang w:eastAsia="zh-CN"/>
              </w:rPr>
            </w:pPr>
            <w:r>
              <w:rPr>
                <w:rFonts w:hint="eastAsia" w:ascii="宋体" w:hAnsi="宋体" w:cs="宋体"/>
                <w:kern w:val="2"/>
                <w:sz w:val="21"/>
                <w:szCs w:val="21"/>
                <w:highlight w:val="none"/>
                <w:lang w:val="en-US" w:eastAsia="zh-CN" w:bidi="ar-SA"/>
              </w:rPr>
              <w:t>（4）</w:t>
            </w:r>
            <w:r>
              <w:rPr>
                <w:rFonts w:hint="eastAsia" w:ascii="宋体" w:hAnsi="宋体" w:cs="宋体"/>
                <w:szCs w:val="21"/>
                <w:highlight w:val="none"/>
                <w:lang w:eastAsia="zh-CN"/>
              </w:rPr>
              <w:t>刷新频率： 4200Hz</w:t>
            </w:r>
          </w:p>
          <w:p>
            <w:pPr>
              <w:keepNext w:val="0"/>
              <w:keepLines w:val="0"/>
              <w:pageBreakBefore w:val="0"/>
              <w:numPr>
                <w:ilvl w:val="0"/>
                <w:numId w:val="0"/>
              </w:numPr>
              <w:kinsoku/>
              <w:wordWrap/>
              <w:overflowPunct/>
              <w:topLinePunct w:val="0"/>
              <w:autoSpaceDE/>
              <w:autoSpaceDN/>
              <w:bidi w:val="0"/>
              <w:adjustRightInd/>
              <w:snapToGrid/>
              <w:spacing w:line="440" w:lineRule="exact"/>
              <w:ind w:left="425" w:leftChars="0" w:hanging="425" w:firstLineChars="0"/>
              <w:jc w:val="both"/>
              <w:rPr>
                <w:rFonts w:hint="eastAsia" w:ascii="宋体" w:hAnsi="宋体" w:cs="宋体"/>
                <w:szCs w:val="21"/>
                <w:highlight w:val="none"/>
                <w:lang w:eastAsia="zh-CN"/>
              </w:rPr>
            </w:pPr>
            <w:r>
              <w:rPr>
                <w:rFonts w:hint="default" w:ascii="宋体" w:hAnsi="宋体" w:eastAsia="宋体" w:cs="宋体"/>
                <w:kern w:val="2"/>
                <w:sz w:val="21"/>
                <w:szCs w:val="21"/>
                <w:highlight w:val="none"/>
                <w:lang w:val="en-US" w:eastAsia="zh-CN" w:bidi="ar-SA"/>
              </w:rPr>
              <w:t>(5</w:t>
            </w:r>
            <w:r>
              <w:rPr>
                <w:rFonts w:hint="eastAsia" w:ascii="宋体" w:hAnsi="宋体" w:cs="宋体"/>
                <w:kern w:val="2"/>
                <w:sz w:val="21"/>
                <w:szCs w:val="21"/>
                <w:highlight w:val="none"/>
                <w:lang w:val="en-US" w:eastAsia="zh-CN" w:bidi="ar-SA"/>
              </w:rPr>
              <w:t>）</w:t>
            </w:r>
            <w:r>
              <w:rPr>
                <w:rFonts w:hint="eastAsia" w:ascii="宋体" w:hAnsi="宋体" w:cs="宋体"/>
                <w:szCs w:val="21"/>
                <w:highlight w:val="none"/>
                <w:lang w:eastAsia="zh-CN"/>
              </w:rPr>
              <w:t>模组分辨率：104×52=5408Dots</w:t>
            </w:r>
          </w:p>
          <w:p>
            <w:pPr>
              <w:keepNext w:val="0"/>
              <w:keepLines w:val="0"/>
              <w:pageBreakBefore w:val="0"/>
              <w:numPr>
                <w:ilvl w:val="0"/>
                <w:numId w:val="0"/>
              </w:numPr>
              <w:kinsoku/>
              <w:wordWrap/>
              <w:overflowPunct/>
              <w:topLinePunct w:val="0"/>
              <w:autoSpaceDE/>
              <w:autoSpaceDN/>
              <w:bidi w:val="0"/>
              <w:adjustRightInd/>
              <w:snapToGrid/>
              <w:spacing w:line="440" w:lineRule="exact"/>
              <w:ind w:left="425" w:leftChars="0" w:hanging="425" w:firstLineChars="0"/>
              <w:jc w:val="both"/>
              <w:rPr>
                <w:rFonts w:hint="eastAsia" w:ascii="宋体" w:hAnsi="宋体" w:cs="宋体"/>
                <w:szCs w:val="21"/>
                <w:highlight w:val="none"/>
                <w:lang w:eastAsia="zh-CN"/>
              </w:rPr>
            </w:pPr>
            <w:r>
              <w:rPr>
                <w:rFonts w:hint="eastAsia" w:ascii="宋体" w:hAnsi="宋体" w:cs="宋体"/>
                <w:kern w:val="2"/>
                <w:sz w:val="21"/>
                <w:szCs w:val="21"/>
                <w:highlight w:val="none"/>
                <w:lang w:val="en-US" w:eastAsia="zh-CN" w:bidi="ar-SA"/>
              </w:rPr>
              <w:t>（</w:t>
            </w:r>
            <w:r>
              <w:rPr>
                <w:rFonts w:hint="default" w:ascii="宋体" w:hAnsi="宋体" w:eastAsia="宋体" w:cs="宋体"/>
                <w:kern w:val="2"/>
                <w:sz w:val="21"/>
                <w:szCs w:val="21"/>
                <w:highlight w:val="none"/>
                <w:lang w:val="en-US" w:eastAsia="zh-CN" w:bidi="ar-SA"/>
              </w:rPr>
              <w:t>6</w:t>
            </w:r>
            <w:r>
              <w:rPr>
                <w:rFonts w:hint="eastAsia" w:ascii="宋体" w:hAnsi="宋体" w:cs="宋体"/>
                <w:kern w:val="2"/>
                <w:sz w:val="21"/>
                <w:szCs w:val="21"/>
                <w:highlight w:val="none"/>
                <w:lang w:val="en-US" w:eastAsia="zh-CN" w:bidi="ar-SA"/>
              </w:rPr>
              <w:t>）</w:t>
            </w:r>
            <w:r>
              <w:rPr>
                <w:rFonts w:hint="eastAsia" w:ascii="宋体" w:hAnsi="宋体" w:cs="宋体"/>
                <w:szCs w:val="21"/>
                <w:highlight w:val="none"/>
                <w:lang w:eastAsia="zh-CN"/>
              </w:rPr>
              <w:t>像素密度：≥105625Dots/㎡</w:t>
            </w:r>
          </w:p>
          <w:p>
            <w:pPr>
              <w:keepNext w:val="0"/>
              <w:keepLines w:val="0"/>
              <w:pageBreakBefore w:val="0"/>
              <w:numPr>
                <w:ilvl w:val="0"/>
                <w:numId w:val="0"/>
              </w:numPr>
              <w:kinsoku/>
              <w:wordWrap/>
              <w:overflowPunct/>
              <w:topLinePunct w:val="0"/>
              <w:autoSpaceDE/>
              <w:autoSpaceDN/>
              <w:bidi w:val="0"/>
              <w:adjustRightInd/>
              <w:snapToGrid/>
              <w:spacing w:line="440" w:lineRule="exact"/>
              <w:ind w:left="425" w:leftChars="0" w:hanging="425" w:firstLineChars="0"/>
              <w:jc w:val="both"/>
              <w:rPr>
                <w:rFonts w:hint="eastAsia" w:ascii="宋体" w:hAnsi="宋体" w:cs="宋体"/>
                <w:szCs w:val="21"/>
                <w:highlight w:val="none"/>
                <w:lang w:eastAsia="zh-CN"/>
              </w:rPr>
            </w:pPr>
            <w:r>
              <w:rPr>
                <w:rFonts w:hint="eastAsia" w:ascii="宋体" w:hAnsi="宋体" w:cs="宋体"/>
                <w:kern w:val="2"/>
                <w:sz w:val="21"/>
                <w:szCs w:val="21"/>
                <w:highlight w:val="none"/>
                <w:lang w:val="en-US" w:eastAsia="zh-CN" w:bidi="ar-SA"/>
              </w:rPr>
              <w:t>（7）</w:t>
            </w:r>
            <w:r>
              <w:rPr>
                <w:rFonts w:hint="eastAsia" w:ascii="宋体" w:hAnsi="宋体" w:cs="宋体"/>
                <w:szCs w:val="21"/>
                <w:highlight w:val="none"/>
                <w:lang w:eastAsia="zh-CN"/>
              </w:rPr>
              <w:t xml:space="preserve">像素构成：1R1G1B </w:t>
            </w:r>
          </w:p>
          <w:p>
            <w:pPr>
              <w:keepNext w:val="0"/>
              <w:keepLines w:val="0"/>
              <w:pageBreakBefore w:val="0"/>
              <w:numPr>
                <w:ilvl w:val="0"/>
                <w:numId w:val="0"/>
              </w:numPr>
              <w:kinsoku/>
              <w:wordWrap/>
              <w:overflowPunct/>
              <w:topLinePunct w:val="0"/>
              <w:autoSpaceDE/>
              <w:autoSpaceDN/>
              <w:bidi w:val="0"/>
              <w:adjustRightInd/>
              <w:snapToGrid/>
              <w:spacing w:line="440" w:lineRule="exact"/>
              <w:ind w:left="425" w:leftChars="0" w:hanging="425" w:firstLineChars="0"/>
              <w:jc w:val="both"/>
              <w:rPr>
                <w:rFonts w:hint="eastAsia" w:ascii="宋体" w:hAnsi="宋体" w:cs="宋体"/>
                <w:szCs w:val="21"/>
                <w:highlight w:val="none"/>
                <w:lang w:eastAsia="zh-CN"/>
              </w:rPr>
            </w:pPr>
            <w:r>
              <w:rPr>
                <w:rFonts w:hint="eastAsia" w:ascii="宋体" w:hAnsi="宋体" w:cs="宋体"/>
                <w:kern w:val="2"/>
                <w:sz w:val="21"/>
                <w:szCs w:val="21"/>
                <w:highlight w:val="none"/>
                <w:lang w:val="en-US" w:eastAsia="zh-CN" w:bidi="ar-SA"/>
              </w:rPr>
              <w:t>（8）</w:t>
            </w:r>
            <w:r>
              <w:rPr>
                <w:rFonts w:hint="eastAsia" w:ascii="宋体" w:hAnsi="宋体" w:cs="宋体"/>
                <w:szCs w:val="21"/>
                <w:highlight w:val="none"/>
                <w:lang w:eastAsia="zh-CN"/>
              </w:rPr>
              <w:t>灯管封装：SMD1515</w:t>
            </w:r>
          </w:p>
          <w:p>
            <w:pPr>
              <w:keepNext w:val="0"/>
              <w:keepLines w:val="0"/>
              <w:pageBreakBefore w:val="0"/>
              <w:numPr>
                <w:ilvl w:val="0"/>
                <w:numId w:val="0"/>
              </w:numPr>
              <w:kinsoku/>
              <w:wordWrap/>
              <w:overflowPunct/>
              <w:topLinePunct w:val="0"/>
              <w:autoSpaceDE/>
              <w:autoSpaceDN/>
              <w:bidi w:val="0"/>
              <w:adjustRightInd/>
              <w:snapToGrid/>
              <w:spacing w:line="440" w:lineRule="exact"/>
              <w:ind w:left="425" w:leftChars="0" w:hanging="425" w:firstLineChars="0"/>
              <w:jc w:val="both"/>
              <w:rPr>
                <w:rFonts w:hint="eastAsia" w:ascii="宋体" w:hAnsi="宋体" w:cs="宋体"/>
                <w:szCs w:val="21"/>
                <w:highlight w:val="none"/>
                <w:lang w:eastAsia="zh-CN"/>
              </w:rPr>
            </w:pPr>
            <w:r>
              <w:rPr>
                <w:rFonts w:hint="eastAsia" w:ascii="宋体" w:hAnsi="宋体" w:cs="宋体"/>
                <w:kern w:val="2"/>
                <w:sz w:val="21"/>
                <w:szCs w:val="21"/>
                <w:highlight w:val="none"/>
                <w:lang w:val="en-US" w:eastAsia="zh-CN" w:bidi="ar-SA"/>
              </w:rPr>
              <w:t>（</w:t>
            </w:r>
            <w:r>
              <w:rPr>
                <w:rFonts w:hint="default" w:ascii="宋体" w:hAnsi="宋体" w:eastAsia="宋体" w:cs="宋体"/>
                <w:kern w:val="2"/>
                <w:sz w:val="21"/>
                <w:szCs w:val="21"/>
                <w:highlight w:val="none"/>
                <w:lang w:val="en-US" w:eastAsia="zh-CN" w:bidi="ar-SA"/>
              </w:rPr>
              <w:t>9</w:t>
            </w:r>
            <w:r>
              <w:rPr>
                <w:rFonts w:hint="eastAsia" w:ascii="宋体" w:hAnsi="宋体" w:cs="宋体"/>
                <w:kern w:val="2"/>
                <w:sz w:val="21"/>
                <w:szCs w:val="21"/>
                <w:highlight w:val="none"/>
                <w:lang w:val="en-US" w:eastAsia="zh-CN" w:bidi="ar-SA"/>
              </w:rPr>
              <w:t>）</w:t>
            </w:r>
            <w:r>
              <w:rPr>
                <w:rFonts w:hint="eastAsia" w:ascii="宋体" w:hAnsi="宋体" w:cs="宋体"/>
                <w:szCs w:val="21"/>
                <w:highlight w:val="none"/>
                <w:lang w:eastAsia="zh-CN"/>
              </w:rPr>
              <w:t>重量；0.40kg±0.01kg</w:t>
            </w:r>
          </w:p>
          <w:p>
            <w:pPr>
              <w:keepNext w:val="0"/>
              <w:keepLines w:val="0"/>
              <w:pageBreakBefore w:val="0"/>
              <w:numPr>
                <w:ilvl w:val="0"/>
                <w:numId w:val="0"/>
              </w:numPr>
              <w:kinsoku/>
              <w:wordWrap/>
              <w:overflowPunct/>
              <w:topLinePunct w:val="0"/>
              <w:autoSpaceDE/>
              <w:autoSpaceDN/>
              <w:bidi w:val="0"/>
              <w:adjustRightInd/>
              <w:snapToGrid/>
              <w:spacing w:line="440" w:lineRule="exact"/>
              <w:ind w:left="425" w:leftChars="0" w:hanging="425" w:firstLineChars="0"/>
              <w:jc w:val="both"/>
              <w:rPr>
                <w:rFonts w:hint="eastAsia" w:ascii="宋体" w:hAnsi="宋体" w:cs="宋体"/>
                <w:szCs w:val="21"/>
                <w:highlight w:val="none"/>
                <w:lang w:eastAsia="zh-CN"/>
              </w:rPr>
            </w:pPr>
            <w:r>
              <w:rPr>
                <w:rFonts w:hint="eastAsia" w:ascii="宋体" w:hAnsi="宋体" w:cs="宋体"/>
                <w:kern w:val="2"/>
                <w:sz w:val="21"/>
                <w:szCs w:val="21"/>
                <w:highlight w:val="none"/>
                <w:lang w:val="en-US" w:eastAsia="zh-CN" w:bidi="ar-SA"/>
              </w:rPr>
              <w:t>（10）</w:t>
            </w:r>
            <w:r>
              <w:rPr>
                <w:rFonts w:hint="eastAsia" w:ascii="宋体" w:hAnsi="宋体" w:cs="宋体"/>
                <w:szCs w:val="21"/>
                <w:highlight w:val="none"/>
                <w:lang w:eastAsia="zh-CN"/>
              </w:rPr>
              <w:t xml:space="preserve">结构特点：灯驱合一 </w:t>
            </w:r>
          </w:p>
          <w:p>
            <w:pPr>
              <w:keepNext w:val="0"/>
              <w:keepLines w:val="0"/>
              <w:pageBreakBefore w:val="0"/>
              <w:numPr>
                <w:ilvl w:val="0"/>
                <w:numId w:val="0"/>
              </w:numPr>
              <w:kinsoku/>
              <w:wordWrap/>
              <w:overflowPunct/>
              <w:topLinePunct w:val="0"/>
              <w:autoSpaceDE/>
              <w:autoSpaceDN/>
              <w:bidi w:val="0"/>
              <w:adjustRightInd/>
              <w:snapToGrid/>
              <w:spacing w:line="440" w:lineRule="exact"/>
              <w:ind w:left="425" w:leftChars="0" w:hanging="425" w:firstLineChars="0"/>
              <w:jc w:val="both"/>
              <w:rPr>
                <w:rFonts w:hint="eastAsia" w:ascii="宋体" w:hAnsi="宋体" w:cs="宋体"/>
                <w:szCs w:val="21"/>
                <w:highlight w:val="none"/>
                <w:lang w:eastAsia="zh-CN"/>
              </w:rPr>
            </w:pPr>
            <w:r>
              <w:rPr>
                <w:rFonts w:hint="eastAsia" w:ascii="宋体" w:hAnsi="宋体" w:cs="宋体"/>
                <w:kern w:val="2"/>
                <w:sz w:val="21"/>
                <w:szCs w:val="21"/>
                <w:highlight w:val="none"/>
                <w:lang w:val="en-US" w:eastAsia="zh-CN" w:bidi="ar-SA"/>
              </w:rPr>
              <w:t>（11）</w:t>
            </w:r>
            <w:r>
              <w:rPr>
                <w:rFonts w:hint="eastAsia" w:ascii="宋体" w:hAnsi="宋体" w:cs="宋体"/>
                <w:szCs w:val="21"/>
                <w:highlight w:val="none"/>
                <w:lang w:eastAsia="zh-CN"/>
              </w:rPr>
              <w:t>输入电压（直流）</w:t>
            </w:r>
            <w:r>
              <w:rPr>
                <w:rFonts w:hint="eastAsia" w:ascii="宋体" w:hAnsi="宋体" w:cs="宋体"/>
                <w:szCs w:val="21"/>
                <w:highlight w:val="none"/>
                <w:lang w:val="en-US" w:eastAsia="zh-CN"/>
              </w:rPr>
              <w:t>:</w:t>
            </w:r>
            <w:r>
              <w:rPr>
                <w:rFonts w:hint="eastAsia" w:ascii="宋体" w:hAnsi="宋体" w:cs="宋体"/>
                <w:szCs w:val="21"/>
                <w:highlight w:val="none"/>
                <w:lang w:eastAsia="zh-CN"/>
              </w:rPr>
              <w:t xml:space="preserve">4.5±0.1V </w:t>
            </w:r>
          </w:p>
          <w:p>
            <w:pPr>
              <w:keepNext w:val="0"/>
              <w:keepLines w:val="0"/>
              <w:pageBreakBefore w:val="0"/>
              <w:numPr>
                <w:ilvl w:val="0"/>
                <w:numId w:val="0"/>
              </w:numPr>
              <w:kinsoku/>
              <w:wordWrap/>
              <w:overflowPunct/>
              <w:topLinePunct w:val="0"/>
              <w:autoSpaceDE/>
              <w:autoSpaceDN/>
              <w:bidi w:val="0"/>
              <w:adjustRightInd/>
              <w:snapToGrid/>
              <w:spacing w:line="440" w:lineRule="exact"/>
              <w:ind w:left="425" w:leftChars="0" w:hanging="425" w:firstLineChars="0"/>
              <w:jc w:val="both"/>
              <w:rPr>
                <w:rFonts w:hint="eastAsia" w:ascii="宋体" w:hAnsi="宋体" w:cs="宋体"/>
                <w:szCs w:val="21"/>
                <w:highlight w:val="none"/>
                <w:lang w:eastAsia="zh-CN"/>
              </w:rPr>
            </w:pPr>
            <w:r>
              <w:rPr>
                <w:rFonts w:hint="eastAsia" w:ascii="宋体" w:hAnsi="宋体" w:cs="宋体"/>
                <w:kern w:val="2"/>
                <w:sz w:val="21"/>
                <w:szCs w:val="21"/>
                <w:highlight w:val="none"/>
                <w:lang w:val="en-US" w:eastAsia="zh-CN" w:bidi="ar-SA"/>
              </w:rPr>
              <w:t>（12）</w:t>
            </w:r>
            <w:r>
              <w:rPr>
                <w:rFonts w:hint="eastAsia" w:ascii="宋体" w:hAnsi="宋体" w:cs="宋体"/>
                <w:szCs w:val="21"/>
                <w:highlight w:val="none"/>
                <w:lang w:eastAsia="zh-CN"/>
              </w:rPr>
              <w:t>最大电流</w:t>
            </w:r>
            <w:r>
              <w:rPr>
                <w:rFonts w:hint="eastAsia" w:ascii="宋体" w:hAnsi="宋体" w:cs="宋体"/>
                <w:szCs w:val="21"/>
                <w:highlight w:val="none"/>
                <w:lang w:val="en-US" w:eastAsia="zh-CN"/>
              </w:rPr>
              <w:t>：</w:t>
            </w:r>
            <w:r>
              <w:rPr>
                <w:rFonts w:hint="eastAsia" w:ascii="宋体" w:hAnsi="宋体" w:cs="宋体"/>
                <w:szCs w:val="21"/>
                <w:highlight w:val="none"/>
                <w:lang w:eastAsia="zh-CN"/>
              </w:rPr>
              <w:t>≤8.94A</w:t>
            </w:r>
          </w:p>
          <w:p>
            <w:pPr>
              <w:keepNext w:val="0"/>
              <w:keepLines w:val="0"/>
              <w:pageBreakBefore w:val="0"/>
              <w:numPr>
                <w:ilvl w:val="0"/>
                <w:numId w:val="0"/>
              </w:numPr>
              <w:kinsoku/>
              <w:wordWrap/>
              <w:overflowPunct/>
              <w:topLinePunct w:val="0"/>
              <w:autoSpaceDE/>
              <w:autoSpaceDN/>
              <w:bidi w:val="0"/>
              <w:adjustRightInd/>
              <w:snapToGrid/>
              <w:spacing w:line="440" w:lineRule="exact"/>
              <w:ind w:left="425" w:leftChars="0" w:hanging="425" w:firstLineChars="0"/>
              <w:jc w:val="both"/>
              <w:rPr>
                <w:rFonts w:hint="eastAsia" w:ascii="宋体" w:hAnsi="宋体" w:cs="宋体"/>
                <w:szCs w:val="21"/>
                <w:highlight w:val="none"/>
                <w:lang w:eastAsia="zh-CN"/>
              </w:rPr>
            </w:pPr>
            <w:r>
              <w:rPr>
                <w:rFonts w:hint="eastAsia" w:ascii="宋体" w:hAnsi="宋体" w:cs="宋体"/>
                <w:kern w:val="2"/>
                <w:sz w:val="21"/>
                <w:szCs w:val="21"/>
                <w:highlight w:val="none"/>
                <w:lang w:val="en-US" w:eastAsia="zh-CN" w:bidi="ar-SA"/>
              </w:rPr>
              <w:t>（13）</w:t>
            </w:r>
            <w:r>
              <w:rPr>
                <w:rFonts w:hint="eastAsia" w:ascii="宋体" w:hAnsi="宋体" w:cs="宋体"/>
                <w:szCs w:val="21"/>
                <w:highlight w:val="none"/>
                <w:lang w:eastAsia="zh-CN"/>
              </w:rPr>
              <w:t xml:space="preserve">模组功率 ≤40W </w:t>
            </w:r>
          </w:p>
          <w:p>
            <w:pPr>
              <w:keepNext w:val="0"/>
              <w:keepLines w:val="0"/>
              <w:pageBreakBefore w:val="0"/>
              <w:numPr>
                <w:ilvl w:val="0"/>
                <w:numId w:val="0"/>
              </w:numPr>
              <w:kinsoku/>
              <w:wordWrap/>
              <w:overflowPunct/>
              <w:topLinePunct w:val="0"/>
              <w:autoSpaceDE/>
              <w:autoSpaceDN/>
              <w:bidi w:val="0"/>
              <w:adjustRightInd/>
              <w:snapToGrid/>
              <w:spacing w:line="440" w:lineRule="exact"/>
              <w:ind w:left="425" w:leftChars="0" w:hanging="425" w:firstLineChars="0"/>
              <w:jc w:val="both"/>
              <w:rPr>
                <w:rFonts w:hint="eastAsia" w:ascii="宋体" w:hAnsi="宋体" w:cs="宋体"/>
                <w:szCs w:val="21"/>
                <w:highlight w:val="none"/>
                <w:lang w:eastAsia="zh-CN"/>
              </w:rPr>
            </w:pPr>
            <w:r>
              <w:rPr>
                <w:rFonts w:hint="eastAsia" w:ascii="宋体" w:hAnsi="宋体" w:cs="宋体"/>
                <w:kern w:val="2"/>
                <w:sz w:val="21"/>
                <w:szCs w:val="21"/>
                <w:highlight w:val="none"/>
                <w:lang w:val="en-US" w:eastAsia="zh-CN" w:bidi="ar-SA"/>
              </w:rPr>
              <w:t>（14）</w:t>
            </w:r>
            <w:r>
              <w:rPr>
                <w:rFonts w:hint="eastAsia" w:ascii="宋体" w:hAnsi="宋体" w:cs="宋体"/>
                <w:szCs w:val="21"/>
                <w:highlight w:val="none"/>
                <w:lang w:eastAsia="zh-CN"/>
              </w:rPr>
              <w:t>驱动方式 1/13恒流驱动</w:t>
            </w:r>
          </w:p>
          <w:p>
            <w:pPr>
              <w:keepNext w:val="0"/>
              <w:keepLines w:val="0"/>
              <w:pageBreakBefore w:val="0"/>
              <w:kinsoku/>
              <w:wordWrap/>
              <w:overflowPunct/>
              <w:topLinePunct w:val="0"/>
              <w:autoSpaceDE/>
              <w:autoSpaceDN/>
              <w:bidi w:val="0"/>
              <w:adjustRightInd/>
              <w:snapToGrid/>
              <w:spacing w:line="440" w:lineRule="exact"/>
              <w:jc w:val="both"/>
              <w:rPr>
                <w:rFonts w:hint="default" w:ascii="宋体" w:hAnsi="宋体" w:cs="宋体"/>
                <w:szCs w:val="21"/>
                <w:highlight w:val="none"/>
                <w:lang w:val="en-US" w:eastAsia="zh-CN"/>
              </w:rPr>
            </w:pPr>
            <w:r>
              <w:rPr>
                <w:rFonts w:hint="eastAsia" w:ascii="宋体" w:hAnsi="宋体" w:cs="宋体"/>
                <w:szCs w:val="21"/>
                <w:highlight w:val="none"/>
                <w:lang w:val="en-US" w:eastAsia="zh-CN"/>
              </w:rPr>
              <w:t>3.户外防水箱体：根据现场的情况和尺寸定制</w:t>
            </w:r>
          </w:p>
          <w:p>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cs="宋体"/>
                <w:szCs w:val="21"/>
                <w:highlight w:val="none"/>
                <w:lang w:val="en-US" w:eastAsia="zh-CN"/>
              </w:rPr>
            </w:pPr>
            <w:r>
              <w:rPr>
                <w:rFonts w:hint="eastAsia" w:ascii="宋体" w:hAnsi="宋体" w:cs="宋体"/>
                <w:szCs w:val="21"/>
                <w:highlight w:val="none"/>
                <w:lang w:val="en-US" w:eastAsia="zh-CN"/>
              </w:rPr>
              <w:t>4.联网播放盒</w:t>
            </w:r>
          </w:p>
          <w:p>
            <w:pPr>
              <w:keepNext w:val="0"/>
              <w:keepLines w:val="0"/>
              <w:pageBreakBefore w:val="0"/>
              <w:kinsoku/>
              <w:wordWrap/>
              <w:overflowPunct/>
              <w:topLinePunct w:val="0"/>
              <w:autoSpaceDE/>
              <w:autoSpaceDN/>
              <w:bidi w:val="0"/>
              <w:adjustRightInd/>
              <w:snapToGrid/>
              <w:spacing w:line="440" w:lineRule="exact"/>
              <w:jc w:val="both"/>
              <w:rPr>
                <w:rFonts w:hint="default" w:ascii="宋体" w:hAnsi="宋体" w:cs="宋体"/>
                <w:szCs w:val="21"/>
                <w:highlight w:val="none"/>
                <w:lang w:val="en-US" w:eastAsia="zh-CN"/>
              </w:rPr>
            </w:pPr>
            <w:r>
              <w:rPr>
                <w:rFonts w:hint="eastAsia" w:ascii="宋体" w:hAnsi="宋体" w:cs="宋体"/>
                <w:szCs w:val="21"/>
                <w:highlight w:val="none"/>
                <w:lang w:val="en-US" w:eastAsia="zh-CN"/>
              </w:rPr>
              <w:t>（1）</w:t>
            </w:r>
            <w:r>
              <w:rPr>
                <w:rFonts w:hint="default" w:ascii="宋体" w:hAnsi="宋体" w:cs="宋体"/>
                <w:szCs w:val="21"/>
                <w:highlight w:val="none"/>
                <w:lang w:val="en-US" w:eastAsia="zh-CN"/>
              </w:rPr>
              <w:t>支持</w:t>
            </w:r>
            <w:r>
              <w:rPr>
                <w:rFonts w:hint="eastAsia" w:ascii="宋体" w:hAnsi="宋体" w:cs="宋体"/>
                <w:szCs w:val="21"/>
                <w:highlight w:val="none"/>
                <w:lang w:eastAsia="zh-CN"/>
              </w:rPr>
              <w:t>≥</w:t>
            </w:r>
            <w:r>
              <w:rPr>
                <w:rFonts w:hint="default" w:ascii="宋体" w:hAnsi="宋体" w:cs="宋体"/>
                <w:szCs w:val="21"/>
                <w:highlight w:val="none"/>
                <w:lang w:val="en-US" w:eastAsia="zh-CN"/>
              </w:rPr>
              <w:t>65万像素带载能力，1路千兆网口输出</w:t>
            </w:r>
          </w:p>
          <w:p>
            <w:pPr>
              <w:keepNext w:val="0"/>
              <w:keepLines w:val="0"/>
              <w:pageBreakBefore w:val="0"/>
              <w:kinsoku/>
              <w:wordWrap/>
              <w:overflowPunct/>
              <w:topLinePunct w:val="0"/>
              <w:autoSpaceDE/>
              <w:autoSpaceDN/>
              <w:bidi w:val="0"/>
              <w:adjustRightInd/>
              <w:snapToGrid/>
              <w:spacing w:line="440" w:lineRule="exact"/>
              <w:jc w:val="both"/>
              <w:rPr>
                <w:rFonts w:hint="default" w:ascii="宋体" w:hAnsi="宋体" w:cs="宋体"/>
                <w:szCs w:val="21"/>
                <w:highlight w:val="none"/>
                <w:lang w:val="en-US" w:eastAsia="zh-CN"/>
              </w:rPr>
            </w:pPr>
            <w:r>
              <w:rPr>
                <w:rFonts w:hint="eastAsia" w:ascii="宋体" w:hAnsi="宋体" w:cs="宋体"/>
                <w:szCs w:val="21"/>
                <w:highlight w:val="none"/>
                <w:lang w:val="en-US" w:eastAsia="zh-CN"/>
              </w:rPr>
              <w:t>（2）</w:t>
            </w:r>
            <w:r>
              <w:rPr>
                <w:rFonts w:hint="default" w:ascii="宋体" w:hAnsi="宋体" w:cs="宋体"/>
                <w:szCs w:val="21"/>
                <w:highlight w:val="none"/>
                <w:lang w:val="en-US" w:eastAsia="zh-CN"/>
              </w:rPr>
              <w:t>宽</w:t>
            </w:r>
            <w:r>
              <w:rPr>
                <w:rFonts w:hint="eastAsia" w:ascii="宋体" w:hAnsi="宋体" w:cs="宋体"/>
                <w:szCs w:val="21"/>
                <w:highlight w:val="none"/>
                <w:lang w:eastAsia="zh-CN"/>
              </w:rPr>
              <w:t>≥</w:t>
            </w:r>
            <w:r>
              <w:rPr>
                <w:rFonts w:hint="default" w:ascii="宋体" w:hAnsi="宋体" w:cs="宋体"/>
                <w:szCs w:val="21"/>
                <w:highlight w:val="none"/>
                <w:lang w:val="en-US" w:eastAsia="zh-CN"/>
              </w:rPr>
              <w:t>4096像素点或高</w:t>
            </w:r>
            <w:r>
              <w:rPr>
                <w:rFonts w:hint="eastAsia" w:ascii="宋体" w:hAnsi="宋体" w:cs="宋体"/>
                <w:szCs w:val="21"/>
                <w:highlight w:val="none"/>
                <w:lang w:eastAsia="zh-CN"/>
              </w:rPr>
              <w:t>≥</w:t>
            </w:r>
            <w:r>
              <w:rPr>
                <w:rFonts w:hint="default" w:ascii="宋体" w:hAnsi="宋体" w:cs="宋体"/>
                <w:szCs w:val="21"/>
                <w:highlight w:val="none"/>
                <w:lang w:val="en-US" w:eastAsia="zh-CN"/>
              </w:rPr>
              <w:t>3840像素点</w:t>
            </w:r>
          </w:p>
          <w:p>
            <w:pPr>
              <w:keepNext w:val="0"/>
              <w:keepLines w:val="0"/>
              <w:pageBreakBefore w:val="0"/>
              <w:kinsoku/>
              <w:wordWrap/>
              <w:overflowPunct/>
              <w:topLinePunct w:val="0"/>
              <w:autoSpaceDE/>
              <w:autoSpaceDN/>
              <w:bidi w:val="0"/>
              <w:adjustRightInd/>
              <w:snapToGrid/>
              <w:spacing w:line="440" w:lineRule="exact"/>
              <w:jc w:val="both"/>
              <w:rPr>
                <w:rFonts w:hint="default" w:ascii="宋体" w:hAnsi="宋体" w:cs="宋体"/>
                <w:szCs w:val="21"/>
                <w:highlight w:val="none"/>
                <w:lang w:val="en-US" w:eastAsia="zh-CN"/>
              </w:rPr>
            </w:pPr>
            <w:r>
              <w:rPr>
                <w:rFonts w:hint="eastAsia" w:ascii="宋体" w:hAnsi="宋体" w:cs="宋体"/>
                <w:szCs w:val="21"/>
                <w:highlight w:val="none"/>
                <w:lang w:val="en-US" w:eastAsia="zh-CN"/>
              </w:rPr>
              <w:t>（3）</w:t>
            </w:r>
            <w:r>
              <w:rPr>
                <w:rFonts w:hint="default" w:ascii="宋体" w:hAnsi="宋体" w:cs="宋体"/>
                <w:szCs w:val="21"/>
                <w:highlight w:val="none"/>
                <w:lang w:val="en-US" w:eastAsia="zh-CN"/>
              </w:rPr>
              <w:t>支持1路独立音频输出</w:t>
            </w:r>
          </w:p>
          <w:p>
            <w:pPr>
              <w:keepNext w:val="0"/>
              <w:keepLines w:val="0"/>
              <w:pageBreakBefore w:val="0"/>
              <w:kinsoku/>
              <w:wordWrap/>
              <w:overflowPunct/>
              <w:topLinePunct w:val="0"/>
              <w:autoSpaceDE/>
              <w:autoSpaceDN/>
              <w:bidi w:val="0"/>
              <w:adjustRightInd/>
              <w:snapToGrid/>
              <w:spacing w:line="440" w:lineRule="exact"/>
              <w:jc w:val="both"/>
              <w:rPr>
                <w:rFonts w:hint="default" w:ascii="宋体" w:hAnsi="宋体" w:cs="宋体"/>
                <w:szCs w:val="21"/>
                <w:highlight w:val="none"/>
                <w:lang w:val="en-US" w:eastAsia="zh-CN"/>
              </w:rPr>
            </w:pPr>
            <w:r>
              <w:rPr>
                <w:rFonts w:hint="eastAsia" w:ascii="宋体" w:hAnsi="宋体" w:cs="宋体"/>
                <w:szCs w:val="21"/>
                <w:highlight w:val="none"/>
                <w:lang w:val="en-US" w:eastAsia="zh-CN"/>
              </w:rPr>
              <w:t>（4）</w:t>
            </w:r>
            <w:r>
              <w:rPr>
                <w:rFonts w:hint="default" w:ascii="宋体" w:hAnsi="宋体" w:cs="宋体"/>
                <w:szCs w:val="21"/>
                <w:highlight w:val="none"/>
                <w:lang w:val="en-US" w:eastAsia="zh-CN"/>
              </w:rPr>
              <w:t>支持云分级管理和多角色节目发布，支持云监测报警并自动联动</w:t>
            </w:r>
          </w:p>
          <w:p>
            <w:pPr>
              <w:keepNext w:val="0"/>
              <w:keepLines w:val="0"/>
              <w:pageBreakBefore w:val="0"/>
              <w:kinsoku/>
              <w:wordWrap/>
              <w:overflowPunct/>
              <w:topLinePunct w:val="0"/>
              <w:autoSpaceDE/>
              <w:autoSpaceDN/>
              <w:bidi w:val="0"/>
              <w:adjustRightInd/>
              <w:snapToGrid/>
              <w:spacing w:line="440" w:lineRule="exact"/>
              <w:jc w:val="both"/>
              <w:rPr>
                <w:rFonts w:hint="default" w:ascii="宋体" w:hAnsi="宋体" w:cs="宋体"/>
                <w:szCs w:val="21"/>
                <w:highlight w:val="none"/>
                <w:lang w:val="en-US" w:eastAsia="zh-CN"/>
              </w:rPr>
            </w:pPr>
            <w:r>
              <w:rPr>
                <w:rFonts w:hint="eastAsia" w:ascii="宋体" w:hAnsi="宋体" w:cs="宋体"/>
                <w:szCs w:val="21"/>
                <w:highlight w:val="none"/>
                <w:lang w:val="en-US" w:eastAsia="zh-CN"/>
              </w:rPr>
              <w:t>（5）</w:t>
            </w:r>
            <w:r>
              <w:rPr>
                <w:rFonts w:hint="default" w:ascii="宋体" w:hAnsi="宋体" w:cs="宋体"/>
                <w:szCs w:val="21"/>
                <w:highlight w:val="none"/>
                <w:lang w:val="en-US" w:eastAsia="zh-CN"/>
              </w:rPr>
              <w:t>处理性能强大，支持H.265 4K高清视频硬解码播放，8GB容量（可用4GB）</w:t>
            </w:r>
          </w:p>
          <w:p>
            <w:pPr>
              <w:keepNext w:val="0"/>
              <w:keepLines w:val="0"/>
              <w:pageBreakBefore w:val="0"/>
              <w:kinsoku/>
              <w:wordWrap/>
              <w:overflowPunct/>
              <w:topLinePunct w:val="0"/>
              <w:autoSpaceDE/>
              <w:autoSpaceDN/>
              <w:bidi w:val="0"/>
              <w:adjustRightInd/>
              <w:snapToGrid/>
              <w:spacing w:line="440" w:lineRule="exact"/>
              <w:jc w:val="both"/>
              <w:rPr>
                <w:rFonts w:hint="default" w:ascii="宋体" w:hAnsi="宋体" w:cs="宋体"/>
                <w:szCs w:val="21"/>
                <w:highlight w:val="none"/>
                <w:lang w:val="en-US" w:eastAsia="zh-CN"/>
              </w:rPr>
            </w:pPr>
            <w:r>
              <w:rPr>
                <w:rFonts w:hint="eastAsia" w:ascii="宋体" w:hAnsi="宋体" w:cs="宋体"/>
                <w:szCs w:val="21"/>
                <w:highlight w:val="none"/>
                <w:lang w:val="en-US" w:eastAsia="zh-CN"/>
              </w:rPr>
              <w:t>（6）</w:t>
            </w:r>
            <w:r>
              <w:rPr>
                <w:rFonts w:hint="default" w:ascii="宋体" w:hAnsi="宋体" w:cs="宋体"/>
                <w:szCs w:val="21"/>
                <w:highlight w:val="none"/>
                <w:lang w:val="en-US" w:eastAsia="zh-CN"/>
              </w:rPr>
              <w:t>支持U盘即插即播，U盘更新播放节目列表</w:t>
            </w:r>
          </w:p>
          <w:p>
            <w:pPr>
              <w:keepNext w:val="0"/>
              <w:keepLines w:val="0"/>
              <w:pageBreakBefore w:val="0"/>
              <w:kinsoku/>
              <w:wordWrap/>
              <w:overflowPunct/>
              <w:topLinePunct w:val="0"/>
              <w:autoSpaceDE/>
              <w:autoSpaceDN/>
              <w:bidi w:val="0"/>
              <w:adjustRightInd/>
              <w:snapToGrid/>
              <w:spacing w:line="440" w:lineRule="exact"/>
              <w:jc w:val="both"/>
              <w:rPr>
                <w:rFonts w:hint="default" w:ascii="宋体" w:hAnsi="宋体" w:cs="宋体"/>
                <w:szCs w:val="21"/>
                <w:highlight w:val="none"/>
                <w:lang w:val="en-US" w:eastAsia="zh-CN"/>
              </w:rPr>
            </w:pPr>
            <w:r>
              <w:rPr>
                <w:rFonts w:hint="eastAsia" w:ascii="宋体" w:hAnsi="宋体" w:cs="宋体"/>
                <w:szCs w:val="21"/>
                <w:highlight w:val="none"/>
                <w:lang w:val="en-US" w:eastAsia="zh-CN"/>
              </w:rPr>
              <w:t>5.配电箱：配电功率</w:t>
            </w:r>
            <w:r>
              <w:rPr>
                <w:rFonts w:hint="eastAsia" w:ascii="宋体" w:hAnsi="宋体" w:cs="宋体"/>
                <w:szCs w:val="21"/>
                <w:highlight w:val="none"/>
                <w:lang w:eastAsia="zh-CN"/>
              </w:rPr>
              <w:t>≥</w:t>
            </w:r>
            <w:r>
              <w:rPr>
                <w:rFonts w:hint="eastAsia" w:ascii="宋体" w:hAnsi="宋体" w:cs="宋体"/>
                <w:szCs w:val="21"/>
                <w:highlight w:val="none"/>
                <w:lang w:val="en-US" w:eastAsia="zh-CN"/>
              </w:rPr>
              <w:t>1kW</w:t>
            </w:r>
          </w:p>
          <w:p>
            <w:pPr>
              <w:keepNext w:val="0"/>
              <w:keepLines w:val="0"/>
              <w:pageBreakBefore w:val="0"/>
              <w:kinsoku/>
              <w:wordWrap/>
              <w:overflowPunct/>
              <w:topLinePunct w:val="0"/>
              <w:autoSpaceDE/>
              <w:autoSpaceDN/>
              <w:bidi w:val="0"/>
              <w:adjustRightInd/>
              <w:snapToGrid/>
              <w:spacing w:line="440" w:lineRule="exact"/>
              <w:jc w:val="both"/>
              <w:rPr>
                <w:rFonts w:hint="default" w:ascii="宋体" w:hAnsi="宋体" w:cs="宋体"/>
                <w:szCs w:val="21"/>
                <w:highlight w:val="none"/>
                <w:lang w:val="en-US" w:eastAsia="zh-CN"/>
              </w:rPr>
            </w:pPr>
            <w:r>
              <w:rPr>
                <w:rFonts w:hint="eastAsia" w:ascii="宋体" w:hAnsi="宋体" w:cs="宋体"/>
                <w:szCs w:val="21"/>
                <w:highlight w:val="none"/>
                <w:lang w:val="en-US" w:eastAsia="zh-CN"/>
              </w:rPr>
              <w:t>6.其他：配套的电源线和网线及安装调试</w:t>
            </w:r>
          </w:p>
          <w:p>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cs="宋体"/>
                <w:szCs w:val="21"/>
                <w:highlight w:val="none"/>
                <w:lang w:val="en-US" w:eastAsia="zh-CN"/>
              </w:rPr>
            </w:pPr>
            <w:r>
              <w:rPr>
                <w:rFonts w:hint="eastAsia" w:ascii="宋体" w:hAnsi="宋体" w:cs="宋体"/>
                <w:szCs w:val="21"/>
                <w:highlight w:val="none"/>
                <w:lang w:val="en-US" w:eastAsia="zh-CN"/>
              </w:rPr>
              <w:t>三、异形展示装置 1套</w:t>
            </w:r>
          </w:p>
          <w:p>
            <w:pPr>
              <w:keepNext w:val="0"/>
              <w:keepLines w:val="0"/>
              <w:pageBreakBefore w:val="0"/>
              <w:kinsoku/>
              <w:wordWrap/>
              <w:overflowPunct/>
              <w:topLinePunct w:val="0"/>
              <w:autoSpaceDE/>
              <w:autoSpaceDN/>
              <w:bidi w:val="0"/>
              <w:adjustRightInd/>
              <w:snapToGrid/>
              <w:spacing w:line="440" w:lineRule="exact"/>
              <w:jc w:val="both"/>
              <w:rPr>
                <w:rFonts w:hint="default" w:ascii="宋体" w:hAnsi="宋体" w:cs="宋体"/>
                <w:szCs w:val="21"/>
                <w:highlight w:val="none"/>
                <w:lang w:val="en-US" w:eastAsia="zh-CN"/>
              </w:rPr>
            </w:pPr>
            <w:r>
              <w:rPr>
                <w:rFonts w:hint="eastAsia" w:ascii="宋体" w:hAnsi="宋体" w:cs="宋体"/>
                <w:szCs w:val="21"/>
                <w:highlight w:val="none"/>
                <w:lang w:val="en-US" w:eastAsia="zh-CN"/>
              </w:rPr>
              <w:t>1.户外异形屏面积5.45平方，柔性可弯曲屏幕结构</w:t>
            </w:r>
          </w:p>
          <w:p>
            <w:pPr>
              <w:keepNext w:val="0"/>
              <w:keepLines w:val="0"/>
              <w:pageBreakBefore w:val="0"/>
              <w:kinsoku/>
              <w:wordWrap/>
              <w:overflowPunct/>
              <w:topLinePunct w:val="0"/>
              <w:autoSpaceDE/>
              <w:autoSpaceDN/>
              <w:bidi w:val="0"/>
              <w:adjustRightInd/>
              <w:snapToGrid/>
              <w:spacing w:line="440" w:lineRule="exact"/>
              <w:jc w:val="both"/>
              <w:rPr>
                <w:rFonts w:hint="default" w:ascii="宋体" w:hAnsi="宋体" w:cs="宋体"/>
                <w:szCs w:val="21"/>
                <w:lang w:val="en-US" w:eastAsia="zh-CN"/>
              </w:rPr>
            </w:pPr>
            <w:r>
              <w:rPr>
                <w:rFonts w:hint="eastAsia" w:ascii="宋体" w:hAnsi="宋体" w:cs="宋体"/>
                <w:szCs w:val="21"/>
                <w:lang w:val="en-US" w:eastAsia="zh-CN"/>
              </w:rPr>
              <w:t>2.屏体模组参数：</w:t>
            </w:r>
          </w:p>
          <w:p>
            <w:pPr>
              <w:keepNext w:val="0"/>
              <w:keepLines w:val="0"/>
              <w:pageBreakBefore w:val="0"/>
              <w:numPr>
                <w:ilvl w:val="0"/>
                <w:numId w:val="0"/>
              </w:numPr>
              <w:kinsoku/>
              <w:wordWrap/>
              <w:overflowPunct/>
              <w:topLinePunct w:val="0"/>
              <w:autoSpaceDE/>
              <w:autoSpaceDN/>
              <w:bidi w:val="0"/>
              <w:adjustRightInd/>
              <w:snapToGrid/>
              <w:spacing w:line="440" w:lineRule="exact"/>
              <w:ind w:left="425" w:leftChars="0" w:hanging="425" w:firstLineChars="0"/>
              <w:jc w:val="both"/>
              <w:rPr>
                <w:rFonts w:hint="eastAsia" w:ascii="宋体" w:hAnsi="宋体" w:cs="宋体"/>
                <w:szCs w:val="21"/>
                <w:lang w:eastAsia="zh-CN"/>
              </w:rPr>
            </w:pPr>
            <w:r>
              <w:rPr>
                <w:rFonts w:hint="eastAsia" w:ascii="宋体" w:hAnsi="宋体" w:cs="宋体"/>
                <w:kern w:val="2"/>
                <w:sz w:val="21"/>
                <w:szCs w:val="21"/>
                <w:lang w:val="en-US" w:eastAsia="zh-CN" w:bidi="ar-SA"/>
              </w:rPr>
              <w:t>（1）像素</w:t>
            </w:r>
            <w:r>
              <w:rPr>
                <w:rFonts w:hint="eastAsia" w:ascii="宋体" w:hAnsi="宋体" w:cs="宋体"/>
                <w:szCs w:val="21"/>
                <w:lang w:eastAsia="zh-CN"/>
              </w:rPr>
              <w:t xml:space="preserve">点间距：≤3.0mm </w:t>
            </w:r>
          </w:p>
          <w:p>
            <w:pPr>
              <w:keepNext w:val="0"/>
              <w:keepLines w:val="0"/>
              <w:pageBreakBefore w:val="0"/>
              <w:numPr>
                <w:ilvl w:val="0"/>
                <w:numId w:val="0"/>
              </w:numPr>
              <w:kinsoku/>
              <w:wordWrap/>
              <w:overflowPunct/>
              <w:topLinePunct w:val="0"/>
              <w:autoSpaceDE/>
              <w:autoSpaceDN/>
              <w:bidi w:val="0"/>
              <w:adjustRightInd/>
              <w:snapToGrid/>
              <w:spacing w:line="440" w:lineRule="exact"/>
              <w:ind w:left="425" w:leftChars="0" w:hanging="425" w:firstLineChars="0"/>
              <w:jc w:val="both"/>
              <w:rPr>
                <w:rFonts w:hint="eastAsia" w:ascii="宋体" w:hAnsi="宋体" w:cs="宋体"/>
                <w:szCs w:val="21"/>
                <w:lang w:eastAsia="zh-CN"/>
              </w:rPr>
            </w:pPr>
            <w:r>
              <w:rPr>
                <w:rFonts w:hint="eastAsia" w:ascii="宋体" w:hAnsi="宋体" w:cs="宋体"/>
                <w:kern w:val="2"/>
                <w:sz w:val="21"/>
                <w:szCs w:val="21"/>
                <w:lang w:val="en-US" w:eastAsia="zh-CN" w:bidi="ar-SA"/>
              </w:rPr>
              <w:t>（</w:t>
            </w:r>
            <w:r>
              <w:rPr>
                <w:rFonts w:hint="default" w:ascii="宋体" w:hAnsi="宋体" w:eastAsia="宋体" w:cs="宋体"/>
                <w:kern w:val="2"/>
                <w:sz w:val="21"/>
                <w:szCs w:val="21"/>
                <w:lang w:val="en-US" w:eastAsia="zh-CN" w:bidi="ar-SA"/>
              </w:rPr>
              <w:t>2</w:t>
            </w:r>
            <w:r>
              <w:rPr>
                <w:rFonts w:hint="eastAsia" w:ascii="宋体" w:hAnsi="宋体" w:cs="宋体"/>
                <w:kern w:val="2"/>
                <w:sz w:val="21"/>
                <w:szCs w:val="21"/>
                <w:lang w:val="en-US" w:eastAsia="zh-CN" w:bidi="ar-SA"/>
              </w:rPr>
              <w:t>）</w:t>
            </w:r>
            <w:r>
              <w:rPr>
                <w:rFonts w:hint="eastAsia" w:ascii="宋体" w:hAnsi="宋体" w:cs="宋体"/>
                <w:szCs w:val="21"/>
                <w:lang w:eastAsia="zh-CN"/>
              </w:rPr>
              <w:t xml:space="preserve">尺寸（长×宽×厚）：320×160×17.5mm </w:t>
            </w:r>
          </w:p>
          <w:p>
            <w:pPr>
              <w:keepNext w:val="0"/>
              <w:keepLines w:val="0"/>
              <w:pageBreakBefore w:val="0"/>
              <w:numPr>
                <w:ilvl w:val="0"/>
                <w:numId w:val="0"/>
              </w:numPr>
              <w:kinsoku/>
              <w:wordWrap/>
              <w:overflowPunct/>
              <w:topLinePunct w:val="0"/>
              <w:autoSpaceDE/>
              <w:autoSpaceDN/>
              <w:bidi w:val="0"/>
              <w:adjustRightInd/>
              <w:snapToGrid/>
              <w:spacing w:line="440" w:lineRule="exact"/>
              <w:ind w:left="425" w:leftChars="0" w:hanging="425" w:firstLineChars="0"/>
              <w:jc w:val="both"/>
              <w:rPr>
                <w:rFonts w:hint="eastAsia" w:ascii="宋体" w:hAnsi="宋体" w:cs="宋体"/>
                <w:szCs w:val="21"/>
                <w:lang w:eastAsia="zh-CN"/>
              </w:rPr>
            </w:pPr>
            <w:r>
              <w:rPr>
                <w:rFonts w:hint="eastAsia" w:ascii="宋体" w:hAnsi="宋体" w:cs="宋体"/>
                <w:kern w:val="2"/>
                <w:sz w:val="21"/>
                <w:szCs w:val="21"/>
                <w:lang w:val="en-US" w:eastAsia="zh-CN" w:bidi="ar-SA"/>
              </w:rPr>
              <w:t>（</w:t>
            </w:r>
            <w:r>
              <w:rPr>
                <w:rFonts w:hint="default" w:ascii="宋体" w:hAnsi="宋体" w:eastAsia="宋体" w:cs="宋体"/>
                <w:kern w:val="2"/>
                <w:sz w:val="21"/>
                <w:szCs w:val="21"/>
                <w:lang w:val="en-US" w:eastAsia="zh-CN" w:bidi="ar-SA"/>
              </w:rPr>
              <w:t>3</w:t>
            </w:r>
            <w:r>
              <w:rPr>
                <w:rFonts w:hint="eastAsia" w:ascii="宋体" w:hAnsi="宋体" w:cs="宋体"/>
                <w:kern w:val="2"/>
                <w:sz w:val="21"/>
                <w:szCs w:val="21"/>
                <w:lang w:val="en-US" w:eastAsia="zh-CN" w:bidi="ar-SA"/>
              </w:rPr>
              <w:t>）</w:t>
            </w:r>
            <w:r>
              <w:rPr>
                <w:rFonts w:hint="eastAsia" w:ascii="宋体" w:hAnsi="宋体" w:cs="宋体"/>
                <w:szCs w:val="21"/>
                <w:lang w:eastAsia="zh-CN"/>
              </w:rPr>
              <w:t xml:space="preserve">亮度：≥4500cd/㎡ </w:t>
            </w:r>
          </w:p>
          <w:p>
            <w:pPr>
              <w:keepNext w:val="0"/>
              <w:keepLines w:val="0"/>
              <w:pageBreakBefore w:val="0"/>
              <w:numPr>
                <w:ilvl w:val="0"/>
                <w:numId w:val="0"/>
              </w:numPr>
              <w:kinsoku/>
              <w:wordWrap/>
              <w:overflowPunct/>
              <w:topLinePunct w:val="0"/>
              <w:autoSpaceDE/>
              <w:autoSpaceDN/>
              <w:bidi w:val="0"/>
              <w:adjustRightInd/>
              <w:snapToGrid/>
              <w:spacing w:line="440" w:lineRule="exact"/>
              <w:ind w:left="425" w:leftChars="0" w:hanging="425" w:firstLineChars="0"/>
              <w:jc w:val="both"/>
              <w:rPr>
                <w:rFonts w:hint="eastAsia" w:ascii="宋体" w:hAnsi="宋体" w:cs="宋体"/>
                <w:szCs w:val="21"/>
                <w:lang w:eastAsia="zh-CN"/>
              </w:rPr>
            </w:pPr>
            <w:r>
              <w:rPr>
                <w:rFonts w:hint="eastAsia" w:ascii="宋体" w:hAnsi="宋体" w:cs="宋体"/>
                <w:kern w:val="2"/>
                <w:sz w:val="21"/>
                <w:szCs w:val="21"/>
                <w:lang w:val="en-US" w:eastAsia="zh-CN" w:bidi="ar-SA"/>
              </w:rPr>
              <w:t>（4）</w:t>
            </w:r>
            <w:r>
              <w:rPr>
                <w:rFonts w:hint="eastAsia" w:ascii="宋体" w:hAnsi="宋体" w:cs="宋体"/>
                <w:szCs w:val="21"/>
                <w:lang w:eastAsia="zh-CN"/>
              </w:rPr>
              <w:t>刷新频率；4200Hz</w:t>
            </w:r>
          </w:p>
          <w:p>
            <w:pPr>
              <w:keepNext w:val="0"/>
              <w:keepLines w:val="0"/>
              <w:pageBreakBefore w:val="0"/>
              <w:numPr>
                <w:ilvl w:val="0"/>
                <w:numId w:val="0"/>
              </w:numPr>
              <w:kinsoku/>
              <w:wordWrap/>
              <w:overflowPunct/>
              <w:topLinePunct w:val="0"/>
              <w:autoSpaceDE/>
              <w:autoSpaceDN/>
              <w:bidi w:val="0"/>
              <w:adjustRightInd/>
              <w:snapToGrid/>
              <w:spacing w:line="440" w:lineRule="exact"/>
              <w:ind w:left="425" w:leftChars="0" w:hanging="425" w:firstLineChars="0"/>
              <w:jc w:val="both"/>
              <w:rPr>
                <w:rFonts w:hint="eastAsia" w:ascii="宋体" w:hAnsi="宋体" w:cs="宋体"/>
                <w:szCs w:val="21"/>
                <w:lang w:eastAsia="zh-CN"/>
              </w:rPr>
            </w:pPr>
            <w:r>
              <w:rPr>
                <w:rFonts w:hint="default" w:ascii="宋体" w:hAnsi="宋体" w:eastAsia="宋体" w:cs="宋体"/>
                <w:kern w:val="2"/>
                <w:sz w:val="21"/>
                <w:szCs w:val="21"/>
                <w:lang w:val="en-US" w:eastAsia="zh-CN" w:bidi="ar-SA"/>
              </w:rPr>
              <w:t>(5</w:t>
            </w:r>
            <w:r>
              <w:rPr>
                <w:rFonts w:hint="eastAsia" w:ascii="宋体" w:hAnsi="宋体" w:cs="宋体"/>
                <w:kern w:val="2"/>
                <w:sz w:val="21"/>
                <w:szCs w:val="21"/>
                <w:lang w:val="en-US" w:eastAsia="zh-CN" w:bidi="ar-SA"/>
              </w:rPr>
              <w:t>）</w:t>
            </w:r>
            <w:r>
              <w:rPr>
                <w:rFonts w:hint="eastAsia" w:ascii="宋体" w:hAnsi="宋体" w:cs="宋体"/>
                <w:szCs w:val="21"/>
                <w:lang w:eastAsia="zh-CN"/>
              </w:rPr>
              <w:t>模组分辨率：104×52=5408Dots</w:t>
            </w:r>
          </w:p>
          <w:p>
            <w:pPr>
              <w:keepNext w:val="0"/>
              <w:keepLines w:val="0"/>
              <w:pageBreakBefore w:val="0"/>
              <w:numPr>
                <w:ilvl w:val="0"/>
                <w:numId w:val="0"/>
              </w:numPr>
              <w:kinsoku/>
              <w:wordWrap/>
              <w:overflowPunct/>
              <w:topLinePunct w:val="0"/>
              <w:autoSpaceDE/>
              <w:autoSpaceDN/>
              <w:bidi w:val="0"/>
              <w:adjustRightInd/>
              <w:snapToGrid/>
              <w:spacing w:line="440" w:lineRule="exact"/>
              <w:ind w:left="425" w:leftChars="0" w:hanging="425" w:firstLineChars="0"/>
              <w:jc w:val="both"/>
              <w:rPr>
                <w:rFonts w:hint="eastAsia" w:ascii="宋体" w:hAnsi="宋体" w:cs="宋体"/>
                <w:szCs w:val="21"/>
                <w:lang w:eastAsia="zh-CN"/>
              </w:rPr>
            </w:pPr>
            <w:r>
              <w:rPr>
                <w:rFonts w:hint="eastAsia" w:ascii="宋体" w:hAnsi="宋体" w:cs="宋体"/>
                <w:kern w:val="2"/>
                <w:sz w:val="21"/>
                <w:szCs w:val="21"/>
                <w:lang w:val="en-US" w:eastAsia="zh-CN" w:bidi="ar-SA"/>
              </w:rPr>
              <w:t>（</w:t>
            </w:r>
            <w:r>
              <w:rPr>
                <w:rFonts w:hint="default" w:ascii="宋体" w:hAnsi="宋体" w:eastAsia="宋体" w:cs="宋体"/>
                <w:kern w:val="2"/>
                <w:sz w:val="21"/>
                <w:szCs w:val="21"/>
                <w:lang w:val="en-US" w:eastAsia="zh-CN" w:bidi="ar-SA"/>
              </w:rPr>
              <w:t>6</w:t>
            </w:r>
            <w:r>
              <w:rPr>
                <w:rFonts w:hint="eastAsia" w:ascii="宋体" w:hAnsi="宋体" w:cs="宋体"/>
                <w:kern w:val="2"/>
                <w:sz w:val="21"/>
                <w:szCs w:val="21"/>
                <w:lang w:val="en-US" w:eastAsia="zh-CN" w:bidi="ar-SA"/>
              </w:rPr>
              <w:t>）</w:t>
            </w:r>
            <w:r>
              <w:rPr>
                <w:rFonts w:hint="eastAsia" w:ascii="宋体" w:hAnsi="宋体" w:cs="宋体"/>
                <w:szCs w:val="21"/>
                <w:lang w:eastAsia="zh-CN"/>
              </w:rPr>
              <w:t>像素密度：≥105625Dots/㎡</w:t>
            </w:r>
          </w:p>
          <w:p>
            <w:pPr>
              <w:keepNext w:val="0"/>
              <w:keepLines w:val="0"/>
              <w:pageBreakBefore w:val="0"/>
              <w:numPr>
                <w:ilvl w:val="0"/>
                <w:numId w:val="0"/>
              </w:numPr>
              <w:kinsoku/>
              <w:wordWrap/>
              <w:overflowPunct/>
              <w:topLinePunct w:val="0"/>
              <w:autoSpaceDE/>
              <w:autoSpaceDN/>
              <w:bidi w:val="0"/>
              <w:adjustRightInd/>
              <w:snapToGrid/>
              <w:spacing w:line="440" w:lineRule="exact"/>
              <w:ind w:left="425" w:leftChars="0" w:hanging="425" w:firstLineChars="0"/>
              <w:jc w:val="both"/>
              <w:rPr>
                <w:rFonts w:hint="eastAsia" w:ascii="宋体" w:hAnsi="宋体" w:cs="宋体"/>
                <w:szCs w:val="21"/>
                <w:lang w:eastAsia="zh-CN"/>
              </w:rPr>
            </w:pPr>
            <w:r>
              <w:rPr>
                <w:rFonts w:hint="eastAsia" w:ascii="宋体" w:hAnsi="宋体" w:cs="宋体"/>
                <w:kern w:val="2"/>
                <w:sz w:val="21"/>
                <w:szCs w:val="21"/>
                <w:lang w:val="en-US" w:eastAsia="zh-CN" w:bidi="ar-SA"/>
              </w:rPr>
              <w:t>（7）</w:t>
            </w:r>
            <w:r>
              <w:rPr>
                <w:rFonts w:hint="eastAsia" w:ascii="宋体" w:hAnsi="宋体" w:cs="宋体"/>
                <w:szCs w:val="21"/>
                <w:lang w:eastAsia="zh-CN"/>
              </w:rPr>
              <w:t xml:space="preserve">像素构成：1R1G1B </w:t>
            </w:r>
          </w:p>
          <w:p>
            <w:pPr>
              <w:keepNext w:val="0"/>
              <w:keepLines w:val="0"/>
              <w:pageBreakBefore w:val="0"/>
              <w:numPr>
                <w:ilvl w:val="0"/>
                <w:numId w:val="0"/>
              </w:numPr>
              <w:kinsoku/>
              <w:wordWrap/>
              <w:overflowPunct/>
              <w:topLinePunct w:val="0"/>
              <w:autoSpaceDE/>
              <w:autoSpaceDN/>
              <w:bidi w:val="0"/>
              <w:adjustRightInd/>
              <w:snapToGrid/>
              <w:spacing w:line="440" w:lineRule="exact"/>
              <w:ind w:left="425" w:leftChars="0" w:hanging="425" w:firstLineChars="0"/>
              <w:jc w:val="both"/>
              <w:rPr>
                <w:rFonts w:hint="eastAsia" w:ascii="宋体" w:hAnsi="宋体" w:cs="宋体"/>
                <w:szCs w:val="21"/>
                <w:lang w:eastAsia="zh-CN"/>
              </w:rPr>
            </w:pPr>
            <w:r>
              <w:rPr>
                <w:rFonts w:hint="eastAsia" w:ascii="宋体" w:hAnsi="宋体" w:cs="宋体"/>
                <w:kern w:val="2"/>
                <w:sz w:val="21"/>
                <w:szCs w:val="21"/>
                <w:lang w:val="en-US" w:eastAsia="zh-CN" w:bidi="ar-SA"/>
              </w:rPr>
              <w:t>（8）</w:t>
            </w:r>
            <w:r>
              <w:rPr>
                <w:rFonts w:hint="eastAsia" w:ascii="宋体" w:hAnsi="宋体" w:cs="宋体"/>
                <w:szCs w:val="21"/>
                <w:lang w:eastAsia="zh-CN"/>
              </w:rPr>
              <w:t>灯管封装：SMD1515</w:t>
            </w:r>
          </w:p>
          <w:p>
            <w:pPr>
              <w:keepNext w:val="0"/>
              <w:keepLines w:val="0"/>
              <w:pageBreakBefore w:val="0"/>
              <w:numPr>
                <w:ilvl w:val="0"/>
                <w:numId w:val="0"/>
              </w:numPr>
              <w:kinsoku/>
              <w:wordWrap/>
              <w:overflowPunct/>
              <w:topLinePunct w:val="0"/>
              <w:autoSpaceDE/>
              <w:autoSpaceDN/>
              <w:bidi w:val="0"/>
              <w:adjustRightInd/>
              <w:snapToGrid/>
              <w:spacing w:line="440" w:lineRule="exact"/>
              <w:ind w:left="425" w:leftChars="0" w:hanging="425" w:firstLineChars="0"/>
              <w:jc w:val="both"/>
              <w:rPr>
                <w:rFonts w:hint="eastAsia" w:ascii="宋体" w:hAnsi="宋体" w:cs="宋体"/>
                <w:szCs w:val="21"/>
                <w:lang w:eastAsia="zh-CN"/>
              </w:rPr>
            </w:pPr>
            <w:r>
              <w:rPr>
                <w:rFonts w:hint="eastAsia" w:ascii="宋体" w:hAnsi="宋体" w:cs="宋体"/>
                <w:kern w:val="2"/>
                <w:sz w:val="21"/>
                <w:szCs w:val="21"/>
                <w:lang w:val="en-US" w:eastAsia="zh-CN" w:bidi="ar-SA"/>
              </w:rPr>
              <w:t>（</w:t>
            </w:r>
            <w:r>
              <w:rPr>
                <w:rFonts w:hint="default" w:ascii="宋体" w:hAnsi="宋体" w:eastAsia="宋体" w:cs="宋体"/>
                <w:kern w:val="2"/>
                <w:sz w:val="21"/>
                <w:szCs w:val="21"/>
                <w:lang w:val="en-US" w:eastAsia="zh-CN" w:bidi="ar-SA"/>
              </w:rPr>
              <w:t>9</w:t>
            </w:r>
            <w:r>
              <w:rPr>
                <w:rFonts w:hint="eastAsia" w:ascii="宋体" w:hAnsi="宋体" w:cs="宋体"/>
                <w:kern w:val="2"/>
                <w:sz w:val="21"/>
                <w:szCs w:val="21"/>
                <w:lang w:val="en-US" w:eastAsia="zh-CN" w:bidi="ar-SA"/>
              </w:rPr>
              <w:t>）</w:t>
            </w:r>
            <w:r>
              <w:rPr>
                <w:rFonts w:hint="eastAsia" w:ascii="宋体" w:hAnsi="宋体" w:cs="宋体"/>
                <w:szCs w:val="21"/>
                <w:lang w:eastAsia="zh-CN"/>
              </w:rPr>
              <w:t>重量：0.40kg±0.01kg</w:t>
            </w:r>
          </w:p>
          <w:p>
            <w:pPr>
              <w:keepNext w:val="0"/>
              <w:keepLines w:val="0"/>
              <w:pageBreakBefore w:val="0"/>
              <w:numPr>
                <w:ilvl w:val="0"/>
                <w:numId w:val="0"/>
              </w:numPr>
              <w:kinsoku/>
              <w:wordWrap/>
              <w:overflowPunct/>
              <w:topLinePunct w:val="0"/>
              <w:autoSpaceDE/>
              <w:autoSpaceDN/>
              <w:bidi w:val="0"/>
              <w:adjustRightInd/>
              <w:snapToGrid/>
              <w:spacing w:line="440" w:lineRule="exact"/>
              <w:ind w:left="425" w:leftChars="0" w:hanging="425" w:firstLineChars="0"/>
              <w:jc w:val="both"/>
              <w:rPr>
                <w:rFonts w:hint="eastAsia" w:ascii="宋体" w:hAnsi="宋体" w:cs="宋体"/>
                <w:szCs w:val="21"/>
                <w:lang w:eastAsia="zh-CN"/>
              </w:rPr>
            </w:pPr>
            <w:r>
              <w:rPr>
                <w:rFonts w:hint="eastAsia" w:ascii="宋体" w:hAnsi="宋体" w:cs="宋体"/>
                <w:kern w:val="2"/>
                <w:sz w:val="21"/>
                <w:szCs w:val="21"/>
                <w:lang w:val="en-US" w:eastAsia="zh-CN" w:bidi="ar-SA"/>
              </w:rPr>
              <w:t>（10）</w:t>
            </w:r>
            <w:r>
              <w:rPr>
                <w:rFonts w:hint="eastAsia" w:ascii="宋体" w:hAnsi="宋体" w:cs="宋体"/>
                <w:szCs w:val="21"/>
                <w:lang w:eastAsia="zh-CN"/>
              </w:rPr>
              <w:t xml:space="preserve">结构特点：灯驱合一 </w:t>
            </w:r>
          </w:p>
          <w:p>
            <w:pPr>
              <w:keepNext w:val="0"/>
              <w:keepLines w:val="0"/>
              <w:pageBreakBefore w:val="0"/>
              <w:numPr>
                <w:ilvl w:val="0"/>
                <w:numId w:val="0"/>
              </w:numPr>
              <w:kinsoku/>
              <w:wordWrap/>
              <w:overflowPunct/>
              <w:topLinePunct w:val="0"/>
              <w:autoSpaceDE/>
              <w:autoSpaceDN/>
              <w:bidi w:val="0"/>
              <w:adjustRightInd/>
              <w:snapToGrid/>
              <w:spacing w:line="440" w:lineRule="exact"/>
              <w:ind w:left="425" w:leftChars="0" w:hanging="425" w:firstLineChars="0"/>
              <w:jc w:val="both"/>
              <w:rPr>
                <w:rFonts w:hint="eastAsia" w:ascii="宋体" w:hAnsi="宋体" w:cs="宋体"/>
                <w:szCs w:val="21"/>
                <w:lang w:eastAsia="zh-CN"/>
              </w:rPr>
            </w:pPr>
            <w:r>
              <w:rPr>
                <w:rFonts w:hint="eastAsia" w:ascii="宋体" w:hAnsi="宋体" w:cs="宋体"/>
                <w:kern w:val="2"/>
                <w:sz w:val="21"/>
                <w:szCs w:val="21"/>
                <w:lang w:val="en-US" w:eastAsia="zh-CN" w:bidi="ar-SA"/>
              </w:rPr>
              <w:t>（11）</w:t>
            </w:r>
            <w:r>
              <w:rPr>
                <w:rFonts w:hint="eastAsia" w:ascii="宋体" w:hAnsi="宋体" w:cs="宋体"/>
                <w:szCs w:val="21"/>
                <w:lang w:eastAsia="zh-CN"/>
              </w:rPr>
              <w:t xml:space="preserve">输入电压（直流）：4.5±0.1V </w:t>
            </w:r>
          </w:p>
          <w:p>
            <w:pPr>
              <w:keepNext w:val="0"/>
              <w:keepLines w:val="0"/>
              <w:pageBreakBefore w:val="0"/>
              <w:numPr>
                <w:ilvl w:val="0"/>
                <w:numId w:val="0"/>
              </w:numPr>
              <w:kinsoku/>
              <w:wordWrap/>
              <w:overflowPunct/>
              <w:topLinePunct w:val="0"/>
              <w:autoSpaceDE/>
              <w:autoSpaceDN/>
              <w:bidi w:val="0"/>
              <w:adjustRightInd/>
              <w:snapToGrid/>
              <w:spacing w:line="440" w:lineRule="exact"/>
              <w:ind w:left="425" w:leftChars="0" w:hanging="425" w:firstLineChars="0"/>
              <w:jc w:val="both"/>
              <w:rPr>
                <w:rFonts w:hint="eastAsia" w:ascii="宋体" w:hAnsi="宋体" w:cs="宋体"/>
                <w:szCs w:val="21"/>
                <w:lang w:eastAsia="zh-CN"/>
              </w:rPr>
            </w:pPr>
            <w:r>
              <w:rPr>
                <w:rFonts w:hint="eastAsia" w:ascii="宋体" w:hAnsi="宋体" w:cs="宋体"/>
                <w:kern w:val="2"/>
                <w:sz w:val="21"/>
                <w:szCs w:val="21"/>
                <w:lang w:val="en-US" w:eastAsia="zh-CN" w:bidi="ar-SA"/>
              </w:rPr>
              <w:t>（12）</w:t>
            </w:r>
            <w:r>
              <w:rPr>
                <w:rFonts w:hint="eastAsia" w:ascii="宋体" w:hAnsi="宋体" w:cs="宋体"/>
                <w:szCs w:val="21"/>
                <w:lang w:eastAsia="zh-CN"/>
              </w:rPr>
              <w:t>最大电流：≤8.94A</w:t>
            </w:r>
          </w:p>
          <w:p>
            <w:pPr>
              <w:keepNext w:val="0"/>
              <w:keepLines w:val="0"/>
              <w:pageBreakBefore w:val="0"/>
              <w:numPr>
                <w:ilvl w:val="0"/>
                <w:numId w:val="0"/>
              </w:numPr>
              <w:kinsoku/>
              <w:wordWrap/>
              <w:overflowPunct/>
              <w:topLinePunct w:val="0"/>
              <w:autoSpaceDE/>
              <w:autoSpaceDN/>
              <w:bidi w:val="0"/>
              <w:adjustRightInd/>
              <w:snapToGrid/>
              <w:spacing w:line="440" w:lineRule="exact"/>
              <w:ind w:left="425" w:leftChars="0" w:hanging="425" w:firstLineChars="0"/>
              <w:jc w:val="both"/>
              <w:rPr>
                <w:rFonts w:hint="eastAsia" w:ascii="宋体" w:hAnsi="宋体" w:cs="宋体"/>
                <w:szCs w:val="21"/>
                <w:lang w:eastAsia="zh-CN"/>
              </w:rPr>
            </w:pPr>
            <w:r>
              <w:rPr>
                <w:rFonts w:hint="eastAsia" w:ascii="宋体" w:hAnsi="宋体" w:cs="宋体"/>
                <w:kern w:val="2"/>
                <w:sz w:val="21"/>
                <w:szCs w:val="21"/>
                <w:lang w:val="en-US" w:eastAsia="zh-CN" w:bidi="ar-SA"/>
              </w:rPr>
              <w:t>（13）</w:t>
            </w:r>
            <w:r>
              <w:rPr>
                <w:rFonts w:hint="eastAsia" w:ascii="宋体" w:hAnsi="宋体" w:cs="宋体"/>
                <w:szCs w:val="21"/>
                <w:lang w:eastAsia="zh-CN"/>
              </w:rPr>
              <w:t xml:space="preserve">模组功率：≤40W </w:t>
            </w:r>
          </w:p>
          <w:p>
            <w:pPr>
              <w:keepNext w:val="0"/>
              <w:keepLines w:val="0"/>
              <w:pageBreakBefore w:val="0"/>
              <w:numPr>
                <w:ilvl w:val="0"/>
                <w:numId w:val="0"/>
              </w:numPr>
              <w:kinsoku/>
              <w:wordWrap/>
              <w:overflowPunct/>
              <w:topLinePunct w:val="0"/>
              <w:autoSpaceDE/>
              <w:autoSpaceDN/>
              <w:bidi w:val="0"/>
              <w:adjustRightInd/>
              <w:snapToGrid/>
              <w:spacing w:line="440" w:lineRule="exact"/>
              <w:ind w:left="425" w:leftChars="0" w:hanging="425" w:firstLineChars="0"/>
              <w:jc w:val="both"/>
              <w:rPr>
                <w:rFonts w:hint="eastAsia" w:ascii="宋体" w:hAnsi="宋体" w:cs="宋体"/>
                <w:szCs w:val="21"/>
                <w:lang w:eastAsia="zh-CN"/>
              </w:rPr>
            </w:pPr>
            <w:r>
              <w:rPr>
                <w:rFonts w:hint="eastAsia" w:ascii="宋体" w:hAnsi="宋体" w:cs="宋体"/>
                <w:kern w:val="2"/>
                <w:sz w:val="21"/>
                <w:szCs w:val="21"/>
                <w:lang w:val="en-US" w:eastAsia="zh-CN" w:bidi="ar-SA"/>
              </w:rPr>
              <w:t>（14）</w:t>
            </w:r>
            <w:r>
              <w:rPr>
                <w:rFonts w:hint="eastAsia" w:ascii="宋体" w:hAnsi="宋体" w:cs="宋体"/>
                <w:szCs w:val="21"/>
                <w:lang w:eastAsia="zh-CN"/>
              </w:rPr>
              <w:t>驱动方式；1/13恒流驱动</w:t>
            </w:r>
          </w:p>
          <w:p>
            <w:pPr>
              <w:keepNext w:val="0"/>
              <w:keepLines w:val="0"/>
              <w:pageBreakBefore w:val="0"/>
              <w:kinsoku/>
              <w:wordWrap/>
              <w:overflowPunct/>
              <w:topLinePunct w:val="0"/>
              <w:autoSpaceDE/>
              <w:autoSpaceDN/>
              <w:bidi w:val="0"/>
              <w:adjustRightInd/>
              <w:snapToGrid/>
              <w:spacing w:line="440" w:lineRule="exact"/>
              <w:jc w:val="both"/>
              <w:rPr>
                <w:rFonts w:hint="default" w:ascii="宋体" w:hAnsi="宋体" w:cs="宋体"/>
                <w:szCs w:val="21"/>
                <w:lang w:val="en-US" w:eastAsia="zh-CN"/>
              </w:rPr>
            </w:pPr>
            <w:r>
              <w:rPr>
                <w:rFonts w:hint="eastAsia" w:ascii="宋体" w:hAnsi="宋体" w:cs="宋体"/>
                <w:szCs w:val="21"/>
                <w:lang w:val="en-US" w:eastAsia="zh-CN"/>
              </w:rPr>
              <w:t>3.户外防水箱体：根据现场的情况和尺寸定制</w:t>
            </w:r>
          </w:p>
          <w:p>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cs="宋体"/>
                <w:szCs w:val="21"/>
                <w:lang w:val="en-US" w:eastAsia="zh-CN"/>
              </w:rPr>
            </w:pPr>
            <w:r>
              <w:rPr>
                <w:rFonts w:hint="eastAsia" w:ascii="宋体" w:hAnsi="宋体" w:cs="宋体"/>
                <w:szCs w:val="21"/>
                <w:lang w:val="en-US" w:eastAsia="zh-CN"/>
              </w:rPr>
              <w:t>4.联网播放盒</w:t>
            </w:r>
          </w:p>
          <w:p>
            <w:pPr>
              <w:keepNext w:val="0"/>
              <w:keepLines w:val="0"/>
              <w:pageBreakBefore w:val="0"/>
              <w:kinsoku/>
              <w:wordWrap/>
              <w:overflowPunct/>
              <w:topLinePunct w:val="0"/>
              <w:autoSpaceDE/>
              <w:autoSpaceDN/>
              <w:bidi w:val="0"/>
              <w:adjustRightInd/>
              <w:snapToGrid/>
              <w:spacing w:line="440" w:lineRule="exact"/>
              <w:jc w:val="both"/>
              <w:rPr>
                <w:rFonts w:hint="default" w:ascii="宋体" w:hAnsi="宋体" w:cs="宋体"/>
                <w:szCs w:val="21"/>
                <w:lang w:val="en-US" w:eastAsia="zh-CN"/>
              </w:rPr>
            </w:pPr>
            <w:r>
              <w:rPr>
                <w:rFonts w:hint="default" w:ascii="宋体" w:hAnsi="宋体" w:cs="宋体"/>
                <w:szCs w:val="21"/>
                <w:lang w:val="en-US" w:eastAsia="zh-CN"/>
              </w:rPr>
              <w:t>1.支持</w:t>
            </w:r>
            <w:r>
              <w:rPr>
                <w:rFonts w:hint="eastAsia" w:ascii="宋体" w:hAnsi="宋体" w:cs="宋体"/>
                <w:szCs w:val="21"/>
                <w:lang w:eastAsia="zh-CN"/>
              </w:rPr>
              <w:t>≥</w:t>
            </w:r>
            <w:r>
              <w:rPr>
                <w:rFonts w:hint="default" w:ascii="宋体" w:hAnsi="宋体" w:cs="宋体"/>
                <w:szCs w:val="21"/>
                <w:lang w:val="en-US" w:eastAsia="zh-CN"/>
              </w:rPr>
              <w:t>65万像素带载能力，1路千兆网口输出</w:t>
            </w:r>
          </w:p>
          <w:p>
            <w:pPr>
              <w:keepNext w:val="0"/>
              <w:keepLines w:val="0"/>
              <w:pageBreakBefore w:val="0"/>
              <w:kinsoku/>
              <w:wordWrap/>
              <w:overflowPunct/>
              <w:topLinePunct w:val="0"/>
              <w:autoSpaceDE/>
              <w:autoSpaceDN/>
              <w:bidi w:val="0"/>
              <w:adjustRightInd/>
              <w:snapToGrid/>
              <w:spacing w:line="440" w:lineRule="exact"/>
              <w:jc w:val="both"/>
              <w:rPr>
                <w:rFonts w:hint="default" w:ascii="宋体" w:hAnsi="宋体" w:cs="宋体"/>
                <w:szCs w:val="21"/>
                <w:lang w:val="en-US" w:eastAsia="zh-CN"/>
              </w:rPr>
            </w:pPr>
            <w:r>
              <w:rPr>
                <w:rFonts w:hint="default" w:ascii="宋体" w:hAnsi="宋体" w:cs="宋体"/>
                <w:szCs w:val="21"/>
                <w:lang w:val="en-US" w:eastAsia="zh-CN"/>
              </w:rPr>
              <w:t>2.宽</w:t>
            </w:r>
            <w:r>
              <w:rPr>
                <w:rFonts w:hint="eastAsia" w:ascii="宋体" w:hAnsi="宋体" w:cs="宋体"/>
                <w:szCs w:val="21"/>
                <w:lang w:eastAsia="zh-CN"/>
              </w:rPr>
              <w:t>≥</w:t>
            </w:r>
            <w:r>
              <w:rPr>
                <w:rFonts w:hint="default" w:ascii="宋体" w:hAnsi="宋体" w:cs="宋体"/>
                <w:szCs w:val="21"/>
                <w:lang w:val="en-US" w:eastAsia="zh-CN"/>
              </w:rPr>
              <w:t>4096像素点或高</w:t>
            </w:r>
            <w:r>
              <w:rPr>
                <w:rFonts w:hint="eastAsia" w:ascii="宋体" w:hAnsi="宋体" w:cs="宋体"/>
                <w:szCs w:val="21"/>
                <w:lang w:eastAsia="zh-CN"/>
              </w:rPr>
              <w:t>≥≥</w:t>
            </w:r>
            <w:r>
              <w:rPr>
                <w:rFonts w:hint="default" w:ascii="宋体" w:hAnsi="宋体" w:cs="宋体"/>
                <w:szCs w:val="21"/>
                <w:lang w:val="en-US" w:eastAsia="zh-CN"/>
              </w:rPr>
              <w:t>3840像素点</w:t>
            </w:r>
          </w:p>
          <w:p>
            <w:pPr>
              <w:keepNext w:val="0"/>
              <w:keepLines w:val="0"/>
              <w:pageBreakBefore w:val="0"/>
              <w:kinsoku/>
              <w:wordWrap/>
              <w:overflowPunct/>
              <w:topLinePunct w:val="0"/>
              <w:autoSpaceDE/>
              <w:autoSpaceDN/>
              <w:bidi w:val="0"/>
              <w:adjustRightInd/>
              <w:snapToGrid/>
              <w:spacing w:line="440" w:lineRule="exact"/>
              <w:jc w:val="both"/>
              <w:rPr>
                <w:rFonts w:hint="default" w:ascii="宋体" w:hAnsi="宋体" w:cs="宋体"/>
                <w:szCs w:val="21"/>
                <w:lang w:val="en-US" w:eastAsia="zh-CN"/>
              </w:rPr>
            </w:pPr>
            <w:r>
              <w:rPr>
                <w:rFonts w:hint="default" w:ascii="宋体" w:hAnsi="宋体" w:cs="宋体"/>
                <w:szCs w:val="21"/>
                <w:lang w:val="en-US" w:eastAsia="zh-CN"/>
              </w:rPr>
              <w:t>3.支持1路独立音频输出</w:t>
            </w:r>
          </w:p>
          <w:p>
            <w:pPr>
              <w:keepNext w:val="0"/>
              <w:keepLines w:val="0"/>
              <w:pageBreakBefore w:val="0"/>
              <w:kinsoku/>
              <w:wordWrap/>
              <w:overflowPunct/>
              <w:topLinePunct w:val="0"/>
              <w:autoSpaceDE/>
              <w:autoSpaceDN/>
              <w:bidi w:val="0"/>
              <w:adjustRightInd/>
              <w:snapToGrid/>
              <w:spacing w:line="440" w:lineRule="exact"/>
              <w:jc w:val="both"/>
              <w:rPr>
                <w:rFonts w:hint="default" w:ascii="宋体" w:hAnsi="宋体" w:cs="宋体"/>
                <w:szCs w:val="21"/>
                <w:lang w:val="en-US" w:eastAsia="zh-CN"/>
              </w:rPr>
            </w:pPr>
            <w:r>
              <w:rPr>
                <w:rFonts w:hint="default" w:ascii="宋体" w:hAnsi="宋体" w:cs="宋体"/>
                <w:szCs w:val="21"/>
                <w:lang w:val="en-US" w:eastAsia="zh-CN"/>
              </w:rPr>
              <w:t>4.支持云分级管理和多角色节目发布，支持云监测报警并自动联动</w:t>
            </w:r>
          </w:p>
          <w:p>
            <w:pPr>
              <w:keepNext w:val="0"/>
              <w:keepLines w:val="0"/>
              <w:pageBreakBefore w:val="0"/>
              <w:kinsoku/>
              <w:wordWrap/>
              <w:overflowPunct/>
              <w:topLinePunct w:val="0"/>
              <w:autoSpaceDE/>
              <w:autoSpaceDN/>
              <w:bidi w:val="0"/>
              <w:adjustRightInd/>
              <w:snapToGrid/>
              <w:spacing w:line="440" w:lineRule="exact"/>
              <w:jc w:val="both"/>
              <w:rPr>
                <w:rFonts w:hint="default" w:ascii="宋体" w:hAnsi="宋体" w:cs="宋体"/>
                <w:szCs w:val="21"/>
                <w:lang w:val="en-US" w:eastAsia="zh-CN"/>
              </w:rPr>
            </w:pPr>
            <w:r>
              <w:rPr>
                <w:rFonts w:hint="default" w:ascii="宋体" w:hAnsi="宋体" w:cs="宋体"/>
                <w:szCs w:val="21"/>
                <w:lang w:val="en-US" w:eastAsia="zh-CN"/>
              </w:rPr>
              <w:t>5.处理性能强大，支持H.265 4K高清视频硬解码播放，</w:t>
            </w:r>
            <w:r>
              <w:rPr>
                <w:rFonts w:hint="eastAsia" w:ascii="宋体" w:hAnsi="宋体" w:cs="宋体"/>
                <w:szCs w:val="21"/>
                <w:lang w:eastAsia="zh-CN"/>
              </w:rPr>
              <w:t>≥</w:t>
            </w:r>
            <w:r>
              <w:rPr>
                <w:rFonts w:hint="default" w:ascii="宋体" w:hAnsi="宋体" w:cs="宋体"/>
                <w:szCs w:val="21"/>
                <w:lang w:val="en-US" w:eastAsia="zh-CN"/>
              </w:rPr>
              <w:t>8GB容量</w:t>
            </w:r>
          </w:p>
          <w:p>
            <w:pPr>
              <w:keepNext w:val="0"/>
              <w:keepLines w:val="0"/>
              <w:pageBreakBefore w:val="0"/>
              <w:kinsoku/>
              <w:wordWrap/>
              <w:overflowPunct/>
              <w:topLinePunct w:val="0"/>
              <w:autoSpaceDE/>
              <w:autoSpaceDN/>
              <w:bidi w:val="0"/>
              <w:adjustRightInd/>
              <w:snapToGrid/>
              <w:spacing w:line="440" w:lineRule="exact"/>
              <w:jc w:val="both"/>
              <w:rPr>
                <w:rFonts w:hint="default" w:ascii="宋体" w:hAnsi="宋体" w:cs="宋体"/>
                <w:szCs w:val="21"/>
                <w:lang w:val="en-US" w:eastAsia="zh-CN"/>
              </w:rPr>
            </w:pPr>
            <w:r>
              <w:rPr>
                <w:rFonts w:hint="default" w:ascii="宋体" w:hAnsi="宋体" w:cs="宋体"/>
                <w:szCs w:val="21"/>
                <w:lang w:val="en-US" w:eastAsia="zh-CN"/>
              </w:rPr>
              <w:t>6.支持U盘即插即播，U盘更新播放节目列表</w:t>
            </w:r>
          </w:p>
          <w:p>
            <w:pPr>
              <w:keepNext w:val="0"/>
              <w:keepLines w:val="0"/>
              <w:pageBreakBefore w:val="0"/>
              <w:kinsoku/>
              <w:wordWrap/>
              <w:overflowPunct/>
              <w:topLinePunct w:val="0"/>
              <w:autoSpaceDE/>
              <w:autoSpaceDN/>
              <w:bidi w:val="0"/>
              <w:adjustRightInd/>
              <w:snapToGrid/>
              <w:spacing w:line="440" w:lineRule="exact"/>
              <w:jc w:val="both"/>
              <w:rPr>
                <w:rFonts w:hint="default" w:ascii="宋体" w:hAnsi="宋体" w:cs="宋体"/>
                <w:szCs w:val="21"/>
                <w:lang w:val="en-US" w:eastAsia="zh-CN"/>
              </w:rPr>
            </w:pPr>
            <w:r>
              <w:rPr>
                <w:rFonts w:hint="eastAsia" w:ascii="宋体" w:hAnsi="宋体" w:cs="宋体"/>
                <w:szCs w:val="21"/>
                <w:lang w:val="en-US" w:eastAsia="zh-CN"/>
              </w:rPr>
              <w:t>5.配电箱：配电功率</w:t>
            </w:r>
            <w:r>
              <w:rPr>
                <w:rFonts w:hint="eastAsia" w:ascii="宋体" w:hAnsi="宋体" w:cs="宋体"/>
                <w:szCs w:val="21"/>
                <w:lang w:eastAsia="zh-CN"/>
              </w:rPr>
              <w:t>≥</w:t>
            </w:r>
            <w:r>
              <w:rPr>
                <w:rFonts w:hint="eastAsia" w:ascii="宋体" w:hAnsi="宋体" w:cs="宋体"/>
                <w:szCs w:val="21"/>
                <w:lang w:val="en-US" w:eastAsia="zh-CN"/>
              </w:rPr>
              <w:t>6kW</w:t>
            </w:r>
          </w:p>
          <w:p>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cs="宋体"/>
                <w:szCs w:val="21"/>
                <w:lang w:eastAsia="zh-CN"/>
              </w:rPr>
            </w:pPr>
            <w:r>
              <w:rPr>
                <w:rFonts w:hint="eastAsia" w:ascii="宋体" w:hAnsi="宋体" w:cs="宋体"/>
                <w:szCs w:val="21"/>
                <w:lang w:val="en-US" w:eastAsia="zh-CN"/>
              </w:rPr>
              <w:t>6.其他：配套的电源线和网线及安装调试</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szCs w:val="21"/>
                <w:lang w:val="en-US" w:eastAsia="zh-CN"/>
              </w:rPr>
            </w:pPr>
            <w:r>
              <w:rPr>
                <w:rFonts w:hint="eastAsia" w:ascii="宋体" w:hAnsi="宋体" w:cs="宋体"/>
                <w:szCs w:val="21"/>
                <w:lang w:val="en-US" w:eastAsia="zh-CN"/>
              </w:rPr>
              <w:t>1</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jc w:val="center"/>
              <w:rPr>
                <w:rFonts w:hint="default" w:ascii="宋体" w:hAnsi="宋体" w:eastAsia="宋体" w:cs="宋体"/>
                <w:szCs w:val="21"/>
                <w:lang w:val="en-US" w:eastAsia="zh-CN"/>
              </w:rPr>
            </w:pPr>
            <w:r>
              <w:rPr>
                <w:rFonts w:hint="eastAsia" w:ascii="宋体" w:hAnsi="宋体" w:cs="宋体"/>
                <w:szCs w:val="21"/>
                <w:lang w:val="en-US" w:eastAsia="zh-CN"/>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pPr>
              <w:spacing w:line="380" w:lineRule="exact"/>
              <w:rPr>
                <w:rFonts w:hint="eastAsia" w:ascii="宋体" w:hAnsi="宋体" w:cs="宋体"/>
                <w:szCs w:val="21"/>
                <w:lang w:val="en-US" w:eastAsia="zh-CN"/>
              </w:rPr>
            </w:pPr>
            <w:r>
              <w:rPr>
                <w:rFonts w:hint="eastAsia" w:ascii="宋体" w:hAnsi="宋体" w:cs="宋体"/>
                <w:szCs w:val="21"/>
              </w:rPr>
              <w:t>▲</w:t>
            </w:r>
            <w:r>
              <w:rPr>
                <w:rFonts w:hint="eastAsia" w:ascii="宋体" w:hAnsi="宋体" w:cs="宋体"/>
                <w:b/>
                <w:szCs w:val="21"/>
              </w:rPr>
              <w:t>二、商务要求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80" w:lineRule="exact"/>
              <w:rPr>
                <w:rFonts w:hint="eastAsia" w:ascii="宋体" w:hAnsi="宋体" w:cs="宋体"/>
                <w:szCs w:val="21"/>
                <w:lang w:val="en-US" w:eastAsia="zh-CN"/>
              </w:rPr>
            </w:pPr>
            <w:r>
              <w:rPr>
                <w:rFonts w:hint="eastAsia" w:ascii="宋体" w:hAnsi="宋体" w:cs="宋体"/>
                <w:szCs w:val="21"/>
              </w:rPr>
              <w:t>合同签订时间</w:t>
            </w:r>
          </w:p>
        </w:tc>
        <w:tc>
          <w:tcPr>
            <w:tcW w:w="458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80" w:lineRule="exact"/>
              <w:ind w:firstLine="420" w:firstLineChars="200"/>
              <w:rPr>
                <w:rFonts w:hint="eastAsia" w:ascii="宋体" w:hAnsi="宋体" w:cs="宋体"/>
                <w:szCs w:val="21"/>
                <w:lang w:val="en-US" w:eastAsia="zh-CN"/>
              </w:rPr>
            </w:pPr>
            <w:r>
              <w:rPr>
                <w:rFonts w:hint="eastAsia" w:ascii="宋体" w:hAnsi="宋体" w:cs="宋体"/>
                <w:szCs w:val="21"/>
              </w:rPr>
              <w:t>自中标通知书发出之日起25日内与采购人完成合同签订。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80" w:lineRule="exact"/>
              <w:rPr>
                <w:rFonts w:hint="eastAsia" w:ascii="宋体" w:hAnsi="宋体" w:cs="宋体"/>
                <w:szCs w:val="21"/>
                <w:lang w:val="en-US" w:eastAsia="zh-CN"/>
              </w:rPr>
            </w:pPr>
            <w:r>
              <w:rPr>
                <w:rFonts w:hint="eastAsia" w:ascii="宋体" w:hAnsi="宋体" w:cs="宋体"/>
                <w:szCs w:val="21"/>
              </w:rPr>
              <w:t>交付使用时间及地点</w:t>
            </w:r>
          </w:p>
        </w:tc>
        <w:tc>
          <w:tcPr>
            <w:tcW w:w="458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80" w:lineRule="exact"/>
              <w:ind w:firstLine="420" w:firstLineChars="200"/>
              <w:rPr>
                <w:rFonts w:ascii="宋体" w:hAnsi="宋体" w:cs="宋体"/>
                <w:szCs w:val="21"/>
              </w:rPr>
            </w:pPr>
            <w:r>
              <w:rPr>
                <w:rFonts w:hint="eastAsia" w:ascii="宋体" w:hAnsi="宋体" w:cs="宋体"/>
                <w:szCs w:val="21"/>
              </w:rPr>
              <w:t>1.交货时间：自合同签订</w:t>
            </w:r>
            <w:r>
              <w:rPr>
                <w:rFonts w:hint="eastAsia" w:ascii="宋体" w:hAnsi="宋体" w:cs="宋体"/>
                <w:szCs w:val="21"/>
                <w:highlight w:val="none"/>
              </w:rPr>
              <w:t>之日起30个工作日内</w:t>
            </w:r>
            <w:r>
              <w:rPr>
                <w:rFonts w:hint="eastAsia" w:ascii="宋体" w:hAnsi="宋体" w:cs="宋体"/>
                <w:szCs w:val="21"/>
              </w:rPr>
              <w:t>交付货物并完成所有的安装及调试。</w:t>
            </w:r>
          </w:p>
          <w:p>
            <w:pPr>
              <w:spacing w:line="380" w:lineRule="exact"/>
              <w:ind w:firstLine="420" w:firstLineChars="200"/>
              <w:rPr>
                <w:rFonts w:ascii="宋体" w:hAnsi="宋体" w:cs="宋体"/>
                <w:szCs w:val="21"/>
              </w:rPr>
            </w:pPr>
            <w:r>
              <w:rPr>
                <w:rFonts w:hint="eastAsia" w:ascii="宋体" w:hAnsi="宋体" w:cs="宋体"/>
                <w:szCs w:val="21"/>
              </w:rPr>
              <w:t>2.交货地点：广西南宁市内采购人指定地点；未验收前保管工作由中标供应商自行负责。</w:t>
            </w:r>
          </w:p>
          <w:p>
            <w:pPr>
              <w:spacing w:line="380" w:lineRule="exact"/>
              <w:ind w:firstLine="420" w:firstLineChars="200"/>
              <w:rPr>
                <w:rFonts w:ascii="宋体" w:hAnsi="宋体" w:cs="宋体"/>
                <w:szCs w:val="21"/>
              </w:rPr>
            </w:pPr>
            <w:r>
              <w:rPr>
                <w:rFonts w:hint="eastAsia" w:ascii="宋体" w:hAnsi="宋体" w:cs="宋体"/>
                <w:szCs w:val="21"/>
              </w:rPr>
              <w:t>3.中标供应商必须承担产品运输、验收检测和提供产品说明书等其他类似的义务。</w:t>
            </w:r>
          </w:p>
          <w:p>
            <w:pPr>
              <w:spacing w:line="380" w:lineRule="exact"/>
              <w:ind w:firstLine="420" w:firstLineChars="200"/>
              <w:rPr>
                <w:rFonts w:hint="eastAsia" w:ascii="宋体" w:hAnsi="宋体" w:cs="宋体"/>
                <w:szCs w:val="21"/>
                <w:lang w:val="en-US" w:eastAsia="zh-CN"/>
              </w:rPr>
            </w:pPr>
            <w:r>
              <w:rPr>
                <w:rFonts w:hint="eastAsia" w:ascii="宋体" w:hAnsi="宋体" w:cs="宋体"/>
                <w:szCs w:val="21"/>
              </w:rPr>
              <w:t>4.交货方式：现场交货。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80" w:lineRule="exact"/>
              <w:rPr>
                <w:rFonts w:hint="eastAsia" w:ascii="宋体" w:hAnsi="宋体" w:cs="宋体"/>
                <w:szCs w:val="21"/>
                <w:lang w:val="en-US" w:eastAsia="zh-CN"/>
              </w:rPr>
            </w:pPr>
            <w:r>
              <w:rPr>
                <w:rFonts w:hint="eastAsia" w:ascii="宋体" w:hAnsi="宋体" w:cs="宋体"/>
                <w:szCs w:val="21"/>
              </w:rPr>
              <w:t>质保期</w:t>
            </w:r>
          </w:p>
        </w:tc>
        <w:tc>
          <w:tcPr>
            <w:tcW w:w="458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80" w:lineRule="exact"/>
              <w:ind w:firstLine="420" w:firstLineChars="200"/>
              <w:rPr>
                <w:rFonts w:hint="eastAsia" w:ascii="宋体" w:hAnsi="宋体" w:cs="宋体"/>
                <w:szCs w:val="21"/>
                <w:lang w:val="en-US" w:eastAsia="zh-CN"/>
              </w:rPr>
            </w:pPr>
            <w:r>
              <w:rPr>
                <w:rFonts w:hint="eastAsia" w:ascii="宋体" w:hAnsi="宋体" w:cs="宋体"/>
                <w:szCs w:val="21"/>
              </w:rPr>
              <w:t>按国家有关产品“三包”规定执行“三包”，自货物验收合格之日起计算，产品质保</w:t>
            </w:r>
            <w:r>
              <w:rPr>
                <w:rFonts w:hint="eastAsia" w:ascii="宋体" w:hAnsi="宋体" w:cs="宋体"/>
                <w:szCs w:val="21"/>
                <w:lang w:eastAsia="zh-CN"/>
              </w:rPr>
              <w:t>期为</w:t>
            </w:r>
            <w:r>
              <w:rPr>
                <w:rFonts w:hint="eastAsia" w:ascii="宋体" w:hAnsi="宋体" w:cs="宋体"/>
                <w:szCs w:val="21"/>
              </w:rPr>
              <w:t>3年（“技术参数要求”有要求的则按其要求）。若厂家质保期超过此年限的</w:t>
            </w:r>
            <w:r>
              <w:rPr>
                <w:rFonts w:hint="eastAsia" w:ascii="宋体" w:hAnsi="宋体" w:cs="宋体"/>
                <w:szCs w:val="21"/>
                <w:lang w:eastAsia="zh-CN"/>
              </w:rPr>
              <w:t>，在</w:t>
            </w:r>
            <w:r>
              <w:rPr>
                <w:rFonts w:hint="eastAsia" w:ascii="宋体" w:hAnsi="宋体" w:cs="宋体"/>
                <w:szCs w:val="21"/>
              </w:rPr>
              <w:t>合同履行过程中按厂家规定执行。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80" w:lineRule="exact"/>
              <w:rPr>
                <w:rFonts w:hint="eastAsia" w:ascii="宋体" w:hAnsi="宋体" w:cs="宋体"/>
                <w:szCs w:val="21"/>
                <w:lang w:val="en-US" w:eastAsia="zh-CN"/>
              </w:rPr>
            </w:pPr>
            <w:r>
              <w:rPr>
                <w:rFonts w:hint="eastAsia" w:ascii="宋体" w:hAnsi="宋体" w:cs="宋体"/>
                <w:szCs w:val="21"/>
              </w:rPr>
              <w:t>售后服务要求</w:t>
            </w:r>
          </w:p>
        </w:tc>
        <w:tc>
          <w:tcPr>
            <w:tcW w:w="458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80" w:lineRule="exact"/>
              <w:ind w:firstLine="420" w:firstLineChars="200"/>
              <w:rPr>
                <w:rFonts w:ascii="宋体" w:hAnsi="宋体" w:cs="宋体"/>
                <w:szCs w:val="21"/>
              </w:rPr>
            </w:pPr>
            <w:r>
              <w:rPr>
                <w:rFonts w:hint="eastAsia" w:ascii="宋体" w:hAnsi="宋体" w:cs="宋体"/>
                <w:szCs w:val="21"/>
              </w:rPr>
              <w:t>1.中标供应商按采购人指定的地点负责送货上门、安装、调试，负责培训使用人员和维护人员。</w:t>
            </w:r>
          </w:p>
          <w:p>
            <w:pPr>
              <w:spacing w:line="380" w:lineRule="exact"/>
              <w:ind w:firstLine="420" w:firstLineChars="200"/>
              <w:rPr>
                <w:rFonts w:ascii="宋体" w:hAnsi="宋体" w:cs="宋体"/>
                <w:szCs w:val="21"/>
              </w:rPr>
            </w:pPr>
            <w:r>
              <w:rPr>
                <w:rFonts w:hint="eastAsia" w:ascii="宋体" w:hAnsi="宋体" w:cs="宋体"/>
                <w:color w:val="auto"/>
                <w:szCs w:val="21"/>
              </w:rPr>
              <w:t>2.中标供应商必须在交货后10个工作日内进行安装、配线以及软硬件的测试和调整服务，并于30个工作日内完成相关安装调试服务。提供用户管理人员的现场操作使用及基本维护的培训服务。中标供应商在施工、安装、调试等全</w:t>
            </w:r>
            <w:r>
              <w:rPr>
                <w:rFonts w:hint="eastAsia" w:ascii="宋体" w:hAnsi="宋体" w:cs="宋体"/>
                <w:szCs w:val="21"/>
              </w:rPr>
              <w:t>过程中接受采购人的监督。</w:t>
            </w:r>
          </w:p>
          <w:p>
            <w:pPr>
              <w:spacing w:line="380" w:lineRule="exact"/>
              <w:ind w:firstLine="420" w:firstLineChars="200"/>
              <w:rPr>
                <w:rFonts w:ascii="宋体" w:hAnsi="宋体" w:cs="宋体"/>
                <w:szCs w:val="21"/>
              </w:rPr>
            </w:pPr>
            <w:r>
              <w:rPr>
                <w:rFonts w:hint="eastAsia" w:ascii="宋体" w:hAnsi="宋体" w:cs="宋体"/>
                <w:szCs w:val="21"/>
              </w:rPr>
              <w:t>3.在质保期内，供应商应对货物出现的质量及安全问题负责处理解决并承担一切费用。</w:t>
            </w:r>
          </w:p>
          <w:p>
            <w:pPr>
              <w:spacing w:line="380" w:lineRule="exact"/>
              <w:ind w:firstLine="420" w:firstLineChars="200"/>
              <w:rPr>
                <w:rFonts w:ascii="宋体" w:hAnsi="宋体" w:cs="宋体"/>
                <w:szCs w:val="21"/>
              </w:rPr>
            </w:pPr>
            <w:r>
              <w:rPr>
                <w:rFonts w:hint="eastAsia" w:ascii="宋体" w:hAnsi="宋体" w:cs="宋体"/>
                <w:szCs w:val="21"/>
              </w:rPr>
              <w:t>4.质保期内出现无法排除的故障，供应商无条件更换同型号产品。</w:t>
            </w:r>
          </w:p>
          <w:p>
            <w:pPr>
              <w:spacing w:line="380" w:lineRule="exact"/>
              <w:ind w:firstLine="420" w:firstLineChars="200"/>
              <w:rPr>
                <w:rFonts w:ascii="宋体" w:hAnsi="宋体" w:cs="宋体"/>
                <w:szCs w:val="21"/>
              </w:rPr>
            </w:pPr>
            <w:r>
              <w:rPr>
                <w:rFonts w:hint="eastAsia" w:ascii="宋体" w:hAnsi="宋体" w:cs="宋体"/>
                <w:szCs w:val="21"/>
              </w:rPr>
              <w:t>5.在质保期满后，根据双方协商另行签订维保合同。</w:t>
            </w:r>
          </w:p>
          <w:p>
            <w:pPr>
              <w:spacing w:line="380" w:lineRule="exact"/>
              <w:ind w:firstLine="420" w:firstLineChars="200"/>
              <w:rPr>
                <w:rFonts w:ascii="宋体" w:hAnsi="宋体" w:cs="宋体"/>
                <w:szCs w:val="21"/>
              </w:rPr>
            </w:pPr>
            <w:r>
              <w:rPr>
                <w:rFonts w:hint="eastAsia" w:ascii="宋体" w:hAnsi="宋体" w:cs="宋体"/>
                <w:szCs w:val="21"/>
              </w:rPr>
              <w:t>6.因人为因素出现的故障不在免费保修范围内。</w:t>
            </w:r>
          </w:p>
          <w:p>
            <w:pPr>
              <w:spacing w:line="380" w:lineRule="exact"/>
              <w:ind w:firstLine="420" w:firstLineChars="200"/>
              <w:rPr>
                <w:rFonts w:ascii="宋体" w:hAnsi="宋体" w:cs="宋体"/>
                <w:szCs w:val="21"/>
              </w:rPr>
            </w:pPr>
            <w:r>
              <w:rPr>
                <w:rFonts w:hint="eastAsia" w:ascii="宋体" w:hAnsi="宋体" w:cs="宋体"/>
                <w:szCs w:val="21"/>
              </w:rPr>
              <w:t>7.中标供应商接到故障通知后，在2小时内需要作出响应，6小时内进行电话、网上诊断协助排除故障，如需现场处理故障的，应在24小时内到达采购人指定现场排除故障。</w:t>
            </w:r>
          </w:p>
          <w:p>
            <w:pPr>
              <w:spacing w:line="380" w:lineRule="exact"/>
              <w:ind w:firstLine="420" w:firstLineChars="200"/>
              <w:rPr>
                <w:rFonts w:hint="eastAsia" w:ascii="宋体" w:hAnsi="宋体" w:cs="宋体"/>
                <w:szCs w:val="21"/>
                <w:lang w:val="en-US" w:eastAsia="zh-CN"/>
              </w:rPr>
            </w:pPr>
            <w:r>
              <w:rPr>
                <w:rFonts w:hint="eastAsia" w:ascii="宋体" w:hAnsi="宋体" w:cs="宋体"/>
                <w:szCs w:val="21"/>
              </w:rPr>
              <w:t>8.质保期外维修响应时间：如果系统出现故障，在接到维修服务的请求后，中标供应商工程师应在2小时内作出响应，6小时内进行电话指导、网上诊断协助排除故障。必要时，在48小时内到达现场，重大问题或其他无法迅速解决的问题应在5个工作日内解决或提出明确解决方案（具体以维保合同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80" w:lineRule="exact"/>
              <w:rPr>
                <w:rFonts w:hint="eastAsia" w:ascii="宋体" w:hAnsi="宋体" w:cs="宋体"/>
                <w:szCs w:val="21"/>
                <w:lang w:val="en-US" w:eastAsia="zh-CN"/>
              </w:rPr>
            </w:pPr>
            <w:r>
              <w:rPr>
                <w:rFonts w:hint="eastAsia" w:ascii="宋体" w:hAnsi="宋体" w:cs="宋体"/>
                <w:szCs w:val="21"/>
              </w:rPr>
              <w:t>付款方式</w:t>
            </w:r>
          </w:p>
        </w:tc>
        <w:tc>
          <w:tcPr>
            <w:tcW w:w="458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80" w:lineRule="exact"/>
              <w:ind w:firstLine="420" w:firstLineChars="200"/>
              <w:rPr>
                <w:rFonts w:ascii="宋体" w:hAnsi="宋体" w:cs="宋体"/>
                <w:szCs w:val="21"/>
              </w:rPr>
            </w:pPr>
            <w:r>
              <w:rPr>
                <w:rFonts w:hint="eastAsia" w:ascii="宋体" w:hAnsi="宋体" w:cs="宋体"/>
                <w:szCs w:val="21"/>
              </w:rPr>
              <w:t>1.项目合同、担保措施生效以及具备实施条件后10个工作日内，采购人通过银行转账的方式向中标供应商支付合同总金额的30%预付款；中标供应商实施完成本项目，并通过采购人审核验收，在通过验收后的10个工作日内，支付合同总金额的70%。</w:t>
            </w:r>
          </w:p>
          <w:p>
            <w:pPr>
              <w:spacing w:line="380" w:lineRule="exact"/>
              <w:ind w:firstLine="420" w:firstLineChars="200"/>
              <w:rPr>
                <w:rFonts w:ascii="宋体" w:hAnsi="宋体" w:cs="宋体"/>
                <w:szCs w:val="21"/>
              </w:rPr>
            </w:pPr>
            <w:r>
              <w:rPr>
                <w:rFonts w:hint="eastAsia" w:ascii="宋体" w:hAnsi="宋体" w:cs="宋体"/>
                <w:szCs w:val="21"/>
              </w:rPr>
              <w:t>2.采购人付款前，中标供应商应向采购人开具等额有效的增值税发票，采购人未收到合格有效发票的，有权不予支付相应款项直至中标供应商提供合格发票，并不承担延迟付款责任。发票认证通过是付款的必要前提之一。</w:t>
            </w:r>
          </w:p>
          <w:p>
            <w:pPr>
              <w:spacing w:line="380" w:lineRule="exact"/>
              <w:ind w:firstLine="420" w:firstLineChars="200"/>
              <w:rPr>
                <w:rFonts w:hint="eastAsia" w:ascii="宋体" w:hAnsi="宋体" w:cs="宋体"/>
                <w:szCs w:val="21"/>
                <w:lang w:val="en-US" w:eastAsia="zh-CN"/>
              </w:rPr>
            </w:pPr>
            <w:r>
              <w:rPr>
                <w:rFonts w:hint="eastAsia" w:ascii="宋体" w:hAnsi="宋体" w:cs="宋体"/>
                <w:szCs w:val="21"/>
              </w:rPr>
              <w:t>3.付款方式：银行转账。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spacing w:line="380" w:lineRule="exact"/>
              <w:rPr>
                <w:rFonts w:hint="eastAsia" w:ascii="宋体" w:hAnsi="宋体" w:cs="宋体"/>
                <w:szCs w:val="21"/>
                <w:lang w:val="en-US" w:eastAsia="zh-CN"/>
              </w:rPr>
            </w:pPr>
            <w:r>
              <w:rPr>
                <w:rFonts w:hint="eastAsia" w:ascii="宋体" w:hAnsi="宋体" w:cs="宋体"/>
                <w:szCs w:val="21"/>
              </w:rPr>
              <w:t>履约保证金</w:t>
            </w:r>
          </w:p>
        </w:tc>
        <w:tc>
          <w:tcPr>
            <w:tcW w:w="458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pStyle w:val="24"/>
              <w:snapToGrid w:val="0"/>
              <w:spacing w:line="380" w:lineRule="exact"/>
              <w:ind w:firstLine="420" w:firstLineChars="200"/>
              <w:outlineLvl w:val="0"/>
              <w:rPr>
                <w:rFonts w:hAnsi="宋体" w:cs="宋体"/>
                <w:sz w:val="21"/>
              </w:rPr>
            </w:pPr>
            <w:r>
              <w:rPr>
                <w:rFonts w:hint="eastAsia" w:hAnsi="宋体" w:cs="宋体"/>
                <w:sz w:val="21"/>
              </w:rPr>
              <w:t>1.履约保证金金额：中标金额的5%。（若中标供应商被认定为中小企业的，履约保证金数额将按中标金额的2%收取）</w:t>
            </w:r>
          </w:p>
          <w:p>
            <w:pPr>
              <w:pStyle w:val="24"/>
              <w:snapToGrid w:val="0"/>
              <w:spacing w:line="380" w:lineRule="exact"/>
              <w:ind w:firstLine="420" w:firstLineChars="200"/>
              <w:outlineLvl w:val="0"/>
              <w:rPr>
                <w:rFonts w:hAnsi="宋体" w:cs="宋体"/>
                <w:sz w:val="21"/>
              </w:rPr>
            </w:pPr>
            <w:r>
              <w:rPr>
                <w:rFonts w:hint="eastAsia" w:hAnsi="宋体" w:cs="宋体"/>
                <w:sz w:val="21"/>
              </w:rPr>
              <w:t>2.履约保证金递交方式：银行转账、电汇、网上支付、支票、汇票、本票、保函等非现金形式。</w:t>
            </w:r>
          </w:p>
          <w:p>
            <w:pPr>
              <w:pStyle w:val="24"/>
              <w:snapToGrid w:val="0"/>
              <w:spacing w:line="380" w:lineRule="exact"/>
              <w:ind w:firstLine="420" w:firstLineChars="200"/>
              <w:outlineLvl w:val="0"/>
              <w:rPr>
                <w:rFonts w:hAnsi="宋体" w:cs="宋体"/>
                <w:sz w:val="21"/>
              </w:rPr>
            </w:pPr>
            <w:r>
              <w:rPr>
                <w:rFonts w:hint="eastAsia" w:hAnsi="宋体" w:cs="宋体"/>
                <w:sz w:val="21"/>
              </w:rPr>
              <w:t>3.履约保证金递交时间：签订合同前5个工作日内由中标供应商转入采购人指定保证金账户。</w:t>
            </w:r>
          </w:p>
          <w:p>
            <w:pPr>
              <w:pStyle w:val="24"/>
              <w:snapToGrid w:val="0"/>
              <w:spacing w:line="380" w:lineRule="exact"/>
              <w:ind w:firstLine="420" w:firstLineChars="200"/>
              <w:outlineLvl w:val="0"/>
              <w:rPr>
                <w:rFonts w:hAnsi="宋体" w:cs="宋体"/>
                <w:sz w:val="21"/>
              </w:rPr>
            </w:pPr>
            <w:r>
              <w:rPr>
                <w:rFonts w:hint="eastAsia" w:hAnsi="宋体" w:cs="宋体"/>
                <w:sz w:val="21"/>
              </w:rPr>
              <w:t>4.履约保证金退还：履约完成并验收合格后无质量问题，中标供应商提供《政府采购项目履约保证金退付意见书》及《政府采购项目合同验收报告》，向采购人提出书面申请退还，采购人在收到申请后十五个工作日内以银行转账方式无息退还。保证金指定账户：</w:t>
            </w:r>
          </w:p>
          <w:p>
            <w:pPr>
              <w:pStyle w:val="24"/>
              <w:snapToGrid w:val="0"/>
              <w:spacing w:line="380" w:lineRule="exact"/>
              <w:ind w:firstLine="420" w:firstLineChars="200"/>
              <w:outlineLvl w:val="0"/>
              <w:rPr>
                <w:rFonts w:hAnsi="宋体" w:cs="宋体"/>
                <w:sz w:val="21"/>
              </w:rPr>
            </w:pPr>
            <w:r>
              <w:rPr>
                <w:rFonts w:hint="eastAsia" w:hAnsi="宋体" w:cs="宋体"/>
                <w:sz w:val="21"/>
              </w:rPr>
              <w:t>开户名：广西工业职业技术学院</w:t>
            </w:r>
          </w:p>
          <w:p>
            <w:pPr>
              <w:pStyle w:val="24"/>
              <w:snapToGrid w:val="0"/>
              <w:spacing w:line="380" w:lineRule="exact"/>
              <w:ind w:firstLine="420" w:firstLineChars="200"/>
              <w:outlineLvl w:val="0"/>
              <w:rPr>
                <w:rFonts w:hAnsi="宋体" w:cs="宋体"/>
                <w:sz w:val="21"/>
              </w:rPr>
            </w:pPr>
            <w:r>
              <w:rPr>
                <w:rFonts w:hint="eastAsia" w:hAnsi="宋体" w:cs="宋体"/>
                <w:sz w:val="21"/>
              </w:rPr>
              <w:t>开户行：广西北部湾银行南宁市衡阳路支行</w:t>
            </w:r>
          </w:p>
          <w:p>
            <w:pPr>
              <w:pStyle w:val="24"/>
              <w:snapToGrid w:val="0"/>
              <w:spacing w:line="380" w:lineRule="exact"/>
              <w:ind w:firstLine="420" w:firstLineChars="200"/>
              <w:outlineLvl w:val="0"/>
              <w:rPr>
                <w:rFonts w:hint="eastAsia" w:ascii="宋体" w:hAnsi="宋体" w:cs="宋体"/>
                <w:szCs w:val="21"/>
                <w:lang w:val="en-US" w:eastAsia="zh-CN"/>
              </w:rPr>
            </w:pPr>
            <w:r>
              <w:rPr>
                <w:rFonts w:hint="eastAsia" w:hAnsi="宋体" w:cs="宋体"/>
                <w:sz w:val="21"/>
              </w:rPr>
              <w:t>账号：1702012200017200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80" w:lineRule="exact"/>
              <w:rPr>
                <w:rFonts w:hint="eastAsia" w:ascii="宋体" w:hAnsi="宋体" w:cs="宋体"/>
                <w:szCs w:val="21"/>
                <w:lang w:val="en-US" w:eastAsia="zh-CN"/>
              </w:rPr>
            </w:pPr>
            <w:r>
              <w:rPr>
                <w:rFonts w:hint="eastAsia" w:ascii="宋体" w:hAnsi="宋体" w:cs="宋体"/>
                <w:szCs w:val="21"/>
              </w:rPr>
              <w:t>报价及要求</w:t>
            </w:r>
          </w:p>
        </w:tc>
        <w:tc>
          <w:tcPr>
            <w:tcW w:w="458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80" w:lineRule="exact"/>
              <w:ind w:firstLine="420" w:firstLineChars="200"/>
              <w:rPr>
                <w:rFonts w:ascii="宋体" w:hAnsi="宋体" w:cs="宋体"/>
                <w:szCs w:val="21"/>
              </w:rPr>
            </w:pPr>
            <w:r>
              <w:rPr>
                <w:rFonts w:hint="eastAsia" w:ascii="宋体" w:hAnsi="宋体" w:cs="宋体"/>
                <w:szCs w:val="21"/>
              </w:rPr>
              <w:t>1.投标人的投标报价为人民币含税价，本项目实行总价包干且为采购人指定地点的现场交货价。投标报价包含设备及服务所需的一切费用总和，包括但不限于货物价格、标准附件、备品备件、专用工具、包装、运输、装卸、保管、验收、产品检验检测、培训、售后服务、技术支持、人员服务、保险、招标代理服务费、税金等，以及合同明示所有责任、义务和一般风险等，采购人不再支付任何费用。</w:t>
            </w:r>
          </w:p>
          <w:p>
            <w:pPr>
              <w:spacing w:line="380" w:lineRule="exact"/>
              <w:ind w:firstLine="420" w:firstLineChars="200"/>
              <w:rPr>
                <w:rFonts w:ascii="宋体" w:hAnsi="宋体" w:cs="宋体"/>
                <w:szCs w:val="21"/>
              </w:rPr>
            </w:pPr>
            <w:r>
              <w:rPr>
                <w:rFonts w:hint="eastAsia" w:ascii="宋体" w:hAnsi="宋体" w:cs="宋体"/>
                <w:szCs w:val="21"/>
              </w:rPr>
              <w:t>2.包装和运输</w:t>
            </w:r>
          </w:p>
          <w:p>
            <w:pPr>
              <w:spacing w:line="380" w:lineRule="exact"/>
              <w:ind w:firstLine="420" w:firstLineChars="200"/>
              <w:rPr>
                <w:rFonts w:ascii="宋体" w:hAnsi="宋体" w:cs="宋体"/>
                <w:szCs w:val="21"/>
              </w:rPr>
            </w:pPr>
            <w:r>
              <w:rPr>
                <w:rFonts w:hint="eastAsia" w:ascii="宋体" w:hAnsi="宋体" w:cs="宋体"/>
                <w:szCs w:val="21"/>
              </w:rPr>
              <w:t>（1）原厂原包装，包装完好、完整无破损、未开封。</w:t>
            </w:r>
          </w:p>
          <w:p>
            <w:pPr>
              <w:spacing w:line="380" w:lineRule="exact"/>
              <w:ind w:firstLine="420" w:firstLineChars="200"/>
              <w:rPr>
                <w:rFonts w:ascii="宋体" w:hAnsi="宋体" w:cs="宋体"/>
                <w:szCs w:val="21"/>
              </w:rPr>
            </w:pPr>
            <w:r>
              <w:rPr>
                <w:rFonts w:hint="eastAsia" w:ascii="宋体" w:hAnsi="宋体" w:cs="宋体"/>
                <w:szCs w:val="21"/>
              </w:rPr>
              <w:t>（2）包装及运输方式应综合考虑运输距离、防潮、防震、防破损、装卸等要求。</w:t>
            </w:r>
          </w:p>
          <w:p>
            <w:pPr>
              <w:spacing w:line="380" w:lineRule="exact"/>
              <w:ind w:firstLine="420" w:firstLineChars="200"/>
              <w:rPr>
                <w:rFonts w:ascii="宋体" w:hAnsi="宋体" w:cs="宋体"/>
                <w:szCs w:val="21"/>
              </w:rPr>
            </w:pPr>
            <w:r>
              <w:rPr>
                <w:rFonts w:hint="eastAsia" w:ascii="宋体" w:hAnsi="宋体" w:cs="宋体"/>
                <w:szCs w:val="21"/>
              </w:rPr>
              <w:t>（3）国家对包装及运输有相关强制性标准或要求的，供应商应当执行。</w:t>
            </w:r>
          </w:p>
          <w:p>
            <w:pPr>
              <w:spacing w:line="380" w:lineRule="exact"/>
              <w:ind w:firstLine="420" w:firstLineChars="200"/>
              <w:rPr>
                <w:rFonts w:ascii="宋体" w:hAnsi="宋体" w:cs="宋体"/>
                <w:szCs w:val="21"/>
              </w:rPr>
            </w:pPr>
            <w:r>
              <w:rPr>
                <w:rFonts w:hint="eastAsia" w:ascii="宋体" w:hAnsi="宋体" w:cs="宋体"/>
                <w:szCs w:val="21"/>
              </w:rPr>
              <w:t>（4）产品（含包装）运抵采购人指定交付地点前发生损坏的，相关损失由供应商自行承担。</w:t>
            </w:r>
          </w:p>
          <w:p>
            <w:pPr>
              <w:spacing w:line="380" w:lineRule="exact"/>
              <w:ind w:firstLine="420" w:firstLineChars="200"/>
              <w:rPr>
                <w:rFonts w:ascii="宋体" w:hAnsi="宋体" w:cs="宋体"/>
                <w:szCs w:val="21"/>
              </w:rPr>
            </w:pPr>
            <w:r>
              <w:rPr>
                <w:rFonts w:hint="eastAsia" w:ascii="宋体" w:hAnsi="宋体" w:cs="宋体"/>
                <w:szCs w:val="21"/>
              </w:rPr>
              <w:t>3.保险。若供应商为本项目标的及标的涉及的相关材料、产品、人员、运输等购买保险的，相关费用由供应商自行承担。</w:t>
            </w:r>
          </w:p>
          <w:p>
            <w:pPr>
              <w:spacing w:line="380" w:lineRule="exact"/>
              <w:ind w:firstLine="420" w:firstLineChars="200"/>
              <w:rPr>
                <w:rFonts w:hint="eastAsia" w:ascii="宋体" w:hAnsi="宋体" w:cs="宋体"/>
                <w:szCs w:val="21"/>
                <w:lang w:val="en-US" w:eastAsia="zh-CN"/>
              </w:rPr>
            </w:pPr>
            <w:r>
              <w:rPr>
                <w:rFonts w:hint="eastAsia" w:ascii="宋体" w:hAnsi="宋体" w:cs="宋体"/>
                <w:szCs w:val="21"/>
              </w:rPr>
              <w:t>4.在产品验收时，如发现存在虚假响应，采购人将终止合同，并上报监督管理部门进行处罚。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80" w:lineRule="exact"/>
              <w:rPr>
                <w:rFonts w:hint="eastAsia" w:ascii="宋体" w:hAnsi="宋体" w:cs="宋体"/>
                <w:szCs w:val="21"/>
                <w:lang w:val="en-US" w:eastAsia="zh-CN"/>
              </w:rPr>
            </w:pPr>
            <w:r>
              <w:rPr>
                <w:rFonts w:hint="eastAsia" w:ascii="宋体" w:hAnsi="宋体" w:cs="宋体"/>
                <w:szCs w:val="21"/>
              </w:rPr>
              <w:t>知识产权</w:t>
            </w:r>
          </w:p>
        </w:tc>
        <w:tc>
          <w:tcPr>
            <w:tcW w:w="458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80" w:lineRule="exact"/>
              <w:ind w:right="-57" w:rightChars="-27" w:firstLine="420" w:firstLineChars="200"/>
              <w:rPr>
                <w:rFonts w:hint="eastAsia" w:ascii="宋体" w:hAnsi="宋体" w:cs="宋体"/>
                <w:szCs w:val="21"/>
                <w:lang w:val="en-US" w:eastAsia="zh-CN"/>
              </w:rPr>
            </w:pPr>
            <w:r>
              <w:rPr>
                <w:rFonts w:hint="eastAsia" w:ascii="宋体" w:hAnsi="宋体" w:cs="宋体"/>
                <w:szCs w:val="21"/>
              </w:rPr>
              <w:t>中标供应商保证所提供的产品及服务涉及的知识产权和相关技术资料是合法取得的，采购人在使用产品及服务时不会侵犯任何第三方的专利权、商标权、工业设计权或其他权利，不会因为采购人的使用遭受第三方侵权指控，包括被责令致歉、停止使用、追偿或要求赔偿损失等。否则，中标供应商负责解决由此引起的一切纠纷，采购人有权追究中标供应商的法律责任，其不利后果由中标供应商全部承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spacing w:line="380" w:lineRule="exact"/>
              <w:rPr>
                <w:rFonts w:hint="eastAsia" w:ascii="宋体" w:hAnsi="宋体" w:cs="宋体"/>
                <w:szCs w:val="21"/>
                <w:lang w:val="en-US" w:eastAsia="zh-CN"/>
              </w:rPr>
            </w:pPr>
            <w:r>
              <w:rPr>
                <w:rFonts w:hint="eastAsia" w:ascii="宋体" w:hAnsi="宋体" w:cs="宋体"/>
                <w:szCs w:val="21"/>
              </w:rPr>
              <w:t>验收要求</w:t>
            </w:r>
          </w:p>
        </w:tc>
        <w:tc>
          <w:tcPr>
            <w:tcW w:w="458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pStyle w:val="24"/>
              <w:snapToGrid w:val="0"/>
              <w:spacing w:line="380" w:lineRule="exact"/>
              <w:outlineLvl w:val="0"/>
              <w:rPr>
                <w:rFonts w:hAnsi="宋体" w:cs="宋体"/>
                <w:sz w:val="21"/>
              </w:rPr>
            </w:pPr>
            <w:r>
              <w:rPr>
                <w:rFonts w:hint="eastAsia" w:hAnsi="宋体" w:cs="宋体"/>
                <w:sz w:val="21"/>
              </w:rPr>
              <w:t>1.采购人可以根据采购项目具体情况自行组织验收，或者委托第三方机构或部门开展采购项目履约验收工作，验收过程中所产生的费用均由中标供应商承担，投标人在投标报价时应考虑相关费用。</w:t>
            </w:r>
          </w:p>
          <w:p>
            <w:pPr>
              <w:pStyle w:val="24"/>
              <w:snapToGrid w:val="0"/>
              <w:spacing w:line="380" w:lineRule="exact"/>
              <w:outlineLvl w:val="0"/>
              <w:rPr>
                <w:rFonts w:hAnsi="宋体" w:cs="宋体"/>
                <w:sz w:val="21"/>
              </w:rPr>
            </w:pPr>
            <w:r>
              <w:rPr>
                <w:rFonts w:hint="eastAsia" w:hAnsi="宋体" w:cs="宋体"/>
                <w:sz w:val="21"/>
              </w:rPr>
              <w:t>2.在验收过程中发现中标供应商有违约问题，可暂缓资金结算，待违约问题解决后，方可办理资金结算事宜。</w:t>
            </w:r>
          </w:p>
          <w:p>
            <w:pPr>
              <w:pStyle w:val="24"/>
              <w:snapToGrid w:val="0"/>
              <w:spacing w:line="380" w:lineRule="exact"/>
              <w:outlineLvl w:val="0"/>
              <w:rPr>
                <w:rFonts w:hAnsi="宋体" w:cs="宋体"/>
                <w:sz w:val="21"/>
              </w:rPr>
            </w:pPr>
            <w:r>
              <w:rPr>
                <w:rFonts w:hint="eastAsia" w:hAnsi="宋体" w:cs="宋体"/>
                <w:sz w:val="21"/>
              </w:rPr>
              <w:t>3.验收依据：按合同（含本招标文件采购需求、中标供应商投标文件承诺）要求及国家标准进行验收。</w:t>
            </w:r>
          </w:p>
          <w:p>
            <w:pPr>
              <w:pStyle w:val="24"/>
              <w:snapToGrid w:val="0"/>
              <w:spacing w:line="380" w:lineRule="exact"/>
              <w:outlineLvl w:val="0"/>
              <w:rPr>
                <w:rFonts w:hAnsi="宋体" w:cs="宋体"/>
                <w:sz w:val="21"/>
              </w:rPr>
            </w:pPr>
            <w:r>
              <w:rPr>
                <w:rFonts w:hint="eastAsia" w:hAnsi="宋体" w:cs="宋体"/>
                <w:sz w:val="21"/>
              </w:rPr>
              <w:t>4.验收标准</w:t>
            </w:r>
          </w:p>
          <w:p>
            <w:pPr>
              <w:pStyle w:val="24"/>
              <w:snapToGrid w:val="0"/>
              <w:spacing w:line="380" w:lineRule="exact"/>
              <w:outlineLvl w:val="0"/>
              <w:rPr>
                <w:rFonts w:hAnsi="宋体" w:cs="宋体"/>
                <w:sz w:val="21"/>
              </w:rPr>
            </w:pPr>
            <w:r>
              <w:rPr>
                <w:rFonts w:hint="eastAsia" w:hAnsi="宋体" w:cs="宋体"/>
                <w:sz w:val="21"/>
              </w:rPr>
              <w:t>（1）中标供应商按采购人需求清单进行供货，货物交到指定地点后，双方现场进行货品清点。供应商交付的产品须符合有效期要求。</w:t>
            </w:r>
          </w:p>
          <w:p>
            <w:pPr>
              <w:pStyle w:val="24"/>
              <w:snapToGrid w:val="0"/>
              <w:spacing w:line="380" w:lineRule="exact"/>
              <w:outlineLvl w:val="0"/>
              <w:rPr>
                <w:rFonts w:hAnsi="宋体" w:cs="宋体"/>
                <w:sz w:val="21"/>
              </w:rPr>
            </w:pPr>
            <w:r>
              <w:rPr>
                <w:rFonts w:hint="eastAsia" w:hAnsi="宋体" w:cs="宋体"/>
                <w:sz w:val="21"/>
              </w:rPr>
              <w:t>（2）供应商必须按投标文件和合同约定的品牌、规格供货，验收不合格时，中标供应商必须在采购人指定的时间内无条件更换，由此造成的损失和责任由供应商承担。货物交付并验收合格，双方签署验收单，作为合同款结算依据。如出现停产等问题，供应商在获得厂家说明和承诺的前提下，经采购人同意可以用质量更优于合同约定的产品进行替代交付，价格不变。如采购人不同意更换的，供应商应同意采购人扣减对应产品的费用。</w:t>
            </w:r>
          </w:p>
          <w:p>
            <w:pPr>
              <w:pStyle w:val="24"/>
              <w:snapToGrid w:val="0"/>
              <w:spacing w:line="380" w:lineRule="exact"/>
              <w:outlineLvl w:val="0"/>
              <w:rPr>
                <w:rFonts w:hAnsi="宋体" w:cs="宋体"/>
                <w:sz w:val="21"/>
              </w:rPr>
            </w:pPr>
            <w:r>
              <w:rPr>
                <w:rFonts w:hint="eastAsia" w:hAnsi="宋体" w:cs="宋体"/>
                <w:sz w:val="21"/>
              </w:rPr>
              <w:t>（3）如有抽检要求的，检测结果应符合招标文件采购需求及采购合同约定的要求。</w:t>
            </w:r>
          </w:p>
          <w:p>
            <w:pPr>
              <w:pStyle w:val="24"/>
              <w:snapToGrid w:val="0"/>
              <w:spacing w:line="380" w:lineRule="exact"/>
              <w:outlineLvl w:val="0"/>
              <w:rPr>
                <w:rFonts w:hAnsi="宋体" w:cs="宋体"/>
                <w:sz w:val="21"/>
              </w:rPr>
            </w:pPr>
            <w:r>
              <w:rPr>
                <w:rFonts w:hint="eastAsia" w:hAnsi="宋体" w:cs="宋体"/>
                <w:sz w:val="21"/>
              </w:rPr>
              <w:t>（4）所有产品均已运输至指定地点。</w:t>
            </w:r>
          </w:p>
          <w:p>
            <w:pPr>
              <w:pStyle w:val="24"/>
              <w:snapToGrid w:val="0"/>
              <w:spacing w:line="380" w:lineRule="exact"/>
              <w:outlineLvl w:val="0"/>
              <w:rPr>
                <w:rFonts w:hAnsi="宋体" w:cs="宋体"/>
                <w:sz w:val="21"/>
              </w:rPr>
            </w:pPr>
            <w:r>
              <w:rPr>
                <w:rFonts w:hint="eastAsia" w:hAnsi="宋体" w:cs="宋体"/>
                <w:sz w:val="21"/>
              </w:rPr>
              <w:t>（5）招标文件采购需求及采购合同约定的附件、工具、技术资料等齐全；提供产品使用说明书、合格证。</w:t>
            </w:r>
          </w:p>
          <w:p>
            <w:pPr>
              <w:pStyle w:val="24"/>
              <w:snapToGrid w:val="0"/>
              <w:spacing w:line="380" w:lineRule="exact"/>
              <w:outlineLvl w:val="0"/>
              <w:rPr>
                <w:rFonts w:hAnsi="宋体" w:cs="宋体"/>
                <w:sz w:val="21"/>
              </w:rPr>
            </w:pPr>
            <w:r>
              <w:rPr>
                <w:rFonts w:hint="eastAsia" w:hAnsi="宋体" w:cs="宋体"/>
                <w:sz w:val="21"/>
              </w:rPr>
              <w:t>5.验收要求</w:t>
            </w:r>
          </w:p>
          <w:p>
            <w:pPr>
              <w:pStyle w:val="24"/>
              <w:snapToGrid w:val="0"/>
              <w:spacing w:line="380" w:lineRule="exact"/>
              <w:ind w:firstLine="420" w:firstLineChars="200"/>
              <w:outlineLvl w:val="0"/>
              <w:rPr>
                <w:rFonts w:hAnsi="宋体" w:cs="宋体"/>
                <w:sz w:val="21"/>
              </w:rPr>
            </w:pPr>
            <w:r>
              <w:rPr>
                <w:rFonts w:hint="eastAsia" w:hAnsi="宋体" w:cs="宋体"/>
                <w:sz w:val="21"/>
              </w:rPr>
              <w:t>验收小组以项目采购文件及采购合同为验收依据，对供货产品技术参数核对检验，如不符合技术参数要求的</w:t>
            </w:r>
            <w:r>
              <w:rPr>
                <w:rFonts w:hint="eastAsia" w:hAnsi="宋体" w:cs="宋体"/>
                <w:sz w:val="21"/>
                <w:lang w:eastAsia="zh-CN"/>
              </w:rPr>
              <w:t>，由</w:t>
            </w:r>
            <w:r>
              <w:rPr>
                <w:rFonts w:hint="eastAsia" w:hAnsi="宋体" w:cs="宋体"/>
                <w:sz w:val="21"/>
              </w:rPr>
              <w:t>中标供应商承担所有责任和费用。采购人保留进一步追究责任的权利。</w:t>
            </w:r>
          </w:p>
          <w:p>
            <w:pPr>
              <w:pStyle w:val="24"/>
              <w:snapToGrid w:val="0"/>
              <w:spacing w:line="380" w:lineRule="exact"/>
              <w:outlineLvl w:val="0"/>
              <w:rPr>
                <w:rFonts w:hAnsi="宋体" w:cs="宋体"/>
                <w:sz w:val="21"/>
              </w:rPr>
            </w:pPr>
            <w:r>
              <w:rPr>
                <w:rFonts w:hint="eastAsia" w:hAnsi="宋体" w:cs="宋体"/>
                <w:sz w:val="21"/>
              </w:rPr>
              <w:t>（1）中标供应商按时间节点完成货物供货后，应及时整理技术资料并作出全面检查和整理，列出清单，作为采购人验收和使用的技术条件依据，清单应交给采购人；同时以书面形式通知采购人进行验收，采购人在收到通知后五个工作日内进行验收。货物生产厂家须派授权代表参加本项目交货验收，核实所交货物的真伪；中标供应商必须到场配合，验收合格后双方在验收记录上签字确认。</w:t>
            </w:r>
          </w:p>
          <w:p>
            <w:pPr>
              <w:pStyle w:val="24"/>
              <w:snapToGrid w:val="0"/>
              <w:spacing w:line="380" w:lineRule="exact"/>
              <w:outlineLvl w:val="0"/>
              <w:rPr>
                <w:rFonts w:hAnsi="宋体" w:cs="宋体"/>
                <w:sz w:val="21"/>
              </w:rPr>
            </w:pPr>
            <w:r>
              <w:rPr>
                <w:rFonts w:hint="eastAsia" w:hAnsi="宋体" w:cs="宋体"/>
                <w:sz w:val="21"/>
              </w:rPr>
              <w:t>（2）验收小组依据招标文件技术参数条款要求和中标供应商投标响应文件内容逐条进行验收，采购人在产品验收环节发现产品的技术参数指标不符合投标文件中技术参数响应的内容，验收不合格时，有权要求中标供应商在限定期限内进行整改，如整改后二次验收仍不合格的，采购人有权拒收货物并单方面终止合同和追究中标供应商违约责任，中标供应商须赔偿采购人因采购时间延长造成的经济等方面损失，并视情形将违约情况上报政府采购监督管理部门，由此带来的一切责任由中标供应商自行承担。</w:t>
            </w:r>
          </w:p>
          <w:p>
            <w:pPr>
              <w:pStyle w:val="24"/>
              <w:snapToGrid w:val="0"/>
              <w:spacing w:line="380" w:lineRule="exact"/>
              <w:outlineLvl w:val="0"/>
              <w:rPr>
                <w:rFonts w:hAnsi="宋体" w:cs="宋体"/>
                <w:sz w:val="21"/>
              </w:rPr>
            </w:pPr>
            <w:r>
              <w:rPr>
                <w:rFonts w:hint="eastAsia" w:hAnsi="宋体" w:cs="宋体"/>
                <w:sz w:val="21"/>
              </w:rPr>
              <w:t>（3）验收时中标供应商提供验收文档，包括但不限于：技术方案、实施方案、售后服务方案、培训方案、测试文档、使用说明书、电子文档，以及对所有需要进行核查的原件等。</w:t>
            </w:r>
          </w:p>
          <w:p>
            <w:pPr>
              <w:pStyle w:val="24"/>
              <w:snapToGrid w:val="0"/>
              <w:spacing w:line="380" w:lineRule="exact"/>
              <w:outlineLvl w:val="0"/>
              <w:rPr>
                <w:rFonts w:hAnsi="宋体" w:cs="宋体"/>
                <w:sz w:val="21"/>
              </w:rPr>
            </w:pPr>
            <w:r>
              <w:rPr>
                <w:rFonts w:hint="eastAsia" w:hAnsi="宋体" w:cs="宋体"/>
                <w:sz w:val="21"/>
              </w:rPr>
              <w:t>（4）如中标供应商提供虚假材料的，除按相关规定做违约处理外，采购人依据相关法律规定追究中标供应商的责任，由此带来的一切责任及损失由中标供应商自行承担。</w:t>
            </w:r>
          </w:p>
          <w:p>
            <w:pPr>
              <w:pStyle w:val="24"/>
              <w:snapToGrid w:val="0"/>
              <w:spacing w:line="380" w:lineRule="exact"/>
              <w:outlineLvl w:val="0"/>
              <w:rPr>
                <w:rFonts w:hint="eastAsia" w:ascii="宋体" w:hAnsi="宋体" w:cs="宋体"/>
                <w:szCs w:val="21"/>
                <w:lang w:val="en-US" w:eastAsia="zh-CN"/>
              </w:rPr>
            </w:pPr>
            <w:r>
              <w:rPr>
                <w:rFonts w:hint="eastAsia" w:hAnsi="宋体" w:cs="宋体"/>
                <w:sz w:val="21"/>
              </w:rPr>
              <w:t>（5）项目验收过程中，若采购人委托第三方检测机构介入的，费用由中标供应商另行承担。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rPr>
                <w:rFonts w:hint="eastAsia" w:ascii="宋体" w:hAnsi="宋体" w:cs="宋体"/>
                <w:szCs w:val="21"/>
                <w:lang w:val="en-US" w:eastAsia="zh-CN"/>
              </w:rPr>
            </w:pPr>
            <w:r>
              <w:rPr>
                <w:rFonts w:hint="eastAsia" w:ascii="宋体" w:hAnsi="宋体" w:cs="宋体"/>
                <w:b/>
                <w:bCs/>
                <w:szCs w:val="21"/>
              </w:rPr>
              <w:t>三、与实现项目目标相关的其他要求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rPr>
                <w:rFonts w:hint="eastAsia" w:ascii="宋体" w:hAnsi="宋体" w:cs="宋体"/>
                <w:szCs w:val="21"/>
                <w:lang w:val="en-US" w:eastAsia="zh-CN"/>
              </w:rPr>
            </w:pPr>
            <w:r>
              <w:rPr>
                <w:rFonts w:hint="eastAsia" w:ascii="宋体" w:hAnsi="宋体" w:cs="宋体"/>
                <w:b/>
                <w:szCs w:val="21"/>
              </w:rPr>
              <w:t>（一）投标人的履约能力要求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rPr>
                <w:rFonts w:hint="eastAsia" w:ascii="宋体" w:hAnsi="宋体" w:cs="宋体"/>
                <w:szCs w:val="21"/>
                <w:lang w:val="en-US" w:eastAsia="zh-CN"/>
              </w:rPr>
            </w:pPr>
            <w:r>
              <w:rPr>
                <w:rFonts w:hint="eastAsia" w:ascii="宋体" w:hAnsi="宋体" w:cs="宋体"/>
                <w:szCs w:val="21"/>
              </w:rPr>
              <w:t>质量管理、企业信用要求</w:t>
            </w:r>
          </w:p>
        </w:tc>
        <w:tc>
          <w:tcPr>
            <w:tcW w:w="458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ascii="宋体" w:hAnsi="宋体" w:cs="宋体"/>
                <w:szCs w:val="21"/>
                <w:lang w:val="en-US" w:eastAsia="zh-CN"/>
              </w:rPr>
            </w:pPr>
            <w:r>
              <w:rPr>
                <w:rFonts w:hint="eastAsia" w:ascii="宋体" w:hAnsi="宋体" w:cs="宋体"/>
                <w:szCs w:val="21"/>
              </w:rPr>
              <w:t>如有，请结合本招标文件第四章“评标办法及评分标准”在投标文件中自行提供。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rPr>
                <w:rFonts w:hint="eastAsia" w:ascii="宋体" w:hAnsi="宋体" w:cs="宋体"/>
                <w:szCs w:val="21"/>
                <w:lang w:val="en-US" w:eastAsia="zh-CN"/>
              </w:rPr>
            </w:pPr>
            <w:r>
              <w:rPr>
                <w:rFonts w:hint="eastAsia" w:ascii="宋体" w:hAnsi="宋体" w:cs="宋体"/>
                <w:szCs w:val="21"/>
              </w:rPr>
              <w:t>能力或者业绩要求</w:t>
            </w:r>
          </w:p>
        </w:tc>
        <w:tc>
          <w:tcPr>
            <w:tcW w:w="458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ascii="宋体" w:hAnsi="宋体" w:cs="宋体"/>
                <w:szCs w:val="21"/>
                <w:lang w:val="en-US" w:eastAsia="zh-CN"/>
              </w:rPr>
            </w:pPr>
            <w:r>
              <w:rPr>
                <w:rFonts w:hint="eastAsia" w:ascii="宋体" w:hAnsi="宋体" w:cs="宋体"/>
                <w:szCs w:val="21"/>
              </w:rPr>
              <w:t>如有，请结合本招标文件第四章“评标办法及评分标准”在投标文件中自行提供。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40" w:lineRule="exact"/>
              <w:rPr>
                <w:rFonts w:hint="eastAsia" w:ascii="宋体" w:hAnsi="宋体" w:cs="宋体"/>
                <w:szCs w:val="21"/>
                <w:lang w:val="en-US" w:eastAsia="zh-CN"/>
              </w:rPr>
            </w:pPr>
            <w:r>
              <w:rPr>
                <w:rFonts w:hint="eastAsia" w:ascii="宋体" w:hAnsi="宋体" w:cs="宋体"/>
                <w:b/>
                <w:szCs w:val="21"/>
              </w:rPr>
              <w:t>（二）政策性加分条件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40" w:lineRule="exact"/>
              <w:rPr>
                <w:rFonts w:hint="eastAsia" w:ascii="宋体" w:hAnsi="宋体" w:cs="宋体"/>
                <w:szCs w:val="21"/>
                <w:lang w:val="en-US" w:eastAsia="zh-CN"/>
              </w:rPr>
            </w:pPr>
            <w:r>
              <w:rPr>
                <w:rFonts w:hint="eastAsia" w:ascii="宋体" w:hAnsi="宋体" w:cs="宋体"/>
                <w:szCs w:val="21"/>
              </w:rPr>
              <w:t>符合节能环保等国家政策要求。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180"/>
                <w:tab w:val="left" w:pos="1620"/>
              </w:tabs>
              <w:spacing w:line="340" w:lineRule="exact"/>
              <w:rPr>
                <w:rFonts w:hint="eastAsia" w:ascii="宋体" w:hAnsi="宋体" w:cs="宋体"/>
                <w:szCs w:val="21"/>
                <w:lang w:val="en-US" w:eastAsia="zh-CN"/>
              </w:rPr>
            </w:pPr>
            <w:r>
              <w:rPr>
                <w:rFonts w:hint="eastAsia" w:ascii="宋体" w:hAnsi="宋体" w:cs="宋体"/>
                <w:b/>
                <w:szCs w:val="21"/>
              </w:rPr>
              <w:t>（三）验收事项其他说明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40" w:lineRule="exact"/>
              <w:ind w:firstLine="420" w:firstLineChars="200"/>
              <w:rPr>
                <w:rFonts w:ascii="宋体" w:hAnsi="宋体" w:cs="宋体"/>
                <w:szCs w:val="21"/>
              </w:rPr>
            </w:pPr>
            <w:r>
              <w:rPr>
                <w:rFonts w:hint="eastAsia" w:ascii="宋体" w:hAnsi="宋体" w:cs="宋体"/>
                <w:szCs w:val="21"/>
              </w:rPr>
              <w:t>1.本章《采购需求》有其他要求的按其要求。</w:t>
            </w:r>
          </w:p>
          <w:p>
            <w:pPr>
              <w:spacing w:line="340" w:lineRule="exact"/>
              <w:ind w:firstLine="420" w:firstLineChars="200"/>
              <w:rPr>
                <w:rFonts w:ascii="宋体" w:hAnsi="宋体" w:cs="宋体"/>
                <w:szCs w:val="21"/>
              </w:rPr>
            </w:pPr>
            <w:r>
              <w:rPr>
                <w:rFonts w:hint="eastAsia" w:ascii="宋体" w:hAnsi="宋体" w:cs="宋体"/>
                <w:szCs w:val="21"/>
              </w:rPr>
              <w:t>2.合同履行过程中，由采购人根据中标供应商所提供的货物或服务，对照招标文件要求及中标供应商投标文件承诺进行检验并记录，发现中标供应商在投标文件中有弄虚作假的行为，或在投标文件中有针对技术商务条款有虚假响应情况的，采购单位将终止合同或不予验收，并追究中标供应商的责任，由此带来的一切损失由中标供应商自行承担。</w:t>
            </w:r>
          </w:p>
          <w:p>
            <w:pPr>
              <w:spacing w:line="340" w:lineRule="exact"/>
              <w:ind w:firstLine="420" w:firstLineChars="200"/>
              <w:rPr>
                <w:rFonts w:ascii="宋体" w:hAnsi="宋体" w:cs="宋体"/>
                <w:szCs w:val="21"/>
              </w:rPr>
            </w:pPr>
            <w:r>
              <w:rPr>
                <w:rFonts w:hint="eastAsia" w:ascii="宋体" w:hAnsi="宋体" w:cs="宋体"/>
                <w:szCs w:val="21"/>
              </w:rPr>
              <w:t>3.其他未尽事宜应严格按照《关于印发广西壮族自治区政府采购项目履约验收管理办法的通知》[桂财采〔2015〕22号]以及《财政部关于进一步加强政府采购需求和履约验收管理的指导意见》[财库〔2016〕205号]规定执行。</w:t>
            </w:r>
          </w:p>
          <w:p>
            <w:pPr>
              <w:spacing w:line="340" w:lineRule="exact"/>
              <w:ind w:firstLine="420" w:firstLineChars="200"/>
              <w:rPr>
                <w:rFonts w:ascii="宋体" w:hAnsi="宋体" w:cs="宋体"/>
                <w:szCs w:val="21"/>
              </w:rPr>
            </w:pPr>
            <w:r>
              <w:rPr>
                <w:rFonts w:hint="eastAsia" w:ascii="宋体" w:hAnsi="宋体" w:cs="宋体"/>
                <w:szCs w:val="21"/>
              </w:rPr>
              <w:t>4.验收过程中，除另有约定的以外，所产生的费用均由中标供应商承担。报价时应考虑相关费用。</w:t>
            </w:r>
          </w:p>
          <w:p>
            <w:pPr>
              <w:spacing w:line="340" w:lineRule="exact"/>
              <w:ind w:firstLine="411" w:firstLineChars="196"/>
              <w:rPr>
                <w:rFonts w:hint="eastAsia" w:ascii="宋体" w:hAnsi="宋体" w:cs="宋体"/>
                <w:szCs w:val="21"/>
                <w:lang w:val="en-US" w:eastAsia="zh-CN"/>
              </w:rPr>
            </w:pPr>
            <w:r>
              <w:rPr>
                <w:rFonts w:hint="eastAsia" w:ascii="宋体" w:hAnsi="宋体" w:cs="宋体"/>
                <w:szCs w:val="21"/>
              </w:rPr>
              <w:t>5.产品实行强制标准认证制度、生产许可证制度、销售或经营许可证制度、注册证制度的，中标供应商均应提供相关有效的证书复印件。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40" w:lineRule="exact"/>
              <w:rPr>
                <w:rFonts w:hint="eastAsia" w:ascii="宋体" w:hAnsi="宋体" w:cs="宋体"/>
                <w:szCs w:val="21"/>
                <w:lang w:val="en-US" w:eastAsia="zh-CN"/>
              </w:rPr>
            </w:pPr>
            <w:r>
              <w:rPr>
                <w:rFonts w:hint="eastAsia" w:ascii="宋体" w:hAnsi="宋体" w:cs="宋体"/>
                <w:b/>
                <w:szCs w:val="21"/>
              </w:rPr>
              <w:t>（四）进口产品及核心产品说明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40" w:lineRule="exact"/>
              <w:ind w:firstLine="435"/>
              <w:rPr>
                <w:rFonts w:ascii="宋体" w:hAnsi="宋体" w:cs="宋体"/>
                <w:szCs w:val="21"/>
              </w:rPr>
            </w:pPr>
            <w:r>
              <w:rPr>
                <w:rFonts w:hint="eastAsia" w:ascii="宋体" w:hAnsi="宋体" w:cs="宋体"/>
                <w:szCs w:val="21"/>
              </w:rPr>
              <w:t>1.本分标货物不接受进口产品（即通过中国海关报关验放进入中国境内且产自关境外的产品）参与投标，</w:t>
            </w:r>
            <w:r>
              <w:rPr>
                <w:rFonts w:hint="eastAsia" w:ascii="宋体" w:hAnsi="宋体" w:cs="宋体"/>
                <w:b/>
                <w:szCs w:val="21"/>
              </w:rPr>
              <w:t>如有进口产品参与投标的作无效标处理</w:t>
            </w:r>
            <w:r>
              <w:rPr>
                <w:rFonts w:hint="eastAsia" w:ascii="宋体" w:hAnsi="宋体" w:cs="宋体"/>
                <w:szCs w:val="21"/>
              </w:rPr>
              <w:t>。</w:t>
            </w:r>
          </w:p>
          <w:p>
            <w:pPr>
              <w:spacing w:line="340" w:lineRule="exact"/>
              <w:ind w:firstLine="435" w:firstLineChars="0"/>
              <w:rPr>
                <w:rFonts w:hint="eastAsia" w:ascii="宋体" w:hAnsi="宋体" w:cs="宋体"/>
                <w:szCs w:val="21"/>
                <w:lang w:val="en-US" w:eastAsia="zh-CN"/>
              </w:rPr>
            </w:pPr>
            <w:r>
              <w:rPr>
                <w:rFonts w:hint="eastAsia" w:ascii="宋体" w:hAnsi="宋体" w:cs="宋体"/>
                <w:b/>
                <w:szCs w:val="21"/>
              </w:rPr>
              <w:t>2</w:t>
            </w:r>
            <w:r>
              <w:rPr>
                <w:rFonts w:hint="eastAsia" w:ascii="宋体" w:hAnsi="宋体" w:cs="宋体"/>
                <w:b/>
                <w:color w:val="auto"/>
                <w:szCs w:val="21"/>
              </w:rPr>
              <w:t>.本分标序号</w:t>
            </w:r>
            <w:r>
              <w:rPr>
                <w:rFonts w:hint="eastAsia" w:ascii="宋体" w:hAnsi="宋体" w:cs="宋体"/>
                <w:b/>
                <w:color w:val="auto"/>
                <w:szCs w:val="21"/>
                <w:u w:val="single"/>
              </w:rPr>
              <w:t xml:space="preserve"> </w:t>
            </w:r>
            <w:r>
              <w:rPr>
                <w:rFonts w:hint="eastAsia" w:ascii="宋体" w:hAnsi="宋体" w:cs="宋体"/>
                <w:b/>
                <w:color w:val="auto"/>
                <w:szCs w:val="21"/>
                <w:u w:val="single"/>
                <w:lang w:val="en-US" w:eastAsia="zh-CN"/>
              </w:rPr>
              <w:t>165</w:t>
            </w:r>
            <w:r>
              <w:rPr>
                <w:rFonts w:hint="eastAsia" w:ascii="宋体" w:hAnsi="宋体" w:cs="宋体"/>
                <w:b/>
                <w:color w:val="auto"/>
                <w:szCs w:val="21"/>
                <w:u w:val="single"/>
              </w:rPr>
              <w:t xml:space="preserve"> </w:t>
            </w:r>
            <w:r>
              <w:rPr>
                <w:rFonts w:hint="eastAsia" w:ascii="宋体" w:hAnsi="宋体" w:cs="宋体"/>
                <w:b/>
                <w:color w:val="auto"/>
                <w:szCs w:val="21"/>
              </w:rPr>
              <w:t>采购标的即为核心产品，提供相同品牌产品且通过资格审查、符合性审查的不同投标人参加同一合同项下投标的，按一家投标人计算，</w:t>
            </w:r>
            <w:r>
              <w:rPr>
                <w:rFonts w:hint="eastAsia" w:ascii="宋体" w:hAnsi="宋体" w:cs="宋体"/>
                <w:b/>
                <w:szCs w:val="21"/>
              </w:rPr>
              <w:t>评审后得分最高的同品牌投标人获得中标供应商推荐资格；评审得分相同的，由采购人或者采购人委托评标委员会按照招标文件规定的方式确定一个投标人获得中标供应商推荐资格，招标文件未规定的采取随机抽取方式确定，其他同品牌投标人不作为中标候选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40" w:lineRule="exact"/>
              <w:rPr>
                <w:rFonts w:hint="eastAsia" w:ascii="宋体" w:hAnsi="宋体" w:cs="宋体"/>
                <w:szCs w:val="21"/>
                <w:lang w:val="en-US" w:eastAsia="zh-CN"/>
              </w:rPr>
            </w:pPr>
            <w:r>
              <w:rPr>
                <w:rFonts w:hint="eastAsia" w:ascii="宋体" w:hAnsi="宋体" w:cs="宋体"/>
                <w:b/>
                <w:szCs w:val="21"/>
              </w:rPr>
              <w:t>（五）其他要求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40" w:lineRule="exact"/>
              <w:ind w:firstLine="420" w:firstLineChars="200"/>
              <w:rPr>
                <w:rFonts w:ascii="宋体" w:hAnsi="宋体" w:cs="宋体"/>
                <w:szCs w:val="21"/>
              </w:rPr>
            </w:pPr>
            <w:r>
              <w:rPr>
                <w:rFonts w:hint="eastAsia" w:ascii="宋体" w:hAnsi="宋体" w:cs="宋体"/>
                <w:szCs w:val="21"/>
              </w:rPr>
              <w:t>1.投标人结合自身能力及本项目采购需求，请在投标文件中提供项目实施方案（包括但不限于项目实施管理、组织架构、产品配送组织计划、</w:t>
            </w:r>
            <w:r>
              <w:rPr>
                <w:rFonts w:hint="eastAsia" w:ascii="宋体" w:hAnsi="宋体" w:cs="宋体"/>
                <w:bCs/>
                <w:szCs w:val="21"/>
              </w:rPr>
              <w:t>运输方式及交货</w:t>
            </w:r>
            <w:r>
              <w:rPr>
                <w:rFonts w:hint="eastAsia" w:ascii="宋体" w:hAnsi="宋体" w:cs="宋体"/>
                <w:szCs w:val="21"/>
              </w:rPr>
              <w:t>保障、进度计划、质量控制方案和验收措施等）（格式自拟）；有售前、售中和售后服务方案（包括但不限于对接方案、供货产品质量保障方案、产品质量问题处理、产品运输及保存、供货产品后期使用各环节的质量和使用效果的其他相关服务方案等）等（格式自拟）。</w:t>
            </w:r>
          </w:p>
          <w:p>
            <w:pPr>
              <w:spacing w:line="340" w:lineRule="exact"/>
              <w:ind w:firstLine="420" w:firstLineChars="200"/>
              <w:rPr>
                <w:rFonts w:ascii="宋体" w:hAnsi="宋体" w:cs="宋体"/>
                <w:szCs w:val="21"/>
              </w:rPr>
            </w:pPr>
            <w:r>
              <w:rPr>
                <w:rFonts w:hint="eastAsia" w:ascii="宋体" w:hAnsi="宋体" w:cs="宋体"/>
                <w:szCs w:val="21"/>
              </w:rPr>
              <w:t>2.如有，投标文件中须提供技术人员职称证书复印件，及投标截止时间前半年内投标人为其缴纳的任意一个月社保证明（或劳动合同、或投标人为其发放工资的银行流水证明、或投标人代缴其个人所得税证明）复印件。</w:t>
            </w:r>
          </w:p>
          <w:p>
            <w:pPr>
              <w:spacing w:line="340" w:lineRule="exact"/>
              <w:ind w:firstLine="420" w:firstLineChars="200"/>
              <w:rPr>
                <w:rFonts w:ascii="宋体" w:hAnsi="宋体" w:cs="宋体"/>
                <w:szCs w:val="21"/>
              </w:rPr>
            </w:pPr>
            <w:r>
              <w:rPr>
                <w:rFonts w:hint="eastAsia" w:ascii="宋体" w:hAnsi="宋体" w:cs="宋体"/>
                <w:szCs w:val="21"/>
              </w:rPr>
              <w:t>3.如有，请在投标文件中提供技术能力相关证明，包含但不限于信誉、业绩等内容。</w:t>
            </w:r>
          </w:p>
          <w:p>
            <w:pPr>
              <w:spacing w:line="340" w:lineRule="exact"/>
              <w:ind w:firstLine="422" w:firstLineChars="200"/>
              <w:rPr>
                <w:rFonts w:hint="eastAsia" w:ascii="宋体" w:hAnsi="宋体" w:cs="宋体"/>
                <w:szCs w:val="21"/>
                <w:lang w:val="en-US" w:eastAsia="zh-CN"/>
              </w:rPr>
            </w:pPr>
            <w:r>
              <w:rPr>
                <w:rFonts w:hint="eastAsia" w:ascii="宋体" w:hAnsi="宋体" w:cs="宋体"/>
                <w:b/>
                <w:szCs w:val="21"/>
              </w:rPr>
              <w:t>4.“主要技术参数及性能（配置）要求”中有特殊要求的，按其要求执行；未作要求的，如有，投标文件中可提供产品生产商编写的有参数描述的产品说明书或彩页（应有详细的产品技术介绍、技术参数、产品图样照片等），当投标文件中提供的产品参数与该产品生产商提供的参数同一参数内容不符合时，以生产商资料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40" w:lineRule="exact"/>
              <w:rPr>
                <w:rFonts w:hint="eastAsia" w:ascii="宋体" w:hAnsi="宋体" w:cs="宋体"/>
                <w:szCs w:val="21"/>
                <w:lang w:val="en-US" w:eastAsia="zh-CN"/>
              </w:rPr>
            </w:pPr>
            <w:r>
              <w:rPr>
                <w:rFonts w:hint="eastAsia" w:ascii="宋体" w:hAnsi="宋体" w:cs="宋体"/>
                <w:b/>
                <w:szCs w:val="21"/>
              </w:rPr>
              <w:t>三、其他说明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40" w:lineRule="exact"/>
              <w:ind w:firstLine="420" w:firstLineChars="200"/>
              <w:rPr>
                <w:rFonts w:ascii="宋体" w:hAnsi="宋体" w:cs="宋体"/>
                <w:szCs w:val="21"/>
                <w:highlight w:val="none"/>
              </w:rPr>
            </w:pPr>
            <w:r>
              <w:rPr>
                <w:rFonts w:hint="eastAsia" w:ascii="宋体" w:hAnsi="宋体" w:cs="宋体"/>
                <w:szCs w:val="21"/>
                <w:highlight w:val="none"/>
              </w:rPr>
              <w:t>▲1.</w:t>
            </w:r>
            <w:r>
              <w:rPr>
                <w:rFonts w:hint="eastAsia" w:ascii="宋体" w:hAnsi="宋体" w:cs="宋体"/>
                <w:b/>
                <w:szCs w:val="21"/>
                <w:highlight w:val="none"/>
                <w:u w:val="single"/>
              </w:rPr>
              <w:t>本项目以分标预算金额为最高限价，投标人的投标报价超所投分标最高限价的作无效投标处理</w:t>
            </w:r>
            <w:r>
              <w:rPr>
                <w:rFonts w:hint="eastAsia" w:ascii="宋体" w:hAnsi="宋体" w:cs="宋体"/>
                <w:szCs w:val="21"/>
                <w:highlight w:val="none"/>
              </w:rPr>
              <w:t>。</w:t>
            </w:r>
            <w:r>
              <w:rPr>
                <w:rFonts w:hint="eastAsia" w:ascii="宋体" w:hAnsi="宋体" w:cs="宋体"/>
                <w:b/>
                <w:bCs/>
                <w:spacing w:val="-4"/>
                <w:szCs w:val="21"/>
                <w:highlight w:val="none"/>
                <w:lang w:val="en-US" w:eastAsia="zh-CN"/>
              </w:rPr>
              <w:t>本项目采购预算为5383709.00元，其中信息化系统部分（序号154-210项）控制价为2416900.00元；投标人报价不得超过项目总预算，且信息化系统部分不得超出对应财评控制价，否则按无效投标处理。</w:t>
            </w:r>
          </w:p>
          <w:p>
            <w:pPr>
              <w:spacing w:line="340" w:lineRule="exact"/>
              <w:ind w:firstLine="404" w:firstLineChars="200"/>
              <w:rPr>
                <w:rFonts w:hint="default" w:ascii="宋体" w:hAnsi="宋体" w:eastAsia="宋体" w:cs="宋体"/>
                <w:spacing w:val="-4"/>
                <w:szCs w:val="21"/>
                <w:lang w:val="en-US" w:eastAsia="zh-CN"/>
              </w:rPr>
            </w:pPr>
            <w:r>
              <w:rPr>
                <w:rFonts w:hint="eastAsia" w:ascii="宋体" w:hAnsi="宋体" w:cs="宋体"/>
                <w:spacing w:val="-4"/>
                <w:szCs w:val="21"/>
              </w:rPr>
              <w:t>▲</w:t>
            </w:r>
            <w:r>
              <w:rPr>
                <w:rFonts w:hint="eastAsia" w:ascii="宋体" w:hAnsi="宋体" w:cs="宋体"/>
                <w:b/>
                <w:spacing w:val="-4"/>
                <w:szCs w:val="21"/>
              </w:rPr>
              <w:t>2.</w:t>
            </w:r>
            <w:r>
              <w:rPr>
                <w:rFonts w:hint="eastAsia" w:ascii="宋体" w:hAnsi="宋体" w:cs="宋体"/>
                <w:spacing w:val="-4"/>
                <w:szCs w:val="21"/>
              </w:rPr>
              <w:t>投标人就本项目需求中全部内容作完整唯一报价，不完整响应或拆分投标的将导致投标无效。</w:t>
            </w:r>
          </w:p>
        </w:tc>
      </w:tr>
    </w:tbl>
    <w:p>
      <w:pPr>
        <w:spacing w:line="360" w:lineRule="exact"/>
        <w:ind w:firstLine="310" w:firstLineChars="147"/>
        <w:jc w:val="left"/>
        <w:rPr>
          <w:rFonts w:ascii="宋体" w:hAnsi="宋体"/>
          <w:b/>
          <w:szCs w:val="21"/>
        </w:rPr>
      </w:pPr>
    </w:p>
    <w:p>
      <w:pPr>
        <w:rPr>
          <w:rFonts w:hint="eastAsia" w:ascii="黑体" w:hAnsi="黑体" w:eastAsia="黑体" w:cs="黑体"/>
          <w:sz w:val="32"/>
          <w:szCs w:val="32"/>
        </w:rPr>
      </w:pPr>
      <w:r>
        <w:rPr>
          <w:rFonts w:hint="eastAsia" w:ascii="黑体" w:hAnsi="黑体" w:eastAsia="黑体" w:cs="黑体"/>
          <w:sz w:val="32"/>
          <w:szCs w:val="32"/>
        </w:rPr>
        <w:br w:type="page"/>
      </w:r>
    </w:p>
    <w:p>
      <w:pPr>
        <w:spacing w:line="428" w:lineRule="exact"/>
        <w:rPr>
          <w:rFonts w:ascii="Arial Unicode MS" w:hAnsi="Arial Unicode MS" w:eastAsia="Arial Unicode MS" w:cs="Arial Unicode MS"/>
          <w:sz w:val="32"/>
          <w:szCs w:val="32"/>
        </w:rPr>
      </w:pPr>
      <w:r>
        <w:rPr>
          <w:rFonts w:hint="eastAsia" w:ascii="黑体" w:hAnsi="黑体" w:eastAsia="黑体" w:cs="黑体"/>
          <w:sz w:val="32"/>
          <w:szCs w:val="32"/>
        </w:rPr>
        <w:t>附件1：</w:t>
      </w:r>
    </w:p>
    <w:p>
      <w:pPr>
        <w:spacing w:before="7"/>
        <w:rPr>
          <w:rFonts w:ascii="Arial Unicode MS" w:hAnsi="Arial Unicode MS" w:eastAsia="Arial Unicode MS" w:cs="Arial Unicode MS"/>
          <w:sz w:val="17"/>
          <w:szCs w:val="17"/>
        </w:rPr>
      </w:pPr>
    </w:p>
    <w:p>
      <w:pPr>
        <w:spacing w:line="528" w:lineRule="exact"/>
        <w:ind w:left="1871"/>
        <w:rPr>
          <w:rFonts w:ascii="Arial Unicode MS" w:hAnsi="Arial Unicode MS" w:eastAsia="Arial Unicode MS" w:cs="Arial Unicode MS"/>
          <w:sz w:val="40"/>
          <w:szCs w:val="40"/>
        </w:rPr>
      </w:pPr>
      <w:r>
        <w:rPr>
          <w:rFonts w:hint="eastAsia" w:ascii="方正小标宋简体" w:hAnsi="方正小标宋简体" w:eastAsia="方正小标宋简体" w:cs="方正小标宋简体"/>
          <w:sz w:val="44"/>
          <w:szCs w:val="44"/>
        </w:rPr>
        <w:t>节能产品政府采购品目清单</w:t>
      </w:r>
    </w:p>
    <w:tbl>
      <w:tblPr>
        <w:tblStyle w:val="4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1662"/>
        <w:gridCol w:w="1750"/>
        <w:gridCol w:w="1599"/>
        <w:gridCol w:w="4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4"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Calibri" w:hAnsi="Calibri"/>
                <w:szCs w:val="22"/>
              </w:rPr>
            </w:pPr>
            <w:r>
              <w:rPr>
                <w:rFonts w:hint="eastAsia" w:ascii="宋体" w:hAnsi="宋体" w:cs="宋体"/>
                <w:b/>
                <w:bCs/>
                <w:w w:val="99"/>
              </w:rPr>
              <w:t>品目序号</w:t>
            </w:r>
          </w:p>
        </w:tc>
        <w:tc>
          <w:tcPr>
            <w:tcW w:w="2514" w:type="pct"/>
            <w:gridSpan w:val="3"/>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Calibri" w:hAnsi="Calibri"/>
                <w:szCs w:val="22"/>
              </w:rPr>
            </w:pPr>
            <w:r>
              <w:rPr>
                <w:rFonts w:hint="eastAsia" w:ascii="宋体" w:hAnsi="宋体" w:cs="宋体"/>
                <w:b/>
                <w:bCs/>
                <w:w w:val="99"/>
              </w:rPr>
              <w:t>名称</w:t>
            </w:r>
          </w:p>
        </w:tc>
        <w:tc>
          <w:tcPr>
            <w:tcW w:w="2092"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Calibri" w:hAnsi="Calibri"/>
                <w:szCs w:val="22"/>
              </w:rPr>
            </w:pPr>
            <w:r>
              <w:rPr>
                <w:rFonts w:hint="eastAsia" w:ascii="宋体" w:hAnsi="宋体" w:cs="宋体"/>
                <w:b/>
                <w:bCs/>
                <w:w w:val="99"/>
              </w:rPr>
              <w:t>依据的标准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rPr>
            </w:pPr>
            <w:r>
              <w:rPr>
                <w:rFonts w:hint="eastAsia" w:ascii="宋体" w:hAnsi="宋体"/>
                <w:szCs w:val="21"/>
              </w:rPr>
              <w:t>1</w:t>
            </w:r>
          </w:p>
        </w:tc>
        <w:tc>
          <w:tcPr>
            <w:tcW w:w="834" w:type="pct"/>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rPr>
            </w:pPr>
            <w:r>
              <w:rPr>
                <w:rFonts w:hint="eastAsia" w:ascii="宋体" w:hAnsi="宋体" w:cs="仿宋_GB2312"/>
                <w:szCs w:val="21"/>
              </w:rPr>
              <w:t>A02010100</w:t>
            </w:r>
            <w:r>
              <w:rPr>
                <w:rFonts w:hint="eastAsia" w:ascii="宋体" w:hAnsi="宋体" w:cs="宋体"/>
                <w:w w:val="99"/>
                <w:szCs w:val="21"/>
              </w:rPr>
              <w:t>计算机</w:t>
            </w:r>
          </w:p>
        </w:tc>
        <w:tc>
          <w:tcPr>
            <w:tcW w:w="878" w:type="pct"/>
            <w:tcBorders>
              <w:top w:val="single" w:color="000000" w:sz="4" w:space="0"/>
              <w:left w:val="single" w:color="000000" w:sz="4" w:space="0"/>
              <w:bottom w:val="single" w:color="000000" w:sz="4" w:space="0"/>
              <w:right w:val="single" w:color="000000" w:sz="4" w:space="0"/>
            </w:tcBorders>
            <w:vAlign w:val="center"/>
          </w:tcPr>
          <w:p>
            <w:pPr>
              <w:pStyle w:val="115"/>
              <w:spacing w:before="93" w:line="240" w:lineRule="exact"/>
              <w:ind w:left="7" w:right="5"/>
              <w:jc w:val="center"/>
              <w:rPr>
                <w:rFonts w:ascii="宋体" w:hAnsi="宋体" w:cs="宋体"/>
                <w:kern w:val="2"/>
                <w:sz w:val="21"/>
                <w:szCs w:val="21"/>
              </w:rPr>
            </w:pPr>
            <w:r>
              <w:rPr>
                <w:rFonts w:hint="eastAsia" w:ascii="宋体" w:hAnsi="宋体" w:cs="宋体"/>
                <w:w w:val="99"/>
                <w:kern w:val="2"/>
                <w:sz w:val="21"/>
                <w:szCs w:val="21"/>
              </w:rPr>
              <w:t>★</w:t>
            </w:r>
            <w:r>
              <w:rPr>
                <w:rFonts w:hint="eastAsia" w:ascii="宋体" w:hAnsi="宋体" w:cs="仿宋_GB2312"/>
                <w:kern w:val="2"/>
                <w:sz w:val="21"/>
                <w:szCs w:val="21"/>
              </w:rPr>
              <w:t>A02010105</w:t>
            </w:r>
            <w:r>
              <w:rPr>
                <w:rFonts w:hint="eastAsia" w:ascii="宋体" w:hAnsi="宋体" w:cs="宋体"/>
                <w:w w:val="99"/>
                <w:kern w:val="2"/>
                <w:sz w:val="21"/>
                <w:szCs w:val="21"/>
              </w:rPr>
              <w:t>台式计算机</w:t>
            </w: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rPr>
            </w:pPr>
          </w:p>
        </w:tc>
        <w:tc>
          <w:tcPr>
            <w:tcW w:w="2092" w:type="pct"/>
            <w:tcBorders>
              <w:top w:val="single" w:color="000000" w:sz="4" w:space="0"/>
              <w:left w:val="single" w:color="000000" w:sz="4" w:space="0"/>
              <w:bottom w:val="single" w:color="000000" w:sz="4" w:space="0"/>
              <w:right w:val="single" w:color="000000" w:sz="4" w:space="0"/>
            </w:tcBorders>
          </w:tcPr>
          <w:p>
            <w:pPr>
              <w:pStyle w:val="115"/>
              <w:spacing w:before="93" w:line="240" w:lineRule="exact"/>
              <w:ind w:left="7" w:right="4"/>
              <w:rPr>
                <w:rFonts w:ascii="宋体" w:hAnsi="宋体" w:cs="宋体"/>
                <w:kern w:val="2"/>
                <w:sz w:val="21"/>
                <w:szCs w:val="21"/>
                <w:lang w:eastAsia="zh-CN"/>
              </w:rPr>
            </w:pPr>
            <w:r>
              <w:rPr>
                <w:rFonts w:hint="eastAsia" w:ascii="宋体" w:hAnsi="宋体" w:cs="宋体"/>
                <w:spacing w:val="12"/>
                <w:w w:val="99"/>
                <w:kern w:val="2"/>
                <w:sz w:val="21"/>
                <w:szCs w:val="21"/>
                <w:lang w:eastAsia="zh-CN"/>
              </w:rPr>
              <w:t>《微型计算机能效限定</w:t>
            </w:r>
            <w:r>
              <w:rPr>
                <w:rFonts w:hint="eastAsia" w:ascii="宋体" w:hAnsi="宋体" w:cs="宋体"/>
                <w:spacing w:val="9"/>
                <w:w w:val="99"/>
                <w:kern w:val="2"/>
                <w:sz w:val="21"/>
                <w:szCs w:val="21"/>
                <w:lang w:eastAsia="zh-CN"/>
              </w:rPr>
              <w:t>值</w:t>
            </w:r>
            <w:r>
              <w:rPr>
                <w:rFonts w:hint="eastAsia" w:ascii="宋体" w:hAnsi="宋体" w:cs="宋体"/>
                <w:spacing w:val="12"/>
                <w:w w:val="99"/>
                <w:kern w:val="2"/>
                <w:sz w:val="21"/>
                <w:szCs w:val="21"/>
                <w:lang w:eastAsia="zh-CN"/>
              </w:rPr>
              <w:t>及能</w:t>
            </w:r>
            <w:r>
              <w:rPr>
                <w:rFonts w:hint="eastAsia" w:ascii="宋体" w:hAnsi="宋体" w:cs="宋体"/>
                <w:w w:val="99"/>
                <w:kern w:val="2"/>
                <w:sz w:val="21"/>
                <w:szCs w:val="21"/>
                <w:lang w:eastAsia="zh-CN"/>
              </w:rPr>
              <w:t>效等级》（</w:t>
            </w:r>
            <w:r>
              <w:rPr>
                <w:rFonts w:hint="eastAsia" w:ascii="宋体" w:hAnsi="宋体" w:cs="宋体"/>
                <w:spacing w:val="1"/>
                <w:w w:val="99"/>
                <w:kern w:val="2"/>
                <w:sz w:val="21"/>
                <w:szCs w:val="21"/>
                <w:lang w:eastAsia="zh-CN"/>
              </w:rPr>
              <w:t>G</w:t>
            </w:r>
            <w:r>
              <w:rPr>
                <w:rFonts w:hint="eastAsia" w:ascii="宋体" w:hAnsi="宋体" w:cs="宋体"/>
                <w:w w:val="99"/>
                <w:kern w:val="2"/>
                <w:sz w:val="21"/>
                <w:szCs w:val="21"/>
                <w:lang w:eastAsia="zh-CN"/>
              </w:rPr>
              <w:t>B</w:t>
            </w:r>
            <w:r>
              <w:rPr>
                <w:rFonts w:hint="eastAsia" w:ascii="宋体" w:hAnsi="宋体" w:cs="宋体"/>
                <w:spacing w:val="1"/>
                <w:w w:val="99"/>
                <w:kern w:val="2"/>
                <w:sz w:val="21"/>
                <w:szCs w:val="21"/>
                <w:lang w:eastAsia="zh-CN"/>
              </w:rPr>
              <w:t>28380</w:t>
            </w:r>
            <w:r>
              <w:rPr>
                <w:rFonts w:hint="eastAsia" w:ascii="宋体" w:hAnsi="宋体" w:cs="宋体"/>
                <w:w w:val="99"/>
                <w:kern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szCs w:val="21"/>
              </w:rPr>
            </w:pPr>
          </w:p>
        </w:tc>
        <w:tc>
          <w:tcPr>
            <w:tcW w:w="83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szCs w:val="21"/>
              </w:rPr>
            </w:pPr>
          </w:p>
        </w:tc>
        <w:tc>
          <w:tcPr>
            <w:tcW w:w="878" w:type="pct"/>
            <w:tcBorders>
              <w:top w:val="single" w:color="000000" w:sz="4" w:space="0"/>
              <w:left w:val="single" w:color="000000" w:sz="4" w:space="0"/>
              <w:bottom w:val="single" w:color="000000" w:sz="4" w:space="0"/>
              <w:right w:val="single" w:color="000000" w:sz="4" w:space="0"/>
            </w:tcBorders>
            <w:vAlign w:val="center"/>
          </w:tcPr>
          <w:p>
            <w:pPr>
              <w:pStyle w:val="115"/>
              <w:spacing w:before="44" w:line="240" w:lineRule="exact"/>
              <w:ind w:left="7" w:right="5"/>
              <w:jc w:val="center"/>
              <w:rPr>
                <w:rFonts w:ascii="宋体" w:hAnsi="宋体" w:cs="宋体"/>
                <w:kern w:val="2"/>
                <w:sz w:val="21"/>
                <w:szCs w:val="21"/>
              </w:rPr>
            </w:pPr>
            <w:r>
              <w:rPr>
                <w:rFonts w:hint="eastAsia" w:ascii="宋体" w:hAnsi="宋体" w:cs="宋体"/>
                <w:w w:val="99"/>
                <w:kern w:val="2"/>
                <w:sz w:val="21"/>
                <w:szCs w:val="21"/>
              </w:rPr>
              <w:t>★</w:t>
            </w:r>
            <w:r>
              <w:rPr>
                <w:rFonts w:hint="eastAsia" w:ascii="宋体" w:hAnsi="宋体" w:cs="仿宋_GB2312"/>
                <w:kern w:val="2"/>
                <w:sz w:val="21"/>
                <w:szCs w:val="21"/>
              </w:rPr>
              <w:t>A02010108</w:t>
            </w:r>
            <w:r>
              <w:rPr>
                <w:rFonts w:hint="eastAsia" w:ascii="宋体" w:hAnsi="宋体" w:cs="宋体"/>
                <w:w w:val="99"/>
                <w:kern w:val="2"/>
                <w:sz w:val="21"/>
                <w:szCs w:val="21"/>
              </w:rPr>
              <w:t>便携式计算机</w:t>
            </w: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rPr>
            </w:pPr>
          </w:p>
        </w:tc>
        <w:tc>
          <w:tcPr>
            <w:tcW w:w="2092" w:type="pct"/>
            <w:tcBorders>
              <w:top w:val="single" w:color="000000" w:sz="4" w:space="0"/>
              <w:left w:val="single" w:color="000000" w:sz="4" w:space="0"/>
              <w:bottom w:val="single" w:color="000000" w:sz="4" w:space="0"/>
              <w:right w:val="single" w:color="000000" w:sz="4" w:space="0"/>
            </w:tcBorders>
          </w:tcPr>
          <w:p>
            <w:pPr>
              <w:pStyle w:val="115"/>
              <w:spacing w:before="44" w:line="240" w:lineRule="exact"/>
              <w:ind w:left="7" w:right="4"/>
              <w:rPr>
                <w:rFonts w:ascii="宋体" w:hAnsi="宋体" w:cs="宋体"/>
                <w:kern w:val="2"/>
                <w:sz w:val="21"/>
                <w:szCs w:val="21"/>
                <w:lang w:eastAsia="zh-CN"/>
              </w:rPr>
            </w:pPr>
            <w:r>
              <w:rPr>
                <w:rFonts w:hint="eastAsia" w:ascii="宋体" w:hAnsi="宋体" w:cs="宋体"/>
                <w:spacing w:val="12"/>
                <w:w w:val="99"/>
                <w:kern w:val="2"/>
                <w:sz w:val="21"/>
                <w:szCs w:val="21"/>
                <w:lang w:eastAsia="zh-CN"/>
              </w:rPr>
              <w:t>《微型计算机能效限定</w:t>
            </w:r>
            <w:r>
              <w:rPr>
                <w:rFonts w:hint="eastAsia" w:ascii="宋体" w:hAnsi="宋体" w:cs="宋体"/>
                <w:spacing w:val="9"/>
                <w:w w:val="99"/>
                <w:kern w:val="2"/>
                <w:sz w:val="21"/>
                <w:szCs w:val="21"/>
                <w:lang w:eastAsia="zh-CN"/>
              </w:rPr>
              <w:t>值</w:t>
            </w:r>
            <w:r>
              <w:rPr>
                <w:rFonts w:hint="eastAsia" w:ascii="宋体" w:hAnsi="宋体" w:cs="宋体"/>
                <w:spacing w:val="12"/>
                <w:w w:val="99"/>
                <w:kern w:val="2"/>
                <w:sz w:val="21"/>
                <w:szCs w:val="21"/>
                <w:lang w:eastAsia="zh-CN"/>
              </w:rPr>
              <w:t>及能</w:t>
            </w:r>
            <w:r>
              <w:rPr>
                <w:rFonts w:hint="eastAsia" w:ascii="宋体" w:hAnsi="宋体" w:cs="宋体"/>
                <w:w w:val="99"/>
                <w:kern w:val="2"/>
                <w:sz w:val="21"/>
                <w:szCs w:val="21"/>
                <w:lang w:eastAsia="zh-CN"/>
              </w:rPr>
              <w:t>效等级》（</w:t>
            </w:r>
            <w:r>
              <w:rPr>
                <w:rFonts w:hint="eastAsia" w:ascii="宋体" w:hAnsi="宋体" w:cs="宋体"/>
                <w:spacing w:val="1"/>
                <w:w w:val="99"/>
                <w:kern w:val="2"/>
                <w:sz w:val="21"/>
                <w:szCs w:val="21"/>
                <w:lang w:eastAsia="zh-CN"/>
              </w:rPr>
              <w:t>G</w:t>
            </w:r>
            <w:r>
              <w:rPr>
                <w:rFonts w:hint="eastAsia" w:ascii="宋体" w:hAnsi="宋体" w:cs="宋体"/>
                <w:w w:val="99"/>
                <w:kern w:val="2"/>
                <w:sz w:val="21"/>
                <w:szCs w:val="21"/>
                <w:lang w:eastAsia="zh-CN"/>
              </w:rPr>
              <w:t>B</w:t>
            </w:r>
            <w:r>
              <w:rPr>
                <w:rFonts w:hint="eastAsia" w:ascii="宋体" w:hAnsi="宋体" w:cs="宋体"/>
                <w:spacing w:val="1"/>
                <w:w w:val="99"/>
                <w:kern w:val="2"/>
                <w:sz w:val="21"/>
                <w:szCs w:val="21"/>
                <w:lang w:eastAsia="zh-CN"/>
              </w:rPr>
              <w:t>28380</w:t>
            </w:r>
            <w:r>
              <w:rPr>
                <w:rFonts w:hint="eastAsia" w:ascii="宋体" w:hAnsi="宋体" w:cs="宋体"/>
                <w:w w:val="99"/>
                <w:kern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szCs w:val="21"/>
              </w:rPr>
            </w:pPr>
          </w:p>
        </w:tc>
        <w:tc>
          <w:tcPr>
            <w:tcW w:w="83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szCs w:val="21"/>
              </w:rPr>
            </w:pPr>
          </w:p>
        </w:tc>
        <w:tc>
          <w:tcPr>
            <w:tcW w:w="878" w:type="pct"/>
            <w:tcBorders>
              <w:top w:val="single" w:color="000000" w:sz="4" w:space="0"/>
              <w:left w:val="single" w:color="000000" w:sz="4" w:space="0"/>
              <w:bottom w:val="single" w:color="000000" w:sz="4" w:space="0"/>
              <w:right w:val="single" w:color="000000" w:sz="4" w:space="0"/>
            </w:tcBorders>
            <w:vAlign w:val="center"/>
          </w:tcPr>
          <w:p>
            <w:pPr>
              <w:pStyle w:val="115"/>
              <w:spacing w:before="64" w:line="240" w:lineRule="exact"/>
              <w:ind w:left="7" w:right="5"/>
              <w:jc w:val="center"/>
              <w:rPr>
                <w:rFonts w:ascii="宋体" w:hAnsi="宋体" w:cs="宋体"/>
                <w:kern w:val="2"/>
                <w:sz w:val="21"/>
                <w:szCs w:val="21"/>
                <w:lang w:eastAsia="zh-CN"/>
              </w:rPr>
            </w:pPr>
            <w:r>
              <w:rPr>
                <w:rFonts w:hint="eastAsia" w:ascii="宋体" w:hAnsi="宋体" w:cs="宋体"/>
                <w:w w:val="99"/>
                <w:kern w:val="2"/>
                <w:sz w:val="21"/>
                <w:szCs w:val="21"/>
                <w:lang w:eastAsia="zh-CN"/>
              </w:rPr>
              <w:t>★</w:t>
            </w:r>
            <w:r>
              <w:rPr>
                <w:rFonts w:hint="eastAsia" w:ascii="宋体" w:hAnsi="宋体" w:cs="仿宋_GB2312"/>
                <w:kern w:val="2"/>
                <w:sz w:val="21"/>
                <w:szCs w:val="21"/>
                <w:lang w:eastAsia="zh-CN"/>
              </w:rPr>
              <w:t>A02010109平板式计算机</w:t>
            </w: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rPr>
            </w:pPr>
          </w:p>
        </w:tc>
        <w:tc>
          <w:tcPr>
            <w:tcW w:w="2092" w:type="pct"/>
            <w:tcBorders>
              <w:top w:val="single" w:color="000000" w:sz="4" w:space="0"/>
              <w:left w:val="single" w:color="000000" w:sz="4" w:space="0"/>
              <w:bottom w:val="single" w:color="000000" w:sz="4" w:space="0"/>
              <w:right w:val="single" w:color="000000" w:sz="4" w:space="0"/>
            </w:tcBorders>
          </w:tcPr>
          <w:p>
            <w:pPr>
              <w:pStyle w:val="115"/>
              <w:spacing w:before="64" w:line="240" w:lineRule="exact"/>
              <w:ind w:left="7" w:right="4"/>
              <w:rPr>
                <w:rFonts w:ascii="宋体" w:hAnsi="宋体" w:cs="宋体"/>
                <w:kern w:val="2"/>
                <w:sz w:val="21"/>
                <w:szCs w:val="21"/>
                <w:lang w:eastAsia="zh-CN"/>
              </w:rPr>
            </w:pPr>
            <w:r>
              <w:rPr>
                <w:rFonts w:hint="eastAsia" w:ascii="宋体" w:hAnsi="宋体" w:cs="宋体"/>
                <w:spacing w:val="12"/>
                <w:w w:val="99"/>
                <w:kern w:val="2"/>
                <w:sz w:val="21"/>
                <w:szCs w:val="21"/>
                <w:lang w:eastAsia="zh-CN"/>
              </w:rPr>
              <w:t>《微型计算机能效限定</w:t>
            </w:r>
            <w:r>
              <w:rPr>
                <w:rFonts w:hint="eastAsia" w:ascii="宋体" w:hAnsi="宋体" w:cs="宋体"/>
                <w:spacing w:val="9"/>
                <w:w w:val="99"/>
                <w:kern w:val="2"/>
                <w:sz w:val="21"/>
                <w:szCs w:val="21"/>
                <w:lang w:eastAsia="zh-CN"/>
              </w:rPr>
              <w:t>值</w:t>
            </w:r>
            <w:r>
              <w:rPr>
                <w:rFonts w:hint="eastAsia" w:ascii="宋体" w:hAnsi="宋体" w:cs="宋体"/>
                <w:spacing w:val="12"/>
                <w:w w:val="99"/>
                <w:kern w:val="2"/>
                <w:sz w:val="21"/>
                <w:szCs w:val="21"/>
                <w:lang w:eastAsia="zh-CN"/>
              </w:rPr>
              <w:t>及能</w:t>
            </w:r>
            <w:r>
              <w:rPr>
                <w:rFonts w:hint="eastAsia" w:ascii="宋体" w:hAnsi="宋体" w:cs="宋体"/>
                <w:w w:val="99"/>
                <w:kern w:val="2"/>
                <w:sz w:val="21"/>
                <w:szCs w:val="21"/>
                <w:lang w:eastAsia="zh-CN"/>
              </w:rPr>
              <w:t>效等级》（</w:t>
            </w:r>
            <w:r>
              <w:rPr>
                <w:rFonts w:hint="eastAsia" w:ascii="宋体" w:hAnsi="宋体" w:cs="宋体"/>
                <w:spacing w:val="1"/>
                <w:w w:val="99"/>
                <w:kern w:val="2"/>
                <w:sz w:val="21"/>
                <w:szCs w:val="21"/>
                <w:lang w:eastAsia="zh-CN"/>
              </w:rPr>
              <w:t>G</w:t>
            </w:r>
            <w:r>
              <w:rPr>
                <w:rFonts w:hint="eastAsia" w:ascii="宋体" w:hAnsi="宋体" w:cs="宋体"/>
                <w:w w:val="99"/>
                <w:kern w:val="2"/>
                <w:sz w:val="21"/>
                <w:szCs w:val="21"/>
                <w:lang w:eastAsia="zh-CN"/>
              </w:rPr>
              <w:t>B</w:t>
            </w:r>
            <w:r>
              <w:rPr>
                <w:rFonts w:hint="eastAsia" w:ascii="宋体" w:hAnsi="宋体" w:cs="宋体"/>
                <w:spacing w:val="1"/>
                <w:w w:val="99"/>
                <w:kern w:val="2"/>
                <w:sz w:val="21"/>
                <w:szCs w:val="21"/>
                <w:lang w:eastAsia="zh-CN"/>
              </w:rPr>
              <w:t>28380</w:t>
            </w:r>
            <w:r>
              <w:rPr>
                <w:rFonts w:hint="eastAsia" w:ascii="宋体" w:hAnsi="宋体" w:cs="宋体"/>
                <w:w w:val="99"/>
                <w:kern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rPr>
            </w:pPr>
            <w:r>
              <w:rPr>
                <w:rFonts w:hint="eastAsia" w:ascii="宋体" w:hAnsi="宋体"/>
                <w:szCs w:val="21"/>
              </w:rPr>
              <w:t>2</w:t>
            </w:r>
          </w:p>
        </w:tc>
        <w:tc>
          <w:tcPr>
            <w:tcW w:w="834" w:type="pct"/>
            <w:vMerge w:val="restart"/>
            <w:tcBorders>
              <w:top w:val="single" w:color="000000" w:sz="4" w:space="0"/>
              <w:left w:val="single" w:color="000000" w:sz="4" w:space="0"/>
              <w:bottom w:val="single" w:color="000000" w:sz="4" w:space="0"/>
              <w:right w:val="single" w:color="000000" w:sz="4" w:space="0"/>
            </w:tcBorders>
            <w:vAlign w:val="center"/>
          </w:tcPr>
          <w:p>
            <w:pPr>
              <w:pStyle w:val="115"/>
              <w:spacing w:line="240" w:lineRule="exact"/>
              <w:ind w:left="7"/>
              <w:jc w:val="center"/>
              <w:rPr>
                <w:rFonts w:ascii="宋体" w:hAnsi="宋体" w:cs="宋体"/>
                <w:kern w:val="2"/>
                <w:sz w:val="21"/>
                <w:szCs w:val="21"/>
              </w:rPr>
            </w:pPr>
            <w:r>
              <w:rPr>
                <w:rFonts w:hint="eastAsia" w:ascii="宋体" w:hAnsi="宋体" w:cs="仿宋_GB2312"/>
                <w:kern w:val="2"/>
                <w:sz w:val="21"/>
                <w:szCs w:val="21"/>
              </w:rPr>
              <w:t>A02020000</w:t>
            </w:r>
            <w:r>
              <w:rPr>
                <w:rFonts w:hint="eastAsia" w:ascii="宋体" w:hAnsi="宋体" w:cs="宋体"/>
                <w:w w:val="99"/>
                <w:kern w:val="2"/>
                <w:sz w:val="21"/>
                <w:szCs w:val="21"/>
              </w:rPr>
              <w:t>办公设备</w:t>
            </w:r>
          </w:p>
        </w:tc>
        <w:tc>
          <w:tcPr>
            <w:tcW w:w="878" w:type="pct"/>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rPr>
            </w:pPr>
            <w:r>
              <w:rPr>
                <w:rFonts w:hint="eastAsia" w:ascii="宋体" w:hAnsi="宋体" w:cs="宋体"/>
                <w:spacing w:val="1"/>
                <w:w w:val="99"/>
                <w:szCs w:val="21"/>
              </w:rPr>
              <w:t>A02021000</w:t>
            </w:r>
            <w:r>
              <w:rPr>
                <w:rFonts w:hint="eastAsia" w:ascii="宋体" w:hAnsi="宋体" w:cs="Arial"/>
                <w:szCs w:val="21"/>
                <w:shd w:val="clear" w:color="auto" w:fill="FFFFFF"/>
              </w:rPr>
              <w:t>打印机</w:t>
            </w: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rPr>
            </w:pPr>
            <w:r>
              <w:rPr>
                <w:rFonts w:hint="eastAsia" w:ascii="宋体" w:hAnsi="宋体"/>
                <w:szCs w:val="21"/>
              </w:rPr>
              <w:t>A02021001 A3黑白打印机</w:t>
            </w:r>
          </w:p>
        </w:tc>
        <w:tc>
          <w:tcPr>
            <w:tcW w:w="2092" w:type="pct"/>
            <w:tcBorders>
              <w:top w:val="single" w:color="000000" w:sz="4" w:space="0"/>
              <w:left w:val="single" w:color="000000" w:sz="4" w:space="0"/>
              <w:bottom w:val="single" w:color="000000" w:sz="4" w:space="0"/>
              <w:right w:val="single" w:color="000000" w:sz="4" w:space="0"/>
            </w:tcBorders>
          </w:tcPr>
          <w:p>
            <w:pPr>
              <w:pStyle w:val="115"/>
              <w:spacing w:before="52" w:line="240" w:lineRule="exact"/>
              <w:ind w:left="7" w:right="7"/>
              <w:rPr>
                <w:rFonts w:ascii="宋体" w:hAnsi="宋体" w:cs="宋体"/>
                <w:kern w:val="2"/>
                <w:sz w:val="21"/>
                <w:szCs w:val="21"/>
                <w:lang w:eastAsia="zh-CN"/>
              </w:rPr>
            </w:pPr>
            <w:r>
              <w:rPr>
                <w:rFonts w:hint="eastAsia" w:ascii="宋体" w:hAnsi="宋体" w:cs="宋体"/>
                <w:w w:val="99"/>
                <w:kern w:val="2"/>
                <w:sz w:val="21"/>
                <w:szCs w:val="21"/>
                <w:lang w:eastAsia="zh-CN"/>
              </w:rPr>
              <w:t>《复印</w:t>
            </w:r>
            <w:r>
              <w:rPr>
                <w:rFonts w:hint="eastAsia" w:ascii="宋体" w:hAnsi="宋体" w:cs="宋体"/>
                <w:spacing w:val="2"/>
                <w:w w:val="99"/>
                <w:kern w:val="2"/>
                <w:sz w:val="21"/>
                <w:szCs w:val="21"/>
                <w:lang w:eastAsia="zh-CN"/>
              </w:rPr>
              <w:t>机</w:t>
            </w:r>
            <w:r>
              <w:rPr>
                <w:rFonts w:hint="eastAsia" w:ascii="宋体" w:hAnsi="宋体" w:cs="宋体"/>
                <w:spacing w:val="-58"/>
                <w:w w:val="99"/>
                <w:kern w:val="2"/>
                <w:sz w:val="21"/>
                <w:szCs w:val="21"/>
                <w:lang w:eastAsia="zh-CN"/>
              </w:rPr>
              <w:t>、</w:t>
            </w:r>
            <w:r>
              <w:rPr>
                <w:rFonts w:hint="eastAsia" w:ascii="宋体" w:hAnsi="宋体" w:cs="宋体"/>
                <w:spacing w:val="2"/>
                <w:w w:val="99"/>
                <w:kern w:val="2"/>
                <w:sz w:val="21"/>
                <w:szCs w:val="21"/>
                <w:lang w:eastAsia="zh-CN"/>
              </w:rPr>
              <w:t>打</w:t>
            </w:r>
            <w:r>
              <w:rPr>
                <w:rFonts w:hint="eastAsia" w:ascii="宋体" w:hAnsi="宋体" w:cs="宋体"/>
                <w:w w:val="99"/>
                <w:kern w:val="2"/>
                <w:sz w:val="21"/>
                <w:szCs w:val="21"/>
                <w:lang w:eastAsia="zh-CN"/>
              </w:rPr>
              <w:t>印机</w:t>
            </w:r>
            <w:r>
              <w:rPr>
                <w:rFonts w:hint="eastAsia" w:ascii="宋体" w:hAnsi="宋体" w:cs="宋体"/>
                <w:spacing w:val="2"/>
                <w:w w:val="99"/>
                <w:kern w:val="2"/>
                <w:sz w:val="21"/>
                <w:szCs w:val="21"/>
                <w:lang w:eastAsia="zh-CN"/>
              </w:rPr>
              <w:t>和</w:t>
            </w:r>
            <w:r>
              <w:rPr>
                <w:rFonts w:hint="eastAsia" w:ascii="宋体" w:hAnsi="宋体" w:cs="宋体"/>
                <w:w w:val="99"/>
                <w:kern w:val="2"/>
                <w:sz w:val="21"/>
                <w:szCs w:val="21"/>
                <w:lang w:eastAsia="zh-CN"/>
              </w:rPr>
              <w:t>传真</w:t>
            </w:r>
            <w:r>
              <w:rPr>
                <w:rFonts w:hint="eastAsia" w:ascii="宋体" w:hAnsi="宋体" w:cs="宋体"/>
                <w:spacing w:val="2"/>
                <w:w w:val="99"/>
                <w:kern w:val="2"/>
                <w:sz w:val="21"/>
                <w:szCs w:val="21"/>
                <w:lang w:eastAsia="zh-CN"/>
              </w:rPr>
              <w:t>机</w:t>
            </w:r>
            <w:r>
              <w:rPr>
                <w:rFonts w:hint="eastAsia" w:ascii="宋体" w:hAnsi="宋体" w:cs="宋体"/>
                <w:w w:val="99"/>
                <w:kern w:val="2"/>
                <w:sz w:val="21"/>
                <w:szCs w:val="21"/>
                <w:lang w:eastAsia="zh-CN"/>
              </w:rPr>
              <w:t>能效限定值及</w:t>
            </w:r>
            <w:r>
              <w:rPr>
                <w:rFonts w:hint="eastAsia" w:ascii="宋体" w:hAnsi="宋体" w:cs="宋体"/>
                <w:spacing w:val="2"/>
                <w:w w:val="99"/>
                <w:kern w:val="2"/>
                <w:sz w:val="21"/>
                <w:szCs w:val="21"/>
                <w:lang w:eastAsia="zh-CN"/>
              </w:rPr>
              <w:t>能</w:t>
            </w:r>
            <w:r>
              <w:rPr>
                <w:rFonts w:hint="eastAsia" w:ascii="宋体" w:hAnsi="宋体" w:cs="宋体"/>
                <w:w w:val="99"/>
                <w:kern w:val="2"/>
                <w:sz w:val="21"/>
                <w:szCs w:val="21"/>
                <w:lang w:eastAsia="zh-CN"/>
              </w:rPr>
              <w:t>效等</w:t>
            </w:r>
            <w:r>
              <w:rPr>
                <w:rFonts w:hint="eastAsia" w:ascii="宋体" w:hAnsi="宋体" w:cs="宋体"/>
                <w:spacing w:val="2"/>
                <w:w w:val="99"/>
                <w:kern w:val="2"/>
                <w:sz w:val="21"/>
                <w:szCs w:val="21"/>
                <w:lang w:eastAsia="zh-CN"/>
              </w:rPr>
              <w:t>级</w:t>
            </w:r>
            <w:r>
              <w:rPr>
                <w:rFonts w:hint="eastAsia" w:ascii="宋体" w:hAnsi="宋体" w:cs="宋体"/>
                <w:w w:val="99"/>
                <w:kern w:val="2"/>
                <w:sz w:val="21"/>
                <w:szCs w:val="21"/>
                <w:lang w:eastAsia="zh-CN"/>
              </w:rPr>
              <w:t>》（</w:t>
            </w:r>
            <w:r>
              <w:rPr>
                <w:rFonts w:hint="eastAsia" w:ascii="宋体" w:hAnsi="宋体" w:cs="宋体"/>
                <w:spacing w:val="1"/>
                <w:w w:val="99"/>
                <w:kern w:val="2"/>
                <w:sz w:val="21"/>
                <w:szCs w:val="21"/>
                <w:lang w:eastAsia="zh-CN"/>
              </w:rPr>
              <w:t>G</w:t>
            </w:r>
            <w:r>
              <w:rPr>
                <w:rFonts w:hint="eastAsia" w:ascii="宋体" w:hAnsi="宋体" w:cs="宋体"/>
                <w:w w:val="99"/>
                <w:kern w:val="2"/>
                <w:sz w:val="21"/>
                <w:szCs w:val="21"/>
                <w:lang w:eastAsia="zh-CN"/>
              </w:rPr>
              <w:t>B</w:t>
            </w:r>
            <w:r>
              <w:rPr>
                <w:rFonts w:hint="eastAsia" w:ascii="宋体" w:hAnsi="宋体" w:cs="宋体"/>
                <w:spacing w:val="1"/>
                <w:w w:val="99"/>
                <w:kern w:val="2"/>
                <w:sz w:val="21"/>
                <w:szCs w:val="21"/>
                <w:lang w:eastAsia="zh-CN"/>
              </w:rPr>
              <w:t>21</w:t>
            </w:r>
            <w:r>
              <w:rPr>
                <w:rFonts w:hint="eastAsia" w:ascii="宋体" w:hAnsi="宋体" w:cs="宋体"/>
                <w:w w:val="99"/>
                <w:kern w:val="2"/>
                <w:sz w:val="21"/>
                <w:szCs w:val="21"/>
                <w:lang w:eastAsia="zh-CN"/>
              </w:rPr>
              <w:t>52</w:t>
            </w:r>
            <w:r>
              <w:rPr>
                <w:rFonts w:hint="eastAsia" w:ascii="宋体" w:hAnsi="宋体" w:cs="宋体"/>
                <w:spacing w:val="1"/>
                <w:w w:val="99"/>
                <w:kern w:val="2"/>
                <w:sz w:val="21"/>
                <w:szCs w:val="21"/>
                <w:lang w:eastAsia="zh-CN"/>
              </w:rPr>
              <w:t>1</w:t>
            </w:r>
            <w:r>
              <w:rPr>
                <w:rFonts w:hint="eastAsia" w:ascii="宋体" w:hAnsi="宋体" w:cs="宋体"/>
                <w:w w:val="99"/>
                <w:kern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szCs w:val="21"/>
              </w:rPr>
            </w:pPr>
          </w:p>
        </w:tc>
        <w:tc>
          <w:tcPr>
            <w:tcW w:w="83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szCs w:val="21"/>
              </w:rPr>
            </w:pPr>
          </w:p>
        </w:tc>
        <w:tc>
          <w:tcPr>
            <w:tcW w:w="878"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szCs w:val="21"/>
              </w:rPr>
            </w:pP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rPr>
            </w:pPr>
            <w:r>
              <w:rPr>
                <w:rFonts w:hint="eastAsia" w:ascii="宋体" w:hAnsi="宋体"/>
                <w:szCs w:val="21"/>
              </w:rPr>
              <w:t>A02021002 A3彩色打印机</w:t>
            </w:r>
          </w:p>
        </w:tc>
        <w:tc>
          <w:tcPr>
            <w:tcW w:w="2092" w:type="pct"/>
            <w:tcBorders>
              <w:top w:val="single" w:color="000000" w:sz="4" w:space="0"/>
              <w:left w:val="single" w:color="000000" w:sz="4" w:space="0"/>
              <w:bottom w:val="single" w:color="000000" w:sz="4" w:space="0"/>
              <w:right w:val="single" w:color="000000" w:sz="4" w:space="0"/>
            </w:tcBorders>
          </w:tcPr>
          <w:p>
            <w:pPr>
              <w:pStyle w:val="115"/>
              <w:spacing w:before="52" w:line="240" w:lineRule="exact"/>
              <w:ind w:left="7" w:right="7"/>
              <w:rPr>
                <w:rFonts w:ascii="宋体" w:hAnsi="宋体" w:cs="宋体"/>
                <w:kern w:val="2"/>
                <w:sz w:val="21"/>
                <w:szCs w:val="21"/>
                <w:lang w:eastAsia="zh-CN"/>
              </w:rPr>
            </w:pPr>
            <w:r>
              <w:rPr>
                <w:rFonts w:hint="eastAsia" w:ascii="宋体" w:hAnsi="宋体" w:cs="宋体"/>
                <w:w w:val="99"/>
                <w:kern w:val="2"/>
                <w:sz w:val="21"/>
                <w:szCs w:val="21"/>
                <w:lang w:eastAsia="zh-CN"/>
              </w:rPr>
              <w:t>《复印</w:t>
            </w:r>
            <w:r>
              <w:rPr>
                <w:rFonts w:hint="eastAsia" w:ascii="宋体" w:hAnsi="宋体" w:cs="宋体"/>
                <w:spacing w:val="2"/>
                <w:w w:val="99"/>
                <w:kern w:val="2"/>
                <w:sz w:val="21"/>
                <w:szCs w:val="21"/>
                <w:lang w:eastAsia="zh-CN"/>
              </w:rPr>
              <w:t>机</w:t>
            </w:r>
            <w:r>
              <w:rPr>
                <w:rFonts w:hint="eastAsia" w:ascii="宋体" w:hAnsi="宋体" w:cs="宋体"/>
                <w:spacing w:val="-58"/>
                <w:w w:val="99"/>
                <w:kern w:val="2"/>
                <w:sz w:val="21"/>
                <w:szCs w:val="21"/>
                <w:lang w:eastAsia="zh-CN"/>
              </w:rPr>
              <w:t>、</w:t>
            </w:r>
            <w:r>
              <w:rPr>
                <w:rFonts w:hint="eastAsia" w:ascii="宋体" w:hAnsi="宋体" w:cs="宋体"/>
                <w:spacing w:val="2"/>
                <w:w w:val="99"/>
                <w:kern w:val="2"/>
                <w:sz w:val="21"/>
                <w:szCs w:val="21"/>
                <w:lang w:eastAsia="zh-CN"/>
              </w:rPr>
              <w:t>打</w:t>
            </w:r>
            <w:r>
              <w:rPr>
                <w:rFonts w:hint="eastAsia" w:ascii="宋体" w:hAnsi="宋体" w:cs="宋体"/>
                <w:w w:val="99"/>
                <w:kern w:val="2"/>
                <w:sz w:val="21"/>
                <w:szCs w:val="21"/>
                <w:lang w:eastAsia="zh-CN"/>
              </w:rPr>
              <w:t>印机</w:t>
            </w:r>
            <w:r>
              <w:rPr>
                <w:rFonts w:hint="eastAsia" w:ascii="宋体" w:hAnsi="宋体" w:cs="宋体"/>
                <w:spacing w:val="2"/>
                <w:w w:val="99"/>
                <w:kern w:val="2"/>
                <w:sz w:val="21"/>
                <w:szCs w:val="21"/>
                <w:lang w:eastAsia="zh-CN"/>
              </w:rPr>
              <w:t>和</w:t>
            </w:r>
            <w:r>
              <w:rPr>
                <w:rFonts w:hint="eastAsia" w:ascii="宋体" w:hAnsi="宋体" w:cs="宋体"/>
                <w:w w:val="99"/>
                <w:kern w:val="2"/>
                <w:sz w:val="21"/>
                <w:szCs w:val="21"/>
                <w:lang w:eastAsia="zh-CN"/>
              </w:rPr>
              <w:t>传真</w:t>
            </w:r>
            <w:r>
              <w:rPr>
                <w:rFonts w:hint="eastAsia" w:ascii="宋体" w:hAnsi="宋体" w:cs="宋体"/>
                <w:spacing w:val="2"/>
                <w:w w:val="99"/>
                <w:kern w:val="2"/>
                <w:sz w:val="21"/>
                <w:szCs w:val="21"/>
                <w:lang w:eastAsia="zh-CN"/>
              </w:rPr>
              <w:t>机</w:t>
            </w:r>
            <w:r>
              <w:rPr>
                <w:rFonts w:hint="eastAsia" w:ascii="宋体" w:hAnsi="宋体" w:cs="宋体"/>
                <w:w w:val="99"/>
                <w:kern w:val="2"/>
                <w:sz w:val="21"/>
                <w:szCs w:val="21"/>
                <w:lang w:eastAsia="zh-CN"/>
              </w:rPr>
              <w:t>能效限定值及</w:t>
            </w:r>
            <w:r>
              <w:rPr>
                <w:rFonts w:hint="eastAsia" w:ascii="宋体" w:hAnsi="宋体" w:cs="宋体"/>
                <w:spacing w:val="2"/>
                <w:w w:val="99"/>
                <w:kern w:val="2"/>
                <w:sz w:val="21"/>
                <w:szCs w:val="21"/>
                <w:lang w:eastAsia="zh-CN"/>
              </w:rPr>
              <w:t>能</w:t>
            </w:r>
            <w:r>
              <w:rPr>
                <w:rFonts w:hint="eastAsia" w:ascii="宋体" w:hAnsi="宋体" w:cs="宋体"/>
                <w:w w:val="99"/>
                <w:kern w:val="2"/>
                <w:sz w:val="21"/>
                <w:szCs w:val="21"/>
                <w:lang w:eastAsia="zh-CN"/>
              </w:rPr>
              <w:t>效等</w:t>
            </w:r>
            <w:r>
              <w:rPr>
                <w:rFonts w:hint="eastAsia" w:ascii="宋体" w:hAnsi="宋体" w:cs="宋体"/>
                <w:spacing w:val="2"/>
                <w:w w:val="99"/>
                <w:kern w:val="2"/>
                <w:sz w:val="21"/>
                <w:szCs w:val="21"/>
                <w:lang w:eastAsia="zh-CN"/>
              </w:rPr>
              <w:t>级</w:t>
            </w:r>
            <w:r>
              <w:rPr>
                <w:rFonts w:hint="eastAsia" w:ascii="宋体" w:hAnsi="宋体" w:cs="宋体"/>
                <w:w w:val="99"/>
                <w:kern w:val="2"/>
                <w:sz w:val="21"/>
                <w:szCs w:val="21"/>
                <w:lang w:eastAsia="zh-CN"/>
              </w:rPr>
              <w:t>》（</w:t>
            </w:r>
            <w:r>
              <w:rPr>
                <w:rFonts w:hint="eastAsia" w:ascii="宋体" w:hAnsi="宋体" w:cs="宋体"/>
                <w:spacing w:val="1"/>
                <w:w w:val="99"/>
                <w:kern w:val="2"/>
                <w:sz w:val="21"/>
                <w:szCs w:val="21"/>
                <w:lang w:eastAsia="zh-CN"/>
              </w:rPr>
              <w:t>G</w:t>
            </w:r>
            <w:r>
              <w:rPr>
                <w:rFonts w:hint="eastAsia" w:ascii="宋体" w:hAnsi="宋体" w:cs="宋体"/>
                <w:w w:val="99"/>
                <w:kern w:val="2"/>
                <w:sz w:val="21"/>
                <w:szCs w:val="21"/>
                <w:lang w:eastAsia="zh-CN"/>
              </w:rPr>
              <w:t>B</w:t>
            </w:r>
            <w:r>
              <w:rPr>
                <w:rFonts w:hint="eastAsia" w:ascii="宋体" w:hAnsi="宋体" w:cs="宋体"/>
                <w:spacing w:val="1"/>
                <w:w w:val="99"/>
                <w:kern w:val="2"/>
                <w:sz w:val="21"/>
                <w:szCs w:val="21"/>
                <w:lang w:eastAsia="zh-CN"/>
              </w:rPr>
              <w:t>21</w:t>
            </w:r>
            <w:r>
              <w:rPr>
                <w:rFonts w:hint="eastAsia" w:ascii="宋体" w:hAnsi="宋体" w:cs="宋体"/>
                <w:w w:val="99"/>
                <w:kern w:val="2"/>
                <w:sz w:val="21"/>
                <w:szCs w:val="21"/>
                <w:lang w:eastAsia="zh-CN"/>
              </w:rPr>
              <w:t>52</w:t>
            </w:r>
            <w:r>
              <w:rPr>
                <w:rFonts w:hint="eastAsia" w:ascii="宋体" w:hAnsi="宋体" w:cs="宋体"/>
                <w:spacing w:val="1"/>
                <w:w w:val="99"/>
                <w:kern w:val="2"/>
                <w:sz w:val="21"/>
                <w:szCs w:val="21"/>
                <w:lang w:eastAsia="zh-CN"/>
              </w:rPr>
              <w:t>1</w:t>
            </w:r>
            <w:r>
              <w:rPr>
                <w:rFonts w:hint="eastAsia" w:ascii="宋体" w:hAnsi="宋体" w:cs="宋体"/>
                <w:w w:val="99"/>
                <w:kern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szCs w:val="21"/>
              </w:rPr>
            </w:pPr>
          </w:p>
        </w:tc>
        <w:tc>
          <w:tcPr>
            <w:tcW w:w="83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szCs w:val="21"/>
              </w:rPr>
            </w:pPr>
          </w:p>
        </w:tc>
        <w:tc>
          <w:tcPr>
            <w:tcW w:w="878"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szCs w:val="21"/>
              </w:rPr>
            </w:pP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rPr>
            </w:pPr>
            <w:r>
              <w:rPr>
                <w:rFonts w:hint="eastAsia" w:ascii="宋体" w:hAnsi="宋体"/>
                <w:szCs w:val="21"/>
              </w:rPr>
              <w:t>A02021003 A4黑白打印机</w:t>
            </w:r>
          </w:p>
        </w:tc>
        <w:tc>
          <w:tcPr>
            <w:tcW w:w="2092" w:type="pct"/>
            <w:tcBorders>
              <w:top w:val="single" w:color="000000" w:sz="4" w:space="0"/>
              <w:left w:val="single" w:color="000000" w:sz="4" w:space="0"/>
              <w:bottom w:val="single" w:color="000000" w:sz="4" w:space="0"/>
              <w:right w:val="single" w:color="000000" w:sz="4" w:space="0"/>
            </w:tcBorders>
          </w:tcPr>
          <w:p>
            <w:pPr>
              <w:pStyle w:val="115"/>
              <w:spacing w:before="52" w:line="240" w:lineRule="exact"/>
              <w:ind w:left="7" w:right="7"/>
              <w:rPr>
                <w:rFonts w:ascii="宋体" w:hAnsi="宋体" w:cs="宋体"/>
                <w:kern w:val="2"/>
                <w:sz w:val="21"/>
                <w:szCs w:val="21"/>
                <w:lang w:eastAsia="zh-CN"/>
              </w:rPr>
            </w:pPr>
            <w:r>
              <w:rPr>
                <w:rFonts w:hint="eastAsia" w:ascii="宋体" w:hAnsi="宋体" w:cs="宋体"/>
                <w:w w:val="99"/>
                <w:kern w:val="2"/>
                <w:sz w:val="21"/>
                <w:szCs w:val="21"/>
                <w:lang w:eastAsia="zh-CN"/>
              </w:rPr>
              <w:t>《复印</w:t>
            </w:r>
            <w:r>
              <w:rPr>
                <w:rFonts w:hint="eastAsia" w:ascii="宋体" w:hAnsi="宋体" w:cs="宋体"/>
                <w:spacing w:val="2"/>
                <w:w w:val="99"/>
                <w:kern w:val="2"/>
                <w:sz w:val="21"/>
                <w:szCs w:val="21"/>
                <w:lang w:eastAsia="zh-CN"/>
              </w:rPr>
              <w:t>机</w:t>
            </w:r>
            <w:r>
              <w:rPr>
                <w:rFonts w:hint="eastAsia" w:ascii="宋体" w:hAnsi="宋体" w:cs="宋体"/>
                <w:spacing w:val="-58"/>
                <w:w w:val="99"/>
                <w:kern w:val="2"/>
                <w:sz w:val="21"/>
                <w:szCs w:val="21"/>
                <w:lang w:eastAsia="zh-CN"/>
              </w:rPr>
              <w:t>、</w:t>
            </w:r>
            <w:r>
              <w:rPr>
                <w:rFonts w:hint="eastAsia" w:ascii="宋体" w:hAnsi="宋体" w:cs="宋体"/>
                <w:spacing w:val="2"/>
                <w:w w:val="99"/>
                <w:kern w:val="2"/>
                <w:sz w:val="21"/>
                <w:szCs w:val="21"/>
                <w:lang w:eastAsia="zh-CN"/>
              </w:rPr>
              <w:t>打</w:t>
            </w:r>
            <w:r>
              <w:rPr>
                <w:rFonts w:hint="eastAsia" w:ascii="宋体" w:hAnsi="宋体" w:cs="宋体"/>
                <w:w w:val="99"/>
                <w:kern w:val="2"/>
                <w:sz w:val="21"/>
                <w:szCs w:val="21"/>
                <w:lang w:eastAsia="zh-CN"/>
              </w:rPr>
              <w:t>印机</w:t>
            </w:r>
            <w:r>
              <w:rPr>
                <w:rFonts w:hint="eastAsia" w:ascii="宋体" w:hAnsi="宋体" w:cs="宋体"/>
                <w:spacing w:val="2"/>
                <w:w w:val="99"/>
                <w:kern w:val="2"/>
                <w:sz w:val="21"/>
                <w:szCs w:val="21"/>
                <w:lang w:eastAsia="zh-CN"/>
              </w:rPr>
              <w:t>和</w:t>
            </w:r>
            <w:r>
              <w:rPr>
                <w:rFonts w:hint="eastAsia" w:ascii="宋体" w:hAnsi="宋体" w:cs="宋体"/>
                <w:w w:val="99"/>
                <w:kern w:val="2"/>
                <w:sz w:val="21"/>
                <w:szCs w:val="21"/>
                <w:lang w:eastAsia="zh-CN"/>
              </w:rPr>
              <w:t>传真</w:t>
            </w:r>
            <w:r>
              <w:rPr>
                <w:rFonts w:hint="eastAsia" w:ascii="宋体" w:hAnsi="宋体" w:cs="宋体"/>
                <w:spacing w:val="2"/>
                <w:w w:val="99"/>
                <w:kern w:val="2"/>
                <w:sz w:val="21"/>
                <w:szCs w:val="21"/>
                <w:lang w:eastAsia="zh-CN"/>
              </w:rPr>
              <w:t>机</w:t>
            </w:r>
            <w:r>
              <w:rPr>
                <w:rFonts w:hint="eastAsia" w:ascii="宋体" w:hAnsi="宋体" w:cs="宋体"/>
                <w:w w:val="99"/>
                <w:kern w:val="2"/>
                <w:sz w:val="21"/>
                <w:szCs w:val="21"/>
                <w:lang w:eastAsia="zh-CN"/>
              </w:rPr>
              <w:t>能效限定值及</w:t>
            </w:r>
            <w:r>
              <w:rPr>
                <w:rFonts w:hint="eastAsia" w:ascii="宋体" w:hAnsi="宋体" w:cs="宋体"/>
                <w:spacing w:val="2"/>
                <w:w w:val="99"/>
                <w:kern w:val="2"/>
                <w:sz w:val="21"/>
                <w:szCs w:val="21"/>
                <w:lang w:eastAsia="zh-CN"/>
              </w:rPr>
              <w:t>能</w:t>
            </w:r>
            <w:r>
              <w:rPr>
                <w:rFonts w:hint="eastAsia" w:ascii="宋体" w:hAnsi="宋体" w:cs="宋体"/>
                <w:w w:val="99"/>
                <w:kern w:val="2"/>
                <w:sz w:val="21"/>
                <w:szCs w:val="21"/>
                <w:lang w:eastAsia="zh-CN"/>
              </w:rPr>
              <w:t>效等</w:t>
            </w:r>
            <w:r>
              <w:rPr>
                <w:rFonts w:hint="eastAsia" w:ascii="宋体" w:hAnsi="宋体" w:cs="宋体"/>
                <w:spacing w:val="2"/>
                <w:w w:val="99"/>
                <w:kern w:val="2"/>
                <w:sz w:val="21"/>
                <w:szCs w:val="21"/>
                <w:lang w:eastAsia="zh-CN"/>
              </w:rPr>
              <w:t>级</w:t>
            </w:r>
            <w:r>
              <w:rPr>
                <w:rFonts w:hint="eastAsia" w:ascii="宋体" w:hAnsi="宋体" w:cs="宋体"/>
                <w:w w:val="99"/>
                <w:kern w:val="2"/>
                <w:sz w:val="21"/>
                <w:szCs w:val="21"/>
                <w:lang w:eastAsia="zh-CN"/>
              </w:rPr>
              <w:t>》（</w:t>
            </w:r>
            <w:r>
              <w:rPr>
                <w:rFonts w:hint="eastAsia" w:ascii="宋体" w:hAnsi="宋体" w:cs="宋体"/>
                <w:spacing w:val="1"/>
                <w:w w:val="99"/>
                <w:kern w:val="2"/>
                <w:sz w:val="21"/>
                <w:szCs w:val="21"/>
                <w:lang w:eastAsia="zh-CN"/>
              </w:rPr>
              <w:t>G</w:t>
            </w:r>
            <w:r>
              <w:rPr>
                <w:rFonts w:hint="eastAsia" w:ascii="宋体" w:hAnsi="宋体" w:cs="宋体"/>
                <w:w w:val="99"/>
                <w:kern w:val="2"/>
                <w:sz w:val="21"/>
                <w:szCs w:val="21"/>
                <w:lang w:eastAsia="zh-CN"/>
              </w:rPr>
              <w:t>B</w:t>
            </w:r>
            <w:r>
              <w:rPr>
                <w:rFonts w:hint="eastAsia" w:ascii="宋体" w:hAnsi="宋体" w:cs="宋体"/>
                <w:spacing w:val="1"/>
                <w:w w:val="99"/>
                <w:kern w:val="2"/>
                <w:sz w:val="21"/>
                <w:szCs w:val="21"/>
                <w:lang w:eastAsia="zh-CN"/>
              </w:rPr>
              <w:t>21</w:t>
            </w:r>
            <w:r>
              <w:rPr>
                <w:rFonts w:hint="eastAsia" w:ascii="宋体" w:hAnsi="宋体" w:cs="宋体"/>
                <w:w w:val="99"/>
                <w:kern w:val="2"/>
                <w:sz w:val="21"/>
                <w:szCs w:val="21"/>
                <w:lang w:eastAsia="zh-CN"/>
              </w:rPr>
              <w:t>52</w:t>
            </w:r>
            <w:r>
              <w:rPr>
                <w:rFonts w:hint="eastAsia" w:ascii="宋体" w:hAnsi="宋体" w:cs="宋体"/>
                <w:spacing w:val="1"/>
                <w:w w:val="99"/>
                <w:kern w:val="2"/>
                <w:sz w:val="21"/>
                <w:szCs w:val="21"/>
                <w:lang w:eastAsia="zh-CN"/>
              </w:rPr>
              <w:t>1</w:t>
            </w:r>
            <w:r>
              <w:rPr>
                <w:rFonts w:hint="eastAsia" w:ascii="宋体" w:hAnsi="宋体" w:cs="宋体"/>
                <w:w w:val="99"/>
                <w:kern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szCs w:val="21"/>
              </w:rPr>
            </w:pPr>
          </w:p>
        </w:tc>
        <w:tc>
          <w:tcPr>
            <w:tcW w:w="83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szCs w:val="21"/>
              </w:rPr>
            </w:pPr>
          </w:p>
        </w:tc>
        <w:tc>
          <w:tcPr>
            <w:tcW w:w="878"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szCs w:val="21"/>
              </w:rPr>
            </w:pP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rPr>
            </w:pPr>
            <w:r>
              <w:rPr>
                <w:rFonts w:hint="eastAsia" w:ascii="宋体" w:hAnsi="宋体"/>
                <w:szCs w:val="21"/>
              </w:rPr>
              <w:t>A02021004 A4彩色打印机</w:t>
            </w:r>
          </w:p>
        </w:tc>
        <w:tc>
          <w:tcPr>
            <w:tcW w:w="2092" w:type="pct"/>
            <w:tcBorders>
              <w:top w:val="single" w:color="000000" w:sz="4" w:space="0"/>
              <w:left w:val="single" w:color="000000" w:sz="4" w:space="0"/>
              <w:bottom w:val="single" w:color="000000" w:sz="4" w:space="0"/>
              <w:right w:val="single" w:color="000000" w:sz="4" w:space="0"/>
            </w:tcBorders>
          </w:tcPr>
          <w:p>
            <w:pPr>
              <w:pStyle w:val="115"/>
              <w:spacing w:before="52" w:line="240" w:lineRule="exact"/>
              <w:ind w:left="7" w:right="7"/>
              <w:rPr>
                <w:rFonts w:ascii="宋体" w:hAnsi="宋体" w:cs="宋体"/>
                <w:kern w:val="2"/>
                <w:sz w:val="21"/>
                <w:szCs w:val="21"/>
                <w:lang w:eastAsia="zh-CN"/>
              </w:rPr>
            </w:pPr>
            <w:r>
              <w:rPr>
                <w:rFonts w:hint="eastAsia" w:ascii="宋体" w:hAnsi="宋体" w:cs="宋体"/>
                <w:w w:val="99"/>
                <w:kern w:val="2"/>
                <w:sz w:val="21"/>
                <w:szCs w:val="21"/>
                <w:lang w:eastAsia="zh-CN"/>
              </w:rPr>
              <w:t>《复印</w:t>
            </w:r>
            <w:r>
              <w:rPr>
                <w:rFonts w:hint="eastAsia" w:ascii="宋体" w:hAnsi="宋体" w:cs="宋体"/>
                <w:spacing w:val="2"/>
                <w:w w:val="99"/>
                <w:kern w:val="2"/>
                <w:sz w:val="21"/>
                <w:szCs w:val="21"/>
                <w:lang w:eastAsia="zh-CN"/>
              </w:rPr>
              <w:t>机</w:t>
            </w:r>
            <w:r>
              <w:rPr>
                <w:rFonts w:hint="eastAsia" w:ascii="宋体" w:hAnsi="宋体" w:cs="宋体"/>
                <w:spacing w:val="-58"/>
                <w:w w:val="99"/>
                <w:kern w:val="2"/>
                <w:sz w:val="21"/>
                <w:szCs w:val="21"/>
                <w:lang w:eastAsia="zh-CN"/>
              </w:rPr>
              <w:t>、</w:t>
            </w:r>
            <w:r>
              <w:rPr>
                <w:rFonts w:hint="eastAsia" w:ascii="宋体" w:hAnsi="宋体" w:cs="宋体"/>
                <w:spacing w:val="2"/>
                <w:w w:val="99"/>
                <w:kern w:val="2"/>
                <w:sz w:val="21"/>
                <w:szCs w:val="21"/>
                <w:lang w:eastAsia="zh-CN"/>
              </w:rPr>
              <w:t>打</w:t>
            </w:r>
            <w:r>
              <w:rPr>
                <w:rFonts w:hint="eastAsia" w:ascii="宋体" w:hAnsi="宋体" w:cs="宋体"/>
                <w:w w:val="99"/>
                <w:kern w:val="2"/>
                <w:sz w:val="21"/>
                <w:szCs w:val="21"/>
                <w:lang w:eastAsia="zh-CN"/>
              </w:rPr>
              <w:t>印机</w:t>
            </w:r>
            <w:r>
              <w:rPr>
                <w:rFonts w:hint="eastAsia" w:ascii="宋体" w:hAnsi="宋体" w:cs="宋体"/>
                <w:spacing w:val="2"/>
                <w:w w:val="99"/>
                <w:kern w:val="2"/>
                <w:sz w:val="21"/>
                <w:szCs w:val="21"/>
                <w:lang w:eastAsia="zh-CN"/>
              </w:rPr>
              <w:t>和</w:t>
            </w:r>
            <w:r>
              <w:rPr>
                <w:rFonts w:hint="eastAsia" w:ascii="宋体" w:hAnsi="宋体" w:cs="宋体"/>
                <w:w w:val="99"/>
                <w:kern w:val="2"/>
                <w:sz w:val="21"/>
                <w:szCs w:val="21"/>
                <w:lang w:eastAsia="zh-CN"/>
              </w:rPr>
              <w:t>传真</w:t>
            </w:r>
            <w:r>
              <w:rPr>
                <w:rFonts w:hint="eastAsia" w:ascii="宋体" w:hAnsi="宋体" w:cs="宋体"/>
                <w:spacing w:val="2"/>
                <w:w w:val="99"/>
                <w:kern w:val="2"/>
                <w:sz w:val="21"/>
                <w:szCs w:val="21"/>
                <w:lang w:eastAsia="zh-CN"/>
              </w:rPr>
              <w:t>机</w:t>
            </w:r>
            <w:r>
              <w:rPr>
                <w:rFonts w:hint="eastAsia" w:ascii="宋体" w:hAnsi="宋体" w:cs="宋体"/>
                <w:w w:val="99"/>
                <w:kern w:val="2"/>
                <w:sz w:val="21"/>
                <w:szCs w:val="21"/>
                <w:lang w:eastAsia="zh-CN"/>
              </w:rPr>
              <w:t>能效限定值及</w:t>
            </w:r>
            <w:r>
              <w:rPr>
                <w:rFonts w:hint="eastAsia" w:ascii="宋体" w:hAnsi="宋体" w:cs="宋体"/>
                <w:spacing w:val="2"/>
                <w:w w:val="99"/>
                <w:kern w:val="2"/>
                <w:sz w:val="21"/>
                <w:szCs w:val="21"/>
                <w:lang w:eastAsia="zh-CN"/>
              </w:rPr>
              <w:t>能</w:t>
            </w:r>
            <w:r>
              <w:rPr>
                <w:rFonts w:hint="eastAsia" w:ascii="宋体" w:hAnsi="宋体" w:cs="宋体"/>
                <w:w w:val="99"/>
                <w:kern w:val="2"/>
                <w:sz w:val="21"/>
                <w:szCs w:val="21"/>
                <w:lang w:eastAsia="zh-CN"/>
              </w:rPr>
              <w:t>效等</w:t>
            </w:r>
            <w:r>
              <w:rPr>
                <w:rFonts w:hint="eastAsia" w:ascii="宋体" w:hAnsi="宋体" w:cs="宋体"/>
                <w:spacing w:val="2"/>
                <w:w w:val="99"/>
                <w:kern w:val="2"/>
                <w:sz w:val="21"/>
                <w:szCs w:val="21"/>
                <w:lang w:eastAsia="zh-CN"/>
              </w:rPr>
              <w:t>级</w:t>
            </w:r>
            <w:r>
              <w:rPr>
                <w:rFonts w:hint="eastAsia" w:ascii="宋体" w:hAnsi="宋体" w:cs="宋体"/>
                <w:w w:val="99"/>
                <w:kern w:val="2"/>
                <w:sz w:val="21"/>
                <w:szCs w:val="21"/>
                <w:lang w:eastAsia="zh-CN"/>
              </w:rPr>
              <w:t>》（</w:t>
            </w:r>
            <w:r>
              <w:rPr>
                <w:rFonts w:hint="eastAsia" w:ascii="宋体" w:hAnsi="宋体" w:cs="宋体"/>
                <w:spacing w:val="1"/>
                <w:w w:val="99"/>
                <w:kern w:val="2"/>
                <w:sz w:val="21"/>
                <w:szCs w:val="21"/>
                <w:lang w:eastAsia="zh-CN"/>
              </w:rPr>
              <w:t>G</w:t>
            </w:r>
            <w:r>
              <w:rPr>
                <w:rFonts w:hint="eastAsia" w:ascii="宋体" w:hAnsi="宋体" w:cs="宋体"/>
                <w:w w:val="99"/>
                <w:kern w:val="2"/>
                <w:sz w:val="21"/>
                <w:szCs w:val="21"/>
                <w:lang w:eastAsia="zh-CN"/>
              </w:rPr>
              <w:t>B</w:t>
            </w:r>
            <w:r>
              <w:rPr>
                <w:rFonts w:hint="eastAsia" w:ascii="宋体" w:hAnsi="宋体" w:cs="宋体"/>
                <w:spacing w:val="1"/>
                <w:w w:val="99"/>
                <w:kern w:val="2"/>
                <w:sz w:val="21"/>
                <w:szCs w:val="21"/>
                <w:lang w:eastAsia="zh-CN"/>
              </w:rPr>
              <w:t>21</w:t>
            </w:r>
            <w:r>
              <w:rPr>
                <w:rFonts w:hint="eastAsia" w:ascii="宋体" w:hAnsi="宋体" w:cs="宋体"/>
                <w:w w:val="99"/>
                <w:kern w:val="2"/>
                <w:sz w:val="21"/>
                <w:szCs w:val="21"/>
                <w:lang w:eastAsia="zh-CN"/>
              </w:rPr>
              <w:t>52</w:t>
            </w:r>
            <w:r>
              <w:rPr>
                <w:rFonts w:hint="eastAsia" w:ascii="宋体" w:hAnsi="宋体" w:cs="宋体"/>
                <w:spacing w:val="1"/>
                <w:w w:val="99"/>
                <w:kern w:val="2"/>
                <w:sz w:val="21"/>
                <w:szCs w:val="21"/>
                <w:lang w:eastAsia="zh-CN"/>
              </w:rPr>
              <w:t>1</w:t>
            </w:r>
            <w:r>
              <w:rPr>
                <w:rFonts w:hint="eastAsia" w:ascii="宋体" w:hAnsi="宋体" w:cs="宋体"/>
                <w:w w:val="99"/>
                <w:kern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szCs w:val="21"/>
              </w:rPr>
            </w:pPr>
          </w:p>
        </w:tc>
        <w:tc>
          <w:tcPr>
            <w:tcW w:w="83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szCs w:val="21"/>
              </w:rPr>
            </w:pPr>
          </w:p>
        </w:tc>
        <w:tc>
          <w:tcPr>
            <w:tcW w:w="878"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szCs w:val="21"/>
              </w:rPr>
            </w:pP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rPr>
            </w:pPr>
            <w:r>
              <w:rPr>
                <w:rFonts w:hint="eastAsia" w:ascii="宋体" w:hAnsi="宋体"/>
                <w:szCs w:val="21"/>
              </w:rPr>
              <w:t>A02021005 3D打印机</w:t>
            </w:r>
          </w:p>
        </w:tc>
        <w:tc>
          <w:tcPr>
            <w:tcW w:w="2092" w:type="pct"/>
            <w:tcBorders>
              <w:top w:val="single" w:color="000000" w:sz="4" w:space="0"/>
              <w:left w:val="single" w:color="000000" w:sz="4" w:space="0"/>
              <w:bottom w:val="single" w:color="000000" w:sz="4" w:space="0"/>
              <w:right w:val="single" w:color="000000" w:sz="4" w:space="0"/>
            </w:tcBorders>
          </w:tcPr>
          <w:p>
            <w:pPr>
              <w:pStyle w:val="115"/>
              <w:spacing w:before="52" w:line="240" w:lineRule="exact"/>
              <w:ind w:left="7" w:right="7"/>
              <w:rPr>
                <w:rFonts w:ascii="宋体" w:hAnsi="宋体" w:cs="宋体"/>
                <w:kern w:val="2"/>
                <w:sz w:val="21"/>
                <w:szCs w:val="21"/>
                <w:lang w:eastAsia="zh-CN"/>
              </w:rPr>
            </w:pPr>
            <w:r>
              <w:rPr>
                <w:rFonts w:hint="eastAsia" w:ascii="宋体" w:hAnsi="宋体" w:cs="宋体"/>
                <w:w w:val="99"/>
                <w:kern w:val="2"/>
                <w:sz w:val="21"/>
                <w:szCs w:val="21"/>
                <w:lang w:eastAsia="zh-CN"/>
              </w:rPr>
              <w:t>《复印</w:t>
            </w:r>
            <w:r>
              <w:rPr>
                <w:rFonts w:hint="eastAsia" w:ascii="宋体" w:hAnsi="宋体" w:cs="宋体"/>
                <w:spacing w:val="2"/>
                <w:w w:val="99"/>
                <w:kern w:val="2"/>
                <w:sz w:val="21"/>
                <w:szCs w:val="21"/>
                <w:lang w:eastAsia="zh-CN"/>
              </w:rPr>
              <w:t>机</w:t>
            </w:r>
            <w:r>
              <w:rPr>
                <w:rFonts w:hint="eastAsia" w:ascii="宋体" w:hAnsi="宋体" w:cs="宋体"/>
                <w:spacing w:val="-58"/>
                <w:w w:val="99"/>
                <w:kern w:val="2"/>
                <w:sz w:val="21"/>
                <w:szCs w:val="21"/>
                <w:lang w:eastAsia="zh-CN"/>
              </w:rPr>
              <w:t>、</w:t>
            </w:r>
            <w:r>
              <w:rPr>
                <w:rFonts w:hint="eastAsia" w:ascii="宋体" w:hAnsi="宋体" w:cs="宋体"/>
                <w:spacing w:val="2"/>
                <w:w w:val="99"/>
                <w:kern w:val="2"/>
                <w:sz w:val="21"/>
                <w:szCs w:val="21"/>
                <w:lang w:eastAsia="zh-CN"/>
              </w:rPr>
              <w:t>打</w:t>
            </w:r>
            <w:r>
              <w:rPr>
                <w:rFonts w:hint="eastAsia" w:ascii="宋体" w:hAnsi="宋体" w:cs="宋体"/>
                <w:w w:val="99"/>
                <w:kern w:val="2"/>
                <w:sz w:val="21"/>
                <w:szCs w:val="21"/>
                <w:lang w:eastAsia="zh-CN"/>
              </w:rPr>
              <w:t>印机</w:t>
            </w:r>
            <w:r>
              <w:rPr>
                <w:rFonts w:hint="eastAsia" w:ascii="宋体" w:hAnsi="宋体" w:cs="宋体"/>
                <w:spacing w:val="2"/>
                <w:w w:val="99"/>
                <w:kern w:val="2"/>
                <w:sz w:val="21"/>
                <w:szCs w:val="21"/>
                <w:lang w:eastAsia="zh-CN"/>
              </w:rPr>
              <w:t>和</w:t>
            </w:r>
            <w:r>
              <w:rPr>
                <w:rFonts w:hint="eastAsia" w:ascii="宋体" w:hAnsi="宋体" w:cs="宋体"/>
                <w:w w:val="99"/>
                <w:kern w:val="2"/>
                <w:sz w:val="21"/>
                <w:szCs w:val="21"/>
                <w:lang w:eastAsia="zh-CN"/>
              </w:rPr>
              <w:t>传真</w:t>
            </w:r>
            <w:r>
              <w:rPr>
                <w:rFonts w:hint="eastAsia" w:ascii="宋体" w:hAnsi="宋体" w:cs="宋体"/>
                <w:spacing w:val="2"/>
                <w:w w:val="99"/>
                <w:kern w:val="2"/>
                <w:sz w:val="21"/>
                <w:szCs w:val="21"/>
                <w:lang w:eastAsia="zh-CN"/>
              </w:rPr>
              <w:t>机</w:t>
            </w:r>
            <w:r>
              <w:rPr>
                <w:rFonts w:hint="eastAsia" w:ascii="宋体" w:hAnsi="宋体" w:cs="宋体"/>
                <w:w w:val="99"/>
                <w:kern w:val="2"/>
                <w:sz w:val="21"/>
                <w:szCs w:val="21"/>
                <w:lang w:eastAsia="zh-CN"/>
              </w:rPr>
              <w:t>能效限定值及</w:t>
            </w:r>
            <w:r>
              <w:rPr>
                <w:rFonts w:hint="eastAsia" w:ascii="宋体" w:hAnsi="宋体" w:cs="宋体"/>
                <w:spacing w:val="2"/>
                <w:w w:val="99"/>
                <w:kern w:val="2"/>
                <w:sz w:val="21"/>
                <w:szCs w:val="21"/>
                <w:lang w:eastAsia="zh-CN"/>
              </w:rPr>
              <w:t>能</w:t>
            </w:r>
            <w:r>
              <w:rPr>
                <w:rFonts w:hint="eastAsia" w:ascii="宋体" w:hAnsi="宋体" w:cs="宋体"/>
                <w:w w:val="99"/>
                <w:kern w:val="2"/>
                <w:sz w:val="21"/>
                <w:szCs w:val="21"/>
                <w:lang w:eastAsia="zh-CN"/>
              </w:rPr>
              <w:t>效等</w:t>
            </w:r>
            <w:r>
              <w:rPr>
                <w:rFonts w:hint="eastAsia" w:ascii="宋体" w:hAnsi="宋体" w:cs="宋体"/>
                <w:spacing w:val="2"/>
                <w:w w:val="99"/>
                <w:kern w:val="2"/>
                <w:sz w:val="21"/>
                <w:szCs w:val="21"/>
                <w:lang w:eastAsia="zh-CN"/>
              </w:rPr>
              <w:t>级</w:t>
            </w:r>
            <w:r>
              <w:rPr>
                <w:rFonts w:hint="eastAsia" w:ascii="宋体" w:hAnsi="宋体" w:cs="宋体"/>
                <w:w w:val="99"/>
                <w:kern w:val="2"/>
                <w:sz w:val="21"/>
                <w:szCs w:val="21"/>
                <w:lang w:eastAsia="zh-CN"/>
              </w:rPr>
              <w:t>》（</w:t>
            </w:r>
            <w:r>
              <w:rPr>
                <w:rFonts w:hint="eastAsia" w:ascii="宋体" w:hAnsi="宋体" w:cs="宋体"/>
                <w:spacing w:val="1"/>
                <w:w w:val="99"/>
                <w:kern w:val="2"/>
                <w:sz w:val="21"/>
                <w:szCs w:val="21"/>
                <w:lang w:eastAsia="zh-CN"/>
              </w:rPr>
              <w:t>G</w:t>
            </w:r>
            <w:r>
              <w:rPr>
                <w:rFonts w:hint="eastAsia" w:ascii="宋体" w:hAnsi="宋体" w:cs="宋体"/>
                <w:w w:val="99"/>
                <w:kern w:val="2"/>
                <w:sz w:val="21"/>
                <w:szCs w:val="21"/>
                <w:lang w:eastAsia="zh-CN"/>
              </w:rPr>
              <w:t>B</w:t>
            </w:r>
            <w:r>
              <w:rPr>
                <w:rFonts w:hint="eastAsia" w:ascii="宋体" w:hAnsi="宋体" w:cs="宋体"/>
                <w:spacing w:val="1"/>
                <w:w w:val="99"/>
                <w:kern w:val="2"/>
                <w:sz w:val="21"/>
                <w:szCs w:val="21"/>
                <w:lang w:eastAsia="zh-CN"/>
              </w:rPr>
              <w:t>21</w:t>
            </w:r>
            <w:r>
              <w:rPr>
                <w:rFonts w:hint="eastAsia" w:ascii="宋体" w:hAnsi="宋体" w:cs="宋体"/>
                <w:w w:val="99"/>
                <w:kern w:val="2"/>
                <w:sz w:val="21"/>
                <w:szCs w:val="21"/>
                <w:lang w:eastAsia="zh-CN"/>
              </w:rPr>
              <w:t>52</w:t>
            </w:r>
            <w:r>
              <w:rPr>
                <w:rFonts w:hint="eastAsia" w:ascii="宋体" w:hAnsi="宋体" w:cs="宋体"/>
                <w:spacing w:val="1"/>
                <w:w w:val="99"/>
                <w:kern w:val="2"/>
                <w:sz w:val="21"/>
                <w:szCs w:val="21"/>
                <w:lang w:eastAsia="zh-CN"/>
              </w:rPr>
              <w:t>1</w:t>
            </w:r>
            <w:r>
              <w:rPr>
                <w:rFonts w:hint="eastAsia" w:ascii="宋体" w:hAnsi="宋体" w:cs="宋体"/>
                <w:w w:val="99"/>
                <w:kern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szCs w:val="21"/>
              </w:rPr>
            </w:pPr>
          </w:p>
        </w:tc>
        <w:tc>
          <w:tcPr>
            <w:tcW w:w="83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szCs w:val="21"/>
              </w:rPr>
            </w:pPr>
          </w:p>
        </w:tc>
        <w:tc>
          <w:tcPr>
            <w:tcW w:w="878"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szCs w:val="21"/>
              </w:rPr>
            </w:pP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rPr>
            </w:pPr>
            <w:r>
              <w:rPr>
                <w:rFonts w:hint="eastAsia" w:ascii="宋体" w:hAnsi="宋体"/>
                <w:szCs w:val="21"/>
              </w:rPr>
              <w:t>A02021006票据打印机</w:t>
            </w:r>
          </w:p>
        </w:tc>
        <w:tc>
          <w:tcPr>
            <w:tcW w:w="2092" w:type="pct"/>
            <w:tcBorders>
              <w:top w:val="single" w:color="000000" w:sz="4" w:space="0"/>
              <w:left w:val="single" w:color="000000" w:sz="4" w:space="0"/>
              <w:bottom w:val="single" w:color="000000" w:sz="4" w:space="0"/>
              <w:right w:val="single" w:color="000000" w:sz="4" w:space="0"/>
            </w:tcBorders>
          </w:tcPr>
          <w:p>
            <w:pPr>
              <w:pStyle w:val="115"/>
              <w:spacing w:before="52" w:line="240" w:lineRule="exact"/>
              <w:ind w:left="7" w:right="7"/>
              <w:rPr>
                <w:rFonts w:ascii="宋体" w:hAnsi="宋体" w:cs="宋体"/>
                <w:kern w:val="2"/>
                <w:sz w:val="21"/>
                <w:szCs w:val="21"/>
                <w:lang w:eastAsia="zh-CN"/>
              </w:rPr>
            </w:pPr>
            <w:r>
              <w:rPr>
                <w:rFonts w:hint="eastAsia" w:ascii="宋体" w:hAnsi="宋体" w:cs="宋体"/>
                <w:w w:val="99"/>
                <w:kern w:val="2"/>
                <w:sz w:val="21"/>
                <w:szCs w:val="21"/>
                <w:lang w:eastAsia="zh-CN"/>
              </w:rPr>
              <w:t>《复印</w:t>
            </w:r>
            <w:r>
              <w:rPr>
                <w:rFonts w:hint="eastAsia" w:ascii="宋体" w:hAnsi="宋体" w:cs="宋体"/>
                <w:spacing w:val="2"/>
                <w:w w:val="99"/>
                <w:kern w:val="2"/>
                <w:sz w:val="21"/>
                <w:szCs w:val="21"/>
                <w:lang w:eastAsia="zh-CN"/>
              </w:rPr>
              <w:t>机</w:t>
            </w:r>
            <w:r>
              <w:rPr>
                <w:rFonts w:hint="eastAsia" w:ascii="宋体" w:hAnsi="宋体" w:cs="宋体"/>
                <w:spacing w:val="-58"/>
                <w:w w:val="99"/>
                <w:kern w:val="2"/>
                <w:sz w:val="21"/>
                <w:szCs w:val="21"/>
                <w:lang w:eastAsia="zh-CN"/>
              </w:rPr>
              <w:t>、</w:t>
            </w:r>
            <w:r>
              <w:rPr>
                <w:rFonts w:hint="eastAsia" w:ascii="宋体" w:hAnsi="宋体" w:cs="宋体"/>
                <w:spacing w:val="2"/>
                <w:w w:val="99"/>
                <w:kern w:val="2"/>
                <w:sz w:val="21"/>
                <w:szCs w:val="21"/>
                <w:lang w:eastAsia="zh-CN"/>
              </w:rPr>
              <w:t>打</w:t>
            </w:r>
            <w:r>
              <w:rPr>
                <w:rFonts w:hint="eastAsia" w:ascii="宋体" w:hAnsi="宋体" w:cs="宋体"/>
                <w:w w:val="99"/>
                <w:kern w:val="2"/>
                <w:sz w:val="21"/>
                <w:szCs w:val="21"/>
                <w:lang w:eastAsia="zh-CN"/>
              </w:rPr>
              <w:t>印机</w:t>
            </w:r>
            <w:r>
              <w:rPr>
                <w:rFonts w:hint="eastAsia" w:ascii="宋体" w:hAnsi="宋体" w:cs="宋体"/>
                <w:spacing w:val="2"/>
                <w:w w:val="99"/>
                <w:kern w:val="2"/>
                <w:sz w:val="21"/>
                <w:szCs w:val="21"/>
                <w:lang w:eastAsia="zh-CN"/>
              </w:rPr>
              <w:t>和</w:t>
            </w:r>
            <w:r>
              <w:rPr>
                <w:rFonts w:hint="eastAsia" w:ascii="宋体" w:hAnsi="宋体" w:cs="宋体"/>
                <w:w w:val="99"/>
                <w:kern w:val="2"/>
                <w:sz w:val="21"/>
                <w:szCs w:val="21"/>
                <w:lang w:eastAsia="zh-CN"/>
              </w:rPr>
              <w:t>传真</w:t>
            </w:r>
            <w:r>
              <w:rPr>
                <w:rFonts w:hint="eastAsia" w:ascii="宋体" w:hAnsi="宋体" w:cs="宋体"/>
                <w:spacing w:val="2"/>
                <w:w w:val="99"/>
                <w:kern w:val="2"/>
                <w:sz w:val="21"/>
                <w:szCs w:val="21"/>
                <w:lang w:eastAsia="zh-CN"/>
              </w:rPr>
              <w:t>机</w:t>
            </w:r>
            <w:r>
              <w:rPr>
                <w:rFonts w:hint="eastAsia" w:ascii="宋体" w:hAnsi="宋体" w:cs="宋体"/>
                <w:w w:val="99"/>
                <w:kern w:val="2"/>
                <w:sz w:val="21"/>
                <w:szCs w:val="21"/>
                <w:lang w:eastAsia="zh-CN"/>
              </w:rPr>
              <w:t>能效限定值及</w:t>
            </w:r>
            <w:r>
              <w:rPr>
                <w:rFonts w:hint="eastAsia" w:ascii="宋体" w:hAnsi="宋体" w:cs="宋体"/>
                <w:spacing w:val="2"/>
                <w:w w:val="99"/>
                <w:kern w:val="2"/>
                <w:sz w:val="21"/>
                <w:szCs w:val="21"/>
                <w:lang w:eastAsia="zh-CN"/>
              </w:rPr>
              <w:t>能</w:t>
            </w:r>
            <w:r>
              <w:rPr>
                <w:rFonts w:hint="eastAsia" w:ascii="宋体" w:hAnsi="宋体" w:cs="宋体"/>
                <w:w w:val="99"/>
                <w:kern w:val="2"/>
                <w:sz w:val="21"/>
                <w:szCs w:val="21"/>
                <w:lang w:eastAsia="zh-CN"/>
              </w:rPr>
              <w:t>效等</w:t>
            </w:r>
            <w:r>
              <w:rPr>
                <w:rFonts w:hint="eastAsia" w:ascii="宋体" w:hAnsi="宋体" w:cs="宋体"/>
                <w:spacing w:val="2"/>
                <w:w w:val="99"/>
                <w:kern w:val="2"/>
                <w:sz w:val="21"/>
                <w:szCs w:val="21"/>
                <w:lang w:eastAsia="zh-CN"/>
              </w:rPr>
              <w:t>级</w:t>
            </w:r>
            <w:r>
              <w:rPr>
                <w:rFonts w:hint="eastAsia" w:ascii="宋体" w:hAnsi="宋体" w:cs="宋体"/>
                <w:w w:val="99"/>
                <w:kern w:val="2"/>
                <w:sz w:val="21"/>
                <w:szCs w:val="21"/>
                <w:lang w:eastAsia="zh-CN"/>
              </w:rPr>
              <w:t>》（</w:t>
            </w:r>
            <w:r>
              <w:rPr>
                <w:rFonts w:hint="eastAsia" w:ascii="宋体" w:hAnsi="宋体" w:cs="宋体"/>
                <w:spacing w:val="1"/>
                <w:w w:val="99"/>
                <w:kern w:val="2"/>
                <w:sz w:val="21"/>
                <w:szCs w:val="21"/>
                <w:lang w:eastAsia="zh-CN"/>
              </w:rPr>
              <w:t>G</w:t>
            </w:r>
            <w:r>
              <w:rPr>
                <w:rFonts w:hint="eastAsia" w:ascii="宋体" w:hAnsi="宋体" w:cs="宋体"/>
                <w:w w:val="99"/>
                <w:kern w:val="2"/>
                <w:sz w:val="21"/>
                <w:szCs w:val="21"/>
                <w:lang w:eastAsia="zh-CN"/>
              </w:rPr>
              <w:t>B</w:t>
            </w:r>
            <w:r>
              <w:rPr>
                <w:rFonts w:hint="eastAsia" w:ascii="宋体" w:hAnsi="宋体" w:cs="宋体"/>
                <w:spacing w:val="1"/>
                <w:w w:val="99"/>
                <w:kern w:val="2"/>
                <w:sz w:val="21"/>
                <w:szCs w:val="21"/>
                <w:lang w:eastAsia="zh-CN"/>
              </w:rPr>
              <w:t>21</w:t>
            </w:r>
            <w:r>
              <w:rPr>
                <w:rFonts w:hint="eastAsia" w:ascii="宋体" w:hAnsi="宋体" w:cs="宋体"/>
                <w:w w:val="99"/>
                <w:kern w:val="2"/>
                <w:sz w:val="21"/>
                <w:szCs w:val="21"/>
                <w:lang w:eastAsia="zh-CN"/>
              </w:rPr>
              <w:t>52</w:t>
            </w:r>
            <w:r>
              <w:rPr>
                <w:rFonts w:hint="eastAsia" w:ascii="宋体" w:hAnsi="宋体" w:cs="宋体"/>
                <w:spacing w:val="1"/>
                <w:w w:val="99"/>
                <w:kern w:val="2"/>
                <w:sz w:val="21"/>
                <w:szCs w:val="21"/>
                <w:lang w:eastAsia="zh-CN"/>
              </w:rPr>
              <w:t>1</w:t>
            </w:r>
            <w:r>
              <w:rPr>
                <w:rFonts w:hint="eastAsia" w:ascii="宋体" w:hAnsi="宋体" w:cs="宋体"/>
                <w:w w:val="99"/>
                <w:kern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szCs w:val="21"/>
              </w:rPr>
            </w:pPr>
          </w:p>
        </w:tc>
        <w:tc>
          <w:tcPr>
            <w:tcW w:w="83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szCs w:val="21"/>
              </w:rPr>
            </w:pPr>
          </w:p>
        </w:tc>
        <w:tc>
          <w:tcPr>
            <w:tcW w:w="878"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szCs w:val="21"/>
              </w:rPr>
            </w:pP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rPr>
            </w:pPr>
            <w:r>
              <w:rPr>
                <w:rFonts w:hint="eastAsia" w:ascii="宋体" w:hAnsi="宋体"/>
                <w:szCs w:val="21"/>
              </w:rPr>
              <w:t>A02021007条码打印机</w:t>
            </w:r>
          </w:p>
        </w:tc>
        <w:tc>
          <w:tcPr>
            <w:tcW w:w="2092" w:type="pct"/>
            <w:tcBorders>
              <w:top w:val="single" w:color="000000" w:sz="4" w:space="0"/>
              <w:left w:val="single" w:color="000000" w:sz="4" w:space="0"/>
              <w:bottom w:val="single" w:color="000000" w:sz="4" w:space="0"/>
              <w:right w:val="single" w:color="000000" w:sz="4" w:space="0"/>
            </w:tcBorders>
          </w:tcPr>
          <w:p>
            <w:pPr>
              <w:pStyle w:val="115"/>
              <w:spacing w:before="52" w:line="240" w:lineRule="exact"/>
              <w:ind w:left="7" w:right="7"/>
              <w:rPr>
                <w:rFonts w:ascii="宋体" w:hAnsi="宋体" w:cs="宋体"/>
                <w:kern w:val="2"/>
                <w:sz w:val="21"/>
                <w:szCs w:val="21"/>
                <w:lang w:eastAsia="zh-CN"/>
              </w:rPr>
            </w:pPr>
            <w:r>
              <w:rPr>
                <w:rFonts w:hint="eastAsia" w:ascii="宋体" w:hAnsi="宋体" w:cs="宋体"/>
                <w:w w:val="99"/>
                <w:kern w:val="2"/>
                <w:sz w:val="21"/>
                <w:szCs w:val="21"/>
                <w:lang w:eastAsia="zh-CN"/>
              </w:rPr>
              <w:t>《复印</w:t>
            </w:r>
            <w:r>
              <w:rPr>
                <w:rFonts w:hint="eastAsia" w:ascii="宋体" w:hAnsi="宋体" w:cs="宋体"/>
                <w:spacing w:val="2"/>
                <w:w w:val="99"/>
                <w:kern w:val="2"/>
                <w:sz w:val="21"/>
                <w:szCs w:val="21"/>
                <w:lang w:eastAsia="zh-CN"/>
              </w:rPr>
              <w:t>机</w:t>
            </w:r>
            <w:r>
              <w:rPr>
                <w:rFonts w:hint="eastAsia" w:ascii="宋体" w:hAnsi="宋体" w:cs="宋体"/>
                <w:spacing w:val="-58"/>
                <w:w w:val="99"/>
                <w:kern w:val="2"/>
                <w:sz w:val="21"/>
                <w:szCs w:val="21"/>
                <w:lang w:eastAsia="zh-CN"/>
              </w:rPr>
              <w:t>、</w:t>
            </w:r>
            <w:r>
              <w:rPr>
                <w:rFonts w:hint="eastAsia" w:ascii="宋体" w:hAnsi="宋体" w:cs="宋体"/>
                <w:spacing w:val="2"/>
                <w:w w:val="99"/>
                <w:kern w:val="2"/>
                <w:sz w:val="21"/>
                <w:szCs w:val="21"/>
                <w:lang w:eastAsia="zh-CN"/>
              </w:rPr>
              <w:t>打</w:t>
            </w:r>
            <w:r>
              <w:rPr>
                <w:rFonts w:hint="eastAsia" w:ascii="宋体" w:hAnsi="宋体" w:cs="宋体"/>
                <w:w w:val="99"/>
                <w:kern w:val="2"/>
                <w:sz w:val="21"/>
                <w:szCs w:val="21"/>
                <w:lang w:eastAsia="zh-CN"/>
              </w:rPr>
              <w:t>印机</w:t>
            </w:r>
            <w:r>
              <w:rPr>
                <w:rFonts w:hint="eastAsia" w:ascii="宋体" w:hAnsi="宋体" w:cs="宋体"/>
                <w:spacing w:val="2"/>
                <w:w w:val="99"/>
                <w:kern w:val="2"/>
                <w:sz w:val="21"/>
                <w:szCs w:val="21"/>
                <w:lang w:eastAsia="zh-CN"/>
              </w:rPr>
              <w:t>和</w:t>
            </w:r>
            <w:r>
              <w:rPr>
                <w:rFonts w:hint="eastAsia" w:ascii="宋体" w:hAnsi="宋体" w:cs="宋体"/>
                <w:w w:val="99"/>
                <w:kern w:val="2"/>
                <w:sz w:val="21"/>
                <w:szCs w:val="21"/>
                <w:lang w:eastAsia="zh-CN"/>
              </w:rPr>
              <w:t>传真</w:t>
            </w:r>
            <w:r>
              <w:rPr>
                <w:rFonts w:hint="eastAsia" w:ascii="宋体" w:hAnsi="宋体" w:cs="宋体"/>
                <w:spacing w:val="2"/>
                <w:w w:val="99"/>
                <w:kern w:val="2"/>
                <w:sz w:val="21"/>
                <w:szCs w:val="21"/>
                <w:lang w:eastAsia="zh-CN"/>
              </w:rPr>
              <w:t>机</w:t>
            </w:r>
            <w:r>
              <w:rPr>
                <w:rFonts w:hint="eastAsia" w:ascii="宋体" w:hAnsi="宋体" w:cs="宋体"/>
                <w:w w:val="99"/>
                <w:kern w:val="2"/>
                <w:sz w:val="21"/>
                <w:szCs w:val="21"/>
                <w:lang w:eastAsia="zh-CN"/>
              </w:rPr>
              <w:t>能效限定值及</w:t>
            </w:r>
            <w:r>
              <w:rPr>
                <w:rFonts w:hint="eastAsia" w:ascii="宋体" w:hAnsi="宋体" w:cs="宋体"/>
                <w:spacing w:val="2"/>
                <w:w w:val="99"/>
                <w:kern w:val="2"/>
                <w:sz w:val="21"/>
                <w:szCs w:val="21"/>
                <w:lang w:eastAsia="zh-CN"/>
              </w:rPr>
              <w:t>能</w:t>
            </w:r>
            <w:r>
              <w:rPr>
                <w:rFonts w:hint="eastAsia" w:ascii="宋体" w:hAnsi="宋体" w:cs="宋体"/>
                <w:w w:val="99"/>
                <w:kern w:val="2"/>
                <w:sz w:val="21"/>
                <w:szCs w:val="21"/>
                <w:lang w:eastAsia="zh-CN"/>
              </w:rPr>
              <w:t>效等</w:t>
            </w:r>
            <w:r>
              <w:rPr>
                <w:rFonts w:hint="eastAsia" w:ascii="宋体" w:hAnsi="宋体" w:cs="宋体"/>
                <w:spacing w:val="2"/>
                <w:w w:val="99"/>
                <w:kern w:val="2"/>
                <w:sz w:val="21"/>
                <w:szCs w:val="21"/>
                <w:lang w:eastAsia="zh-CN"/>
              </w:rPr>
              <w:t>级</w:t>
            </w:r>
            <w:r>
              <w:rPr>
                <w:rFonts w:hint="eastAsia" w:ascii="宋体" w:hAnsi="宋体" w:cs="宋体"/>
                <w:w w:val="99"/>
                <w:kern w:val="2"/>
                <w:sz w:val="21"/>
                <w:szCs w:val="21"/>
                <w:lang w:eastAsia="zh-CN"/>
              </w:rPr>
              <w:t>》（</w:t>
            </w:r>
            <w:r>
              <w:rPr>
                <w:rFonts w:hint="eastAsia" w:ascii="宋体" w:hAnsi="宋体" w:cs="宋体"/>
                <w:spacing w:val="1"/>
                <w:w w:val="99"/>
                <w:kern w:val="2"/>
                <w:sz w:val="21"/>
                <w:szCs w:val="21"/>
                <w:lang w:eastAsia="zh-CN"/>
              </w:rPr>
              <w:t>G</w:t>
            </w:r>
            <w:r>
              <w:rPr>
                <w:rFonts w:hint="eastAsia" w:ascii="宋体" w:hAnsi="宋体" w:cs="宋体"/>
                <w:w w:val="99"/>
                <w:kern w:val="2"/>
                <w:sz w:val="21"/>
                <w:szCs w:val="21"/>
                <w:lang w:eastAsia="zh-CN"/>
              </w:rPr>
              <w:t>B</w:t>
            </w:r>
            <w:r>
              <w:rPr>
                <w:rFonts w:hint="eastAsia" w:ascii="宋体" w:hAnsi="宋体" w:cs="宋体"/>
                <w:spacing w:val="1"/>
                <w:w w:val="99"/>
                <w:kern w:val="2"/>
                <w:sz w:val="21"/>
                <w:szCs w:val="21"/>
                <w:lang w:eastAsia="zh-CN"/>
              </w:rPr>
              <w:t>21</w:t>
            </w:r>
            <w:r>
              <w:rPr>
                <w:rFonts w:hint="eastAsia" w:ascii="宋体" w:hAnsi="宋体" w:cs="宋体"/>
                <w:w w:val="99"/>
                <w:kern w:val="2"/>
                <w:sz w:val="21"/>
                <w:szCs w:val="21"/>
                <w:lang w:eastAsia="zh-CN"/>
              </w:rPr>
              <w:t>52</w:t>
            </w:r>
            <w:r>
              <w:rPr>
                <w:rFonts w:hint="eastAsia" w:ascii="宋体" w:hAnsi="宋体" w:cs="宋体"/>
                <w:spacing w:val="1"/>
                <w:w w:val="99"/>
                <w:kern w:val="2"/>
                <w:sz w:val="21"/>
                <w:szCs w:val="21"/>
                <w:lang w:eastAsia="zh-CN"/>
              </w:rPr>
              <w:t>1</w:t>
            </w:r>
            <w:r>
              <w:rPr>
                <w:rFonts w:hint="eastAsia" w:ascii="宋体" w:hAnsi="宋体" w:cs="宋体"/>
                <w:w w:val="99"/>
                <w:kern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szCs w:val="21"/>
              </w:rPr>
            </w:pPr>
          </w:p>
        </w:tc>
        <w:tc>
          <w:tcPr>
            <w:tcW w:w="83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szCs w:val="21"/>
              </w:rPr>
            </w:pPr>
          </w:p>
        </w:tc>
        <w:tc>
          <w:tcPr>
            <w:tcW w:w="878"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szCs w:val="21"/>
              </w:rPr>
            </w:pP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rPr>
            </w:pPr>
            <w:r>
              <w:rPr>
                <w:rFonts w:hint="eastAsia" w:ascii="宋体" w:hAnsi="宋体"/>
                <w:szCs w:val="21"/>
              </w:rPr>
              <w:t>A02021008地址打印机</w:t>
            </w:r>
          </w:p>
        </w:tc>
        <w:tc>
          <w:tcPr>
            <w:tcW w:w="2092" w:type="pct"/>
            <w:tcBorders>
              <w:top w:val="single" w:color="000000" w:sz="4" w:space="0"/>
              <w:left w:val="single" w:color="000000" w:sz="4" w:space="0"/>
              <w:bottom w:val="single" w:color="000000" w:sz="4" w:space="0"/>
              <w:right w:val="single" w:color="000000" w:sz="4" w:space="0"/>
            </w:tcBorders>
          </w:tcPr>
          <w:p>
            <w:pPr>
              <w:pStyle w:val="115"/>
              <w:spacing w:before="52" w:line="240" w:lineRule="exact"/>
              <w:ind w:left="7" w:right="7"/>
              <w:rPr>
                <w:rFonts w:ascii="宋体" w:hAnsi="宋体" w:cs="宋体"/>
                <w:kern w:val="2"/>
                <w:sz w:val="21"/>
                <w:szCs w:val="21"/>
                <w:lang w:eastAsia="zh-CN"/>
              </w:rPr>
            </w:pPr>
            <w:r>
              <w:rPr>
                <w:rFonts w:hint="eastAsia" w:ascii="宋体" w:hAnsi="宋体" w:cs="宋体"/>
                <w:w w:val="99"/>
                <w:kern w:val="2"/>
                <w:sz w:val="21"/>
                <w:szCs w:val="21"/>
                <w:lang w:eastAsia="zh-CN"/>
              </w:rPr>
              <w:t>《复印</w:t>
            </w:r>
            <w:r>
              <w:rPr>
                <w:rFonts w:hint="eastAsia" w:ascii="宋体" w:hAnsi="宋体" w:cs="宋体"/>
                <w:spacing w:val="2"/>
                <w:w w:val="99"/>
                <w:kern w:val="2"/>
                <w:sz w:val="21"/>
                <w:szCs w:val="21"/>
                <w:lang w:eastAsia="zh-CN"/>
              </w:rPr>
              <w:t>机</w:t>
            </w:r>
            <w:r>
              <w:rPr>
                <w:rFonts w:hint="eastAsia" w:ascii="宋体" w:hAnsi="宋体" w:cs="宋体"/>
                <w:spacing w:val="-58"/>
                <w:w w:val="99"/>
                <w:kern w:val="2"/>
                <w:sz w:val="21"/>
                <w:szCs w:val="21"/>
                <w:lang w:eastAsia="zh-CN"/>
              </w:rPr>
              <w:t>、</w:t>
            </w:r>
            <w:r>
              <w:rPr>
                <w:rFonts w:hint="eastAsia" w:ascii="宋体" w:hAnsi="宋体" w:cs="宋体"/>
                <w:spacing w:val="2"/>
                <w:w w:val="99"/>
                <w:kern w:val="2"/>
                <w:sz w:val="21"/>
                <w:szCs w:val="21"/>
                <w:lang w:eastAsia="zh-CN"/>
              </w:rPr>
              <w:t>打</w:t>
            </w:r>
            <w:r>
              <w:rPr>
                <w:rFonts w:hint="eastAsia" w:ascii="宋体" w:hAnsi="宋体" w:cs="宋体"/>
                <w:w w:val="99"/>
                <w:kern w:val="2"/>
                <w:sz w:val="21"/>
                <w:szCs w:val="21"/>
                <w:lang w:eastAsia="zh-CN"/>
              </w:rPr>
              <w:t>印机</w:t>
            </w:r>
            <w:r>
              <w:rPr>
                <w:rFonts w:hint="eastAsia" w:ascii="宋体" w:hAnsi="宋体" w:cs="宋体"/>
                <w:spacing w:val="2"/>
                <w:w w:val="99"/>
                <w:kern w:val="2"/>
                <w:sz w:val="21"/>
                <w:szCs w:val="21"/>
                <w:lang w:eastAsia="zh-CN"/>
              </w:rPr>
              <w:t>和</w:t>
            </w:r>
            <w:r>
              <w:rPr>
                <w:rFonts w:hint="eastAsia" w:ascii="宋体" w:hAnsi="宋体" w:cs="宋体"/>
                <w:w w:val="99"/>
                <w:kern w:val="2"/>
                <w:sz w:val="21"/>
                <w:szCs w:val="21"/>
                <w:lang w:eastAsia="zh-CN"/>
              </w:rPr>
              <w:t>传真</w:t>
            </w:r>
            <w:r>
              <w:rPr>
                <w:rFonts w:hint="eastAsia" w:ascii="宋体" w:hAnsi="宋体" w:cs="宋体"/>
                <w:spacing w:val="2"/>
                <w:w w:val="99"/>
                <w:kern w:val="2"/>
                <w:sz w:val="21"/>
                <w:szCs w:val="21"/>
                <w:lang w:eastAsia="zh-CN"/>
              </w:rPr>
              <w:t>机</w:t>
            </w:r>
            <w:r>
              <w:rPr>
                <w:rFonts w:hint="eastAsia" w:ascii="宋体" w:hAnsi="宋体" w:cs="宋体"/>
                <w:w w:val="99"/>
                <w:kern w:val="2"/>
                <w:sz w:val="21"/>
                <w:szCs w:val="21"/>
                <w:lang w:eastAsia="zh-CN"/>
              </w:rPr>
              <w:t>能效限定值及</w:t>
            </w:r>
            <w:r>
              <w:rPr>
                <w:rFonts w:hint="eastAsia" w:ascii="宋体" w:hAnsi="宋体" w:cs="宋体"/>
                <w:spacing w:val="2"/>
                <w:w w:val="99"/>
                <w:kern w:val="2"/>
                <w:sz w:val="21"/>
                <w:szCs w:val="21"/>
                <w:lang w:eastAsia="zh-CN"/>
              </w:rPr>
              <w:t>能</w:t>
            </w:r>
            <w:r>
              <w:rPr>
                <w:rFonts w:hint="eastAsia" w:ascii="宋体" w:hAnsi="宋体" w:cs="宋体"/>
                <w:w w:val="99"/>
                <w:kern w:val="2"/>
                <w:sz w:val="21"/>
                <w:szCs w:val="21"/>
                <w:lang w:eastAsia="zh-CN"/>
              </w:rPr>
              <w:t>效等</w:t>
            </w:r>
            <w:r>
              <w:rPr>
                <w:rFonts w:hint="eastAsia" w:ascii="宋体" w:hAnsi="宋体" w:cs="宋体"/>
                <w:spacing w:val="2"/>
                <w:w w:val="99"/>
                <w:kern w:val="2"/>
                <w:sz w:val="21"/>
                <w:szCs w:val="21"/>
                <w:lang w:eastAsia="zh-CN"/>
              </w:rPr>
              <w:t>级</w:t>
            </w:r>
            <w:r>
              <w:rPr>
                <w:rFonts w:hint="eastAsia" w:ascii="宋体" w:hAnsi="宋体" w:cs="宋体"/>
                <w:w w:val="99"/>
                <w:kern w:val="2"/>
                <w:sz w:val="21"/>
                <w:szCs w:val="21"/>
                <w:lang w:eastAsia="zh-CN"/>
              </w:rPr>
              <w:t>》（</w:t>
            </w:r>
            <w:r>
              <w:rPr>
                <w:rFonts w:hint="eastAsia" w:ascii="宋体" w:hAnsi="宋体" w:cs="宋体"/>
                <w:spacing w:val="1"/>
                <w:w w:val="99"/>
                <w:kern w:val="2"/>
                <w:sz w:val="21"/>
                <w:szCs w:val="21"/>
                <w:lang w:eastAsia="zh-CN"/>
              </w:rPr>
              <w:t>G</w:t>
            </w:r>
            <w:r>
              <w:rPr>
                <w:rFonts w:hint="eastAsia" w:ascii="宋体" w:hAnsi="宋体" w:cs="宋体"/>
                <w:w w:val="99"/>
                <w:kern w:val="2"/>
                <w:sz w:val="21"/>
                <w:szCs w:val="21"/>
                <w:lang w:eastAsia="zh-CN"/>
              </w:rPr>
              <w:t>B</w:t>
            </w:r>
            <w:r>
              <w:rPr>
                <w:rFonts w:hint="eastAsia" w:ascii="宋体" w:hAnsi="宋体" w:cs="宋体"/>
                <w:spacing w:val="1"/>
                <w:w w:val="99"/>
                <w:kern w:val="2"/>
                <w:sz w:val="21"/>
                <w:szCs w:val="21"/>
                <w:lang w:eastAsia="zh-CN"/>
              </w:rPr>
              <w:t>21</w:t>
            </w:r>
            <w:r>
              <w:rPr>
                <w:rFonts w:hint="eastAsia" w:ascii="宋体" w:hAnsi="宋体" w:cs="宋体"/>
                <w:w w:val="99"/>
                <w:kern w:val="2"/>
                <w:sz w:val="21"/>
                <w:szCs w:val="21"/>
                <w:lang w:eastAsia="zh-CN"/>
              </w:rPr>
              <w:t>52</w:t>
            </w:r>
            <w:r>
              <w:rPr>
                <w:rFonts w:hint="eastAsia" w:ascii="宋体" w:hAnsi="宋体" w:cs="宋体"/>
                <w:spacing w:val="1"/>
                <w:w w:val="99"/>
                <w:kern w:val="2"/>
                <w:sz w:val="21"/>
                <w:szCs w:val="21"/>
                <w:lang w:eastAsia="zh-CN"/>
              </w:rPr>
              <w:t>1</w:t>
            </w:r>
            <w:r>
              <w:rPr>
                <w:rFonts w:hint="eastAsia" w:ascii="宋体" w:hAnsi="宋体" w:cs="宋体"/>
                <w:w w:val="99"/>
                <w:kern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szCs w:val="21"/>
              </w:rPr>
            </w:pPr>
          </w:p>
        </w:tc>
        <w:tc>
          <w:tcPr>
            <w:tcW w:w="83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szCs w:val="21"/>
              </w:rPr>
            </w:pPr>
          </w:p>
        </w:tc>
        <w:tc>
          <w:tcPr>
            <w:tcW w:w="878"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szCs w:val="21"/>
              </w:rPr>
            </w:pP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rPr>
            </w:pPr>
            <w:r>
              <w:rPr>
                <w:rFonts w:hint="eastAsia" w:ascii="宋体" w:hAnsi="宋体"/>
                <w:szCs w:val="21"/>
              </w:rPr>
              <w:t>A02021099其他打印机</w:t>
            </w:r>
          </w:p>
        </w:tc>
        <w:tc>
          <w:tcPr>
            <w:tcW w:w="2092" w:type="pct"/>
            <w:tcBorders>
              <w:top w:val="single" w:color="000000" w:sz="4" w:space="0"/>
              <w:left w:val="single" w:color="000000" w:sz="4" w:space="0"/>
              <w:bottom w:val="single" w:color="000000" w:sz="4" w:space="0"/>
              <w:right w:val="single" w:color="000000" w:sz="4" w:space="0"/>
            </w:tcBorders>
          </w:tcPr>
          <w:p>
            <w:pPr>
              <w:pStyle w:val="115"/>
              <w:spacing w:before="52" w:line="240" w:lineRule="exact"/>
              <w:ind w:left="7" w:right="7"/>
              <w:rPr>
                <w:rFonts w:ascii="宋体" w:hAnsi="宋体" w:cs="宋体"/>
                <w:kern w:val="2"/>
                <w:sz w:val="21"/>
                <w:szCs w:val="21"/>
                <w:lang w:eastAsia="zh-CN"/>
              </w:rPr>
            </w:pPr>
            <w:r>
              <w:rPr>
                <w:rFonts w:hint="eastAsia" w:ascii="宋体" w:hAnsi="宋体" w:cs="宋体"/>
                <w:w w:val="99"/>
                <w:kern w:val="2"/>
                <w:sz w:val="21"/>
                <w:szCs w:val="21"/>
                <w:lang w:eastAsia="zh-CN"/>
              </w:rPr>
              <w:t>《复印</w:t>
            </w:r>
            <w:r>
              <w:rPr>
                <w:rFonts w:hint="eastAsia" w:ascii="宋体" w:hAnsi="宋体" w:cs="宋体"/>
                <w:spacing w:val="2"/>
                <w:w w:val="99"/>
                <w:kern w:val="2"/>
                <w:sz w:val="21"/>
                <w:szCs w:val="21"/>
                <w:lang w:eastAsia="zh-CN"/>
              </w:rPr>
              <w:t>机</w:t>
            </w:r>
            <w:r>
              <w:rPr>
                <w:rFonts w:hint="eastAsia" w:ascii="宋体" w:hAnsi="宋体" w:cs="宋体"/>
                <w:spacing w:val="-58"/>
                <w:w w:val="99"/>
                <w:kern w:val="2"/>
                <w:sz w:val="21"/>
                <w:szCs w:val="21"/>
                <w:lang w:eastAsia="zh-CN"/>
              </w:rPr>
              <w:t>、</w:t>
            </w:r>
            <w:r>
              <w:rPr>
                <w:rFonts w:hint="eastAsia" w:ascii="宋体" w:hAnsi="宋体" w:cs="宋体"/>
                <w:spacing w:val="2"/>
                <w:w w:val="99"/>
                <w:kern w:val="2"/>
                <w:sz w:val="21"/>
                <w:szCs w:val="21"/>
                <w:lang w:eastAsia="zh-CN"/>
              </w:rPr>
              <w:t>打</w:t>
            </w:r>
            <w:r>
              <w:rPr>
                <w:rFonts w:hint="eastAsia" w:ascii="宋体" w:hAnsi="宋体" w:cs="宋体"/>
                <w:w w:val="99"/>
                <w:kern w:val="2"/>
                <w:sz w:val="21"/>
                <w:szCs w:val="21"/>
                <w:lang w:eastAsia="zh-CN"/>
              </w:rPr>
              <w:t>印机</w:t>
            </w:r>
            <w:r>
              <w:rPr>
                <w:rFonts w:hint="eastAsia" w:ascii="宋体" w:hAnsi="宋体" w:cs="宋体"/>
                <w:spacing w:val="2"/>
                <w:w w:val="99"/>
                <w:kern w:val="2"/>
                <w:sz w:val="21"/>
                <w:szCs w:val="21"/>
                <w:lang w:eastAsia="zh-CN"/>
              </w:rPr>
              <w:t>和</w:t>
            </w:r>
            <w:r>
              <w:rPr>
                <w:rFonts w:hint="eastAsia" w:ascii="宋体" w:hAnsi="宋体" w:cs="宋体"/>
                <w:w w:val="99"/>
                <w:kern w:val="2"/>
                <w:sz w:val="21"/>
                <w:szCs w:val="21"/>
                <w:lang w:eastAsia="zh-CN"/>
              </w:rPr>
              <w:t>传真</w:t>
            </w:r>
            <w:r>
              <w:rPr>
                <w:rFonts w:hint="eastAsia" w:ascii="宋体" w:hAnsi="宋体" w:cs="宋体"/>
                <w:spacing w:val="2"/>
                <w:w w:val="99"/>
                <w:kern w:val="2"/>
                <w:sz w:val="21"/>
                <w:szCs w:val="21"/>
                <w:lang w:eastAsia="zh-CN"/>
              </w:rPr>
              <w:t>机</w:t>
            </w:r>
            <w:r>
              <w:rPr>
                <w:rFonts w:hint="eastAsia" w:ascii="宋体" w:hAnsi="宋体" w:cs="宋体"/>
                <w:w w:val="99"/>
                <w:kern w:val="2"/>
                <w:sz w:val="21"/>
                <w:szCs w:val="21"/>
                <w:lang w:eastAsia="zh-CN"/>
              </w:rPr>
              <w:t>能效限定值及</w:t>
            </w:r>
            <w:r>
              <w:rPr>
                <w:rFonts w:hint="eastAsia" w:ascii="宋体" w:hAnsi="宋体" w:cs="宋体"/>
                <w:spacing w:val="2"/>
                <w:w w:val="99"/>
                <w:kern w:val="2"/>
                <w:sz w:val="21"/>
                <w:szCs w:val="21"/>
                <w:lang w:eastAsia="zh-CN"/>
              </w:rPr>
              <w:t>能</w:t>
            </w:r>
            <w:r>
              <w:rPr>
                <w:rFonts w:hint="eastAsia" w:ascii="宋体" w:hAnsi="宋体" w:cs="宋体"/>
                <w:w w:val="99"/>
                <w:kern w:val="2"/>
                <w:sz w:val="21"/>
                <w:szCs w:val="21"/>
                <w:lang w:eastAsia="zh-CN"/>
              </w:rPr>
              <w:t>效等</w:t>
            </w:r>
            <w:r>
              <w:rPr>
                <w:rFonts w:hint="eastAsia" w:ascii="宋体" w:hAnsi="宋体" w:cs="宋体"/>
                <w:spacing w:val="2"/>
                <w:w w:val="99"/>
                <w:kern w:val="2"/>
                <w:sz w:val="21"/>
                <w:szCs w:val="21"/>
                <w:lang w:eastAsia="zh-CN"/>
              </w:rPr>
              <w:t>级</w:t>
            </w:r>
            <w:r>
              <w:rPr>
                <w:rFonts w:hint="eastAsia" w:ascii="宋体" w:hAnsi="宋体" w:cs="宋体"/>
                <w:w w:val="99"/>
                <w:kern w:val="2"/>
                <w:sz w:val="21"/>
                <w:szCs w:val="21"/>
                <w:lang w:eastAsia="zh-CN"/>
              </w:rPr>
              <w:t>》（</w:t>
            </w:r>
            <w:r>
              <w:rPr>
                <w:rFonts w:hint="eastAsia" w:ascii="宋体" w:hAnsi="宋体" w:cs="宋体"/>
                <w:spacing w:val="1"/>
                <w:w w:val="99"/>
                <w:kern w:val="2"/>
                <w:sz w:val="21"/>
                <w:szCs w:val="21"/>
                <w:lang w:eastAsia="zh-CN"/>
              </w:rPr>
              <w:t>G</w:t>
            </w:r>
            <w:r>
              <w:rPr>
                <w:rFonts w:hint="eastAsia" w:ascii="宋体" w:hAnsi="宋体" w:cs="宋体"/>
                <w:w w:val="99"/>
                <w:kern w:val="2"/>
                <w:sz w:val="21"/>
                <w:szCs w:val="21"/>
                <w:lang w:eastAsia="zh-CN"/>
              </w:rPr>
              <w:t>B</w:t>
            </w:r>
            <w:r>
              <w:rPr>
                <w:rFonts w:hint="eastAsia" w:ascii="宋体" w:hAnsi="宋体" w:cs="宋体"/>
                <w:spacing w:val="1"/>
                <w:w w:val="99"/>
                <w:kern w:val="2"/>
                <w:sz w:val="21"/>
                <w:szCs w:val="21"/>
                <w:lang w:eastAsia="zh-CN"/>
              </w:rPr>
              <w:t>21</w:t>
            </w:r>
            <w:r>
              <w:rPr>
                <w:rFonts w:hint="eastAsia" w:ascii="宋体" w:hAnsi="宋体" w:cs="宋体"/>
                <w:w w:val="99"/>
                <w:kern w:val="2"/>
                <w:sz w:val="21"/>
                <w:szCs w:val="21"/>
                <w:lang w:eastAsia="zh-CN"/>
              </w:rPr>
              <w:t>52</w:t>
            </w:r>
            <w:r>
              <w:rPr>
                <w:rFonts w:hint="eastAsia" w:ascii="宋体" w:hAnsi="宋体" w:cs="宋体"/>
                <w:spacing w:val="1"/>
                <w:w w:val="99"/>
                <w:kern w:val="2"/>
                <w:sz w:val="21"/>
                <w:szCs w:val="21"/>
                <w:lang w:eastAsia="zh-CN"/>
              </w:rPr>
              <w:t>1</w:t>
            </w:r>
            <w:r>
              <w:rPr>
                <w:rFonts w:hint="eastAsia" w:ascii="宋体" w:hAnsi="宋体" w:cs="宋体"/>
                <w:w w:val="99"/>
                <w:kern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szCs w:val="21"/>
              </w:rPr>
            </w:pPr>
          </w:p>
        </w:tc>
        <w:tc>
          <w:tcPr>
            <w:tcW w:w="83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szCs w:val="21"/>
              </w:rPr>
            </w:pPr>
          </w:p>
        </w:tc>
        <w:tc>
          <w:tcPr>
            <w:tcW w:w="878" w:type="pct"/>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rPr>
            </w:pPr>
            <w:r>
              <w:rPr>
                <w:rFonts w:hint="eastAsia" w:ascii="宋体" w:hAnsi="宋体"/>
                <w:szCs w:val="21"/>
              </w:rPr>
              <w:t>A02021100输入输出设备</w:t>
            </w: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rPr>
            </w:pPr>
            <w:r>
              <w:rPr>
                <w:rFonts w:hint="eastAsia" w:ascii="宋体" w:hAnsi="宋体"/>
                <w:szCs w:val="21"/>
              </w:rPr>
              <w:t>A02021104液晶显示器</w:t>
            </w:r>
          </w:p>
        </w:tc>
        <w:tc>
          <w:tcPr>
            <w:tcW w:w="2092" w:type="pct"/>
            <w:tcBorders>
              <w:top w:val="single" w:color="000000" w:sz="4" w:space="0"/>
              <w:left w:val="single" w:color="000000" w:sz="4" w:space="0"/>
              <w:bottom w:val="single" w:color="000000" w:sz="4" w:space="0"/>
              <w:right w:val="single" w:color="000000" w:sz="4" w:space="0"/>
            </w:tcBorders>
            <w:vAlign w:val="center"/>
          </w:tcPr>
          <w:p>
            <w:pPr>
              <w:spacing w:line="240" w:lineRule="exact"/>
              <w:rPr>
                <w:rFonts w:ascii="宋体" w:hAnsi="宋体"/>
                <w:szCs w:val="21"/>
              </w:rPr>
            </w:pPr>
            <w:r>
              <w:rPr>
                <w:rFonts w:hint="eastAsia" w:ascii="宋体" w:hAnsi="宋体" w:cs="宋体"/>
                <w:spacing w:val="12"/>
                <w:w w:val="99"/>
                <w:szCs w:val="21"/>
              </w:rPr>
              <w:t>《计算机显示器能效限</w:t>
            </w:r>
            <w:r>
              <w:rPr>
                <w:rFonts w:hint="eastAsia" w:ascii="宋体" w:hAnsi="宋体" w:cs="宋体"/>
                <w:spacing w:val="9"/>
                <w:w w:val="99"/>
                <w:szCs w:val="21"/>
              </w:rPr>
              <w:t>定</w:t>
            </w:r>
            <w:r>
              <w:rPr>
                <w:rFonts w:hint="eastAsia" w:ascii="宋体" w:hAnsi="宋体" w:cs="宋体"/>
                <w:spacing w:val="12"/>
                <w:w w:val="99"/>
                <w:szCs w:val="21"/>
              </w:rPr>
              <w:t>值及</w:t>
            </w:r>
            <w:r>
              <w:rPr>
                <w:rFonts w:hint="eastAsia" w:ascii="宋体" w:hAnsi="宋体" w:cs="宋体"/>
                <w:w w:val="99"/>
                <w:szCs w:val="21"/>
              </w:rPr>
              <w:t>能效等级</w:t>
            </w:r>
            <w:r>
              <w:rPr>
                <w:rFonts w:hint="eastAsia" w:ascii="宋体" w:hAnsi="宋体" w:cs="宋体"/>
                <w:spacing w:val="2"/>
                <w:w w:val="99"/>
                <w:szCs w:val="21"/>
              </w:rPr>
              <w:t>》</w:t>
            </w:r>
            <w:r>
              <w:rPr>
                <w:rFonts w:hint="eastAsia" w:ascii="宋体" w:hAnsi="宋体" w:cs="宋体"/>
                <w:w w:val="99"/>
                <w:szCs w:val="21"/>
              </w:rPr>
              <w:t>（</w:t>
            </w:r>
            <w:r>
              <w:rPr>
                <w:rFonts w:hint="eastAsia" w:ascii="宋体" w:hAnsi="宋体" w:cs="宋体"/>
                <w:spacing w:val="1"/>
                <w:w w:val="99"/>
                <w:szCs w:val="21"/>
              </w:rPr>
              <w:t>G</w:t>
            </w:r>
            <w:r>
              <w:rPr>
                <w:rFonts w:hint="eastAsia" w:ascii="宋体" w:hAnsi="宋体" w:cs="宋体"/>
                <w:w w:val="99"/>
                <w:szCs w:val="21"/>
              </w:rPr>
              <w:t>B</w:t>
            </w:r>
            <w:r>
              <w:rPr>
                <w:rFonts w:hint="eastAsia" w:ascii="宋体" w:hAnsi="宋体" w:cs="宋体"/>
                <w:spacing w:val="1"/>
                <w:w w:val="99"/>
                <w:szCs w:val="21"/>
              </w:rPr>
              <w:t>21</w:t>
            </w:r>
            <w:r>
              <w:rPr>
                <w:rFonts w:hint="eastAsia" w:ascii="宋体" w:hAnsi="宋体" w:cs="宋体"/>
                <w:w w:val="99"/>
                <w:szCs w:val="21"/>
              </w:rPr>
              <w:t>52</w:t>
            </w:r>
            <w:r>
              <w:rPr>
                <w:rFonts w:hint="eastAsia" w:ascii="宋体" w:hAnsi="宋体" w:cs="宋体"/>
                <w:spacing w:val="1"/>
                <w:w w:val="99"/>
                <w:szCs w:val="21"/>
              </w:rPr>
              <w:t>0</w:t>
            </w:r>
            <w:r>
              <w:rPr>
                <w:rFonts w:hint="eastAsia" w:ascii="宋体" w:hAnsi="宋体" w:cs="宋体"/>
                <w:w w:val="99"/>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szCs w:val="21"/>
              </w:rPr>
            </w:pPr>
          </w:p>
        </w:tc>
        <w:tc>
          <w:tcPr>
            <w:tcW w:w="83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szCs w:val="21"/>
              </w:rPr>
            </w:pPr>
          </w:p>
        </w:tc>
        <w:tc>
          <w:tcPr>
            <w:tcW w:w="878"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szCs w:val="21"/>
              </w:rPr>
            </w:pP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rPr>
            </w:pPr>
            <w:r>
              <w:rPr>
                <w:rFonts w:hint="eastAsia" w:ascii="宋体" w:hAnsi="宋体"/>
                <w:szCs w:val="21"/>
              </w:rPr>
              <w:t>A02021118扫描仪</w:t>
            </w:r>
          </w:p>
        </w:tc>
        <w:tc>
          <w:tcPr>
            <w:tcW w:w="2092" w:type="pct"/>
            <w:tcBorders>
              <w:top w:val="single" w:color="000000" w:sz="4" w:space="0"/>
              <w:left w:val="single" w:color="000000" w:sz="4" w:space="0"/>
              <w:bottom w:val="single" w:color="000000" w:sz="4" w:space="0"/>
              <w:right w:val="single" w:color="000000" w:sz="4" w:space="0"/>
            </w:tcBorders>
            <w:vAlign w:val="center"/>
          </w:tcPr>
          <w:p>
            <w:pPr>
              <w:spacing w:line="240" w:lineRule="exact"/>
              <w:rPr>
                <w:rFonts w:ascii="宋体" w:hAnsi="宋体"/>
                <w:szCs w:val="21"/>
              </w:rPr>
            </w:pPr>
            <w:r>
              <w:rPr>
                <w:rFonts w:hint="eastAsia" w:ascii="宋体" w:hAnsi="宋体" w:cs="宋体"/>
                <w:w w:val="99"/>
                <w:szCs w:val="21"/>
              </w:rPr>
              <w:t>参</w:t>
            </w:r>
            <w:r>
              <w:rPr>
                <w:rFonts w:hint="eastAsia" w:ascii="宋体" w:hAnsi="宋体" w:cs="宋体"/>
                <w:spacing w:val="-29"/>
                <w:w w:val="99"/>
                <w:szCs w:val="21"/>
              </w:rPr>
              <w:t>照</w:t>
            </w:r>
            <w:r>
              <w:rPr>
                <w:rFonts w:hint="eastAsia" w:ascii="宋体" w:hAnsi="宋体" w:cs="宋体"/>
                <w:w w:val="99"/>
                <w:szCs w:val="21"/>
              </w:rPr>
              <w:t>《</w:t>
            </w:r>
            <w:r>
              <w:rPr>
                <w:rFonts w:hint="eastAsia" w:ascii="宋体" w:hAnsi="宋体" w:cs="宋体"/>
                <w:spacing w:val="2"/>
                <w:w w:val="99"/>
                <w:szCs w:val="21"/>
              </w:rPr>
              <w:t>复</w:t>
            </w:r>
            <w:r>
              <w:rPr>
                <w:rFonts w:hint="eastAsia" w:ascii="宋体" w:hAnsi="宋体" w:cs="宋体"/>
                <w:w w:val="99"/>
                <w:szCs w:val="21"/>
              </w:rPr>
              <w:t>印</w:t>
            </w:r>
            <w:r>
              <w:rPr>
                <w:rFonts w:hint="eastAsia" w:ascii="宋体" w:hAnsi="宋体" w:cs="宋体"/>
                <w:spacing w:val="2"/>
                <w:w w:val="99"/>
                <w:szCs w:val="21"/>
              </w:rPr>
              <w:t>机</w:t>
            </w:r>
            <w:r>
              <w:rPr>
                <w:rFonts w:hint="eastAsia" w:ascii="宋体" w:hAnsi="宋体" w:cs="宋体"/>
                <w:spacing w:val="-29"/>
                <w:w w:val="99"/>
                <w:szCs w:val="21"/>
              </w:rPr>
              <w:t>、</w:t>
            </w:r>
            <w:r>
              <w:rPr>
                <w:rFonts w:hint="eastAsia" w:ascii="宋体" w:hAnsi="宋体" w:cs="宋体"/>
                <w:w w:val="99"/>
                <w:szCs w:val="21"/>
              </w:rPr>
              <w:t>打</w:t>
            </w:r>
            <w:r>
              <w:rPr>
                <w:rFonts w:hint="eastAsia" w:ascii="宋体" w:hAnsi="宋体" w:cs="宋体"/>
                <w:spacing w:val="2"/>
                <w:w w:val="99"/>
                <w:szCs w:val="21"/>
              </w:rPr>
              <w:t>印</w:t>
            </w:r>
            <w:r>
              <w:rPr>
                <w:rFonts w:hint="eastAsia" w:ascii="宋体" w:hAnsi="宋体" w:cs="宋体"/>
                <w:w w:val="99"/>
                <w:szCs w:val="21"/>
              </w:rPr>
              <w:t>机和</w:t>
            </w:r>
            <w:r>
              <w:rPr>
                <w:rFonts w:hint="eastAsia" w:ascii="宋体" w:hAnsi="宋体" w:cs="宋体"/>
                <w:spacing w:val="2"/>
                <w:w w:val="99"/>
                <w:szCs w:val="21"/>
              </w:rPr>
              <w:t>传</w:t>
            </w:r>
            <w:r>
              <w:rPr>
                <w:rFonts w:hint="eastAsia" w:ascii="宋体" w:hAnsi="宋体" w:cs="宋体"/>
                <w:w w:val="99"/>
                <w:szCs w:val="21"/>
              </w:rPr>
              <w:t>真机能效限定</w:t>
            </w:r>
            <w:r>
              <w:rPr>
                <w:rFonts w:hint="eastAsia" w:ascii="宋体" w:hAnsi="宋体" w:cs="宋体"/>
                <w:spacing w:val="2"/>
                <w:w w:val="99"/>
                <w:szCs w:val="21"/>
              </w:rPr>
              <w:t>值</w:t>
            </w:r>
            <w:r>
              <w:rPr>
                <w:rFonts w:hint="eastAsia" w:ascii="宋体" w:hAnsi="宋体" w:cs="宋体"/>
                <w:w w:val="99"/>
                <w:szCs w:val="21"/>
              </w:rPr>
              <w:t>及能</w:t>
            </w:r>
            <w:r>
              <w:rPr>
                <w:rFonts w:hint="eastAsia" w:ascii="宋体" w:hAnsi="宋体" w:cs="宋体"/>
                <w:spacing w:val="2"/>
                <w:w w:val="99"/>
                <w:szCs w:val="21"/>
              </w:rPr>
              <w:t>效</w:t>
            </w:r>
            <w:r>
              <w:rPr>
                <w:rFonts w:hint="eastAsia" w:ascii="宋体" w:hAnsi="宋体" w:cs="宋体"/>
                <w:w w:val="99"/>
                <w:szCs w:val="21"/>
              </w:rPr>
              <w:t>等级</w:t>
            </w:r>
            <w:r>
              <w:rPr>
                <w:rFonts w:hint="eastAsia" w:ascii="宋体" w:hAnsi="宋体" w:cs="宋体"/>
                <w:spacing w:val="-106"/>
                <w:w w:val="99"/>
                <w:szCs w:val="21"/>
              </w:rPr>
              <w:t>》</w:t>
            </w:r>
            <w:r>
              <w:rPr>
                <w:rFonts w:hint="eastAsia" w:ascii="宋体" w:hAnsi="宋体" w:cs="宋体"/>
                <w:w w:val="99"/>
                <w:szCs w:val="21"/>
              </w:rPr>
              <w:t>（</w:t>
            </w:r>
            <w:r>
              <w:rPr>
                <w:rFonts w:hint="eastAsia" w:ascii="宋体" w:hAnsi="宋体" w:cs="宋体"/>
                <w:spacing w:val="1"/>
                <w:w w:val="99"/>
                <w:szCs w:val="21"/>
              </w:rPr>
              <w:t>G</w:t>
            </w:r>
            <w:r>
              <w:rPr>
                <w:rFonts w:hint="eastAsia" w:ascii="宋体" w:hAnsi="宋体" w:cs="宋体"/>
                <w:w w:val="99"/>
                <w:szCs w:val="21"/>
              </w:rPr>
              <w:t>B</w:t>
            </w:r>
            <w:r>
              <w:rPr>
                <w:rFonts w:hint="eastAsia" w:ascii="宋体" w:hAnsi="宋体" w:cs="宋体"/>
                <w:spacing w:val="1"/>
                <w:w w:val="99"/>
                <w:szCs w:val="21"/>
              </w:rPr>
              <w:t>2152</w:t>
            </w:r>
            <w:r>
              <w:rPr>
                <w:rFonts w:hint="eastAsia" w:ascii="宋体" w:hAnsi="宋体" w:cs="宋体"/>
                <w:w w:val="99"/>
                <w:szCs w:val="21"/>
              </w:rPr>
              <w:t>1）</w:t>
            </w:r>
            <w:r>
              <w:rPr>
                <w:rFonts w:hint="eastAsia" w:ascii="宋体" w:hAnsi="宋体" w:cs="宋体"/>
                <w:spacing w:val="2"/>
                <w:w w:val="99"/>
                <w:szCs w:val="21"/>
              </w:rPr>
              <w:t>中</w:t>
            </w:r>
            <w:r>
              <w:rPr>
                <w:rFonts w:hint="eastAsia" w:ascii="宋体" w:hAnsi="宋体" w:cs="宋体"/>
                <w:spacing w:val="4"/>
                <w:w w:val="99"/>
                <w:szCs w:val="21"/>
              </w:rPr>
              <w:t>打印速</w:t>
            </w:r>
            <w:r>
              <w:rPr>
                <w:rFonts w:hint="eastAsia" w:ascii="宋体" w:hAnsi="宋体" w:cs="宋体"/>
                <w:spacing w:val="2"/>
                <w:w w:val="99"/>
                <w:szCs w:val="21"/>
              </w:rPr>
              <w:t>度</w:t>
            </w:r>
            <w:r>
              <w:rPr>
                <w:rFonts w:hint="eastAsia" w:ascii="宋体" w:hAnsi="宋体" w:cs="宋体"/>
                <w:w w:val="99"/>
                <w:szCs w:val="21"/>
              </w:rPr>
              <w:t>为</w:t>
            </w:r>
            <w:r>
              <w:rPr>
                <w:rFonts w:hint="eastAsia" w:ascii="宋体" w:hAnsi="宋体" w:cs="宋体"/>
                <w:spacing w:val="1"/>
                <w:w w:val="99"/>
                <w:szCs w:val="21"/>
              </w:rPr>
              <w:t>1</w:t>
            </w:r>
            <w:r>
              <w:rPr>
                <w:rFonts w:hint="eastAsia" w:ascii="宋体" w:hAnsi="宋体" w:cs="宋体"/>
                <w:w w:val="99"/>
                <w:szCs w:val="21"/>
              </w:rPr>
              <w:t>5</w:t>
            </w:r>
            <w:r>
              <w:rPr>
                <w:rFonts w:hint="eastAsia" w:ascii="宋体" w:hAnsi="宋体" w:cs="宋体"/>
                <w:spacing w:val="2"/>
                <w:w w:val="99"/>
                <w:szCs w:val="21"/>
              </w:rPr>
              <w:t>页</w:t>
            </w:r>
            <w:r>
              <w:rPr>
                <w:rFonts w:hint="eastAsia" w:ascii="宋体" w:hAnsi="宋体" w:cs="宋体"/>
                <w:spacing w:val="5"/>
                <w:w w:val="99"/>
                <w:szCs w:val="21"/>
              </w:rPr>
              <w:t>/</w:t>
            </w:r>
            <w:r>
              <w:rPr>
                <w:rFonts w:hint="eastAsia" w:ascii="宋体" w:hAnsi="宋体" w:cs="宋体"/>
                <w:spacing w:val="4"/>
                <w:w w:val="99"/>
                <w:szCs w:val="21"/>
              </w:rPr>
              <w:t>分的</w:t>
            </w:r>
            <w:r>
              <w:rPr>
                <w:rFonts w:hint="eastAsia" w:ascii="宋体" w:hAnsi="宋体" w:cs="宋体"/>
                <w:spacing w:val="2"/>
                <w:w w:val="99"/>
                <w:szCs w:val="21"/>
              </w:rPr>
              <w:t>针</w:t>
            </w:r>
            <w:r>
              <w:rPr>
                <w:rFonts w:hint="eastAsia" w:ascii="宋体" w:hAnsi="宋体" w:cs="宋体"/>
                <w:spacing w:val="4"/>
                <w:w w:val="99"/>
                <w:szCs w:val="21"/>
              </w:rPr>
              <w:t>式</w:t>
            </w:r>
            <w:r>
              <w:rPr>
                <w:rFonts w:hint="eastAsia" w:ascii="宋体" w:hAnsi="宋体" w:cs="宋体"/>
                <w:w w:val="99"/>
                <w:szCs w:val="21"/>
              </w:rPr>
              <w:t>打印机相</w:t>
            </w:r>
            <w:r>
              <w:rPr>
                <w:rFonts w:hint="eastAsia" w:ascii="宋体" w:hAnsi="宋体" w:cs="宋体"/>
                <w:spacing w:val="2"/>
                <w:w w:val="99"/>
                <w:szCs w:val="21"/>
              </w:rPr>
              <w:t>关</w:t>
            </w:r>
            <w:r>
              <w:rPr>
                <w:rFonts w:hint="eastAsia" w:ascii="宋体" w:hAnsi="宋体" w:cs="宋体"/>
                <w:w w:val="99"/>
                <w:szCs w:val="21"/>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rPr>
            </w:pPr>
            <w:r>
              <w:rPr>
                <w:rFonts w:hint="eastAsia" w:ascii="宋体" w:hAnsi="宋体"/>
                <w:w w:val="99"/>
                <w:szCs w:val="21"/>
              </w:rPr>
              <w:t>3</w:t>
            </w:r>
          </w:p>
        </w:tc>
        <w:tc>
          <w:tcPr>
            <w:tcW w:w="834"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rPr>
            </w:pPr>
            <w:r>
              <w:rPr>
                <w:rFonts w:hint="eastAsia" w:ascii="宋体" w:hAnsi="宋体"/>
                <w:szCs w:val="21"/>
              </w:rPr>
              <w:t>A02020200投影仪</w:t>
            </w:r>
          </w:p>
        </w:tc>
        <w:tc>
          <w:tcPr>
            <w:tcW w:w="878"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rPr>
            </w:pP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rPr>
            </w:pPr>
          </w:p>
        </w:tc>
        <w:tc>
          <w:tcPr>
            <w:tcW w:w="2092" w:type="pct"/>
            <w:tcBorders>
              <w:top w:val="single" w:color="000000" w:sz="4" w:space="0"/>
              <w:left w:val="single" w:color="000000" w:sz="4" w:space="0"/>
              <w:bottom w:val="single" w:color="000000" w:sz="4" w:space="0"/>
              <w:right w:val="single" w:color="000000" w:sz="4" w:space="0"/>
            </w:tcBorders>
            <w:vAlign w:val="center"/>
          </w:tcPr>
          <w:p>
            <w:pPr>
              <w:spacing w:line="240" w:lineRule="exact"/>
              <w:rPr>
                <w:rFonts w:ascii="宋体" w:hAnsi="宋体"/>
                <w:szCs w:val="21"/>
              </w:rPr>
            </w:pPr>
            <w:r>
              <w:rPr>
                <w:rFonts w:hint="eastAsia" w:ascii="宋体" w:hAnsi="宋体" w:cs="宋体"/>
                <w:w w:val="99"/>
                <w:szCs w:val="21"/>
              </w:rPr>
              <w:t>《投影</w:t>
            </w:r>
            <w:r>
              <w:rPr>
                <w:rFonts w:hint="eastAsia" w:ascii="宋体" w:hAnsi="宋体" w:cs="宋体"/>
                <w:spacing w:val="2"/>
                <w:w w:val="99"/>
                <w:szCs w:val="21"/>
              </w:rPr>
              <w:t>机</w:t>
            </w:r>
            <w:r>
              <w:rPr>
                <w:rFonts w:hint="eastAsia" w:ascii="宋体" w:hAnsi="宋体" w:cs="宋体"/>
                <w:w w:val="99"/>
                <w:szCs w:val="21"/>
              </w:rPr>
              <w:t>能效</w:t>
            </w:r>
            <w:r>
              <w:rPr>
                <w:rFonts w:hint="eastAsia" w:ascii="宋体" w:hAnsi="宋体" w:cs="宋体"/>
                <w:spacing w:val="2"/>
                <w:w w:val="99"/>
                <w:szCs w:val="21"/>
              </w:rPr>
              <w:t>限</w:t>
            </w:r>
            <w:r>
              <w:rPr>
                <w:rFonts w:hint="eastAsia" w:ascii="宋体" w:hAnsi="宋体" w:cs="宋体"/>
                <w:w w:val="99"/>
                <w:szCs w:val="21"/>
              </w:rPr>
              <w:t>定值</w:t>
            </w:r>
            <w:r>
              <w:rPr>
                <w:rFonts w:hint="eastAsia" w:ascii="宋体" w:hAnsi="宋体" w:cs="宋体"/>
                <w:spacing w:val="2"/>
                <w:w w:val="99"/>
                <w:szCs w:val="21"/>
              </w:rPr>
              <w:t>及</w:t>
            </w:r>
            <w:r>
              <w:rPr>
                <w:rFonts w:hint="eastAsia" w:ascii="宋体" w:hAnsi="宋体" w:cs="宋体"/>
                <w:w w:val="99"/>
                <w:szCs w:val="21"/>
              </w:rPr>
              <w:t>能</w:t>
            </w:r>
            <w:r>
              <w:rPr>
                <w:rFonts w:hint="eastAsia" w:ascii="宋体" w:hAnsi="宋体" w:cs="宋体"/>
                <w:spacing w:val="2"/>
                <w:w w:val="99"/>
                <w:szCs w:val="21"/>
              </w:rPr>
              <w:t>效</w:t>
            </w:r>
            <w:r>
              <w:rPr>
                <w:rFonts w:hint="eastAsia" w:ascii="宋体" w:hAnsi="宋体" w:cs="宋体"/>
                <w:w w:val="99"/>
                <w:szCs w:val="21"/>
              </w:rPr>
              <w:t>等级》（</w:t>
            </w:r>
            <w:r>
              <w:rPr>
                <w:rFonts w:hint="eastAsia" w:ascii="宋体" w:hAnsi="宋体" w:cs="宋体"/>
                <w:spacing w:val="1"/>
                <w:w w:val="99"/>
                <w:szCs w:val="21"/>
              </w:rPr>
              <w:t>G</w:t>
            </w:r>
            <w:r>
              <w:rPr>
                <w:rFonts w:hint="eastAsia" w:ascii="宋体" w:hAnsi="宋体" w:cs="宋体"/>
                <w:w w:val="99"/>
                <w:szCs w:val="21"/>
              </w:rPr>
              <w:t>B</w:t>
            </w:r>
            <w:r>
              <w:rPr>
                <w:rFonts w:hint="eastAsia" w:ascii="宋体" w:hAnsi="宋体" w:cs="宋体"/>
                <w:spacing w:val="1"/>
                <w:w w:val="99"/>
                <w:szCs w:val="21"/>
              </w:rPr>
              <w:t>3</w:t>
            </w:r>
            <w:r>
              <w:rPr>
                <w:rFonts w:hint="eastAsia" w:ascii="宋体" w:hAnsi="宋体" w:cs="宋体"/>
                <w:w w:val="99"/>
                <w:szCs w:val="21"/>
              </w:rPr>
              <w:t>20</w:t>
            </w:r>
            <w:r>
              <w:rPr>
                <w:rFonts w:hint="eastAsia" w:ascii="宋体" w:hAnsi="宋体" w:cs="宋体"/>
                <w:spacing w:val="1"/>
                <w:w w:val="99"/>
                <w:szCs w:val="21"/>
              </w:rPr>
              <w:t>28</w:t>
            </w:r>
            <w:r>
              <w:rPr>
                <w:rFonts w:hint="eastAsia" w:ascii="宋体" w:hAnsi="宋体" w:cs="宋体"/>
                <w:w w:val="99"/>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rPr>
            </w:pPr>
            <w:r>
              <w:rPr>
                <w:rFonts w:hint="eastAsia" w:ascii="宋体" w:hAnsi="宋体"/>
                <w:szCs w:val="21"/>
              </w:rPr>
              <w:t>4</w:t>
            </w:r>
          </w:p>
        </w:tc>
        <w:tc>
          <w:tcPr>
            <w:tcW w:w="834" w:type="pct"/>
            <w:tcBorders>
              <w:top w:val="single" w:color="000000" w:sz="4" w:space="0"/>
              <w:left w:val="single" w:color="000000" w:sz="4" w:space="0"/>
              <w:bottom w:val="single" w:color="000000" w:sz="4" w:space="0"/>
              <w:right w:val="single" w:color="000000" w:sz="4" w:space="0"/>
            </w:tcBorders>
            <w:vAlign w:val="center"/>
          </w:tcPr>
          <w:p>
            <w:pPr>
              <w:pStyle w:val="115"/>
              <w:spacing w:before="66" w:line="240" w:lineRule="exact"/>
              <w:ind w:left="7"/>
              <w:jc w:val="center"/>
              <w:rPr>
                <w:rFonts w:ascii="宋体" w:hAnsi="宋体" w:cs="宋体"/>
                <w:kern w:val="2"/>
                <w:sz w:val="21"/>
                <w:szCs w:val="21"/>
              </w:rPr>
            </w:pPr>
            <w:r>
              <w:rPr>
                <w:rFonts w:hint="eastAsia" w:ascii="宋体" w:hAnsi="宋体" w:cs="仿宋_GB2312"/>
                <w:kern w:val="2"/>
                <w:sz w:val="21"/>
                <w:szCs w:val="21"/>
              </w:rPr>
              <w:t>A02020400</w:t>
            </w:r>
            <w:r>
              <w:rPr>
                <w:rFonts w:hint="eastAsia" w:ascii="宋体" w:hAnsi="宋体" w:cs="宋体"/>
                <w:w w:val="99"/>
                <w:kern w:val="2"/>
                <w:sz w:val="21"/>
                <w:szCs w:val="21"/>
              </w:rPr>
              <w:t>多功能一体机</w:t>
            </w:r>
          </w:p>
        </w:tc>
        <w:tc>
          <w:tcPr>
            <w:tcW w:w="878"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rPr>
            </w:pP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rPr>
            </w:pPr>
          </w:p>
        </w:tc>
        <w:tc>
          <w:tcPr>
            <w:tcW w:w="2092" w:type="pct"/>
            <w:tcBorders>
              <w:top w:val="single" w:color="000000" w:sz="4" w:space="0"/>
              <w:left w:val="single" w:color="000000" w:sz="4" w:space="0"/>
              <w:bottom w:val="single" w:color="000000" w:sz="4" w:space="0"/>
              <w:right w:val="single" w:color="000000" w:sz="4" w:space="0"/>
            </w:tcBorders>
            <w:vAlign w:val="center"/>
          </w:tcPr>
          <w:p>
            <w:pPr>
              <w:spacing w:line="240" w:lineRule="exact"/>
              <w:rPr>
                <w:rFonts w:ascii="宋体" w:hAnsi="宋体"/>
                <w:szCs w:val="21"/>
              </w:rPr>
            </w:pPr>
            <w:r>
              <w:rPr>
                <w:rFonts w:hint="eastAsia" w:ascii="宋体" w:hAnsi="宋体" w:cs="宋体"/>
                <w:w w:val="99"/>
                <w:szCs w:val="21"/>
              </w:rPr>
              <w:t>《复印</w:t>
            </w:r>
            <w:r>
              <w:rPr>
                <w:rFonts w:hint="eastAsia" w:ascii="宋体" w:hAnsi="宋体" w:cs="宋体"/>
                <w:spacing w:val="2"/>
                <w:w w:val="99"/>
                <w:szCs w:val="21"/>
              </w:rPr>
              <w:t>机</w:t>
            </w:r>
            <w:r>
              <w:rPr>
                <w:rFonts w:hint="eastAsia" w:ascii="宋体" w:hAnsi="宋体" w:cs="宋体"/>
                <w:spacing w:val="-58"/>
                <w:w w:val="99"/>
                <w:szCs w:val="21"/>
              </w:rPr>
              <w:t>、</w:t>
            </w:r>
            <w:r>
              <w:rPr>
                <w:rFonts w:hint="eastAsia" w:ascii="宋体" w:hAnsi="宋体" w:cs="宋体"/>
                <w:spacing w:val="2"/>
                <w:w w:val="99"/>
                <w:szCs w:val="21"/>
              </w:rPr>
              <w:t>打</w:t>
            </w:r>
            <w:r>
              <w:rPr>
                <w:rFonts w:hint="eastAsia" w:ascii="宋体" w:hAnsi="宋体" w:cs="宋体"/>
                <w:w w:val="99"/>
                <w:szCs w:val="21"/>
              </w:rPr>
              <w:t>印机</w:t>
            </w:r>
            <w:r>
              <w:rPr>
                <w:rFonts w:hint="eastAsia" w:ascii="宋体" w:hAnsi="宋体" w:cs="宋体"/>
                <w:spacing w:val="2"/>
                <w:w w:val="99"/>
                <w:szCs w:val="21"/>
              </w:rPr>
              <w:t>和</w:t>
            </w:r>
            <w:r>
              <w:rPr>
                <w:rFonts w:hint="eastAsia" w:ascii="宋体" w:hAnsi="宋体" w:cs="宋体"/>
                <w:w w:val="99"/>
                <w:szCs w:val="21"/>
              </w:rPr>
              <w:t>传真</w:t>
            </w:r>
            <w:r>
              <w:rPr>
                <w:rFonts w:hint="eastAsia" w:ascii="宋体" w:hAnsi="宋体" w:cs="宋体"/>
                <w:spacing w:val="2"/>
                <w:w w:val="99"/>
                <w:szCs w:val="21"/>
              </w:rPr>
              <w:t>机</w:t>
            </w:r>
            <w:r>
              <w:rPr>
                <w:rFonts w:hint="eastAsia" w:ascii="宋体" w:hAnsi="宋体" w:cs="宋体"/>
                <w:w w:val="99"/>
                <w:szCs w:val="21"/>
              </w:rPr>
              <w:t>能效限定值及</w:t>
            </w:r>
            <w:r>
              <w:rPr>
                <w:rFonts w:hint="eastAsia" w:ascii="宋体" w:hAnsi="宋体" w:cs="宋体"/>
                <w:spacing w:val="2"/>
                <w:w w:val="99"/>
                <w:szCs w:val="21"/>
              </w:rPr>
              <w:t>能</w:t>
            </w:r>
            <w:r>
              <w:rPr>
                <w:rFonts w:hint="eastAsia" w:ascii="宋体" w:hAnsi="宋体" w:cs="宋体"/>
                <w:w w:val="99"/>
                <w:szCs w:val="21"/>
              </w:rPr>
              <w:t>效等</w:t>
            </w:r>
            <w:r>
              <w:rPr>
                <w:rFonts w:hint="eastAsia" w:ascii="宋体" w:hAnsi="宋体" w:cs="宋体"/>
                <w:spacing w:val="2"/>
                <w:w w:val="99"/>
                <w:szCs w:val="21"/>
              </w:rPr>
              <w:t>级</w:t>
            </w:r>
            <w:r>
              <w:rPr>
                <w:rFonts w:hint="eastAsia" w:ascii="宋体" w:hAnsi="宋体" w:cs="宋体"/>
                <w:w w:val="99"/>
                <w:szCs w:val="21"/>
              </w:rPr>
              <w:t>》（</w:t>
            </w:r>
            <w:r>
              <w:rPr>
                <w:rFonts w:hint="eastAsia" w:ascii="宋体" w:hAnsi="宋体" w:cs="宋体"/>
                <w:spacing w:val="1"/>
                <w:w w:val="99"/>
                <w:szCs w:val="21"/>
              </w:rPr>
              <w:t>G</w:t>
            </w:r>
            <w:r>
              <w:rPr>
                <w:rFonts w:hint="eastAsia" w:ascii="宋体" w:hAnsi="宋体" w:cs="宋体"/>
                <w:w w:val="99"/>
                <w:szCs w:val="21"/>
              </w:rPr>
              <w:t>B</w:t>
            </w:r>
            <w:r>
              <w:rPr>
                <w:rFonts w:hint="eastAsia" w:ascii="宋体" w:hAnsi="宋体" w:cs="宋体"/>
                <w:spacing w:val="1"/>
                <w:w w:val="99"/>
                <w:szCs w:val="21"/>
              </w:rPr>
              <w:t>21</w:t>
            </w:r>
            <w:r>
              <w:rPr>
                <w:rFonts w:hint="eastAsia" w:ascii="宋体" w:hAnsi="宋体" w:cs="宋体"/>
                <w:w w:val="99"/>
                <w:szCs w:val="21"/>
              </w:rPr>
              <w:t>52</w:t>
            </w:r>
            <w:r>
              <w:rPr>
                <w:rFonts w:hint="eastAsia" w:ascii="宋体" w:hAnsi="宋体" w:cs="宋体"/>
                <w:spacing w:val="1"/>
                <w:w w:val="99"/>
                <w:szCs w:val="21"/>
              </w:rPr>
              <w:t>1</w:t>
            </w:r>
            <w:r>
              <w:rPr>
                <w:rFonts w:hint="eastAsia" w:ascii="宋体" w:hAnsi="宋体" w:cs="宋体"/>
                <w:w w:val="99"/>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tcBorders>
              <w:top w:val="single" w:color="000000" w:sz="4" w:space="0"/>
              <w:left w:val="single" w:color="000000" w:sz="4" w:space="0"/>
              <w:bottom w:val="single" w:color="000000" w:sz="4" w:space="0"/>
              <w:right w:val="single" w:color="000000" w:sz="4" w:space="0"/>
            </w:tcBorders>
            <w:vAlign w:val="center"/>
          </w:tcPr>
          <w:p>
            <w:pPr>
              <w:pStyle w:val="115"/>
              <w:spacing w:before="160" w:line="240" w:lineRule="exact"/>
              <w:ind w:right="1"/>
              <w:jc w:val="center"/>
              <w:rPr>
                <w:rFonts w:ascii="宋体" w:hAnsi="宋体" w:cs="宋体"/>
                <w:kern w:val="2"/>
                <w:sz w:val="21"/>
                <w:szCs w:val="21"/>
              </w:rPr>
            </w:pPr>
            <w:r>
              <w:rPr>
                <w:rFonts w:hint="eastAsia" w:ascii="宋体" w:hAnsi="宋体"/>
                <w:w w:val="99"/>
                <w:kern w:val="2"/>
                <w:sz w:val="21"/>
                <w:szCs w:val="21"/>
              </w:rPr>
              <w:t>5</w:t>
            </w:r>
          </w:p>
        </w:tc>
        <w:tc>
          <w:tcPr>
            <w:tcW w:w="834" w:type="pct"/>
            <w:tcBorders>
              <w:top w:val="single" w:color="000000" w:sz="4" w:space="0"/>
              <w:left w:val="single" w:color="000000" w:sz="4" w:space="0"/>
              <w:bottom w:val="single" w:color="000000" w:sz="4" w:space="0"/>
              <w:right w:val="single" w:color="000000" w:sz="4" w:space="0"/>
            </w:tcBorders>
            <w:vAlign w:val="center"/>
          </w:tcPr>
          <w:p>
            <w:pPr>
              <w:pStyle w:val="115"/>
              <w:spacing w:before="160" w:line="240" w:lineRule="exact"/>
              <w:ind w:left="7"/>
              <w:jc w:val="center"/>
              <w:rPr>
                <w:rFonts w:ascii="宋体" w:hAnsi="宋体" w:cs="宋体"/>
                <w:kern w:val="2"/>
                <w:sz w:val="21"/>
                <w:szCs w:val="21"/>
              </w:rPr>
            </w:pPr>
            <w:r>
              <w:rPr>
                <w:rFonts w:hint="eastAsia" w:ascii="宋体" w:hAnsi="宋体" w:cs="仿宋_GB2312"/>
                <w:kern w:val="2"/>
                <w:sz w:val="21"/>
                <w:szCs w:val="21"/>
              </w:rPr>
              <w:t>A02051900</w:t>
            </w:r>
            <w:r>
              <w:rPr>
                <w:rFonts w:hint="eastAsia" w:ascii="宋体" w:hAnsi="宋体" w:cs="宋体"/>
                <w:w w:val="99"/>
                <w:kern w:val="2"/>
                <w:sz w:val="21"/>
                <w:szCs w:val="21"/>
              </w:rPr>
              <w:t>泵</w:t>
            </w:r>
          </w:p>
        </w:tc>
        <w:tc>
          <w:tcPr>
            <w:tcW w:w="878" w:type="pct"/>
            <w:tcBorders>
              <w:top w:val="single" w:color="000000" w:sz="4" w:space="0"/>
              <w:left w:val="single" w:color="000000" w:sz="4" w:space="0"/>
              <w:bottom w:val="single" w:color="000000" w:sz="4" w:space="0"/>
              <w:right w:val="single" w:color="000000" w:sz="4" w:space="0"/>
            </w:tcBorders>
            <w:vAlign w:val="center"/>
          </w:tcPr>
          <w:p>
            <w:pPr>
              <w:pStyle w:val="115"/>
              <w:spacing w:before="160" w:line="240" w:lineRule="exact"/>
              <w:ind w:left="7"/>
              <w:jc w:val="center"/>
              <w:rPr>
                <w:rFonts w:ascii="宋体" w:hAnsi="宋体" w:cs="宋体"/>
                <w:kern w:val="2"/>
                <w:sz w:val="21"/>
                <w:szCs w:val="21"/>
              </w:rPr>
            </w:pPr>
            <w:r>
              <w:rPr>
                <w:rFonts w:hint="eastAsia" w:ascii="宋体" w:hAnsi="宋体" w:cs="宋体"/>
                <w:spacing w:val="1"/>
                <w:w w:val="99"/>
                <w:kern w:val="2"/>
                <w:sz w:val="21"/>
                <w:szCs w:val="21"/>
              </w:rPr>
              <w:t>A02</w:t>
            </w:r>
            <w:r>
              <w:rPr>
                <w:rFonts w:hint="eastAsia" w:ascii="宋体" w:hAnsi="宋体" w:cs="宋体"/>
                <w:w w:val="99"/>
                <w:kern w:val="2"/>
                <w:sz w:val="21"/>
                <w:szCs w:val="21"/>
              </w:rPr>
              <w:t>05</w:t>
            </w:r>
            <w:r>
              <w:rPr>
                <w:rFonts w:hint="eastAsia" w:ascii="宋体" w:hAnsi="宋体" w:cs="宋体"/>
                <w:spacing w:val="1"/>
                <w:w w:val="99"/>
                <w:kern w:val="2"/>
                <w:sz w:val="21"/>
                <w:szCs w:val="21"/>
              </w:rPr>
              <w:t>1</w:t>
            </w:r>
            <w:r>
              <w:rPr>
                <w:rFonts w:hint="eastAsia" w:ascii="宋体" w:hAnsi="宋体" w:cs="宋体"/>
                <w:w w:val="99"/>
                <w:kern w:val="2"/>
                <w:sz w:val="21"/>
                <w:szCs w:val="21"/>
              </w:rPr>
              <w:t>901离心泵</w:t>
            </w: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rPr>
            </w:pPr>
          </w:p>
        </w:tc>
        <w:tc>
          <w:tcPr>
            <w:tcW w:w="2092" w:type="pct"/>
            <w:tcBorders>
              <w:top w:val="single" w:color="000000" w:sz="4" w:space="0"/>
              <w:left w:val="single" w:color="000000" w:sz="4" w:space="0"/>
              <w:bottom w:val="single" w:color="000000" w:sz="4" w:space="0"/>
              <w:right w:val="single" w:color="000000" w:sz="4" w:space="0"/>
            </w:tcBorders>
          </w:tcPr>
          <w:p>
            <w:pPr>
              <w:pStyle w:val="115"/>
              <w:spacing w:before="4" w:line="240" w:lineRule="exact"/>
              <w:ind w:left="7" w:right="4"/>
              <w:rPr>
                <w:rFonts w:ascii="宋体" w:hAnsi="宋体" w:cs="宋体"/>
                <w:kern w:val="2"/>
                <w:sz w:val="21"/>
                <w:szCs w:val="21"/>
                <w:lang w:eastAsia="zh-CN"/>
              </w:rPr>
            </w:pPr>
            <w:r>
              <w:rPr>
                <w:rFonts w:hint="eastAsia" w:ascii="宋体" w:hAnsi="宋体" w:cs="宋体"/>
                <w:spacing w:val="12"/>
                <w:w w:val="99"/>
                <w:kern w:val="2"/>
                <w:sz w:val="21"/>
                <w:szCs w:val="21"/>
                <w:lang w:eastAsia="zh-CN"/>
              </w:rPr>
              <w:t>《清水离心泵能效限定</w:t>
            </w:r>
            <w:r>
              <w:rPr>
                <w:rFonts w:hint="eastAsia" w:ascii="宋体" w:hAnsi="宋体" w:cs="宋体"/>
                <w:spacing w:val="9"/>
                <w:w w:val="99"/>
                <w:kern w:val="2"/>
                <w:sz w:val="21"/>
                <w:szCs w:val="21"/>
                <w:lang w:eastAsia="zh-CN"/>
              </w:rPr>
              <w:t>值</w:t>
            </w:r>
            <w:r>
              <w:rPr>
                <w:rFonts w:hint="eastAsia" w:ascii="宋体" w:hAnsi="宋体" w:cs="宋体"/>
                <w:spacing w:val="12"/>
                <w:w w:val="99"/>
                <w:kern w:val="2"/>
                <w:sz w:val="21"/>
                <w:szCs w:val="21"/>
                <w:lang w:eastAsia="zh-CN"/>
              </w:rPr>
              <w:t>及节</w:t>
            </w:r>
            <w:r>
              <w:rPr>
                <w:rFonts w:hint="eastAsia" w:ascii="宋体" w:hAnsi="宋体" w:cs="宋体"/>
                <w:w w:val="99"/>
                <w:kern w:val="2"/>
                <w:sz w:val="21"/>
                <w:szCs w:val="21"/>
                <w:lang w:eastAsia="zh-CN"/>
              </w:rPr>
              <w:t>能评价值</w:t>
            </w:r>
            <w:r>
              <w:rPr>
                <w:rFonts w:hint="eastAsia" w:ascii="宋体" w:hAnsi="宋体" w:cs="宋体"/>
                <w:spacing w:val="2"/>
                <w:w w:val="99"/>
                <w:kern w:val="2"/>
                <w:sz w:val="21"/>
                <w:szCs w:val="21"/>
                <w:lang w:eastAsia="zh-CN"/>
              </w:rPr>
              <w:t>》</w:t>
            </w:r>
            <w:r>
              <w:rPr>
                <w:rFonts w:hint="eastAsia" w:ascii="宋体" w:hAnsi="宋体" w:cs="宋体"/>
                <w:w w:val="99"/>
                <w:kern w:val="2"/>
                <w:sz w:val="21"/>
                <w:szCs w:val="21"/>
                <w:lang w:eastAsia="zh-CN"/>
              </w:rPr>
              <w:t>（</w:t>
            </w:r>
            <w:r>
              <w:rPr>
                <w:rFonts w:hint="eastAsia" w:ascii="宋体" w:hAnsi="宋体" w:cs="宋体"/>
                <w:spacing w:val="1"/>
                <w:w w:val="99"/>
                <w:kern w:val="2"/>
                <w:sz w:val="21"/>
                <w:szCs w:val="21"/>
                <w:lang w:eastAsia="zh-CN"/>
              </w:rPr>
              <w:t>G</w:t>
            </w:r>
            <w:r>
              <w:rPr>
                <w:rFonts w:hint="eastAsia" w:ascii="宋体" w:hAnsi="宋体" w:cs="宋体"/>
                <w:w w:val="99"/>
                <w:kern w:val="2"/>
                <w:sz w:val="21"/>
                <w:szCs w:val="21"/>
                <w:lang w:eastAsia="zh-CN"/>
              </w:rPr>
              <w:t>B</w:t>
            </w:r>
            <w:r>
              <w:rPr>
                <w:rFonts w:hint="eastAsia" w:ascii="宋体" w:hAnsi="宋体" w:cs="宋体"/>
                <w:spacing w:val="1"/>
                <w:w w:val="99"/>
                <w:kern w:val="2"/>
                <w:sz w:val="21"/>
                <w:szCs w:val="21"/>
                <w:lang w:eastAsia="zh-CN"/>
              </w:rPr>
              <w:t>19</w:t>
            </w:r>
            <w:r>
              <w:rPr>
                <w:rFonts w:hint="eastAsia" w:ascii="宋体" w:hAnsi="宋体" w:cs="宋体"/>
                <w:w w:val="99"/>
                <w:kern w:val="2"/>
                <w:sz w:val="21"/>
                <w:szCs w:val="21"/>
                <w:lang w:eastAsia="zh-CN"/>
              </w:rPr>
              <w:t>76</w:t>
            </w:r>
            <w:r>
              <w:rPr>
                <w:rFonts w:hint="eastAsia" w:ascii="宋体" w:hAnsi="宋体" w:cs="宋体"/>
                <w:spacing w:val="1"/>
                <w:w w:val="99"/>
                <w:kern w:val="2"/>
                <w:sz w:val="21"/>
                <w:szCs w:val="21"/>
                <w:lang w:eastAsia="zh-CN"/>
              </w:rPr>
              <w:t>2</w:t>
            </w:r>
            <w:r>
              <w:rPr>
                <w:rFonts w:hint="eastAsia" w:ascii="宋体" w:hAnsi="宋体" w:cs="宋体"/>
                <w:w w:val="99"/>
                <w:kern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rPr>
            </w:pPr>
            <w:r>
              <w:rPr>
                <w:rFonts w:hint="eastAsia" w:ascii="宋体" w:hAnsi="宋体"/>
                <w:szCs w:val="21"/>
              </w:rPr>
              <w:t>6</w:t>
            </w:r>
          </w:p>
        </w:tc>
        <w:tc>
          <w:tcPr>
            <w:tcW w:w="834" w:type="pct"/>
            <w:vMerge w:val="restart"/>
            <w:tcBorders>
              <w:top w:val="single" w:color="000000" w:sz="4" w:space="0"/>
              <w:left w:val="single" w:color="000000" w:sz="4" w:space="0"/>
              <w:bottom w:val="single" w:color="000000" w:sz="4" w:space="0"/>
              <w:right w:val="single" w:color="000000" w:sz="4" w:space="0"/>
            </w:tcBorders>
            <w:vAlign w:val="center"/>
          </w:tcPr>
          <w:p>
            <w:pPr>
              <w:pStyle w:val="115"/>
              <w:spacing w:line="240" w:lineRule="exact"/>
              <w:jc w:val="center"/>
              <w:rPr>
                <w:rFonts w:ascii="宋体" w:hAnsi="宋体" w:cs="宋体"/>
                <w:kern w:val="2"/>
                <w:sz w:val="21"/>
                <w:szCs w:val="21"/>
              </w:rPr>
            </w:pPr>
            <w:r>
              <w:rPr>
                <w:rFonts w:hint="eastAsia" w:ascii="宋体" w:hAnsi="宋体" w:cs="仿宋_GB2312"/>
                <w:kern w:val="2"/>
                <w:sz w:val="21"/>
                <w:szCs w:val="21"/>
              </w:rPr>
              <w:t>A02052300</w:t>
            </w:r>
            <w:r>
              <w:rPr>
                <w:rFonts w:hint="eastAsia" w:ascii="宋体" w:hAnsi="宋体" w:cs="宋体"/>
                <w:w w:val="99"/>
                <w:kern w:val="2"/>
                <w:sz w:val="21"/>
                <w:szCs w:val="21"/>
              </w:rPr>
              <w:t>制冷空调设备</w:t>
            </w:r>
          </w:p>
        </w:tc>
        <w:tc>
          <w:tcPr>
            <w:tcW w:w="878" w:type="pct"/>
            <w:vMerge w:val="restart"/>
            <w:tcBorders>
              <w:top w:val="single" w:color="000000" w:sz="4" w:space="0"/>
              <w:left w:val="single" w:color="000000" w:sz="4" w:space="0"/>
              <w:bottom w:val="single" w:color="000000" w:sz="4" w:space="0"/>
              <w:right w:val="single" w:color="000000" w:sz="4" w:space="0"/>
            </w:tcBorders>
            <w:vAlign w:val="center"/>
          </w:tcPr>
          <w:p>
            <w:pPr>
              <w:pStyle w:val="115"/>
              <w:spacing w:line="240" w:lineRule="exact"/>
              <w:ind w:right="5"/>
              <w:jc w:val="center"/>
              <w:rPr>
                <w:rFonts w:ascii="宋体" w:hAnsi="宋体" w:cs="宋体"/>
                <w:kern w:val="2"/>
                <w:sz w:val="21"/>
                <w:szCs w:val="21"/>
              </w:rPr>
            </w:pPr>
            <w:r>
              <w:rPr>
                <w:rFonts w:hint="eastAsia" w:ascii="宋体" w:hAnsi="宋体" w:cs="宋体"/>
                <w:w w:val="99"/>
                <w:kern w:val="2"/>
                <w:sz w:val="21"/>
                <w:szCs w:val="21"/>
              </w:rPr>
              <w:t>★</w:t>
            </w:r>
            <w:r>
              <w:rPr>
                <w:rFonts w:hint="eastAsia" w:ascii="宋体" w:hAnsi="宋体" w:cs="宋体"/>
                <w:spacing w:val="1"/>
                <w:w w:val="99"/>
                <w:kern w:val="2"/>
                <w:sz w:val="21"/>
                <w:szCs w:val="21"/>
              </w:rPr>
              <w:t>A020</w:t>
            </w:r>
            <w:r>
              <w:rPr>
                <w:rFonts w:hint="eastAsia" w:ascii="宋体" w:hAnsi="宋体" w:cs="宋体"/>
                <w:w w:val="99"/>
                <w:kern w:val="2"/>
                <w:sz w:val="21"/>
                <w:szCs w:val="21"/>
              </w:rPr>
              <w:t>52</w:t>
            </w:r>
            <w:r>
              <w:rPr>
                <w:rFonts w:hint="eastAsia" w:ascii="宋体" w:hAnsi="宋体" w:cs="宋体"/>
                <w:spacing w:val="1"/>
                <w:w w:val="99"/>
                <w:kern w:val="2"/>
                <w:sz w:val="21"/>
                <w:szCs w:val="21"/>
              </w:rPr>
              <w:t>3</w:t>
            </w:r>
            <w:r>
              <w:rPr>
                <w:rFonts w:hint="eastAsia" w:ascii="宋体" w:hAnsi="宋体" w:cs="宋体"/>
                <w:w w:val="99"/>
                <w:kern w:val="2"/>
                <w:sz w:val="21"/>
                <w:szCs w:val="21"/>
              </w:rPr>
              <w:t>01制冷压缩机</w:t>
            </w:r>
          </w:p>
        </w:tc>
        <w:tc>
          <w:tcPr>
            <w:tcW w:w="802" w:type="pct"/>
            <w:tcBorders>
              <w:top w:val="single" w:color="000000" w:sz="4" w:space="0"/>
              <w:left w:val="single" w:color="000000" w:sz="4" w:space="0"/>
              <w:bottom w:val="single" w:color="000000" w:sz="4" w:space="0"/>
              <w:right w:val="single" w:color="000000" w:sz="4" w:space="0"/>
            </w:tcBorders>
            <w:vAlign w:val="center"/>
          </w:tcPr>
          <w:p>
            <w:pPr>
              <w:pStyle w:val="115"/>
              <w:spacing w:line="240" w:lineRule="exact"/>
              <w:jc w:val="center"/>
              <w:rPr>
                <w:rFonts w:ascii="宋体" w:hAnsi="宋体" w:cs="宋体"/>
                <w:kern w:val="2"/>
                <w:sz w:val="21"/>
                <w:szCs w:val="21"/>
              </w:rPr>
            </w:pPr>
            <w:r>
              <w:rPr>
                <w:rFonts w:hint="eastAsia" w:ascii="宋体" w:hAnsi="宋体" w:cs="宋体"/>
                <w:w w:val="99"/>
                <w:kern w:val="2"/>
                <w:sz w:val="21"/>
                <w:szCs w:val="21"/>
              </w:rPr>
              <w:t>冷水机组</w:t>
            </w:r>
          </w:p>
        </w:tc>
        <w:tc>
          <w:tcPr>
            <w:tcW w:w="2092" w:type="pct"/>
            <w:tcBorders>
              <w:top w:val="single" w:color="000000" w:sz="4" w:space="0"/>
              <w:left w:val="single" w:color="000000" w:sz="4" w:space="0"/>
              <w:bottom w:val="single" w:color="000000" w:sz="4" w:space="0"/>
              <w:right w:val="single" w:color="000000" w:sz="4" w:space="0"/>
            </w:tcBorders>
          </w:tcPr>
          <w:p>
            <w:pPr>
              <w:pStyle w:val="115"/>
              <w:spacing w:before="30" w:line="240" w:lineRule="exact"/>
              <w:ind w:left="7" w:right="4"/>
              <w:jc w:val="both"/>
              <w:rPr>
                <w:rFonts w:ascii="宋体" w:hAnsi="宋体" w:cs="宋体"/>
                <w:kern w:val="2"/>
                <w:sz w:val="21"/>
                <w:szCs w:val="21"/>
                <w:lang w:eastAsia="zh-CN"/>
              </w:rPr>
            </w:pPr>
            <w:r>
              <w:rPr>
                <w:rFonts w:hint="eastAsia" w:ascii="宋体" w:hAnsi="宋体" w:cs="宋体"/>
                <w:spacing w:val="12"/>
                <w:w w:val="99"/>
                <w:kern w:val="2"/>
                <w:sz w:val="21"/>
                <w:szCs w:val="21"/>
                <w:lang w:eastAsia="zh-CN"/>
              </w:rPr>
              <w:t>《冷水机组能效限定值</w:t>
            </w:r>
            <w:r>
              <w:rPr>
                <w:rFonts w:hint="eastAsia" w:ascii="宋体" w:hAnsi="宋体" w:cs="宋体"/>
                <w:spacing w:val="9"/>
                <w:w w:val="99"/>
                <w:kern w:val="2"/>
                <w:sz w:val="21"/>
                <w:szCs w:val="21"/>
                <w:lang w:eastAsia="zh-CN"/>
              </w:rPr>
              <w:t>及</w:t>
            </w:r>
            <w:r>
              <w:rPr>
                <w:rFonts w:hint="eastAsia" w:ascii="宋体" w:hAnsi="宋体" w:cs="宋体"/>
                <w:spacing w:val="12"/>
                <w:w w:val="99"/>
                <w:kern w:val="2"/>
                <w:sz w:val="21"/>
                <w:szCs w:val="21"/>
                <w:lang w:eastAsia="zh-CN"/>
              </w:rPr>
              <w:t>能效</w:t>
            </w:r>
            <w:r>
              <w:rPr>
                <w:rFonts w:hint="eastAsia" w:ascii="宋体" w:hAnsi="宋体" w:cs="宋体"/>
                <w:w w:val="99"/>
                <w:kern w:val="2"/>
                <w:sz w:val="21"/>
                <w:szCs w:val="21"/>
                <w:lang w:eastAsia="zh-CN"/>
              </w:rPr>
              <w:t>等级</w:t>
            </w:r>
            <w:r>
              <w:rPr>
                <w:rFonts w:hint="eastAsia" w:ascii="宋体" w:hAnsi="宋体" w:cs="宋体"/>
                <w:spacing w:val="-3"/>
                <w:w w:val="99"/>
                <w:kern w:val="2"/>
                <w:sz w:val="21"/>
                <w:szCs w:val="21"/>
                <w:lang w:eastAsia="zh-CN"/>
              </w:rPr>
              <w:t>》</w:t>
            </w:r>
            <w:r>
              <w:rPr>
                <w:rFonts w:hint="eastAsia" w:ascii="宋体" w:hAnsi="宋体" w:cs="宋体"/>
                <w:w w:val="99"/>
                <w:kern w:val="2"/>
                <w:sz w:val="21"/>
                <w:szCs w:val="21"/>
                <w:lang w:eastAsia="zh-CN"/>
              </w:rPr>
              <w:t>（</w:t>
            </w:r>
            <w:r>
              <w:rPr>
                <w:rFonts w:hint="eastAsia" w:ascii="宋体" w:hAnsi="宋体" w:cs="宋体"/>
                <w:spacing w:val="1"/>
                <w:w w:val="99"/>
                <w:kern w:val="2"/>
                <w:sz w:val="21"/>
                <w:szCs w:val="21"/>
                <w:lang w:eastAsia="zh-CN"/>
              </w:rPr>
              <w:t>G</w:t>
            </w:r>
            <w:r>
              <w:rPr>
                <w:rFonts w:hint="eastAsia" w:ascii="宋体" w:hAnsi="宋体" w:cs="宋体"/>
                <w:w w:val="99"/>
                <w:kern w:val="2"/>
                <w:sz w:val="21"/>
                <w:szCs w:val="21"/>
                <w:lang w:eastAsia="zh-CN"/>
              </w:rPr>
              <w:t>B</w:t>
            </w:r>
            <w:r>
              <w:rPr>
                <w:rFonts w:hint="eastAsia" w:ascii="宋体" w:hAnsi="宋体" w:cs="宋体"/>
                <w:spacing w:val="1"/>
                <w:w w:val="99"/>
                <w:kern w:val="2"/>
                <w:sz w:val="21"/>
                <w:szCs w:val="21"/>
                <w:lang w:eastAsia="zh-CN"/>
              </w:rPr>
              <w:t>195</w:t>
            </w:r>
            <w:r>
              <w:rPr>
                <w:rFonts w:hint="eastAsia" w:ascii="宋体" w:hAnsi="宋体" w:cs="宋体"/>
                <w:w w:val="99"/>
                <w:kern w:val="2"/>
                <w:sz w:val="21"/>
                <w:szCs w:val="21"/>
                <w:lang w:eastAsia="zh-CN"/>
              </w:rPr>
              <w:t>77</w:t>
            </w:r>
            <w:r>
              <w:rPr>
                <w:rFonts w:hint="eastAsia" w:ascii="宋体" w:hAnsi="宋体" w:cs="宋体"/>
                <w:spacing w:val="-3"/>
                <w:w w:val="99"/>
                <w:kern w:val="2"/>
                <w:sz w:val="21"/>
                <w:szCs w:val="21"/>
                <w:lang w:eastAsia="zh-CN"/>
              </w:rPr>
              <w:t>），</w:t>
            </w:r>
            <w:r>
              <w:rPr>
                <w:rFonts w:hint="eastAsia" w:ascii="宋体" w:hAnsi="宋体" w:cs="宋体"/>
                <w:w w:val="99"/>
                <w:kern w:val="2"/>
                <w:sz w:val="21"/>
                <w:szCs w:val="21"/>
                <w:lang w:eastAsia="zh-CN"/>
              </w:rPr>
              <w:t>《低</w:t>
            </w:r>
            <w:r>
              <w:rPr>
                <w:rFonts w:hint="eastAsia" w:ascii="宋体" w:hAnsi="宋体" w:cs="宋体"/>
                <w:spacing w:val="2"/>
                <w:w w:val="99"/>
                <w:kern w:val="2"/>
                <w:sz w:val="21"/>
                <w:szCs w:val="21"/>
                <w:lang w:eastAsia="zh-CN"/>
              </w:rPr>
              <w:t>环</w:t>
            </w:r>
            <w:r>
              <w:rPr>
                <w:rFonts w:hint="eastAsia" w:ascii="宋体" w:hAnsi="宋体" w:cs="宋体"/>
                <w:w w:val="99"/>
                <w:kern w:val="2"/>
                <w:sz w:val="21"/>
                <w:szCs w:val="21"/>
                <w:lang w:eastAsia="zh-CN"/>
              </w:rPr>
              <w:t>境温度空气源</w:t>
            </w:r>
            <w:r>
              <w:rPr>
                <w:rFonts w:hint="eastAsia" w:ascii="宋体" w:hAnsi="宋体" w:cs="宋体"/>
                <w:spacing w:val="2"/>
                <w:w w:val="99"/>
                <w:kern w:val="2"/>
                <w:sz w:val="21"/>
                <w:szCs w:val="21"/>
                <w:lang w:eastAsia="zh-CN"/>
              </w:rPr>
              <w:t>热</w:t>
            </w:r>
            <w:r>
              <w:rPr>
                <w:rFonts w:hint="eastAsia" w:ascii="宋体" w:hAnsi="宋体" w:cs="宋体"/>
                <w:spacing w:val="-29"/>
                <w:w w:val="99"/>
                <w:kern w:val="2"/>
                <w:sz w:val="21"/>
                <w:szCs w:val="21"/>
                <w:lang w:eastAsia="zh-CN"/>
              </w:rPr>
              <w:t>泵</w:t>
            </w:r>
            <w:r>
              <w:rPr>
                <w:rFonts w:hint="eastAsia" w:ascii="宋体" w:hAnsi="宋体" w:cs="宋体"/>
                <w:spacing w:val="2"/>
                <w:w w:val="99"/>
                <w:kern w:val="2"/>
                <w:sz w:val="21"/>
                <w:szCs w:val="21"/>
                <w:lang w:eastAsia="zh-CN"/>
              </w:rPr>
              <w:t>（</w:t>
            </w:r>
            <w:r>
              <w:rPr>
                <w:rFonts w:hint="eastAsia" w:ascii="宋体" w:hAnsi="宋体" w:cs="宋体"/>
                <w:w w:val="99"/>
                <w:kern w:val="2"/>
                <w:sz w:val="21"/>
                <w:szCs w:val="21"/>
                <w:lang w:eastAsia="zh-CN"/>
              </w:rPr>
              <w:t>冷水</w:t>
            </w:r>
            <w:r>
              <w:rPr>
                <w:rFonts w:hint="eastAsia" w:ascii="宋体" w:hAnsi="宋体" w:cs="宋体"/>
                <w:spacing w:val="-27"/>
                <w:w w:val="99"/>
                <w:kern w:val="2"/>
                <w:sz w:val="21"/>
                <w:szCs w:val="21"/>
                <w:lang w:eastAsia="zh-CN"/>
              </w:rPr>
              <w:t>）</w:t>
            </w:r>
            <w:r>
              <w:rPr>
                <w:rFonts w:hint="eastAsia" w:ascii="宋体" w:hAnsi="宋体" w:cs="宋体"/>
                <w:w w:val="99"/>
                <w:kern w:val="2"/>
                <w:sz w:val="21"/>
                <w:szCs w:val="21"/>
                <w:lang w:eastAsia="zh-CN"/>
              </w:rPr>
              <w:t>机组</w:t>
            </w:r>
            <w:r>
              <w:rPr>
                <w:rFonts w:hint="eastAsia" w:ascii="宋体" w:hAnsi="宋体" w:cs="宋体"/>
                <w:spacing w:val="2"/>
                <w:w w:val="99"/>
                <w:kern w:val="2"/>
                <w:sz w:val="21"/>
                <w:szCs w:val="21"/>
                <w:lang w:eastAsia="zh-CN"/>
              </w:rPr>
              <w:t>能</w:t>
            </w:r>
            <w:r>
              <w:rPr>
                <w:rFonts w:hint="eastAsia" w:ascii="宋体" w:hAnsi="宋体" w:cs="宋体"/>
                <w:w w:val="99"/>
                <w:kern w:val="2"/>
                <w:sz w:val="21"/>
                <w:szCs w:val="21"/>
                <w:lang w:eastAsia="zh-CN"/>
              </w:rPr>
              <w:t>效限定值及能</w:t>
            </w:r>
            <w:r>
              <w:rPr>
                <w:rFonts w:hint="eastAsia" w:ascii="宋体" w:hAnsi="宋体" w:cs="宋体"/>
                <w:spacing w:val="2"/>
                <w:w w:val="99"/>
                <w:kern w:val="2"/>
                <w:sz w:val="21"/>
                <w:szCs w:val="21"/>
                <w:lang w:eastAsia="zh-CN"/>
              </w:rPr>
              <w:t>效</w:t>
            </w:r>
            <w:r>
              <w:rPr>
                <w:rFonts w:hint="eastAsia" w:ascii="宋体" w:hAnsi="宋体" w:cs="宋体"/>
                <w:w w:val="99"/>
                <w:kern w:val="2"/>
                <w:sz w:val="21"/>
                <w:szCs w:val="21"/>
                <w:lang w:eastAsia="zh-CN"/>
              </w:rPr>
              <w:t>等级</w:t>
            </w:r>
            <w:r>
              <w:rPr>
                <w:rFonts w:hint="eastAsia" w:ascii="宋体" w:hAnsi="宋体" w:cs="宋体"/>
                <w:spacing w:val="2"/>
                <w:w w:val="99"/>
                <w:kern w:val="2"/>
                <w:sz w:val="21"/>
                <w:szCs w:val="21"/>
                <w:lang w:eastAsia="zh-CN"/>
              </w:rPr>
              <w:t>》</w:t>
            </w:r>
            <w:r>
              <w:rPr>
                <w:rFonts w:hint="eastAsia" w:ascii="宋体" w:hAnsi="宋体" w:cs="宋体"/>
                <w:w w:val="99"/>
                <w:kern w:val="2"/>
                <w:sz w:val="21"/>
                <w:szCs w:val="21"/>
                <w:lang w:eastAsia="zh-CN"/>
              </w:rPr>
              <w:t>（</w:t>
            </w:r>
            <w:r>
              <w:rPr>
                <w:rFonts w:hint="eastAsia" w:ascii="宋体" w:hAnsi="宋体" w:cs="宋体"/>
                <w:spacing w:val="1"/>
                <w:w w:val="99"/>
                <w:kern w:val="2"/>
                <w:sz w:val="21"/>
                <w:szCs w:val="21"/>
                <w:lang w:eastAsia="zh-CN"/>
              </w:rPr>
              <w:t>G</w:t>
            </w:r>
            <w:r>
              <w:rPr>
                <w:rFonts w:hint="eastAsia" w:ascii="宋体" w:hAnsi="宋体" w:cs="宋体"/>
                <w:w w:val="99"/>
                <w:kern w:val="2"/>
                <w:sz w:val="21"/>
                <w:szCs w:val="21"/>
                <w:lang w:eastAsia="zh-CN"/>
              </w:rPr>
              <w:t>B</w:t>
            </w:r>
            <w:r>
              <w:rPr>
                <w:rFonts w:hint="eastAsia" w:ascii="宋体" w:hAnsi="宋体" w:cs="宋体"/>
                <w:spacing w:val="1"/>
                <w:w w:val="99"/>
                <w:kern w:val="2"/>
                <w:sz w:val="21"/>
                <w:szCs w:val="21"/>
                <w:lang w:eastAsia="zh-CN"/>
              </w:rPr>
              <w:t>37</w:t>
            </w:r>
            <w:r>
              <w:rPr>
                <w:rFonts w:hint="eastAsia" w:ascii="宋体" w:hAnsi="宋体" w:cs="宋体"/>
                <w:w w:val="99"/>
                <w:kern w:val="2"/>
                <w:sz w:val="21"/>
                <w:szCs w:val="21"/>
                <w:lang w:eastAsia="zh-CN"/>
              </w:rPr>
              <w:t>48</w:t>
            </w:r>
            <w:r>
              <w:rPr>
                <w:rFonts w:hint="eastAsia" w:ascii="宋体" w:hAnsi="宋体" w:cs="宋体"/>
                <w:spacing w:val="-2"/>
                <w:w w:val="99"/>
                <w:kern w:val="2"/>
                <w:sz w:val="21"/>
                <w:szCs w:val="21"/>
                <w:lang w:eastAsia="zh-CN"/>
              </w:rPr>
              <w:t>0</w:t>
            </w:r>
            <w:r>
              <w:rPr>
                <w:rFonts w:hint="eastAsia" w:ascii="宋体" w:hAnsi="宋体" w:cs="宋体"/>
                <w:w w:val="99"/>
                <w:kern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szCs w:val="21"/>
              </w:rPr>
            </w:pPr>
          </w:p>
        </w:tc>
        <w:tc>
          <w:tcPr>
            <w:tcW w:w="83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szCs w:val="21"/>
              </w:rPr>
            </w:pPr>
          </w:p>
        </w:tc>
        <w:tc>
          <w:tcPr>
            <w:tcW w:w="878"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szCs w:val="21"/>
              </w:rPr>
            </w:pP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rPr>
            </w:pPr>
            <w:r>
              <w:rPr>
                <w:rFonts w:hint="eastAsia" w:ascii="宋体" w:hAnsi="宋体"/>
                <w:szCs w:val="21"/>
              </w:rPr>
              <w:t>溴化锂吸收式冷水机组</w:t>
            </w:r>
          </w:p>
        </w:tc>
        <w:tc>
          <w:tcPr>
            <w:tcW w:w="2092" w:type="pct"/>
            <w:tcBorders>
              <w:top w:val="single" w:color="000000" w:sz="4" w:space="0"/>
              <w:left w:val="single" w:color="000000" w:sz="4" w:space="0"/>
              <w:bottom w:val="single" w:color="000000" w:sz="4" w:space="0"/>
              <w:right w:val="single" w:color="000000" w:sz="4" w:space="0"/>
            </w:tcBorders>
            <w:vAlign w:val="center"/>
          </w:tcPr>
          <w:p>
            <w:pPr>
              <w:pStyle w:val="115"/>
              <w:spacing w:before="93" w:line="240" w:lineRule="exact"/>
              <w:ind w:left="7"/>
              <w:rPr>
                <w:rFonts w:ascii="宋体" w:hAnsi="宋体" w:cs="宋体"/>
                <w:w w:val="99"/>
                <w:kern w:val="2"/>
                <w:sz w:val="21"/>
                <w:szCs w:val="21"/>
                <w:lang w:eastAsia="zh-CN"/>
              </w:rPr>
            </w:pPr>
            <w:r>
              <w:rPr>
                <w:rFonts w:hint="eastAsia" w:ascii="宋体" w:hAnsi="宋体" w:cs="宋体"/>
                <w:w w:val="99"/>
                <w:kern w:val="2"/>
                <w:sz w:val="21"/>
                <w:szCs w:val="21"/>
                <w:lang w:eastAsia="zh-CN"/>
              </w:rPr>
              <w:t>《溴化锂吸收式冷水机组能效限</w:t>
            </w:r>
          </w:p>
          <w:p>
            <w:pPr>
              <w:spacing w:line="240" w:lineRule="exact"/>
              <w:rPr>
                <w:rFonts w:ascii="宋体" w:hAnsi="宋体"/>
                <w:szCs w:val="21"/>
              </w:rPr>
            </w:pPr>
            <w:r>
              <w:rPr>
                <w:rFonts w:hint="eastAsia" w:ascii="宋体" w:hAnsi="宋体" w:cs="宋体"/>
                <w:w w:val="99"/>
                <w:szCs w:val="21"/>
              </w:rPr>
              <w:t>定值及能效等级》（GB29540）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szCs w:val="21"/>
              </w:rPr>
            </w:pPr>
          </w:p>
        </w:tc>
        <w:tc>
          <w:tcPr>
            <w:tcW w:w="83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szCs w:val="21"/>
              </w:rPr>
            </w:pPr>
          </w:p>
        </w:tc>
        <w:tc>
          <w:tcPr>
            <w:tcW w:w="878" w:type="pct"/>
            <w:vMerge w:val="restart"/>
            <w:tcBorders>
              <w:top w:val="single" w:color="000000" w:sz="4" w:space="0"/>
              <w:left w:val="single" w:color="000000" w:sz="4" w:space="0"/>
              <w:bottom w:val="single" w:color="000000" w:sz="4" w:space="0"/>
              <w:right w:val="single" w:color="000000" w:sz="4" w:space="0"/>
            </w:tcBorders>
            <w:vAlign w:val="center"/>
          </w:tcPr>
          <w:p>
            <w:pPr>
              <w:pStyle w:val="115"/>
              <w:spacing w:line="240" w:lineRule="exact"/>
              <w:ind w:right="5"/>
              <w:jc w:val="center"/>
              <w:rPr>
                <w:rFonts w:ascii="宋体" w:hAnsi="宋体" w:cs="宋体"/>
                <w:kern w:val="2"/>
                <w:sz w:val="21"/>
                <w:szCs w:val="21"/>
              </w:rPr>
            </w:pPr>
            <w:r>
              <w:rPr>
                <w:rFonts w:hint="eastAsia" w:ascii="宋体" w:hAnsi="宋体" w:cs="宋体"/>
                <w:w w:val="99"/>
                <w:kern w:val="2"/>
                <w:sz w:val="21"/>
                <w:szCs w:val="21"/>
              </w:rPr>
              <w:t>★A02052305空调机组</w:t>
            </w:r>
          </w:p>
        </w:tc>
        <w:tc>
          <w:tcPr>
            <w:tcW w:w="802" w:type="pct"/>
            <w:tcBorders>
              <w:top w:val="single" w:color="000000" w:sz="4" w:space="0"/>
              <w:left w:val="single" w:color="000000" w:sz="4" w:space="0"/>
              <w:bottom w:val="single" w:color="000000" w:sz="4" w:space="0"/>
              <w:right w:val="single" w:color="000000" w:sz="4" w:space="0"/>
            </w:tcBorders>
            <w:vAlign w:val="center"/>
          </w:tcPr>
          <w:p>
            <w:pPr>
              <w:pStyle w:val="115"/>
              <w:spacing w:before="4" w:line="240" w:lineRule="exact"/>
              <w:ind w:left="7" w:right="7"/>
              <w:jc w:val="center"/>
              <w:rPr>
                <w:rFonts w:ascii="宋体" w:hAnsi="宋体" w:cs="宋体"/>
                <w:w w:val="99"/>
                <w:kern w:val="2"/>
                <w:sz w:val="21"/>
                <w:szCs w:val="21"/>
                <w:lang w:eastAsia="zh-CN"/>
              </w:rPr>
            </w:pPr>
            <w:r>
              <w:rPr>
                <w:rFonts w:hint="eastAsia" w:ascii="宋体" w:hAnsi="宋体" w:cs="宋体"/>
                <w:w w:val="99"/>
                <w:kern w:val="2"/>
                <w:sz w:val="21"/>
                <w:szCs w:val="21"/>
                <w:lang w:eastAsia="zh-CN"/>
              </w:rPr>
              <w:t>多联式空调（热泵）机组（制冷量&gt;14000W）</w:t>
            </w:r>
          </w:p>
        </w:tc>
        <w:tc>
          <w:tcPr>
            <w:tcW w:w="2092" w:type="pct"/>
            <w:tcBorders>
              <w:top w:val="single" w:color="000000" w:sz="4" w:space="0"/>
              <w:left w:val="single" w:color="000000" w:sz="4" w:space="0"/>
              <w:bottom w:val="single" w:color="000000" w:sz="4" w:space="0"/>
              <w:right w:val="single" w:color="000000" w:sz="4" w:space="0"/>
            </w:tcBorders>
          </w:tcPr>
          <w:p>
            <w:pPr>
              <w:pStyle w:val="115"/>
              <w:spacing w:before="160" w:line="240" w:lineRule="exact"/>
              <w:ind w:left="7" w:right="7"/>
              <w:rPr>
                <w:rFonts w:ascii="宋体" w:hAnsi="宋体" w:cs="宋体"/>
                <w:kern w:val="2"/>
                <w:sz w:val="21"/>
                <w:szCs w:val="21"/>
                <w:lang w:eastAsia="zh-CN"/>
              </w:rPr>
            </w:pPr>
            <w:r>
              <w:rPr>
                <w:rFonts w:hint="eastAsia" w:ascii="宋体" w:hAnsi="宋体" w:cs="宋体"/>
                <w:w w:val="99"/>
                <w:kern w:val="2"/>
                <w:sz w:val="21"/>
                <w:szCs w:val="21"/>
                <w:lang w:eastAsia="zh-CN"/>
              </w:rPr>
              <w:t>《多联式空调（热泵）机组能效限定值及能源效率等级》（GB21454）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szCs w:val="21"/>
              </w:rPr>
            </w:pPr>
          </w:p>
        </w:tc>
        <w:tc>
          <w:tcPr>
            <w:tcW w:w="83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szCs w:val="21"/>
              </w:rPr>
            </w:pPr>
          </w:p>
        </w:tc>
        <w:tc>
          <w:tcPr>
            <w:tcW w:w="878"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szCs w:val="21"/>
              </w:rPr>
            </w:pP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rPr>
            </w:pPr>
            <w:r>
              <w:rPr>
                <w:rFonts w:hint="eastAsia" w:ascii="宋体" w:hAnsi="宋体" w:cs="宋体"/>
                <w:w w:val="99"/>
                <w:szCs w:val="21"/>
              </w:rPr>
              <w:t>单元式空气调节机</w:t>
            </w:r>
          </w:p>
        </w:tc>
        <w:tc>
          <w:tcPr>
            <w:tcW w:w="2092" w:type="pct"/>
            <w:tcBorders>
              <w:top w:val="single" w:color="000000" w:sz="4" w:space="0"/>
              <w:left w:val="single" w:color="000000" w:sz="4" w:space="0"/>
              <w:bottom w:val="single" w:color="000000" w:sz="4" w:space="0"/>
              <w:right w:val="single" w:color="000000" w:sz="4" w:space="0"/>
            </w:tcBorders>
          </w:tcPr>
          <w:p>
            <w:pPr>
              <w:spacing w:line="240" w:lineRule="exact"/>
              <w:rPr>
                <w:rFonts w:ascii="宋体" w:hAnsi="宋体"/>
                <w:szCs w:val="21"/>
              </w:rPr>
            </w:pPr>
            <w:r>
              <w:rPr>
                <w:rFonts w:hint="eastAsia" w:ascii="宋体" w:hAnsi="宋体" w:cs="宋体"/>
                <w:w w:val="99"/>
                <w:szCs w:val="21"/>
              </w:rPr>
              <w:t>《单元式空气调节机能效限定值及能效等级》（GB19576）《风管送风式空调机组能效限定值及能效等级》（GB37479）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szCs w:val="21"/>
              </w:rPr>
            </w:pPr>
          </w:p>
        </w:tc>
        <w:tc>
          <w:tcPr>
            <w:tcW w:w="83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szCs w:val="21"/>
              </w:rPr>
            </w:pPr>
          </w:p>
        </w:tc>
        <w:tc>
          <w:tcPr>
            <w:tcW w:w="878" w:type="pct"/>
            <w:tcBorders>
              <w:top w:val="single" w:color="000000" w:sz="4" w:space="0"/>
              <w:left w:val="single" w:color="000000" w:sz="4" w:space="0"/>
              <w:bottom w:val="single" w:color="000000" w:sz="4" w:space="0"/>
              <w:right w:val="single" w:color="000000" w:sz="4" w:space="0"/>
            </w:tcBorders>
            <w:vAlign w:val="center"/>
          </w:tcPr>
          <w:p>
            <w:pPr>
              <w:pStyle w:val="115"/>
              <w:spacing w:before="83" w:line="240" w:lineRule="exact"/>
              <w:ind w:left="7"/>
              <w:jc w:val="center"/>
              <w:rPr>
                <w:rFonts w:ascii="宋体" w:hAnsi="宋体" w:cs="宋体"/>
                <w:w w:val="99"/>
                <w:kern w:val="2"/>
                <w:sz w:val="21"/>
                <w:szCs w:val="21"/>
                <w:lang w:eastAsia="zh-CN"/>
              </w:rPr>
            </w:pPr>
            <w:r>
              <w:rPr>
                <w:rFonts w:hint="eastAsia" w:ascii="宋体" w:hAnsi="宋体" w:cs="宋体"/>
                <w:w w:val="99"/>
                <w:kern w:val="2"/>
                <w:sz w:val="21"/>
                <w:szCs w:val="21"/>
                <w:lang w:eastAsia="zh-CN"/>
              </w:rPr>
              <w:t>★A02052309专用制冷、空调设备</w:t>
            </w:r>
          </w:p>
        </w:tc>
        <w:tc>
          <w:tcPr>
            <w:tcW w:w="802" w:type="pct"/>
            <w:tcBorders>
              <w:top w:val="single" w:color="000000" w:sz="4" w:space="0"/>
              <w:left w:val="single" w:color="000000" w:sz="4" w:space="0"/>
              <w:bottom w:val="single" w:color="000000" w:sz="4" w:space="0"/>
              <w:right w:val="single" w:color="000000" w:sz="4" w:space="0"/>
            </w:tcBorders>
            <w:vAlign w:val="center"/>
          </w:tcPr>
          <w:p>
            <w:pPr>
              <w:pStyle w:val="115"/>
              <w:spacing w:line="240" w:lineRule="exact"/>
              <w:jc w:val="center"/>
              <w:rPr>
                <w:rFonts w:ascii="宋体" w:hAnsi="宋体" w:cs="宋体"/>
                <w:kern w:val="2"/>
                <w:sz w:val="21"/>
                <w:szCs w:val="21"/>
              </w:rPr>
            </w:pPr>
            <w:r>
              <w:rPr>
                <w:rFonts w:hint="eastAsia" w:ascii="宋体" w:hAnsi="宋体" w:cs="宋体"/>
                <w:w w:val="99"/>
                <w:kern w:val="2"/>
                <w:sz w:val="21"/>
                <w:szCs w:val="21"/>
              </w:rPr>
              <w:t>机房空调</w:t>
            </w:r>
          </w:p>
        </w:tc>
        <w:tc>
          <w:tcPr>
            <w:tcW w:w="2092" w:type="pct"/>
            <w:tcBorders>
              <w:top w:val="single" w:color="000000" w:sz="4" w:space="0"/>
              <w:left w:val="single" w:color="000000" w:sz="4" w:space="0"/>
              <w:bottom w:val="single" w:color="000000" w:sz="4" w:space="0"/>
              <w:right w:val="single" w:color="000000" w:sz="4" w:space="0"/>
            </w:tcBorders>
          </w:tcPr>
          <w:p>
            <w:pPr>
              <w:pStyle w:val="115"/>
              <w:spacing w:before="83" w:line="240" w:lineRule="exact"/>
              <w:ind w:left="7"/>
              <w:rPr>
                <w:rFonts w:ascii="宋体" w:hAnsi="宋体" w:cs="宋体"/>
                <w:w w:val="99"/>
                <w:kern w:val="2"/>
                <w:sz w:val="21"/>
                <w:szCs w:val="21"/>
                <w:lang w:eastAsia="zh-CN"/>
              </w:rPr>
            </w:pPr>
            <w:r>
              <w:rPr>
                <w:rFonts w:hint="eastAsia" w:ascii="宋体" w:hAnsi="宋体" w:cs="宋体"/>
                <w:w w:val="99"/>
                <w:kern w:val="2"/>
                <w:sz w:val="21"/>
                <w:szCs w:val="21"/>
                <w:lang w:eastAsia="zh-CN"/>
              </w:rPr>
              <w:t>《单元式空气调节机能效限定值</w:t>
            </w:r>
          </w:p>
          <w:p>
            <w:pPr>
              <w:pStyle w:val="115"/>
              <w:spacing w:before="83" w:line="240" w:lineRule="exact"/>
              <w:ind w:left="7"/>
              <w:rPr>
                <w:rFonts w:ascii="宋体" w:hAnsi="宋体" w:cs="宋体"/>
                <w:kern w:val="2"/>
                <w:sz w:val="21"/>
                <w:szCs w:val="21"/>
                <w:lang w:eastAsia="zh-CN"/>
              </w:rPr>
            </w:pPr>
            <w:r>
              <w:rPr>
                <w:rFonts w:hint="eastAsia" w:ascii="宋体" w:hAnsi="宋体" w:cs="宋体"/>
                <w:w w:val="99"/>
                <w:kern w:val="2"/>
                <w:sz w:val="21"/>
                <w:szCs w:val="21"/>
                <w:lang w:eastAsia="zh-CN"/>
              </w:rPr>
              <w:t>及能效等级》（GB19576）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szCs w:val="21"/>
              </w:rPr>
            </w:pPr>
          </w:p>
        </w:tc>
        <w:tc>
          <w:tcPr>
            <w:tcW w:w="83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szCs w:val="21"/>
              </w:rPr>
            </w:pPr>
          </w:p>
        </w:tc>
        <w:tc>
          <w:tcPr>
            <w:tcW w:w="878" w:type="pct"/>
            <w:tcBorders>
              <w:top w:val="single" w:color="000000" w:sz="4" w:space="0"/>
              <w:left w:val="single" w:color="000000" w:sz="4" w:space="0"/>
              <w:bottom w:val="single" w:color="000000" w:sz="4" w:space="0"/>
              <w:right w:val="single" w:color="000000" w:sz="4" w:space="0"/>
            </w:tcBorders>
            <w:vAlign w:val="center"/>
          </w:tcPr>
          <w:p>
            <w:pPr>
              <w:pStyle w:val="115"/>
              <w:spacing w:line="240" w:lineRule="exact"/>
              <w:ind w:left="7"/>
              <w:jc w:val="center"/>
              <w:rPr>
                <w:rFonts w:ascii="宋体" w:hAnsi="宋体" w:cs="宋体"/>
                <w:w w:val="99"/>
                <w:kern w:val="2"/>
                <w:sz w:val="21"/>
                <w:szCs w:val="21"/>
              </w:rPr>
            </w:pPr>
            <w:r>
              <w:rPr>
                <w:rFonts w:hint="eastAsia" w:ascii="宋体" w:hAnsi="宋体" w:cs="宋体"/>
                <w:w w:val="99"/>
                <w:kern w:val="2"/>
                <w:sz w:val="21"/>
                <w:szCs w:val="21"/>
              </w:rPr>
              <w:t>A02052399其他制冷</w:t>
            </w:r>
          </w:p>
          <w:p>
            <w:pPr>
              <w:pStyle w:val="115"/>
              <w:spacing w:line="240" w:lineRule="exact"/>
              <w:ind w:left="7"/>
              <w:jc w:val="center"/>
              <w:rPr>
                <w:rFonts w:ascii="宋体" w:hAnsi="宋体" w:cs="宋体"/>
                <w:kern w:val="2"/>
                <w:sz w:val="21"/>
                <w:szCs w:val="21"/>
              </w:rPr>
            </w:pPr>
            <w:r>
              <w:rPr>
                <w:rFonts w:hint="eastAsia" w:ascii="宋体" w:hAnsi="宋体" w:cs="宋体"/>
                <w:w w:val="99"/>
                <w:kern w:val="2"/>
                <w:sz w:val="21"/>
                <w:szCs w:val="21"/>
              </w:rPr>
              <w:t>空调设备</w:t>
            </w:r>
          </w:p>
        </w:tc>
        <w:tc>
          <w:tcPr>
            <w:tcW w:w="80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rPr>
                <w:rFonts w:ascii="宋体" w:hAnsi="宋体" w:cs="宋体"/>
                <w:szCs w:val="21"/>
                <w:lang w:eastAsia="en-US"/>
              </w:rPr>
            </w:pPr>
            <w:r>
              <w:rPr>
                <w:rFonts w:hint="eastAsia" w:ascii="宋体" w:hAnsi="宋体" w:cs="宋体"/>
                <w:w w:val="99"/>
                <w:szCs w:val="21"/>
              </w:rPr>
              <w:t>冷却塔</w:t>
            </w:r>
          </w:p>
        </w:tc>
        <w:tc>
          <w:tcPr>
            <w:tcW w:w="2092" w:type="pct"/>
            <w:tcBorders>
              <w:top w:val="single" w:color="000000" w:sz="4" w:space="0"/>
              <w:left w:val="single" w:color="000000" w:sz="4" w:space="0"/>
              <w:bottom w:val="single" w:color="000000" w:sz="4" w:space="0"/>
              <w:right w:val="single" w:color="000000" w:sz="4" w:space="0"/>
            </w:tcBorders>
          </w:tcPr>
          <w:p>
            <w:pPr>
              <w:pStyle w:val="115"/>
              <w:spacing w:line="240" w:lineRule="exact"/>
              <w:ind w:left="7"/>
              <w:rPr>
                <w:rFonts w:ascii="宋体" w:hAnsi="宋体" w:cs="宋体"/>
                <w:w w:val="99"/>
                <w:kern w:val="2"/>
                <w:sz w:val="21"/>
                <w:szCs w:val="21"/>
                <w:lang w:eastAsia="zh-CN"/>
              </w:rPr>
            </w:pPr>
            <w:r>
              <w:rPr>
                <w:rFonts w:hint="eastAsia" w:ascii="宋体" w:hAnsi="宋体" w:cs="宋体"/>
                <w:w w:val="99"/>
                <w:kern w:val="2"/>
                <w:sz w:val="21"/>
                <w:szCs w:val="21"/>
                <w:lang w:eastAsia="zh-CN"/>
              </w:rPr>
              <w:t>《机械通风冷却塔第1部分：中小型开式冷却塔》（GB/T7190.1）</w:t>
            </w:r>
          </w:p>
          <w:p>
            <w:pPr>
              <w:pStyle w:val="115"/>
              <w:spacing w:line="240" w:lineRule="exact"/>
              <w:ind w:left="7"/>
              <w:rPr>
                <w:rFonts w:ascii="宋体" w:hAnsi="宋体" w:cs="宋体"/>
                <w:kern w:val="2"/>
                <w:sz w:val="21"/>
                <w:szCs w:val="21"/>
                <w:lang w:eastAsia="zh-CN"/>
              </w:rPr>
            </w:pPr>
            <w:r>
              <w:rPr>
                <w:rFonts w:hint="eastAsia" w:ascii="宋体" w:hAnsi="宋体" w:cs="宋体"/>
                <w:w w:val="99"/>
                <w:kern w:val="2"/>
                <w:sz w:val="21"/>
                <w:szCs w:val="21"/>
                <w:lang w:eastAsia="zh-CN"/>
              </w:rPr>
              <w:t>《机械通风冷却塔第2部分：大型开式冷却塔》（GB/T7190.2）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tcBorders>
              <w:top w:val="single" w:color="000000" w:sz="4" w:space="0"/>
              <w:left w:val="single" w:color="000000" w:sz="4" w:space="0"/>
              <w:bottom w:val="single" w:color="000000" w:sz="4" w:space="0"/>
              <w:right w:val="single" w:color="000000" w:sz="4" w:space="0"/>
            </w:tcBorders>
            <w:vAlign w:val="center"/>
          </w:tcPr>
          <w:p>
            <w:pPr>
              <w:pStyle w:val="115"/>
              <w:spacing w:line="240" w:lineRule="exact"/>
              <w:ind w:right="1"/>
              <w:jc w:val="center"/>
              <w:rPr>
                <w:rFonts w:ascii="宋体" w:hAnsi="宋体" w:cs="宋体"/>
                <w:kern w:val="2"/>
                <w:sz w:val="21"/>
                <w:szCs w:val="21"/>
              </w:rPr>
            </w:pPr>
            <w:r>
              <w:rPr>
                <w:rFonts w:hint="eastAsia" w:ascii="宋体" w:hAnsi="宋体"/>
                <w:w w:val="99"/>
                <w:kern w:val="2"/>
                <w:sz w:val="21"/>
                <w:szCs w:val="21"/>
              </w:rPr>
              <w:t>7</w:t>
            </w:r>
          </w:p>
        </w:tc>
        <w:tc>
          <w:tcPr>
            <w:tcW w:w="834" w:type="pct"/>
            <w:tcBorders>
              <w:top w:val="single" w:color="000000" w:sz="4" w:space="0"/>
              <w:left w:val="single" w:color="000000" w:sz="4" w:space="0"/>
              <w:bottom w:val="single" w:color="000000" w:sz="4" w:space="0"/>
              <w:right w:val="single" w:color="000000" w:sz="4" w:space="0"/>
            </w:tcBorders>
            <w:vAlign w:val="center"/>
          </w:tcPr>
          <w:p>
            <w:pPr>
              <w:pStyle w:val="115"/>
              <w:spacing w:line="240" w:lineRule="exact"/>
              <w:jc w:val="center"/>
              <w:rPr>
                <w:rFonts w:ascii="宋体" w:hAnsi="宋体" w:cs="宋体"/>
                <w:kern w:val="2"/>
                <w:sz w:val="21"/>
                <w:szCs w:val="21"/>
              </w:rPr>
            </w:pPr>
            <w:r>
              <w:rPr>
                <w:rFonts w:hint="eastAsia" w:ascii="宋体" w:hAnsi="宋体" w:cs="仿宋_GB2312"/>
                <w:kern w:val="2"/>
                <w:sz w:val="21"/>
                <w:szCs w:val="21"/>
              </w:rPr>
              <w:t>A02060100</w:t>
            </w:r>
            <w:r>
              <w:rPr>
                <w:rFonts w:hint="eastAsia" w:ascii="宋体" w:hAnsi="宋体" w:cs="宋体"/>
                <w:w w:val="99"/>
                <w:kern w:val="2"/>
                <w:sz w:val="21"/>
                <w:szCs w:val="21"/>
              </w:rPr>
              <w:t>电机</w:t>
            </w:r>
          </w:p>
        </w:tc>
        <w:tc>
          <w:tcPr>
            <w:tcW w:w="878"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rPr>
            </w:pP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rPr>
            </w:pPr>
          </w:p>
        </w:tc>
        <w:tc>
          <w:tcPr>
            <w:tcW w:w="2092" w:type="pct"/>
            <w:tcBorders>
              <w:top w:val="single" w:color="000000" w:sz="4" w:space="0"/>
              <w:left w:val="single" w:color="000000" w:sz="4" w:space="0"/>
              <w:bottom w:val="single" w:color="000000" w:sz="4" w:space="0"/>
              <w:right w:val="single" w:color="000000" w:sz="4" w:space="0"/>
            </w:tcBorders>
          </w:tcPr>
          <w:p>
            <w:pPr>
              <w:pStyle w:val="115"/>
              <w:spacing w:before="52" w:line="240" w:lineRule="exact"/>
              <w:ind w:left="7" w:right="4"/>
              <w:rPr>
                <w:rFonts w:ascii="宋体" w:hAnsi="宋体" w:cs="宋体"/>
                <w:kern w:val="2"/>
                <w:sz w:val="21"/>
                <w:szCs w:val="21"/>
                <w:lang w:eastAsia="zh-CN"/>
              </w:rPr>
            </w:pPr>
            <w:r>
              <w:rPr>
                <w:rFonts w:hint="eastAsia" w:ascii="宋体" w:hAnsi="宋体" w:cs="宋体"/>
                <w:w w:val="99"/>
                <w:kern w:val="2"/>
                <w:sz w:val="21"/>
                <w:szCs w:val="21"/>
                <w:lang w:eastAsia="zh-CN"/>
              </w:rPr>
              <w:t>《中小型三相异步电动机能效限定值及能效等级》（GB18613）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tcBorders>
              <w:top w:val="single" w:color="000000" w:sz="4" w:space="0"/>
              <w:left w:val="single" w:color="000000" w:sz="4" w:space="0"/>
              <w:bottom w:val="single" w:color="000000" w:sz="4" w:space="0"/>
              <w:right w:val="single" w:color="000000" w:sz="4" w:space="0"/>
            </w:tcBorders>
            <w:vAlign w:val="center"/>
          </w:tcPr>
          <w:p>
            <w:pPr>
              <w:pStyle w:val="115"/>
              <w:spacing w:line="240" w:lineRule="exact"/>
              <w:ind w:right="1"/>
              <w:jc w:val="center"/>
              <w:rPr>
                <w:rFonts w:ascii="宋体" w:hAnsi="宋体" w:cs="宋体"/>
                <w:kern w:val="2"/>
                <w:sz w:val="21"/>
                <w:szCs w:val="21"/>
              </w:rPr>
            </w:pPr>
            <w:r>
              <w:rPr>
                <w:rFonts w:hint="eastAsia" w:ascii="宋体" w:hAnsi="宋体"/>
                <w:w w:val="99"/>
                <w:kern w:val="2"/>
                <w:sz w:val="21"/>
                <w:szCs w:val="21"/>
              </w:rPr>
              <w:t>8</w:t>
            </w:r>
          </w:p>
        </w:tc>
        <w:tc>
          <w:tcPr>
            <w:tcW w:w="834" w:type="pct"/>
            <w:tcBorders>
              <w:top w:val="single" w:color="000000" w:sz="4" w:space="0"/>
              <w:left w:val="single" w:color="000000" w:sz="4" w:space="0"/>
              <w:bottom w:val="single" w:color="000000" w:sz="4" w:space="0"/>
              <w:right w:val="single" w:color="000000" w:sz="4" w:space="0"/>
            </w:tcBorders>
            <w:vAlign w:val="center"/>
          </w:tcPr>
          <w:p>
            <w:pPr>
              <w:pStyle w:val="115"/>
              <w:spacing w:before="30" w:line="240" w:lineRule="exact"/>
              <w:ind w:left="7"/>
              <w:jc w:val="center"/>
              <w:rPr>
                <w:rFonts w:ascii="宋体" w:hAnsi="宋体" w:cs="宋体"/>
                <w:kern w:val="2"/>
                <w:sz w:val="21"/>
                <w:szCs w:val="21"/>
              </w:rPr>
            </w:pPr>
            <w:r>
              <w:rPr>
                <w:rFonts w:hint="eastAsia" w:ascii="宋体" w:hAnsi="宋体" w:cs="仿宋_GB2312"/>
                <w:kern w:val="2"/>
                <w:sz w:val="21"/>
                <w:szCs w:val="21"/>
              </w:rPr>
              <w:t>A02060200</w:t>
            </w:r>
            <w:r>
              <w:rPr>
                <w:rFonts w:hint="eastAsia" w:ascii="宋体" w:hAnsi="宋体" w:cs="宋体"/>
                <w:w w:val="99"/>
                <w:kern w:val="2"/>
                <w:sz w:val="21"/>
                <w:szCs w:val="21"/>
              </w:rPr>
              <w:t>变压</w:t>
            </w:r>
          </w:p>
        </w:tc>
        <w:tc>
          <w:tcPr>
            <w:tcW w:w="878" w:type="pct"/>
            <w:tcBorders>
              <w:top w:val="single" w:color="000000" w:sz="4" w:space="0"/>
              <w:left w:val="single" w:color="000000" w:sz="4" w:space="0"/>
              <w:bottom w:val="single" w:color="000000" w:sz="4" w:space="0"/>
              <w:right w:val="single" w:color="000000" w:sz="4" w:space="0"/>
            </w:tcBorders>
            <w:vAlign w:val="center"/>
          </w:tcPr>
          <w:p>
            <w:pPr>
              <w:pStyle w:val="115"/>
              <w:spacing w:line="240" w:lineRule="exact"/>
              <w:jc w:val="center"/>
              <w:rPr>
                <w:rFonts w:ascii="宋体" w:hAnsi="宋体" w:cs="宋体"/>
                <w:kern w:val="2"/>
                <w:sz w:val="21"/>
                <w:szCs w:val="21"/>
              </w:rPr>
            </w:pPr>
            <w:r>
              <w:rPr>
                <w:rFonts w:hint="eastAsia" w:ascii="宋体" w:hAnsi="宋体" w:cs="宋体"/>
                <w:w w:val="99"/>
                <w:kern w:val="2"/>
                <w:sz w:val="21"/>
                <w:szCs w:val="21"/>
              </w:rPr>
              <w:t>配电变压器</w:t>
            </w: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rPr>
            </w:pPr>
          </w:p>
        </w:tc>
        <w:tc>
          <w:tcPr>
            <w:tcW w:w="2092" w:type="pct"/>
            <w:tcBorders>
              <w:top w:val="single" w:color="000000" w:sz="4" w:space="0"/>
              <w:left w:val="single" w:color="000000" w:sz="4" w:space="0"/>
              <w:bottom w:val="single" w:color="000000" w:sz="4" w:space="0"/>
              <w:right w:val="single" w:color="000000" w:sz="4" w:space="0"/>
            </w:tcBorders>
          </w:tcPr>
          <w:p>
            <w:pPr>
              <w:pStyle w:val="115"/>
              <w:spacing w:before="30" w:line="240" w:lineRule="exact"/>
              <w:ind w:left="7"/>
              <w:rPr>
                <w:rFonts w:ascii="宋体" w:hAnsi="宋体" w:cs="宋体"/>
                <w:kern w:val="2"/>
                <w:sz w:val="21"/>
                <w:szCs w:val="21"/>
                <w:lang w:eastAsia="zh-CN"/>
              </w:rPr>
            </w:pPr>
            <w:r>
              <w:rPr>
                <w:rFonts w:hint="eastAsia" w:ascii="宋体" w:hAnsi="宋体"/>
                <w:kern w:val="2"/>
                <w:sz w:val="21"/>
                <w:szCs w:val="21"/>
                <w:lang w:eastAsia="zh-CN"/>
              </w:rPr>
              <w:t>《三相配电变压器能效限定值及能效等级》（GB 20052）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tcBorders>
              <w:top w:val="single" w:color="000000" w:sz="4" w:space="0"/>
              <w:left w:val="single" w:color="000000" w:sz="4" w:space="0"/>
              <w:bottom w:val="single" w:color="000000" w:sz="4" w:space="0"/>
              <w:right w:val="single" w:color="000000" w:sz="4" w:space="0"/>
            </w:tcBorders>
            <w:vAlign w:val="center"/>
          </w:tcPr>
          <w:p>
            <w:pPr>
              <w:pStyle w:val="115"/>
              <w:spacing w:line="240" w:lineRule="exact"/>
              <w:ind w:right="1"/>
              <w:jc w:val="center"/>
              <w:rPr>
                <w:rFonts w:ascii="宋体" w:hAnsi="宋体" w:cs="宋体"/>
                <w:kern w:val="2"/>
                <w:sz w:val="21"/>
                <w:szCs w:val="21"/>
              </w:rPr>
            </w:pPr>
            <w:r>
              <w:rPr>
                <w:rFonts w:hint="eastAsia" w:ascii="宋体" w:hAnsi="宋体"/>
                <w:w w:val="99"/>
                <w:kern w:val="2"/>
                <w:sz w:val="21"/>
                <w:szCs w:val="21"/>
              </w:rPr>
              <w:t>9</w:t>
            </w:r>
          </w:p>
        </w:tc>
        <w:tc>
          <w:tcPr>
            <w:tcW w:w="834" w:type="pct"/>
            <w:tcBorders>
              <w:top w:val="single" w:color="000000" w:sz="4" w:space="0"/>
              <w:left w:val="single" w:color="000000" w:sz="4" w:space="0"/>
              <w:bottom w:val="single" w:color="000000" w:sz="4" w:space="0"/>
              <w:right w:val="single" w:color="000000" w:sz="4" w:space="0"/>
            </w:tcBorders>
            <w:vAlign w:val="center"/>
          </w:tcPr>
          <w:p>
            <w:pPr>
              <w:pStyle w:val="115"/>
              <w:spacing w:before="126" w:line="240" w:lineRule="exact"/>
              <w:ind w:left="7"/>
              <w:jc w:val="center"/>
              <w:rPr>
                <w:rFonts w:ascii="宋体" w:hAnsi="宋体" w:cs="宋体"/>
                <w:kern w:val="2"/>
                <w:sz w:val="21"/>
                <w:szCs w:val="21"/>
              </w:rPr>
            </w:pPr>
            <w:r>
              <w:rPr>
                <w:rFonts w:hint="eastAsia" w:ascii="宋体" w:hAnsi="宋体" w:cs="宋体"/>
                <w:w w:val="99"/>
                <w:kern w:val="2"/>
                <w:sz w:val="21"/>
                <w:szCs w:val="21"/>
              </w:rPr>
              <w:t>★A02060900镇流器</w:t>
            </w:r>
          </w:p>
        </w:tc>
        <w:tc>
          <w:tcPr>
            <w:tcW w:w="878" w:type="pct"/>
            <w:tcBorders>
              <w:top w:val="single" w:color="000000" w:sz="4" w:space="0"/>
              <w:left w:val="single" w:color="000000" w:sz="4" w:space="0"/>
              <w:bottom w:val="single" w:color="000000" w:sz="4" w:space="0"/>
              <w:right w:val="single" w:color="000000" w:sz="4" w:space="0"/>
            </w:tcBorders>
            <w:vAlign w:val="center"/>
          </w:tcPr>
          <w:p>
            <w:pPr>
              <w:pStyle w:val="115"/>
              <w:spacing w:line="240" w:lineRule="exact"/>
              <w:jc w:val="center"/>
              <w:rPr>
                <w:rFonts w:ascii="宋体" w:hAnsi="宋体" w:cs="宋体"/>
                <w:kern w:val="2"/>
                <w:sz w:val="21"/>
                <w:szCs w:val="21"/>
              </w:rPr>
            </w:pPr>
            <w:r>
              <w:rPr>
                <w:rFonts w:hint="eastAsia" w:ascii="宋体" w:hAnsi="宋体" w:cs="宋体"/>
                <w:w w:val="99"/>
                <w:kern w:val="2"/>
                <w:sz w:val="21"/>
                <w:szCs w:val="21"/>
              </w:rPr>
              <w:t>管型荧光灯镇流器</w:t>
            </w: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rPr>
            </w:pPr>
          </w:p>
        </w:tc>
        <w:tc>
          <w:tcPr>
            <w:tcW w:w="2092" w:type="pct"/>
            <w:tcBorders>
              <w:top w:val="single" w:color="000000" w:sz="4" w:space="0"/>
              <w:left w:val="single" w:color="000000" w:sz="4" w:space="0"/>
              <w:bottom w:val="single" w:color="000000" w:sz="4" w:space="0"/>
              <w:right w:val="single" w:color="000000" w:sz="4" w:space="0"/>
            </w:tcBorders>
          </w:tcPr>
          <w:p>
            <w:pPr>
              <w:pStyle w:val="115"/>
              <w:spacing w:before="126" w:line="240" w:lineRule="exact"/>
              <w:ind w:left="7"/>
              <w:rPr>
                <w:rFonts w:ascii="宋体" w:hAnsi="宋体" w:cs="宋体"/>
                <w:kern w:val="2"/>
                <w:sz w:val="21"/>
                <w:szCs w:val="21"/>
                <w:lang w:eastAsia="zh-CN"/>
              </w:rPr>
            </w:pPr>
            <w:r>
              <w:rPr>
                <w:rFonts w:hint="eastAsia" w:ascii="宋体" w:hAnsi="宋体" w:cs="宋体"/>
                <w:w w:val="99"/>
                <w:kern w:val="2"/>
                <w:sz w:val="21"/>
                <w:szCs w:val="21"/>
                <w:lang w:eastAsia="zh-CN"/>
              </w:rPr>
              <w:t>《管形荧光灯镇流器能效限定值及能效等级》（GB17896）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vMerge w:val="restart"/>
            <w:tcBorders>
              <w:top w:val="single" w:color="000000" w:sz="4" w:space="0"/>
              <w:left w:val="single" w:color="000000" w:sz="4" w:space="0"/>
              <w:bottom w:val="single" w:color="000000" w:sz="4" w:space="0"/>
              <w:right w:val="single" w:color="000000" w:sz="4" w:space="0"/>
            </w:tcBorders>
            <w:vAlign w:val="center"/>
          </w:tcPr>
          <w:p>
            <w:pPr>
              <w:pStyle w:val="115"/>
              <w:spacing w:line="240" w:lineRule="exact"/>
              <w:jc w:val="center"/>
              <w:rPr>
                <w:rFonts w:ascii="宋体" w:hAnsi="宋体" w:cs="宋体"/>
                <w:kern w:val="2"/>
                <w:sz w:val="21"/>
                <w:szCs w:val="21"/>
              </w:rPr>
            </w:pPr>
            <w:r>
              <w:rPr>
                <w:rFonts w:hint="eastAsia" w:ascii="宋体" w:hAnsi="宋体"/>
                <w:w w:val="99"/>
                <w:kern w:val="2"/>
                <w:sz w:val="21"/>
                <w:szCs w:val="21"/>
              </w:rPr>
              <w:t>10</w:t>
            </w:r>
          </w:p>
        </w:tc>
        <w:tc>
          <w:tcPr>
            <w:tcW w:w="834" w:type="pct"/>
            <w:vMerge w:val="restart"/>
            <w:tcBorders>
              <w:top w:val="single" w:color="000000" w:sz="4" w:space="0"/>
              <w:left w:val="single" w:color="000000" w:sz="4" w:space="0"/>
              <w:bottom w:val="single" w:color="000000" w:sz="4" w:space="0"/>
              <w:right w:val="single" w:color="000000" w:sz="4" w:space="0"/>
            </w:tcBorders>
            <w:vAlign w:val="center"/>
          </w:tcPr>
          <w:p>
            <w:pPr>
              <w:pStyle w:val="115"/>
              <w:spacing w:line="240" w:lineRule="exact"/>
              <w:jc w:val="center"/>
              <w:rPr>
                <w:rFonts w:ascii="宋体" w:hAnsi="宋体" w:cs="宋体"/>
                <w:kern w:val="2"/>
                <w:sz w:val="21"/>
                <w:szCs w:val="21"/>
              </w:rPr>
            </w:pPr>
            <w:r>
              <w:rPr>
                <w:rFonts w:hint="eastAsia" w:ascii="宋体" w:hAnsi="宋体" w:cs="宋体"/>
                <w:w w:val="99"/>
                <w:kern w:val="2"/>
                <w:sz w:val="21"/>
                <w:szCs w:val="21"/>
              </w:rPr>
              <w:t>A02061800生活用电器</w:t>
            </w:r>
          </w:p>
        </w:tc>
        <w:tc>
          <w:tcPr>
            <w:tcW w:w="878" w:type="pct"/>
            <w:tcBorders>
              <w:top w:val="single" w:color="000000" w:sz="4" w:space="0"/>
              <w:left w:val="single" w:color="000000" w:sz="4" w:space="0"/>
              <w:bottom w:val="single" w:color="000000" w:sz="4" w:space="0"/>
              <w:right w:val="single" w:color="000000" w:sz="4" w:space="0"/>
            </w:tcBorders>
            <w:vAlign w:val="center"/>
          </w:tcPr>
          <w:p>
            <w:pPr>
              <w:pStyle w:val="115"/>
              <w:spacing w:line="240" w:lineRule="exact"/>
              <w:jc w:val="center"/>
              <w:rPr>
                <w:rFonts w:ascii="宋体" w:hAnsi="宋体" w:cs="宋体"/>
                <w:kern w:val="2"/>
                <w:sz w:val="21"/>
                <w:szCs w:val="21"/>
              </w:rPr>
            </w:pPr>
            <w:r>
              <w:rPr>
                <w:rFonts w:hint="eastAsia" w:ascii="宋体" w:hAnsi="宋体" w:cs="宋体"/>
                <w:w w:val="99"/>
                <w:kern w:val="2"/>
                <w:sz w:val="21"/>
                <w:szCs w:val="21"/>
              </w:rPr>
              <w:t>A02061801电冰箱</w:t>
            </w: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rPr>
            </w:pPr>
          </w:p>
        </w:tc>
        <w:tc>
          <w:tcPr>
            <w:tcW w:w="2092" w:type="pct"/>
            <w:tcBorders>
              <w:top w:val="single" w:color="000000" w:sz="4" w:space="0"/>
              <w:left w:val="single" w:color="000000" w:sz="4" w:space="0"/>
              <w:bottom w:val="single" w:color="000000" w:sz="4" w:space="0"/>
              <w:right w:val="single" w:color="000000" w:sz="4" w:space="0"/>
            </w:tcBorders>
          </w:tcPr>
          <w:p>
            <w:pPr>
              <w:pStyle w:val="115"/>
              <w:spacing w:before="126" w:line="240" w:lineRule="exact"/>
              <w:ind w:left="7"/>
              <w:rPr>
                <w:rFonts w:ascii="宋体" w:hAnsi="宋体" w:cs="宋体"/>
                <w:w w:val="99"/>
                <w:kern w:val="2"/>
                <w:sz w:val="21"/>
                <w:szCs w:val="21"/>
                <w:lang w:eastAsia="zh-CN"/>
              </w:rPr>
            </w:pPr>
            <w:r>
              <w:rPr>
                <w:rFonts w:hint="eastAsia" w:ascii="宋体" w:hAnsi="宋体" w:cs="宋体"/>
                <w:w w:val="99"/>
                <w:kern w:val="2"/>
                <w:sz w:val="21"/>
                <w:szCs w:val="21"/>
                <w:lang w:eastAsia="zh-CN"/>
              </w:rPr>
              <w:t>《家用电冰箱耗电量限定值及能效等级》（GB12021.2）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szCs w:val="21"/>
              </w:rPr>
            </w:pPr>
          </w:p>
        </w:tc>
        <w:tc>
          <w:tcPr>
            <w:tcW w:w="83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szCs w:val="21"/>
              </w:rPr>
            </w:pPr>
          </w:p>
        </w:tc>
        <w:tc>
          <w:tcPr>
            <w:tcW w:w="878" w:type="pct"/>
            <w:vMerge w:val="restart"/>
            <w:tcBorders>
              <w:top w:val="single" w:color="000000" w:sz="4" w:space="0"/>
              <w:left w:val="single" w:color="000000" w:sz="4" w:space="0"/>
              <w:bottom w:val="single" w:color="000000" w:sz="4" w:space="0"/>
              <w:right w:val="single" w:color="000000" w:sz="4" w:space="0"/>
            </w:tcBorders>
            <w:vAlign w:val="center"/>
          </w:tcPr>
          <w:p>
            <w:pPr>
              <w:pStyle w:val="115"/>
              <w:spacing w:before="171" w:line="240" w:lineRule="exact"/>
              <w:jc w:val="center"/>
              <w:rPr>
                <w:rFonts w:ascii="宋体" w:hAnsi="宋体" w:cs="宋体"/>
                <w:kern w:val="2"/>
                <w:sz w:val="21"/>
                <w:szCs w:val="21"/>
              </w:rPr>
            </w:pPr>
            <w:r>
              <w:rPr>
                <w:rFonts w:hint="eastAsia" w:ascii="宋体" w:hAnsi="宋体" w:cs="宋体"/>
                <w:w w:val="99"/>
                <w:kern w:val="2"/>
                <w:sz w:val="21"/>
                <w:szCs w:val="21"/>
              </w:rPr>
              <w:t>★</w:t>
            </w:r>
            <w:r>
              <w:rPr>
                <w:rFonts w:hint="eastAsia" w:ascii="宋体" w:hAnsi="宋体" w:cs="仿宋_GB2312"/>
                <w:kern w:val="2"/>
                <w:sz w:val="21"/>
                <w:szCs w:val="21"/>
              </w:rPr>
              <w:t>A02061804</w:t>
            </w:r>
            <w:r>
              <w:rPr>
                <w:rFonts w:hint="eastAsia" w:ascii="宋体" w:hAnsi="宋体" w:cs="宋体"/>
                <w:w w:val="99"/>
                <w:kern w:val="2"/>
                <w:sz w:val="21"/>
                <w:szCs w:val="21"/>
              </w:rPr>
              <w:t>空调机</w:t>
            </w:r>
          </w:p>
        </w:tc>
        <w:tc>
          <w:tcPr>
            <w:tcW w:w="802" w:type="pct"/>
            <w:tcBorders>
              <w:top w:val="single" w:color="000000" w:sz="4" w:space="0"/>
              <w:left w:val="single" w:color="000000" w:sz="4" w:space="0"/>
              <w:bottom w:val="single" w:color="000000" w:sz="4" w:space="0"/>
              <w:right w:val="single" w:color="000000" w:sz="4" w:space="0"/>
            </w:tcBorders>
            <w:vAlign w:val="center"/>
          </w:tcPr>
          <w:p>
            <w:pPr>
              <w:pStyle w:val="115"/>
              <w:spacing w:line="240" w:lineRule="exact"/>
              <w:jc w:val="center"/>
              <w:rPr>
                <w:rFonts w:ascii="宋体" w:hAnsi="宋体" w:cs="宋体"/>
                <w:kern w:val="2"/>
                <w:sz w:val="21"/>
                <w:szCs w:val="21"/>
              </w:rPr>
            </w:pPr>
            <w:r>
              <w:rPr>
                <w:rFonts w:hint="eastAsia" w:ascii="宋体" w:hAnsi="宋体" w:cs="宋体"/>
                <w:w w:val="99"/>
                <w:kern w:val="2"/>
                <w:sz w:val="21"/>
                <w:szCs w:val="21"/>
              </w:rPr>
              <w:t>房间空气调节器</w:t>
            </w:r>
          </w:p>
        </w:tc>
        <w:tc>
          <w:tcPr>
            <w:tcW w:w="2092" w:type="pct"/>
            <w:tcBorders>
              <w:top w:val="single" w:color="000000" w:sz="4" w:space="0"/>
              <w:left w:val="single" w:color="000000" w:sz="4" w:space="0"/>
              <w:bottom w:val="single" w:color="000000" w:sz="4" w:space="0"/>
              <w:right w:val="single" w:color="000000" w:sz="4" w:space="0"/>
            </w:tcBorders>
          </w:tcPr>
          <w:p>
            <w:pPr>
              <w:pStyle w:val="115"/>
              <w:spacing w:line="240" w:lineRule="exact"/>
              <w:ind w:left="7"/>
              <w:rPr>
                <w:rFonts w:ascii="宋体" w:hAnsi="宋体" w:cs="宋体"/>
                <w:kern w:val="2"/>
                <w:sz w:val="21"/>
                <w:szCs w:val="21"/>
                <w:lang w:eastAsia="zh-CN"/>
              </w:rPr>
            </w:pPr>
            <w:r>
              <w:rPr>
                <w:rFonts w:hint="eastAsia" w:ascii="宋体" w:hAnsi="宋体" w:cs="宋体"/>
                <w:w w:val="99"/>
                <w:kern w:val="2"/>
                <w:sz w:val="21"/>
                <w:szCs w:val="21"/>
                <w:lang w:eastAsia="zh-CN"/>
              </w:rPr>
              <w:t>《房间空气调节器能效限定值及能效等级》（GB21455-2019）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szCs w:val="21"/>
              </w:rPr>
            </w:pPr>
          </w:p>
        </w:tc>
        <w:tc>
          <w:tcPr>
            <w:tcW w:w="83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szCs w:val="21"/>
              </w:rPr>
            </w:pPr>
          </w:p>
        </w:tc>
        <w:tc>
          <w:tcPr>
            <w:tcW w:w="878"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szCs w:val="21"/>
              </w:rPr>
            </w:pPr>
          </w:p>
        </w:tc>
        <w:tc>
          <w:tcPr>
            <w:tcW w:w="802" w:type="pct"/>
            <w:tcBorders>
              <w:top w:val="single" w:color="000000" w:sz="4" w:space="0"/>
              <w:left w:val="single" w:color="000000" w:sz="4" w:space="0"/>
              <w:bottom w:val="single" w:color="000000" w:sz="4" w:space="0"/>
              <w:right w:val="single" w:color="000000" w:sz="4" w:space="0"/>
            </w:tcBorders>
            <w:vAlign w:val="center"/>
          </w:tcPr>
          <w:p>
            <w:pPr>
              <w:pStyle w:val="115"/>
              <w:spacing w:before="4" w:line="240" w:lineRule="exact"/>
              <w:ind w:left="7" w:right="7"/>
              <w:jc w:val="center"/>
              <w:rPr>
                <w:rFonts w:ascii="宋体" w:hAnsi="宋体" w:cs="宋体"/>
                <w:kern w:val="2"/>
                <w:sz w:val="21"/>
                <w:szCs w:val="21"/>
                <w:lang w:eastAsia="zh-CN"/>
              </w:rPr>
            </w:pPr>
            <w:r>
              <w:rPr>
                <w:rFonts w:hint="eastAsia" w:ascii="宋体" w:hAnsi="宋体" w:cs="宋体"/>
                <w:w w:val="99"/>
                <w:kern w:val="2"/>
                <w:sz w:val="21"/>
                <w:szCs w:val="21"/>
                <w:lang w:eastAsia="zh-CN"/>
              </w:rPr>
              <w:t>多联式空调（热泵）机组（制冷量≤ 14000W）</w:t>
            </w:r>
          </w:p>
        </w:tc>
        <w:tc>
          <w:tcPr>
            <w:tcW w:w="2092" w:type="pct"/>
            <w:tcBorders>
              <w:top w:val="single" w:color="000000" w:sz="4" w:space="0"/>
              <w:left w:val="single" w:color="000000" w:sz="4" w:space="0"/>
              <w:bottom w:val="single" w:color="000000" w:sz="4" w:space="0"/>
              <w:right w:val="single" w:color="000000" w:sz="4" w:space="0"/>
            </w:tcBorders>
          </w:tcPr>
          <w:p>
            <w:pPr>
              <w:pStyle w:val="115"/>
              <w:spacing w:before="160" w:line="240" w:lineRule="exact"/>
              <w:ind w:left="7" w:right="7"/>
              <w:rPr>
                <w:rFonts w:ascii="宋体" w:hAnsi="宋体" w:cs="宋体"/>
                <w:kern w:val="2"/>
                <w:sz w:val="21"/>
                <w:szCs w:val="21"/>
                <w:lang w:eastAsia="zh-CN"/>
              </w:rPr>
            </w:pPr>
            <w:r>
              <w:rPr>
                <w:rFonts w:hint="eastAsia" w:ascii="宋体" w:hAnsi="宋体" w:cs="宋体"/>
                <w:w w:val="99"/>
                <w:kern w:val="2"/>
                <w:sz w:val="21"/>
                <w:szCs w:val="21"/>
                <w:lang w:eastAsia="zh-CN"/>
              </w:rPr>
              <w:t>《多联式空调（热泵）机组能效限定值及能源效率等级》（GB21454）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szCs w:val="21"/>
              </w:rPr>
            </w:pPr>
          </w:p>
        </w:tc>
        <w:tc>
          <w:tcPr>
            <w:tcW w:w="83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szCs w:val="21"/>
              </w:rPr>
            </w:pPr>
          </w:p>
        </w:tc>
        <w:tc>
          <w:tcPr>
            <w:tcW w:w="878"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szCs w:val="21"/>
              </w:rPr>
            </w:pPr>
          </w:p>
        </w:tc>
        <w:tc>
          <w:tcPr>
            <w:tcW w:w="802" w:type="pct"/>
            <w:tcBorders>
              <w:top w:val="single" w:color="000000" w:sz="4" w:space="0"/>
              <w:left w:val="single" w:color="000000" w:sz="4" w:space="0"/>
              <w:bottom w:val="single" w:color="000000" w:sz="4" w:space="0"/>
              <w:right w:val="single" w:color="000000" w:sz="4" w:space="0"/>
            </w:tcBorders>
            <w:vAlign w:val="center"/>
          </w:tcPr>
          <w:p>
            <w:pPr>
              <w:pStyle w:val="115"/>
              <w:spacing w:line="240" w:lineRule="exact"/>
              <w:jc w:val="center"/>
              <w:rPr>
                <w:rFonts w:ascii="宋体" w:hAnsi="宋体" w:cs="宋体"/>
                <w:kern w:val="2"/>
                <w:sz w:val="21"/>
                <w:szCs w:val="21"/>
                <w:lang w:eastAsia="zh-CN"/>
              </w:rPr>
            </w:pPr>
            <w:r>
              <w:rPr>
                <w:rFonts w:hint="eastAsia" w:ascii="宋体" w:hAnsi="宋体" w:cs="宋体"/>
                <w:w w:val="99"/>
                <w:kern w:val="2"/>
                <w:sz w:val="21"/>
                <w:szCs w:val="21"/>
                <w:lang w:eastAsia="zh-CN"/>
              </w:rPr>
              <w:t>单元式空气调节机（制冷量≤ 14000W）</w:t>
            </w:r>
          </w:p>
        </w:tc>
        <w:tc>
          <w:tcPr>
            <w:tcW w:w="2092" w:type="pct"/>
            <w:tcBorders>
              <w:top w:val="single" w:color="000000" w:sz="4" w:space="0"/>
              <w:left w:val="single" w:color="000000" w:sz="4" w:space="0"/>
              <w:bottom w:val="single" w:color="000000" w:sz="4" w:space="0"/>
              <w:right w:val="single" w:color="000000" w:sz="4" w:space="0"/>
            </w:tcBorders>
          </w:tcPr>
          <w:p>
            <w:pPr>
              <w:pStyle w:val="115"/>
              <w:spacing w:before="4" w:line="240" w:lineRule="exact"/>
              <w:ind w:left="7"/>
              <w:rPr>
                <w:rFonts w:ascii="宋体" w:hAnsi="宋体" w:cs="宋体"/>
                <w:kern w:val="2"/>
                <w:sz w:val="21"/>
                <w:szCs w:val="21"/>
                <w:lang w:eastAsia="zh-CN"/>
              </w:rPr>
            </w:pPr>
            <w:r>
              <w:rPr>
                <w:rFonts w:hint="eastAsia" w:ascii="宋体" w:hAnsi="宋体" w:cs="宋体"/>
                <w:w w:val="99"/>
                <w:kern w:val="2"/>
                <w:sz w:val="21"/>
                <w:szCs w:val="21"/>
                <w:lang w:eastAsia="zh-CN"/>
              </w:rPr>
              <w:t>《单元式空气调节机能效限定值及能源效率等级》（GB19576）《风管送风式空调机组能效限定值及能效等级》（GB37479）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szCs w:val="21"/>
              </w:rPr>
            </w:pPr>
          </w:p>
        </w:tc>
        <w:tc>
          <w:tcPr>
            <w:tcW w:w="83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szCs w:val="21"/>
              </w:rPr>
            </w:pPr>
          </w:p>
        </w:tc>
        <w:tc>
          <w:tcPr>
            <w:tcW w:w="878" w:type="pct"/>
            <w:tcBorders>
              <w:top w:val="single" w:color="000000" w:sz="4" w:space="0"/>
              <w:left w:val="single" w:color="000000" w:sz="4" w:space="0"/>
              <w:bottom w:val="single" w:color="000000" w:sz="4" w:space="0"/>
              <w:right w:val="single" w:color="000000" w:sz="4" w:space="0"/>
            </w:tcBorders>
            <w:vAlign w:val="center"/>
          </w:tcPr>
          <w:p>
            <w:pPr>
              <w:pStyle w:val="115"/>
              <w:spacing w:before="162" w:line="240" w:lineRule="exact"/>
              <w:ind w:left="7"/>
              <w:jc w:val="center"/>
              <w:rPr>
                <w:rFonts w:ascii="宋体" w:hAnsi="宋体" w:cs="宋体"/>
                <w:kern w:val="2"/>
                <w:sz w:val="21"/>
                <w:szCs w:val="21"/>
              </w:rPr>
            </w:pPr>
            <w:r>
              <w:rPr>
                <w:rFonts w:hint="eastAsia" w:ascii="宋体" w:hAnsi="宋体" w:cs="仿宋_GB2312"/>
                <w:kern w:val="2"/>
                <w:sz w:val="21"/>
                <w:szCs w:val="21"/>
              </w:rPr>
              <w:t>A02061810</w:t>
            </w:r>
            <w:r>
              <w:rPr>
                <w:rFonts w:hint="eastAsia" w:ascii="宋体" w:hAnsi="宋体" w:cs="宋体"/>
                <w:w w:val="99"/>
                <w:kern w:val="2"/>
                <w:sz w:val="21"/>
                <w:szCs w:val="21"/>
              </w:rPr>
              <w:t>洗衣机</w:t>
            </w: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rPr>
            </w:pPr>
          </w:p>
        </w:tc>
        <w:tc>
          <w:tcPr>
            <w:tcW w:w="2092" w:type="pct"/>
            <w:tcBorders>
              <w:top w:val="single" w:color="000000" w:sz="4" w:space="0"/>
              <w:left w:val="single" w:color="000000" w:sz="4" w:space="0"/>
              <w:bottom w:val="single" w:color="000000" w:sz="4" w:space="0"/>
              <w:right w:val="single" w:color="000000" w:sz="4" w:space="0"/>
            </w:tcBorders>
          </w:tcPr>
          <w:p>
            <w:pPr>
              <w:pStyle w:val="115"/>
              <w:spacing w:before="6" w:line="240" w:lineRule="exact"/>
              <w:ind w:left="7" w:right="4"/>
              <w:rPr>
                <w:rFonts w:ascii="宋体" w:hAnsi="宋体" w:cs="宋体"/>
                <w:kern w:val="2"/>
                <w:sz w:val="21"/>
                <w:szCs w:val="21"/>
                <w:lang w:eastAsia="zh-CN"/>
              </w:rPr>
            </w:pPr>
            <w:r>
              <w:rPr>
                <w:rFonts w:hint="eastAsia" w:ascii="宋体" w:hAnsi="宋体" w:cs="宋体"/>
                <w:w w:val="99"/>
                <w:kern w:val="2"/>
                <w:sz w:val="21"/>
                <w:szCs w:val="21"/>
                <w:lang w:eastAsia="zh-CN"/>
              </w:rPr>
              <w:t>《电动洗衣机能效水效限定值及等级》（GB12021.4）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szCs w:val="21"/>
              </w:rPr>
            </w:pPr>
          </w:p>
        </w:tc>
        <w:tc>
          <w:tcPr>
            <w:tcW w:w="83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szCs w:val="21"/>
              </w:rPr>
            </w:pPr>
          </w:p>
        </w:tc>
        <w:tc>
          <w:tcPr>
            <w:tcW w:w="878" w:type="pct"/>
            <w:vMerge w:val="restart"/>
            <w:tcBorders>
              <w:top w:val="single" w:color="000000" w:sz="4" w:space="0"/>
              <w:left w:val="single" w:color="000000" w:sz="4" w:space="0"/>
              <w:bottom w:val="single" w:color="000000" w:sz="4" w:space="0"/>
              <w:right w:val="single" w:color="000000" w:sz="4" w:space="0"/>
            </w:tcBorders>
            <w:vAlign w:val="center"/>
          </w:tcPr>
          <w:p>
            <w:pPr>
              <w:pStyle w:val="115"/>
              <w:spacing w:before="161" w:line="240" w:lineRule="exact"/>
              <w:jc w:val="center"/>
              <w:rPr>
                <w:rFonts w:ascii="宋体" w:hAnsi="宋体" w:cs="宋体"/>
                <w:kern w:val="2"/>
                <w:sz w:val="21"/>
                <w:szCs w:val="21"/>
              </w:rPr>
            </w:pPr>
            <w:r>
              <w:rPr>
                <w:rFonts w:hint="eastAsia" w:ascii="宋体" w:hAnsi="宋体" w:cs="仿宋_GB2312"/>
                <w:kern w:val="2"/>
                <w:sz w:val="21"/>
                <w:szCs w:val="21"/>
              </w:rPr>
              <w:t>A02061819</w:t>
            </w:r>
            <w:r>
              <w:rPr>
                <w:rFonts w:hint="eastAsia" w:ascii="宋体" w:hAnsi="宋体" w:cs="宋体"/>
                <w:w w:val="99"/>
                <w:kern w:val="2"/>
                <w:sz w:val="21"/>
                <w:szCs w:val="21"/>
              </w:rPr>
              <w:t>热水器</w:t>
            </w:r>
          </w:p>
        </w:tc>
        <w:tc>
          <w:tcPr>
            <w:tcW w:w="802" w:type="pct"/>
            <w:tcBorders>
              <w:top w:val="single" w:color="000000" w:sz="4" w:space="0"/>
              <w:left w:val="single" w:color="000000" w:sz="4" w:space="0"/>
              <w:bottom w:val="single" w:color="000000" w:sz="4" w:space="0"/>
              <w:right w:val="single" w:color="000000" w:sz="4" w:space="0"/>
            </w:tcBorders>
            <w:vAlign w:val="center"/>
          </w:tcPr>
          <w:p>
            <w:pPr>
              <w:pStyle w:val="115"/>
              <w:spacing w:line="240" w:lineRule="exact"/>
              <w:jc w:val="center"/>
              <w:rPr>
                <w:rFonts w:ascii="宋体" w:hAnsi="宋体" w:cs="宋体"/>
                <w:kern w:val="2"/>
                <w:sz w:val="21"/>
                <w:szCs w:val="21"/>
              </w:rPr>
            </w:pPr>
            <w:r>
              <w:rPr>
                <w:rFonts w:hint="eastAsia" w:ascii="宋体" w:hAnsi="宋体" w:cs="宋体"/>
                <w:w w:val="99"/>
                <w:kern w:val="2"/>
                <w:sz w:val="21"/>
                <w:szCs w:val="21"/>
              </w:rPr>
              <w:t>★电热</w:t>
            </w:r>
            <w:r>
              <w:rPr>
                <w:rFonts w:hint="eastAsia" w:ascii="宋体" w:hAnsi="宋体" w:cs="宋体"/>
                <w:spacing w:val="2"/>
                <w:w w:val="99"/>
                <w:kern w:val="2"/>
                <w:sz w:val="21"/>
                <w:szCs w:val="21"/>
              </w:rPr>
              <w:t>水</w:t>
            </w:r>
            <w:r>
              <w:rPr>
                <w:rFonts w:hint="eastAsia" w:ascii="宋体" w:hAnsi="宋体" w:cs="宋体"/>
                <w:w w:val="99"/>
                <w:kern w:val="2"/>
                <w:sz w:val="21"/>
                <w:szCs w:val="21"/>
              </w:rPr>
              <w:t>器</w:t>
            </w:r>
          </w:p>
        </w:tc>
        <w:tc>
          <w:tcPr>
            <w:tcW w:w="2092" w:type="pct"/>
            <w:tcBorders>
              <w:top w:val="single" w:color="000000" w:sz="4" w:space="0"/>
              <w:left w:val="single" w:color="000000" w:sz="4" w:space="0"/>
              <w:bottom w:val="single" w:color="000000" w:sz="4" w:space="0"/>
              <w:right w:val="single" w:color="000000" w:sz="4" w:space="0"/>
            </w:tcBorders>
          </w:tcPr>
          <w:p>
            <w:pPr>
              <w:pStyle w:val="115"/>
              <w:tabs>
                <w:tab w:val="left" w:pos="1608"/>
              </w:tabs>
              <w:spacing w:before="52" w:line="240" w:lineRule="exact"/>
              <w:ind w:left="7" w:right="4"/>
              <w:rPr>
                <w:rFonts w:ascii="宋体" w:hAnsi="宋体" w:cs="宋体"/>
                <w:kern w:val="2"/>
                <w:sz w:val="21"/>
                <w:szCs w:val="21"/>
                <w:lang w:eastAsia="zh-CN"/>
              </w:rPr>
            </w:pPr>
            <w:r>
              <w:rPr>
                <w:rFonts w:hint="eastAsia" w:ascii="宋体" w:hAnsi="宋体" w:cs="宋体"/>
                <w:spacing w:val="12"/>
                <w:w w:val="99"/>
                <w:kern w:val="2"/>
                <w:sz w:val="21"/>
                <w:szCs w:val="21"/>
                <w:lang w:eastAsia="zh-CN"/>
              </w:rPr>
              <w:t>《储水式电热水器能效</w:t>
            </w:r>
            <w:r>
              <w:rPr>
                <w:rFonts w:hint="eastAsia" w:ascii="宋体" w:hAnsi="宋体" w:cs="宋体"/>
                <w:spacing w:val="9"/>
                <w:w w:val="99"/>
                <w:kern w:val="2"/>
                <w:sz w:val="21"/>
                <w:szCs w:val="21"/>
                <w:lang w:eastAsia="zh-CN"/>
              </w:rPr>
              <w:t>限</w:t>
            </w:r>
            <w:r>
              <w:rPr>
                <w:rFonts w:hint="eastAsia" w:ascii="宋体" w:hAnsi="宋体" w:cs="宋体"/>
                <w:spacing w:val="12"/>
                <w:w w:val="99"/>
                <w:kern w:val="2"/>
                <w:sz w:val="21"/>
                <w:szCs w:val="21"/>
                <w:lang w:eastAsia="zh-CN"/>
              </w:rPr>
              <w:t>定值</w:t>
            </w:r>
            <w:r>
              <w:rPr>
                <w:rFonts w:hint="eastAsia" w:ascii="宋体" w:hAnsi="宋体" w:cs="宋体"/>
                <w:w w:val="99"/>
                <w:kern w:val="2"/>
                <w:sz w:val="21"/>
                <w:szCs w:val="21"/>
                <w:lang w:eastAsia="zh-CN"/>
              </w:rPr>
              <w:t>及能效等</w:t>
            </w:r>
            <w:r>
              <w:rPr>
                <w:rFonts w:hint="eastAsia" w:ascii="宋体" w:hAnsi="宋体" w:cs="宋体"/>
                <w:spacing w:val="2"/>
                <w:w w:val="99"/>
                <w:kern w:val="2"/>
                <w:sz w:val="21"/>
                <w:szCs w:val="21"/>
                <w:lang w:eastAsia="zh-CN"/>
              </w:rPr>
              <w:t>级</w:t>
            </w:r>
            <w:r>
              <w:rPr>
                <w:rFonts w:hint="eastAsia" w:ascii="宋体" w:hAnsi="宋体" w:cs="宋体"/>
                <w:w w:val="99"/>
                <w:kern w:val="2"/>
                <w:sz w:val="21"/>
                <w:szCs w:val="21"/>
                <w:lang w:eastAsia="zh-CN"/>
              </w:rPr>
              <w:t>》（</w:t>
            </w:r>
            <w:r>
              <w:rPr>
                <w:rFonts w:hint="eastAsia" w:ascii="宋体" w:hAnsi="宋体" w:cs="宋体"/>
                <w:spacing w:val="1"/>
                <w:w w:val="99"/>
                <w:kern w:val="2"/>
                <w:sz w:val="21"/>
                <w:szCs w:val="21"/>
                <w:lang w:eastAsia="zh-CN"/>
              </w:rPr>
              <w:t>G</w:t>
            </w:r>
            <w:r>
              <w:rPr>
                <w:rFonts w:hint="eastAsia" w:ascii="宋体" w:hAnsi="宋体" w:cs="宋体"/>
                <w:w w:val="99"/>
                <w:kern w:val="2"/>
                <w:sz w:val="21"/>
                <w:szCs w:val="21"/>
                <w:lang w:eastAsia="zh-CN"/>
              </w:rPr>
              <w:t>B</w:t>
            </w:r>
            <w:r>
              <w:rPr>
                <w:rFonts w:hint="eastAsia" w:ascii="宋体" w:hAnsi="宋体" w:cs="宋体"/>
                <w:spacing w:val="1"/>
                <w:w w:val="99"/>
                <w:kern w:val="2"/>
                <w:sz w:val="21"/>
                <w:szCs w:val="21"/>
                <w:lang w:eastAsia="zh-CN"/>
              </w:rPr>
              <w:t>21</w:t>
            </w:r>
            <w:r>
              <w:rPr>
                <w:rFonts w:hint="eastAsia" w:ascii="宋体" w:hAnsi="宋体" w:cs="宋体"/>
                <w:w w:val="99"/>
                <w:kern w:val="2"/>
                <w:sz w:val="21"/>
                <w:szCs w:val="21"/>
                <w:lang w:eastAsia="zh-CN"/>
              </w:rPr>
              <w:t>51</w:t>
            </w:r>
            <w:r>
              <w:rPr>
                <w:rFonts w:hint="eastAsia" w:ascii="宋体" w:hAnsi="宋体" w:cs="宋体"/>
                <w:spacing w:val="1"/>
                <w:w w:val="99"/>
                <w:kern w:val="2"/>
                <w:sz w:val="21"/>
                <w:szCs w:val="21"/>
                <w:lang w:eastAsia="zh-CN"/>
              </w:rPr>
              <w:t>9</w:t>
            </w:r>
            <w:r>
              <w:rPr>
                <w:rFonts w:hint="eastAsia" w:ascii="宋体" w:hAnsi="宋体" w:cs="宋体"/>
                <w:w w:val="99"/>
                <w:kern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szCs w:val="21"/>
              </w:rPr>
            </w:pPr>
          </w:p>
        </w:tc>
        <w:tc>
          <w:tcPr>
            <w:tcW w:w="83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szCs w:val="21"/>
              </w:rPr>
            </w:pPr>
          </w:p>
        </w:tc>
        <w:tc>
          <w:tcPr>
            <w:tcW w:w="878"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szCs w:val="21"/>
              </w:rPr>
            </w:pPr>
          </w:p>
        </w:tc>
        <w:tc>
          <w:tcPr>
            <w:tcW w:w="802" w:type="pct"/>
            <w:tcBorders>
              <w:top w:val="single" w:color="000000" w:sz="4" w:space="0"/>
              <w:left w:val="single" w:color="000000" w:sz="4" w:space="0"/>
              <w:bottom w:val="single" w:color="000000" w:sz="4" w:space="0"/>
              <w:right w:val="single" w:color="000000" w:sz="4" w:space="0"/>
            </w:tcBorders>
            <w:vAlign w:val="center"/>
          </w:tcPr>
          <w:p>
            <w:pPr>
              <w:pStyle w:val="115"/>
              <w:spacing w:line="240" w:lineRule="exact"/>
              <w:jc w:val="center"/>
              <w:rPr>
                <w:rFonts w:ascii="宋体" w:hAnsi="宋体" w:cs="宋体"/>
                <w:kern w:val="2"/>
                <w:sz w:val="21"/>
                <w:szCs w:val="21"/>
              </w:rPr>
            </w:pPr>
            <w:r>
              <w:rPr>
                <w:rFonts w:hint="eastAsia" w:ascii="宋体" w:hAnsi="宋体" w:cs="宋体"/>
                <w:w w:val="99"/>
                <w:kern w:val="2"/>
                <w:sz w:val="21"/>
                <w:szCs w:val="21"/>
              </w:rPr>
              <w:t>燃气热</w:t>
            </w:r>
            <w:r>
              <w:rPr>
                <w:rFonts w:hint="eastAsia" w:ascii="宋体" w:hAnsi="宋体" w:cs="宋体"/>
                <w:spacing w:val="2"/>
                <w:w w:val="99"/>
                <w:kern w:val="2"/>
                <w:sz w:val="21"/>
                <w:szCs w:val="21"/>
              </w:rPr>
              <w:t>水</w:t>
            </w:r>
            <w:r>
              <w:rPr>
                <w:rFonts w:hint="eastAsia" w:ascii="宋体" w:hAnsi="宋体" w:cs="宋体"/>
                <w:w w:val="99"/>
                <w:kern w:val="2"/>
                <w:sz w:val="21"/>
                <w:szCs w:val="21"/>
              </w:rPr>
              <w:t>器</w:t>
            </w:r>
          </w:p>
        </w:tc>
        <w:tc>
          <w:tcPr>
            <w:tcW w:w="2092" w:type="pct"/>
            <w:tcBorders>
              <w:top w:val="single" w:color="000000" w:sz="4" w:space="0"/>
              <w:left w:val="single" w:color="000000" w:sz="4" w:space="0"/>
              <w:bottom w:val="single" w:color="000000" w:sz="4" w:space="0"/>
              <w:right w:val="single" w:color="000000" w:sz="4" w:space="0"/>
            </w:tcBorders>
          </w:tcPr>
          <w:p>
            <w:pPr>
              <w:pStyle w:val="115"/>
              <w:spacing w:before="4" w:line="240" w:lineRule="exact"/>
              <w:ind w:left="7" w:right="4"/>
              <w:rPr>
                <w:rFonts w:ascii="宋体" w:hAnsi="宋体" w:cs="宋体"/>
                <w:kern w:val="2"/>
                <w:sz w:val="21"/>
                <w:szCs w:val="21"/>
                <w:lang w:eastAsia="zh-CN"/>
              </w:rPr>
            </w:pPr>
            <w:r>
              <w:rPr>
                <w:rFonts w:hint="eastAsia" w:ascii="宋体" w:hAnsi="宋体" w:cs="宋体"/>
                <w:spacing w:val="12"/>
                <w:w w:val="99"/>
                <w:kern w:val="2"/>
                <w:sz w:val="21"/>
                <w:szCs w:val="21"/>
                <w:lang w:eastAsia="zh-CN"/>
              </w:rPr>
              <w:t>《家用燃气快速热水器</w:t>
            </w:r>
            <w:r>
              <w:rPr>
                <w:rFonts w:hint="eastAsia" w:ascii="宋体" w:hAnsi="宋体" w:cs="宋体"/>
                <w:spacing w:val="9"/>
                <w:w w:val="99"/>
                <w:kern w:val="2"/>
                <w:sz w:val="21"/>
                <w:szCs w:val="21"/>
                <w:lang w:eastAsia="zh-CN"/>
              </w:rPr>
              <w:t>和</w:t>
            </w:r>
            <w:r>
              <w:rPr>
                <w:rFonts w:hint="eastAsia" w:ascii="宋体" w:hAnsi="宋体" w:cs="宋体"/>
                <w:spacing w:val="12"/>
                <w:w w:val="99"/>
                <w:kern w:val="2"/>
                <w:sz w:val="21"/>
                <w:szCs w:val="21"/>
                <w:lang w:eastAsia="zh-CN"/>
              </w:rPr>
              <w:t>燃气</w:t>
            </w:r>
            <w:r>
              <w:rPr>
                <w:rFonts w:hint="eastAsia" w:ascii="宋体" w:hAnsi="宋体" w:cs="宋体"/>
                <w:w w:val="99"/>
                <w:kern w:val="2"/>
                <w:sz w:val="21"/>
                <w:szCs w:val="21"/>
                <w:lang w:eastAsia="zh-CN"/>
              </w:rPr>
              <w:t>采暖热水</w:t>
            </w:r>
            <w:r>
              <w:rPr>
                <w:rFonts w:hint="eastAsia" w:ascii="宋体" w:hAnsi="宋体" w:cs="宋体"/>
                <w:spacing w:val="2"/>
                <w:w w:val="99"/>
                <w:kern w:val="2"/>
                <w:sz w:val="21"/>
                <w:szCs w:val="21"/>
                <w:lang w:eastAsia="zh-CN"/>
              </w:rPr>
              <w:t>炉</w:t>
            </w:r>
            <w:r>
              <w:rPr>
                <w:rFonts w:hint="eastAsia" w:ascii="宋体" w:hAnsi="宋体" w:cs="宋体"/>
                <w:w w:val="99"/>
                <w:kern w:val="2"/>
                <w:sz w:val="21"/>
                <w:szCs w:val="21"/>
                <w:lang w:eastAsia="zh-CN"/>
              </w:rPr>
              <w:t>能效</w:t>
            </w:r>
            <w:r>
              <w:rPr>
                <w:rFonts w:hint="eastAsia" w:ascii="宋体" w:hAnsi="宋体" w:cs="宋体"/>
                <w:spacing w:val="2"/>
                <w:w w:val="99"/>
                <w:kern w:val="2"/>
                <w:sz w:val="21"/>
                <w:szCs w:val="21"/>
                <w:lang w:eastAsia="zh-CN"/>
              </w:rPr>
              <w:t>限</w:t>
            </w:r>
            <w:r>
              <w:rPr>
                <w:rFonts w:hint="eastAsia" w:ascii="宋体" w:hAnsi="宋体" w:cs="宋体"/>
                <w:w w:val="99"/>
                <w:kern w:val="2"/>
                <w:sz w:val="21"/>
                <w:szCs w:val="21"/>
                <w:lang w:eastAsia="zh-CN"/>
              </w:rPr>
              <w:t>定值</w:t>
            </w:r>
            <w:r>
              <w:rPr>
                <w:rFonts w:hint="eastAsia" w:ascii="宋体" w:hAnsi="宋体" w:cs="宋体"/>
                <w:spacing w:val="2"/>
                <w:w w:val="99"/>
                <w:kern w:val="2"/>
                <w:sz w:val="21"/>
                <w:szCs w:val="21"/>
                <w:lang w:eastAsia="zh-CN"/>
              </w:rPr>
              <w:t>及</w:t>
            </w:r>
            <w:r>
              <w:rPr>
                <w:rFonts w:hint="eastAsia" w:ascii="宋体" w:hAnsi="宋体" w:cs="宋体"/>
                <w:w w:val="99"/>
                <w:kern w:val="2"/>
                <w:sz w:val="21"/>
                <w:szCs w:val="21"/>
                <w:lang w:eastAsia="zh-CN"/>
              </w:rPr>
              <w:t>能</w:t>
            </w:r>
            <w:r>
              <w:rPr>
                <w:rFonts w:hint="eastAsia" w:ascii="宋体" w:hAnsi="宋体" w:cs="宋体"/>
                <w:spacing w:val="2"/>
                <w:w w:val="99"/>
                <w:kern w:val="2"/>
                <w:sz w:val="21"/>
                <w:szCs w:val="21"/>
                <w:lang w:eastAsia="zh-CN"/>
              </w:rPr>
              <w:t>效</w:t>
            </w:r>
            <w:r>
              <w:rPr>
                <w:rFonts w:hint="eastAsia" w:ascii="宋体" w:hAnsi="宋体" w:cs="宋体"/>
                <w:w w:val="99"/>
                <w:kern w:val="2"/>
                <w:sz w:val="21"/>
                <w:szCs w:val="21"/>
                <w:lang w:eastAsia="zh-CN"/>
              </w:rPr>
              <w:t>等级》（</w:t>
            </w:r>
            <w:r>
              <w:rPr>
                <w:rFonts w:hint="eastAsia" w:ascii="宋体" w:hAnsi="宋体" w:cs="宋体"/>
                <w:spacing w:val="1"/>
                <w:w w:val="99"/>
                <w:kern w:val="2"/>
                <w:sz w:val="21"/>
                <w:szCs w:val="21"/>
                <w:lang w:eastAsia="zh-CN"/>
              </w:rPr>
              <w:t>G</w:t>
            </w:r>
            <w:r>
              <w:rPr>
                <w:rFonts w:hint="eastAsia" w:ascii="宋体" w:hAnsi="宋体" w:cs="宋体"/>
                <w:w w:val="99"/>
                <w:kern w:val="2"/>
                <w:sz w:val="21"/>
                <w:szCs w:val="21"/>
                <w:lang w:eastAsia="zh-CN"/>
              </w:rPr>
              <w:t>B</w:t>
            </w:r>
            <w:r>
              <w:rPr>
                <w:rFonts w:hint="eastAsia" w:ascii="宋体" w:hAnsi="宋体" w:cs="宋体"/>
                <w:spacing w:val="1"/>
                <w:w w:val="99"/>
                <w:kern w:val="2"/>
                <w:sz w:val="21"/>
                <w:szCs w:val="21"/>
                <w:lang w:eastAsia="zh-CN"/>
              </w:rPr>
              <w:t>2</w:t>
            </w:r>
            <w:r>
              <w:rPr>
                <w:rFonts w:hint="eastAsia" w:ascii="宋体" w:hAnsi="宋体" w:cs="宋体"/>
                <w:w w:val="99"/>
                <w:kern w:val="2"/>
                <w:sz w:val="21"/>
                <w:szCs w:val="21"/>
                <w:lang w:eastAsia="zh-CN"/>
              </w:rPr>
              <w:t>06</w:t>
            </w:r>
            <w:r>
              <w:rPr>
                <w:rFonts w:hint="eastAsia" w:ascii="宋体" w:hAnsi="宋体" w:cs="宋体"/>
                <w:spacing w:val="1"/>
                <w:w w:val="99"/>
                <w:kern w:val="2"/>
                <w:sz w:val="21"/>
                <w:szCs w:val="21"/>
                <w:lang w:eastAsia="zh-CN"/>
              </w:rPr>
              <w:t>65</w:t>
            </w:r>
            <w:r>
              <w:rPr>
                <w:rFonts w:hint="eastAsia" w:ascii="宋体" w:hAnsi="宋体" w:cs="宋体"/>
                <w:w w:val="99"/>
                <w:kern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szCs w:val="21"/>
              </w:rPr>
            </w:pPr>
          </w:p>
        </w:tc>
        <w:tc>
          <w:tcPr>
            <w:tcW w:w="83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szCs w:val="21"/>
              </w:rPr>
            </w:pPr>
          </w:p>
        </w:tc>
        <w:tc>
          <w:tcPr>
            <w:tcW w:w="878"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szCs w:val="21"/>
              </w:rPr>
            </w:pPr>
          </w:p>
        </w:tc>
        <w:tc>
          <w:tcPr>
            <w:tcW w:w="802" w:type="pct"/>
            <w:tcBorders>
              <w:top w:val="single" w:color="000000" w:sz="4" w:space="0"/>
              <w:left w:val="single" w:color="000000" w:sz="4" w:space="0"/>
              <w:bottom w:val="single" w:color="000000" w:sz="4" w:space="0"/>
              <w:right w:val="single" w:color="000000" w:sz="4" w:space="0"/>
            </w:tcBorders>
            <w:vAlign w:val="center"/>
          </w:tcPr>
          <w:p>
            <w:pPr>
              <w:pStyle w:val="115"/>
              <w:spacing w:line="240" w:lineRule="exact"/>
              <w:jc w:val="center"/>
              <w:rPr>
                <w:rFonts w:ascii="宋体" w:hAnsi="宋体" w:cs="宋体"/>
                <w:kern w:val="2"/>
                <w:sz w:val="21"/>
                <w:szCs w:val="21"/>
              </w:rPr>
            </w:pPr>
            <w:r>
              <w:rPr>
                <w:rFonts w:hint="eastAsia" w:ascii="宋体" w:hAnsi="宋体" w:cs="宋体"/>
                <w:w w:val="99"/>
                <w:kern w:val="2"/>
                <w:sz w:val="21"/>
                <w:szCs w:val="21"/>
              </w:rPr>
              <w:t>热泵热</w:t>
            </w:r>
            <w:r>
              <w:rPr>
                <w:rFonts w:hint="eastAsia" w:ascii="宋体" w:hAnsi="宋体" w:cs="宋体"/>
                <w:spacing w:val="2"/>
                <w:w w:val="99"/>
                <w:kern w:val="2"/>
                <w:sz w:val="21"/>
                <w:szCs w:val="21"/>
              </w:rPr>
              <w:t>水</w:t>
            </w:r>
            <w:r>
              <w:rPr>
                <w:rFonts w:hint="eastAsia" w:ascii="宋体" w:hAnsi="宋体" w:cs="宋体"/>
                <w:w w:val="99"/>
                <w:kern w:val="2"/>
                <w:sz w:val="21"/>
                <w:szCs w:val="21"/>
              </w:rPr>
              <w:t>器</w:t>
            </w:r>
          </w:p>
        </w:tc>
        <w:tc>
          <w:tcPr>
            <w:tcW w:w="2092" w:type="pct"/>
            <w:tcBorders>
              <w:top w:val="single" w:color="000000" w:sz="4" w:space="0"/>
              <w:left w:val="single" w:color="000000" w:sz="4" w:space="0"/>
              <w:bottom w:val="single" w:color="000000" w:sz="4" w:space="0"/>
              <w:right w:val="single" w:color="000000" w:sz="4" w:space="0"/>
            </w:tcBorders>
          </w:tcPr>
          <w:p>
            <w:pPr>
              <w:pStyle w:val="115"/>
              <w:spacing w:before="93" w:line="240" w:lineRule="exact"/>
              <w:ind w:left="7" w:right="7"/>
              <w:rPr>
                <w:rFonts w:ascii="宋体" w:hAnsi="宋体" w:cs="宋体"/>
                <w:kern w:val="2"/>
                <w:sz w:val="21"/>
                <w:szCs w:val="21"/>
                <w:lang w:eastAsia="zh-CN"/>
              </w:rPr>
            </w:pPr>
            <w:r>
              <w:rPr>
                <w:rFonts w:hint="eastAsia" w:ascii="宋体" w:hAnsi="宋体" w:cs="宋体"/>
                <w:w w:val="99"/>
                <w:kern w:val="2"/>
                <w:sz w:val="21"/>
                <w:szCs w:val="21"/>
                <w:lang w:eastAsia="zh-CN"/>
              </w:rPr>
              <w:t>《热泵</w:t>
            </w:r>
            <w:r>
              <w:rPr>
                <w:rFonts w:hint="eastAsia" w:ascii="宋体" w:hAnsi="宋体" w:cs="宋体"/>
                <w:spacing w:val="2"/>
                <w:w w:val="99"/>
                <w:kern w:val="2"/>
                <w:sz w:val="21"/>
                <w:szCs w:val="21"/>
                <w:lang w:eastAsia="zh-CN"/>
              </w:rPr>
              <w:t>热</w:t>
            </w:r>
            <w:r>
              <w:rPr>
                <w:rFonts w:hint="eastAsia" w:ascii="宋体" w:hAnsi="宋体" w:cs="宋体"/>
                <w:w w:val="99"/>
                <w:kern w:val="2"/>
                <w:sz w:val="21"/>
                <w:szCs w:val="21"/>
                <w:lang w:eastAsia="zh-CN"/>
              </w:rPr>
              <w:t>水</w:t>
            </w:r>
            <w:r>
              <w:rPr>
                <w:rFonts w:hint="eastAsia" w:ascii="宋体" w:hAnsi="宋体" w:cs="宋体"/>
                <w:spacing w:val="-27"/>
                <w:w w:val="99"/>
                <w:kern w:val="2"/>
                <w:sz w:val="21"/>
                <w:szCs w:val="21"/>
                <w:lang w:eastAsia="zh-CN"/>
              </w:rPr>
              <w:t>机</w:t>
            </w:r>
            <w:r>
              <w:rPr>
                <w:rFonts w:hint="eastAsia" w:ascii="宋体" w:hAnsi="宋体" w:cs="宋体"/>
                <w:w w:val="99"/>
                <w:kern w:val="2"/>
                <w:sz w:val="21"/>
                <w:szCs w:val="21"/>
                <w:lang w:eastAsia="zh-CN"/>
              </w:rPr>
              <w:t>（器</w:t>
            </w:r>
            <w:r>
              <w:rPr>
                <w:rFonts w:hint="eastAsia" w:ascii="宋体" w:hAnsi="宋体" w:cs="宋体"/>
                <w:spacing w:val="-27"/>
                <w:w w:val="99"/>
                <w:kern w:val="2"/>
                <w:sz w:val="21"/>
                <w:szCs w:val="21"/>
                <w:lang w:eastAsia="zh-CN"/>
              </w:rPr>
              <w:t>）</w:t>
            </w:r>
            <w:r>
              <w:rPr>
                <w:rFonts w:hint="eastAsia" w:ascii="宋体" w:hAnsi="宋体" w:cs="宋体"/>
                <w:w w:val="99"/>
                <w:kern w:val="2"/>
                <w:sz w:val="21"/>
                <w:szCs w:val="21"/>
                <w:lang w:eastAsia="zh-CN"/>
              </w:rPr>
              <w:t>能效</w:t>
            </w:r>
            <w:r>
              <w:rPr>
                <w:rFonts w:hint="eastAsia" w:ascii="宋体" w:hAnsi="宋体" w:cs="宋体"/>
                <w:spacing w:val="2"/>
                <w:w w:val="99"/>
                <w:kern w:val="2"/>
                <w:sz w:val="21"/>
                <w:szCs w:val="21"/>
                <w:lang w:eastAsia="zh-CN"/>
              </w:rPr>
              <w:t>限</w:t>
            </w:r>
            <w:r>
              <w:rPr>
                <w:rFonts w:hint="eastAsia" w:ascii="宋体" w:hAnsi="宋体" w:cs="宋体"/>
                <w:w w:val="99"/>
                <w:kern w:val="2"/>
                <w:sz w:val="21"/>
                <w:szCs w:val="21"/>
                <w:lang w:eastAsia="zh-CN"/>
              </w:rPr>
              <w:t>定值及能效等</w:t>
            </w:r>
            <w:r>
              <w:rPr>
                <w:rFonts w:hint="eastAsia" w:ascii="宋体" w:hAnsi="宋体" w:cs="宋体"/>
                <w:spacing w:val="2"/>
                <w:w w:val="99"/>
                <w:kern w:val="2"/>
                <w:sz w:val="21"/>
                <w:szCs w:val="21"/>
                <w:lang w:eastAsia="zh-CN"/>
              </w:rPr>
              <w:t>级</w:t>
            </w:r>
            <w:r>
              <w:rPr>
                <w:rFonts w:hint="eastAsia" w:ascii="宋体" w:hAnsi="宋体" w:cs="宋体"/>
                <w:w w:val="99"/>
                <w:kern w:val="2"/>
                <w:sz w:val="21"/>
                <w:szCs w:val="21"/>
                <w:lang w:eastAsia="zh-CN"/>
              </w:rPr>
              <w:t>》（</w:t>
            </w:r>
            <w:r>
              <w:rPr>
                <w:rFonts w:hint="eastAsia" w:ascii="宋体" w:hAnsi="宋体" w:cs="宋体"/>
                <w:spacing w:val="1"/>
                <w:w w:val="99"/>
                <w:kern w:val="2"/>
                <w:sz w:val="21"/>
                <w:szCs w:val="21"/>
                <w:lang w:eastAsia="zh-CN"/>
              </w:rPr>
              <w:t>G</w:t>
            </w:r>
            <w:r>
              <w:rPr>
                <w:rFonts w:hint="eastAsia" w:ascii="宋体" w:hAnsi="宋体" w:cs="宋体"/>
                <w:w w:val="99"/>
                <w:kern w:val="2"/>
                <w:sz w:val="21"/>
                <w:szCs w:val="21"/>
                <w:lang w:eastAsia="zh-CN"/>
              </w:rPr>
              <w:t>B</w:t>
            </w:r>
            <w:r>
              <w:rPr>
                <w:rFonts w:hint="eastAsia" w:ascii="宋体" w:hAnsi="宋体" w:cs="宋体"/>
                <w:spacing w:val="1"/>
                <w:w w:val="99"/>
                <w:kern w:val="2"/>
                <w:sz w:val="21"/>
                <w:szCs w:val="21"/>
                <w:lang w:eastAsia="zh-CN"/>
              </w:rPr>
              <w:t>295</w:t>
            </w:r>
            <w:r>
              <w:rPr>
                <w:rFonts w:hint="eastAsia" w:ascii="宋体" w:hAnsi="宋体" w:cs="宋体"/>
                <w:w w:val="99"/>
                <w:kern w:val="2"/>
                <w:sz w:val="21"/>
                <w:szCs w:val="21"/>
                <w:lang w:eastAsia="zh-CN"/>
              </w:rPr>
              <w:t>4</w:t>
            </w:r>
            <w:r>
              <w:rPr>
                <w:rFonts w:hint="eastAsia" w:ascii="宋体" w:hAnsi="宋体" w:cs="宋体"/>
                <w:spacing w:val="-1"/>
                <w:w w:val="99"/>
                <w:kern w:val="2"/>
                <w:sz w:val="21"/>
                <w:szCs w:val="21"/>
                <w:lang w:eastAsia="zh-CN"/>
              </w:rPr>
              <w:t>1</w:t>
            </w:r>
            <w:r>
              <w:rPr>
                <w:rFonts w:hint="eastAsia" w:ascii="宋体" w:hAnsi="宋体" w:cs="宋体"/>
                <w:w w:val="99"/>
                <w:kern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szCs w:val="21"/>
              </w:rPr>
            </w:pPr>
          </w:p>
        </w:tc>
        <w:tc>
          <w:tcPr>
            <w:tcW w:w="83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szCs w:val="21"/>
              </w:rPr>
            </w:pPr>
          </w:p>
        </w:tc>
        <w:tc>
          <w:tcPr>
            <w:tcW w:w="878"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szCs w:val="21"/>
              </w:rPr>
            </w:pPr>
          </w:p>
        </w:tc>
        <w:tc>
          <w:tcPr>
            <w:tcW w:w="802" w:type="pct"/>
            <w:tcBorders>
              <w:top w:val="single" w:color="000000" w:sz="4" w:space="0"/>
              <w:left w:val="single" w:color="000000" w:sz="4" w:space="0"/>
              <w:bottom w:val="single" w:color="000000" w:sz="4" w:space="0"/>
              <w:right w:val="single" w:color="000000" w:sz="4" w:space="0"/>
            </w:tcBorders>
            <w:vAlign w:val="center"/>
          </w:tcPr>
          <w:p>
            <w:pPr>
              <w:pStyle w:val="115"/>
              <w:spacing w:line="240" w:lineRule="exact"/>
              <w:jc w:val="center"/>
              <w:rPr>
                <w:rFonts w:ascii="宋体" w:hAnsi="宋体" w:cs="宋体"/>
                <w:kern w:val="2"/>
                <w:sz w:val="21"/>
                <w:szCs w:val="21"/>
              </w:rPr>
            </w:pPr>
            <w:r>
              <w:rPr>
                <w:rFonts w:hint="eastAsia" w:ascii="宋体" w:hAnsi="宋体" w:cs="宋体"/>
                <w:w w:val="99"/>
                <w:kern w:val="2"/>
                <w:sz w:val="21"/>
                <w:szCs w:val="21"/>
              </w:rPr>
              <w:t>太阳能</w:t>
            </w:r>
            <w:r>
              <w:rPr>
                <w:rFonts w:hint="eastAsia" w:ascii="宋体" w:hAnsi="宋体" w:cs="宋体"/>
                <w:spacing w:val="2"/>
                <w:w w:val="99"/>
                <w:kern w:val="2"/>
                <w:sz w:val="21"/>
                <w:szCs w:val="21"/>
              </w:rPr>
              <w:t>热</w:t>
            </w:r>
            <w:r>
              <w:rPr>
                <w:rFonts w:hint="eastAsia" w:ascii="宋体" w:hAnsi="宋体" w:cs="宋体"/>
                <w:w w:val="99"/>
                <w:kern w:val="2"/>
                <w:sz w:val="21"/>
                <w:szCs w:val="21"/>
              </w:rPr>
              <w:t>水系统</w:t>
            </w:r>
          </w:p>
        </w:tc>
        <w:tc>
          <w:tcPr>
            <w:tcW w:w="2092" w:type="pct"/>
            <w:tcBorders>
              <w:top w:val="single" w:color="000000" w:sz="4" w:space="0"/>
              <w:left w:val="single" w:color="000000" w:sz="4" w:space="0"/>
              <w:bottom w:val="single" w:color="000000" w:sz="4" w:space="0"/>
              <w:right w:val="single" w:color="000000" w:sz="4" w:space="0"/>
            </w:tcBorders>
          </w:tcPr>
          <w:p>
            <w:pPr>
              <w:pStyle w:val="115"/>
              <w:spacing w:before="52" w:line="240" w:lineRule="exact"/>
              <w:ind w:left="7" w:right="4"/>
              <w:rPr>
                <w:rFonts w:ascii="宋体" w:hAnsi="宋体" w:cs="宋体"/>
                <w:kern w:val="2"/>
                <w:sz w:val="21"/>
                <w:szCs w:val="21"/>
                <w:lang w:eastAsia="zh-CN"/>
              </w:rPr>
            </w:pPr>
            <w:r>
              <w:rPr>
                <w:rFonts w:hint="eastAsia" w:ascii="宋体" w:hAnsi="宋体" w:cs="宋体"/>
                <w:spacing w:val="12"/>
                <w:w w:val="99"/>
                <w:kern w:val="2"/>
                <w:sz w:val="21"/>
                <w:szCs w:val="21"/>
                <w:lang w:eastAsia="zh-CN"/>
              </w:rPr>
              <w:t>《家用太阳能热水系统</w:t>
            </w:r>
            <w:r>
              <w:rPr>
                <w:rFonts w:hint="eastAsia" w:ascii="宋体" w:hAnsi="宋体" w:cs="宋体"/>
                <w:spacing w:val="9"/>
                <w:w w:val="99"/>
                <w:kern w:val="2"/>
                <w:sz w:val="21"/>
                <w:szCs w:val="21"/>
                <w:lang w:eastAsia="zh-CN"/>
              </w:rPr>
              <w:t>能</w:t>
            </w:r>
            <w:r>
              <w:rPr>
                <w:rFonts w:hint="eastAsia" w:ascii="宋体" w:hAnsi="宋体" w:cs="宋体"/>
                <w:spacing w:val="12"/>
                <w:w w:val="99"/>
                <w:kern w:val="2"/>
                <w:sz w:val="21"/>
                <w:szCs w:val="21"/>
                <w:lang w:eastAsia="zh-CN"/>
              </w:rPr>
              <w:t>效限</w:t>
            </w:r>
            <w:r>
              <w:rPr>
                <w:rFonts w:hint="eastAsia" w:ascii="宋体" w:hAnsi="宋体" w:cs="宋体"/>
                <w:w w:val="99"/>
                <w:kern w:val="2"/>
                <w:sz w:val="21"/>
                <w:szCs w:val="21"/>
                <w:lang w:eastAsia="zh-CN"/>
              </w:rPr>
              <w:t>定值及能</w:t>
            </w:r>
            <w:r>
              <w:rPr>
                <w:rFonts w:hint="eastAsia" w:ascii="宋体" w:hAnsi="宋体" w:cs="宋体"/>
                <w:spacing w:val="2"/>
                <w:w w:val="99"/>
                <w:kern w:val="2"/>
                <w:sz w:val="21"/>
                <w:szCs w:val="21"/>
                <w:lang w:eastAsia="zh-CN"/>
              </w:rPr>
              <w:t>效</w:t>
            </w:r>
            <w:r>
              <w:rPr>
                <w:rFonts w:hint="eastAsia" w:ascii="宋体" w:hAnsi="宋体" w:cs="宋体"/>
                <w:w w:val="99"/>
                <w:kern w:val="2"/>
                <w:sz w:val="21"/>
                <w:szCs w:val="21"/>
                <w:lang w:eastAsia="zh-CN"/>
              </w:rPr>
              <w:t>等级</w:t>
            </w:r>
            <w:r>
              <w:rPr>
                <w:rFonts w:hint="eastAsia" w:ascii="宋体" w:hAnsi="宋体" w:cs="宋体"/>
                <w:spacing w:val="2"/>
                <w:w w:val="99"/>
                <w:kern w:val="2"/>
                <w:sz w:val="21"/>
                <w:szCs w:val="21"/>
                <w:lang w:eastAsia="zh-CN"/>
              </w:rPr>
              <w:t>》</w:t>
            </w:r>
            <w:r>
              <w:rPr>
                <w:rFonts w:hint="eastAsia" w:ascii="宋体" w:hAnsi="宋体" w:cs="宋体"/>
                <w:w w:val="99"/>
                <w:kern w:val="2"/>
                <w:sz w:val="21"/>
                <w:szCs w:val="21"/>
                <w:lang w:eastAsia="zh-CN"/>
              </w:rPr>
              <w:t>（</w:t>
            </w:r>
            <w:r>
              <w:rPr>
                <w:rFonts w:hint="eastAsia" w:ascii="宋体" w:hAnsi="宋体" w:cs="宋体"/>
                <w:spacing w:val="1"/>
                <w:w w:val="99"/>
                <w:kern w:val="2"/>
                <w:sz w:val="21"/>
                <w:szCs w:val="21"/>
                <w:lang w:eastAsia="zh-CN"/>
              </w:rPr>
              <w:t>G</w:t>
            </w:r>
            <w:r>
              <w:rPr>
                <w:rFonts w:hint="eastAsia" w:ascii="宋体" w:hAnsi="宋体" w:cs="宋体"/>
                <w:w w:val="99"/>
                <w:kern w:val="2"/>
                <w:sz w:val="21"/>
                <w:szCs w:val="21"/>
                <w:lang w:eastAsia="zh-CN"/>
              </w:rPr>
              <w:t>B</w:t>
            </w:r>
            <w:r>
              <w:rPr>
                <w:rFonts w:hint="eastAsia" w:ascii="宋体" w:hAnsi="宋体" w:cs="宋体"/>
                <w:spacing w:val="1"/>
                <w:w w:val="99"/>
                <w:kern w:val="2"/>
                <w:sz w:val="21"/>
                <w:szCs w:val="21"/>
                <w:lang w:eastAsia="zh-CN"/>
              </w:rPr>
              <w:t>26</w:t>
            </w:r>
            <w:r>
              <w:rPr>
                <w:rFonts w:hint="eastAsia" w:ascii="宋体" w:hAnsi="宋体" w:cs="宋体"/>
                <w:w w:val="99"/>
                <w:kern w:val="2"/>
                <w:sz w:val="21"/>
                <w:szCs w:val="21"/>
                <w:lang w:eastAsia="zh-CN"/>
              </w:rPr>
              <w:t>96</w:t>
            </w:r>
            <w:r>
              <w:rPr>
                <w:rFonts w:hint="eastAsia" w:ascii="宋体" w:hAnsi="宋体" w:cs="宋体"/>
                <w:spacing w:val="-2"/>
                <w:w w:val="99"/>
                <w:kern w:val="2"/>
                <w:sz w:val="21"/>
                <w:szCs w:val="21"/>
                <w:lang w:eastAsia="zh-CN"/>
              </w:rPr>
              <w:t>9</w:t>
            </w:r>
            <w:r>
              <w:rPr>
                <w:rFonts w:hint="eastAsia" w:ascii="宋体" w:hAnsi="宋体" w:cs="宋体"/>
                <w:w w:val="99"/>
                <w:kern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vMerge w:val="restart"/>
            <w:tcBorders>
              <w:top w:val="single" w:color="000000" w:sz="4" w:space="0"/>
              <w:left w:val="single" w:color="000000" w:sz="4" w:space="0"/>
              <w:bottom w:val="single" w:color="000000" w:sz="4" w:space="0"/>
              <w:right w:val="single" w:color="000000" w:sz="4" w:space="0"/>
            </w:tcBorders>
            <w:vAlign w:val="center"/>
          </w:tcPr>
          <w:p>
            <w:pPr>
              <w:pStyle w:val="115"/>
              <w:spacing w:line="240" w:lineRule="exact"/>
              <w:jc w:val="center"/>
              <w:rPr>
                <w:rFonts w:ascii="宋体" w:hAnsi="宋体" w:cs="宋体"/>
                <w:kern w:val="2"/>
                <w:sz w:val="21"/>
                <w:szCs w:val="21"/>
              </w:rPr>
            </w:pPr>
            <w:r>
              <w:rPr>
                <w:rFonts w:hint="eastAsia" w:ascii="宋体" w:hAnsi="宋体"/>
                <w:spacing w:val="1"/>
                <w:w w:val="99"/>
                <w:kern w:val="2"/>
                <w:sz w:val="21"/>
                <w:szCs w:val="21"/>
              </w:rPr>
              <w:t>1</w:t>
            </w:r>
            <w:r>
              <w:rPr>
                <w:rFonts w:hint="eastAsia" w:ascii="宋体" w:hAnsi="宋体"/>
                <w:w w:val="99"/>
                <w:kern w:val="2"/>
                <w:sz w:val="21"/>
                <w:szCs w:val="21"/>
              </w:rPr>
              <w:t>1</w:t>
            </w:r>
          </w:p>
        </w:tc>
        <w:tc>
          <w:tcPr>
            <w:tcW w:w="834" w:type="pct"/>
            <w:vMerge w:val="restart"/>
            <w:tcBorders>
              <w:top w:val="single" w:color="000000" w:sz="4" w:space="0"/>
              <w:left w:val="single" w:color="000000" w:sz="4" w:space="0"/>
              <w:bottom w:val="single" w:color="000000" w:sz="4" w:space="0"/>
              <w:right w:val="single" w:color="000000" w:sz="4" w:space="0"/>
            </w:tcBorders>
            <w:vAlign w:val="center"/>
          </w:tcPr>
          <w:p>
            <w:pPr>
              <w:pStyle w:val="115"/>
              <w:spacing w:before="157" w:line="240" w:lineRule="exact"/>
              <w:jc w:val="center"/>
              <w:rPr>
                <w:rFonts w:ascii="宋体" w:hAnsi="宋体" w:cs="宋体"/>
                <w:kern w:val="2"/>
                <w:sz w:val="21"/>
                <w:szCs w:val="21"/>
              </w:rPr>
            </w:pPr>
            <w:r>
              <w:rPr>
                <w:rFonts w:hint="eastAsia" w:ascii="宋体" w:hAnsi="宋体" w:cs="宋体"/>
                <w:spacing w:val="1"/>
                <w:w w:val="99"/>
                <w:kern w:val="2"/>
                <w:sz w:val="21"/>
                <w:szCs w:val="21"/>
              </w:rPr>
              <w:t>A02</w:t>
            </w:r>
            <w:r>
              <w:rPr>
                <w:rFonts w:hint="eastAsia" w:ascii="宋体" w:hAnsi="宋体" w:cs="宋体"/>
                <w:w w:val="99"/>
                <w:kern w:val="2"/>
                <w:sz w:val="21"/>
                <w:szCs w:val="21"/>
              </w:rPr>
              <w:t>06</w:t>
            </w:r>
            <w:r>
              <w:rPr>
                <w:rFonts w:hint="eastAsia" w:ascii="宋体" w:hAnsi="宋体" w:cs="宋体"/>
                <w:spacing w:val="1"/>
                <w:w w:val="99"/>
                <w:kern w:val="2"/>
                <w:sz w:val="21"/>
                <w:szCs w:val="21"/>
              </w:rPr>
              <w:t>1</w:t>
            </w:r>
            <w:r>
              <w:rPr>
                <w:rFonts w:hint="eastAsia" w:ascii="宋体" w:hAnsi="宋体" w:cs="宋体"/>
                <w:w w:val="99"/>
                <w:kern w:val="2"/>
                <w:sz w:val="21"/>
                <w:szCs w:val="21"/>
              </w:rPr>
              <w:t>900照明设备</w:t>
            </w:r>
          </w:p>
        </w:tc>
        <w:tc>
          <w:tcPr>
            <w:tcW w:w="878" w:type="pct"/>
            <w:tcBorders>
              <w:top w:val="single" w:color="000000" w:sz="4" w:space="0"/>
              <w:left w:val="single" w:color="000000" w:sz="4" w:space="0"/>
              <w:bottom w:val="single" w:color="000000" w:sz="4" w:space="0"/>
              <w:right w:val="single" w:color="000000" w:sz="4" w:space="0"/>
            </w:tcBorders>
            <w:vAlign w:val="center"/>
          </w:tcPr>
          <w:p>
            <w:pPr>
              <w:pStyle w:val="115"/>
              <w:spacing w:before="133" w:line="240" w:lineRule="exact"/>
              <w:ind w:left="7" w:right="7"/>
              <w:jc w:val="center"/>
              <w:rPr>
                <w:rFonts w:ascii="宋体" w:hAnsi="宋体" w:cs="宋体"/>
                <w:kern w:val="2"/>
                <w:sz w:val="21"/>
                <w:szCs w:val="21"/>
                <w:lang w:eastAsia="zh-CN"/>
              </w:rPr>
            </w:pPr>
            <w:r>
              <w:rPr>
                <w:rFonts w:hint="eastAsia" w:ascii="宋体" w:hAnsi="宋体" w:cs="宋体"/>
                <w:w w:val="99"/>
                <w:kern w:val="2"/>
                <w:sz w:val="21"/>
                <w:szCs w:val="21"/>
                <w:lang w:eastAsia="zh-CN"/>
              </w:rPr>
              <w:t>★普通照明用双端荧光灯</w:t>
            </w: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rPr>
            </w:pPr>
          </w:p>
        </w:tc>
        <w:tc>
          <w:tcPr>
            <w:tcW w:w="2092" w:type="pct"/>
            <w:tcBorders>
              <w:top w:val="single" w:color="000000" w:sz="4" w:space="0"/>
              <w:left w:val="single" w:color="000000" w:sz="4" w:space="0"/>
              <w:bottom w:val="single" w:color="000000" w:sz="4" w:space="0"/>
              <w:right w:val="single" w:color="000000" w:sz="4" w:space="0"/>
            </w:tcBorders>
          </w:tcPr>
          <w:p>
            <w:pPr>
              <w:pStyle w:val="115"/>
              <w:spacing w:before="133" w:line="240" w:lineRule="exact"/>
              <w:ind w:left="7" w:right="4"/>
              <w:rPr>
                <w:rFonts w:ascii="宋体" w:hAnsi="宋体" w:cs="宋体"/>
                <w:kern w:val="2"/>
                <w:sz w:val="21"/>
                <w:szCs w:val="21"/>
                <w:lang w:eastAsia="zh-CN"/>
              </w:rPr>
            </w:pPr>
            <w:r>
              <w:rPr>
                <w:rFonts w:hint="eastAsia" w:ascii="宋体" w:hAnsi="宋体" w:cs="宋体"/>
                <w:spacing w:val="10"/>
                <w:kern w:val="2"/>
                <w:sz w:val="21"/>
                <w:szCs w:val="21"/>
                <w:lang w:eastAsia="zh-CN"/>
              </w:rPr>
              <w:t>《普通照明用双端荧光灯能效限定值及能效等级》（GB19043）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szCs w:val="21"/>
              </w:rPr>
            </w:pPr>
          </w:p>
        </w:tc>
        <w:tc>
          <w:tcPr>
            <w:tcW w:w="83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szCs w:val="21"/>
              </w:rPr>
            </w:pPr>
          </w:p>
        </w:tc>
        <w:tc>
          <w:tcPr>
            <w:tcW w:w="878" w:type="pct"/>
            <w:tcBorders>
              <w:top w:val="single" w:color="000000" w:sz="4" w:space="0"/>
              <w:left w:val="single" w:color="000000" w:sz="4" w:space="0"/>
              <w:bottom w:val="single" w:color="000000" w:sz="4" w:space="0"/>
              <w:right w:val="single" w:color="000000" w:sz="4" w:space="0"/>
            </w:tcBorders>
            <w:vAlign w:val="center"/>
          </w:tcPr>
          <w:p>
            <w:pPr>
              <w:pStyle w:val="115"/>
              <w:spacing w:before="92" w:line="240" w:lineRule="exact"/>
              <w:ind w:left="7" w:right="2"/>
              <w:jc w:val="center"/>
              <w:rPr>
                <w:rFonts w:ascii="宋体" w:hAnsi="宋体" w:cs="宋体"/>
                <w:kern w:val="2"/>
                <w:sz w:val="21"/>
                <w:szCs w:val="21"/>
              </w:rPr>
            </w:pPr>
            <w:r>
              <w:rPr>
                <w:rFonts w:hint="eastAsia" w:ascii="宋体" w:hAnsi="宋体" w:cs="宋体"/>
                <w:spacing w:val="1"/>
                <w:w w:val="99"/>
                <w:kern w:val="2"/>
                <w:sz w:val="21"/>
                <w:szCs w:val="21"/>
              </w:rPr>
              <w:t>LE</w:t>
            </w:r>
            <w:r>
              <w:rPr>
                <w:rFonts w:hint="eastAsia" w:ascii="宋体" w:hAnsi="宋体" w:cs="宋体"/>
                <w:w w:val="99"/>
                <w:kern w:val="2"/>
                <w:sz w:val="21"/>
                <w:szCs w:val="21"/>
              </w:rPr>
              <w:t>D</w:t>
            </w:r>
            <w:r>
              <w:rPr>
                <w:rFonts w:hint="eastAsia" w:ascii="宋体" w:hAnsi="宋体" w:cs="宋体"/>
                <w:spacing w:val="12"/>
                <w:w w:val="99"/>
                <w:kern w:val="2"/>
                <w:sz w:val="21"/>
                <w:szCs w:val="21"/>
              </w:rPr>
              <w:t>道</w:t>
            </w:r>
            <w:r>
              <w:rPr>
                <w:rFonts w:hint="eastAsia" w:ascii="宋体" w:hAnsi="宋体" w:cs="宋体"/>
                <w:spacing w:val="9"/>
                <w:w w:val="99"/>
                <w:kern w:val="2"/>
                <w:sz w:val="21"/>
                <w:szCs w:val="21"/>
              </w:rPr>
              <w:t>路</w:t>
            </w:r>
            <w:r>
              <w:rPr>
                <w:rFonts w:hint="eastAsia" w:ascii="宋体" w:hAnsi="宋体" w:cs="宋体"/>
                <w:spacing w:val="13"/>
                <w:w w:val="99"/>
                <w:kern w:val="2"/>
                <w:sz w:val="21"/>
                <w:szCs w:val="21"/>
              </w:rPr>
              <w:t>/</w:t>
            </w:r>
            <w:r>
              <w:rPr>
                <w:rFonts w:hint="eastAsia" w:ascii="宋体" w:hAnsi="宋体" w:cs="宋体"/>
                <w:spacing w:val="12"/>
                <w:w w:val="99"/>
                <w:kern w:val="2"/>
                <w:sz w:val="21"/>
                <w:szCs w:val="21"/>
              </w:rPr>
              <w:t>隧道照</w:t>
            </w:r>
            <w:r>
              <w:rPr>
                <w:rFonts w:hint="eastAsia" w:ascii="宋体" w:hAnsi="宋体" w:cs="宋体"/>
                <w:w w:val="99"/>
                <w:kern w:val="2"/>
                <w:sz w:val="21"/>
                <w:szCs w:val="21"/>
              </w:rPr>
              <w:t>明产品</w:t>
            </w: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rPr>
            </w:pPr>
          </w:p>
        </w:tc>
        <w:tc>
          <w:tcPr>
            <w:tcW w:w="2092" w:type="pct"/>
            <w:tcBorders>
              <w:top w:val="single" w:color="000000" w:sz="4" w:space="0"/>
              <w:left w:val="single" w:color="000000" w:sz="4" w:space="0"/>
              <w:bottom w:val="single" w:color="000000" w:sz="4" w:space="0"/>
              <w:right w:val="single" w:color="000000" w:sz="4" w:space="0"/>
            </w:tcBorders>
          </w:tcPr>
          <w:p>
            <w:pPr>
              <w:pStyle w:val="115"/>
              <w:spacing w:before="92" w:line="240" w:lineRule="exact"/>
              <w:ind w:left="7" w:right="7"/>
              <w:rPr>
                <w:rFonts w:ascii="宋体" w:hAnsi="宋体" w:cs="宋体"/>
                <w:kern w:val="2"/>
                <w:sz w:val="21"/>
                <w:szCs w:val="21"/>
                <w:lang w:eastAsia="zh-CN"/>
              </w:rPr>
            </w:pPr>
            <w:r>
              <w:rPr>
                <w:rFonts w:hint="eastAsia" w:ascii="宋体" w:hAnsi="宋体" w:cs="宋体"/>
                <w:spacing w:val="10"/>
                <w:kern w:val="2"/>
                <w:sz w:val="21"/>
                <w:szCs w:val="21"/>
                <w:lang w:eastAsia="zh-CN"/>
              </w:rPr>
              <w:t>《道路和隧道照明用LED灯具能效限定值及能效等级》（GB37478</w:t>
            </w:r>
            <w:r>
              <w:rPr>
                <w:rFonts w:ascii="宋体" w:hAnsi="宋体" w:cs="宋体"/>
                <w:spacing w:val="10"/>
                <w:kern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szCs w:val="21"/>
              </w:rPr>
            </w:pPr>
          </w:p>
        </w:tc>
        <w:tc>
          <w:tcPr>
            <w:tcW w:w="83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szCs w:val="21"/>
              </w:rPr>
            </w:pPr>
          </w:p>
        </w:tc>
        <w:tc>
          <w:tcPr>
            <w:tcW w:w="878" w:type="pct"/>
            <w:tcBorders>
              <w:top w:val="single" w:color="000000" w:sz="4" w:space="0"/>
              <w:left w:val="single" w:color="000000" w:sz="4" w:space="0"/>
              <w:bottom w:val="single" w:color="000000" w:sz="4" w:space="0"/>
              <w:right w:val="single" w:color="000000" w:sz="4" w:space="0"/>
            </w:tcBorders>
            <w:vAlign w:val="center"/>
          </w:tcPr>
          <w:p>
            <w:pPr>
              <w:pStyle w:val="115"/>
              <w:spacing w:line="240" w:lineRule="exact"/>
              <w:jc w:val="center"/>
              <w:rPr>
                <w:rFonts w:ascii="宋体" w:hAnsi="宋体" w:cs="宋体"/>
                <w:kern w:val="2"/>
                <w:sz w:val="21"/>
                <w:szCs w:val="21"/>
              </w:rPr>
            </w:pPr>
            <w:r>
              <w:rPr>
                <w:rFonts w:hint="eastAsia" w:ascii="宋体" w:hAnsi="宋体" w:cs="宋体"/>
                <w:spacing w:val="1"/>
                <w:w w:val="99"/>
                <w:kern w:val="2"/>
                <w:sz w:val="21"/>
                <w:szCs w:val="21"/>
              </w:rPr>
              <w:t>LE</w:t>
            </w:r>
            <w:r>
              <w:rPr>
                <w:rFonts w:hint="eastAsia" w:ascii="宋体" w:hAnsi="宋体" w:cs="宋体"/>
                <w:w w:val="99"/>
                <w:kern w:val="2"/>
                <w:sz w:val="21"/>
                <w:szCs w:val="21"/>
              </w:rPr>
              <w:t>D筒灯</w:t>
            </w: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rPr>
            </w:pPr>
          </w:p>
        </w:tc>
        <w:tc>
          <w:tcPr>
            <w:tcW w:w="2092" w:type="pct"/>
            <w:tcBorders>
              <w:top w:val="single" w:color="000000" w:sz="4" w:space="0"/>
              <w:left w:val="single" w:color="000000" w:sz="4" w:space="0"/>
              <w:bottom w:val="single" w:color="000000" w:sz="4" w:space="0"/>
              <w:right w:val="single" w:color="000000" w:sz="4" w:space="0"/>
            </w:tcBorders>
          </w:tcPr>
          <w:p>
            <w:pPr>
              <w:pStyle w:val="115"/>
              <w:spacing w:before="83" w:line="240" w:lineRule="exact"/>
              <w:ind w:left="7" w:right="7"/>
              <w:rPr>
                <w:rFonts w:ascii="宋体" w:hAnsi="宋体" w:cs="宋体"/>
                <w:kern w:val="2"/>
                <w:sz w:val="21"/>
                <w:szCs w:val="21"/>
                <w:lang w:eastAsia="zh-CN"/>
              </w:rPr>
            </w:pPr>
            <w:r>
              <w:rPr>
                <w:rFonts w:hint="eastAsia" w:ascii="宋体" w:hAnsi="宋体" w:cs="宋体"/>
                <w:spacing w:val="10"/>
                <w:kern w:val="2"/>
                <w:sz w:val="21"/>
                <w:szCs w:val="21"/>
                <w:lang w:eastAsia="zh-CN"/>
              </w:rPr>
              <w:t>《室内照明用LED产品能效限定值及能效等级》（GB30255）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szCs w:val="21"/>
              </w:rPr>
            </w:pPr>
          </w:p>
        </w:tc>
        <w:tc>
          <w:tcPr>
            <w:tcW w:w="83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szCs w:val="21"/>
              </w:rPr>
            </w:pPr>
          </w:p>
        </w:tc>
        <w:tc>
          <w:tcPr>
            <w:tcW w:w="878" w:type="pct"/>
            <w:tcBorders>
              <w:top w:val="single" w:color="000000" w:sz="4" w:space="0"/>
              <w:left w:val="single" w:color="000000" w:sz="4" w:space="0"/>
              <w:bottom w:val="single" w:color="000000" w:sz="4" w:space="0"/>
              <w:right w:val="single" w:color="000000" w:sz="4" w:space="0"/>
            </w:tcBorders>
            <w:vAlign w:val="center"/>
          </w:tcPr>
          <w:p>
            <w:pPr>
              <w:pStyle w:val="115"/>
              <w:spacing w:line="240" w:lineRule="exact"/>
              <w:ind w:right="7"/>
              <w:jc w:val="center"/>
              <w:rPr>
                <w:rFonts w:ascii="宋体" w:hAnsi="宋体" w:cs="宋体"/>
                <w:kern w:val="2"/>
                <w:sz w:val="21"/>
                <w:szCs w:val="21"/>
                <w:lang w:eastAsia="zh-CN"/>
              </w:rPr>
            </w:pPr>
            <w:r>
              <w:rPr>
                <w:rFonts w:hint="eastAsia" w:ascii="宋体" w:hAnsi="宋体" w:cs="宋体"/>
                <w:w w:val="99"/>
                <w:kern w:val="2"/>
                <w:sz w:val="21"/>
                <w:szCs w:val="21"/>
                <w:lang w:eastAsia="zh-CN"/>
              </w:rPr>
              <w:t>普</w:t>
            </w:r>
            <w:r>
              <w:rPr>
                <w:rFonts w:hint="eastAsia" w:ascii="宋体" w:hAnsi="宋体" w:cs="宋体"/>
                <w:spacing w:val="24"/>
                <w:w w:val="99"/>
                <w:kern w:val="2"/>
                <w:sz w:val="21"/>
                <w:szCs w:val="21"/>
                <w:lang w:eastAsia="zh-CN"/>
              </w:rPr>
              <w:t>通</w:t>
            </w:r>
            <w:r>
              <w:rPr>
                <w:rFonts w:hint="eastAsia" w:ascii="宋体" w:hAnsi="宋体" w:cs="宋体"/>
                <w:w w:val="99"/>
                <w:kern w:val="2"/>
                <w:sz w:val="21"/>
                <w:szCs w:val="21"/>
                <w:lang w:eastAsia="zh-CN"/>
              </w:rPr>
              <w:t>照明用非</w:t>
            </w:r>
            <w:r>
              <w:rPr>
                <w:rFonts w:hint="eastAsia" w:ascii="宋体" w:hAnsi="宋体" w:cs="宋体"/>
                <w:spacing w:val="24"/>
                <w:w w:val="99"/>
                <w:kern w:val="2"/>
                <w:sz w:val="21"/>
                <w:szCs w:val="21"/>
                <w:lang w:eastAsia="zh-CN"/>
              </w:rPr>
              <w:t>定</w:t>
            </w:r>
            <w:r>
              <w:rPr>
                <w:rFonts w:hint="eastAsia" w:ascii="宋体" w:hAnsi="宋体" w:cs="宋体"/>
                <w:w w:val="99"/>
                <w:kern w:val="2"/>
                <w:sz w:val="21"/>
                <w:szCs w:val="21"/>
                <w:lang w:eastAsia="zh-CN"/>
              </w:rPr>
              <w:t>向自镇流</w:t>
            </w:r>
            <w:r>
              <w:rPr>
                <w:rFonts w:hint="eastAsia" w:ascii="宋体" w:hAnsi="宋体" w:cs="宋体"/>
                <w:spacing w:val="1"/>
                <w:w w:val="99"/>
                <w:kern w:val="2"/>
                <w:sz w:val="21"/>
                <w:szCs w:val="21"/>
                <w:lang w:eastAsia="zh-CN"/>
              </w:rPr>
              <w:t>LE</w:t>
            </w:r>
            <w:r>
              <w:rPr>
                <w:rFonts w:hint="eastAsia" w:ascii="宋体" w:hAnsi="宋体" w:cs="宋体"/>
                <w:w w:val="99"/>
                <w:kern w:val="2"/>
                <w:sz w:val="21"/>
                <w:szCs w:val="21"/>
                <w:lang w:eastAsia="zh-CN"/>
              </w:rPr>
              <w:t>D灯</w:t>
            </w: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rPr>
            </w:pPr>
          </w:p>
        </w:tc>
        <w:tc>
          <w:tcPr>
            <w:tcW w:w="2092" w:type="pct"/>
            <w:tcBorders>
              <w:top w:val="single" w:color="000000" w:sz="4" w:space="0"/>
              <w:left w:val="single" w:color="000000" w:sz="4" w:space="0"/>
              <w:bottom w:val="single" w:color="000000" w:sz="4" w:space="0"/>
              <w:right w:val="single" w:color="000000" w:sz="4" w:space="0"/>
            </w:tcBorders>
          </w:tcPr>
          <w:p>
            <w:pPr>
              <w:pStyle w:val="115"/>
              <w:spacing w:line="240" w:lineRule="exact"/>
              <w:ind w:left="7" w:right="7"/>
              <w:rPr>
                <w:rFonts w:ascii="宋体" w:hAnsi="宋体" w:cs="宋体"/>
                <w:kern w:val="2"/>
                <w:sz w:val="21"/>
                <w:szCs w:val="21"/>
                <w:lang w:eastAsia="zh-CN"/>
              </w:rPr>
            </w:pPr>
            <w:r>
              <w:rPr>
                <w:rFonts w:hint="eastAsia" w:ascii="宋体" w:hAnsi="宋体" w:cs="宋体"/>
                <w:spacing w:val="10"/>
                <w:kern w:val="2"/>
                <w:sz w:val="21"/>
                <w:szCs w:val="21"/>
                <w:lang w:eastAsia="zh-CN"/>
              </w:rPr>
              <w:t>《室内照明用LED产品能效限定值及能效等级》（GB30255）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tcBorders>
              <w:top w:val="single" w:color="000000" w:sz="4" w:space="0"/>
              <w:left w:val="single" w:color="000000" w:sz="4" w:space="0"/>
              <w:bottom w:val="single" w:color="000000" w:sz="4" w:space="0"/>
              <w:right w:val="single" w:color="000000" w:sz="4" w:space="0"/>
            </w:tcBorders>
            <w:vAlign w:val="center"/>
          </w:tcPr>
          <w:p>
            <w:pPr>
              <w:pStyle w:val="115"/>
              <w:spacing w:line="240" w:lineRule="exact"/>
              <w:jc w:val="center"/>
              <w:rPr>
                <w:rFonts w:ascii="宋体" w:hAnsi="宋体" w:cs="宋体"/>
                <w:kern w:val="2"/>
                <w:sz w:val="21"/>
                <w:szCs w:val="21"/>
              </w:rPr>
            </w:pPr>
            <w:r>
              <w:rPr>
                <w:rFonts w:hint="eastAsia" w:ascii="宋体" w:hAnsi="宋体"/>
                <w:spacing w:val="1"/>
                <w:w w:val="99"/>
                <w:kern w:val="2"/>
                <w:sz w:val="21"/>
                <w:szCs w:val="21"/>
              </w:rPr>
              <w:t>1</w:t>
            </w:r>
            <w:r>
              <w:rPr>
                <w:rFonts w:hint="eastAsia" w:ascii="宋体" w:hAnsi="宋体"/>
                <w:w w:val="99"/>
                <w:kern w:val="2"/>
                <w:sz w:val="21"/>
                <w:szCs w:val="21"/>
              </w:rPr>
              <w:t>2</w:t>
            </w:r>
          </w:p>
        </w:tc>
        <w:tc>
          <w:tcPr>
            <w:tcW w:w="834" w:type="pct"/>
            <w:tcBorders>
              <w:top w:val="single" w:color="000000" w:sz="4" w:space="0"/>
              <w:left w:val="single" w:color="000000" w:sz="4" w:space="0"/>
              <w:bottom w:val="single" w:color="000000" w:sz="4" w:space="0"/>
              <w:right w:val="single" w:color="000000" w:sz="4" w:space="0"/>
            </w:tcBorders>
            <w:vAlign w:val="center"/>
          </w:tcPr>
          <w:p>
            <w:pPr>
              <w:pStyle w:val="115"/>
              <w:spacing w:before="81" w:line="240" w:lineRule="exact"/>
              <w:ind w:left="7"/>
              <w:jc w:val="center"/>
              <w:rPr>
                <w:rFonts w:ascii="宋体" w:hAnsi="宋体" w:cs="宋体"/>
                <w:kern w:val="2"/>
                <w:sz w:val="21"/>
                <w:szCs w:val="21"/>
              </w:rPr>
            </w:pPr>
            <w:r>
              <w:rPr>
                <w:rFonts w:hint="eastAsia" w:ascii="宋体" w:hAnsi="宋体" w:cs="宋体"/>
                <w:w w:val="99"/>
                <w:kern w:val="2"/>
                <w:sz w:val="21"/>
                <w:szCs w:val="21"/>
              </w:rPr>
              <w:t>★</w:t>
            </w:r>
            <w:r>
              <w:rPr>
                <w:rFonts w:hint="eastAsia" w:ascii="宋体" w:hAnsi="宋体" w:cs="宋体"/>
                <w:spacing w:val="1"/>
                <w:w w:val="99"/>
                <w:kern w:val="2"/>
                <w:sz w:val="21"/>
                <w:szCs w:val="21"/>
              </w:rPr>
              <w:t>A020</w:t>
            </w:r>
            <w:r>
              <w:rPr>
                <w:rFonts w:hint="eastAsia" w:ascii="宋体" w:hAnsi="宋体" w:cs="宋体"/>
                <w:w w:val="99"/>
                <w:kern w:val="2"/>
                <w:sz w:val="21"/>
                <w:szCs w:val="21"/>
              </w:rPr>
              <w:t>91000电视设备</w:t>
            </w:r>
          </w:p>
        </w:tc>
        <w:tc>
          <w:tcPr>
            <w:tcW w:w="878" w:type="pct"/>
            <w:tcBorders>
              <w:top w:val="single" w:color="000000" w:sz="4" w:space="0"/>
              <w:left w:val="single" w:color="000000" w:sz="4" w:space="0"/>
              <w:bottom w:val="single" w:color="000000" w:sz="4" w:space="0"/>
              <w:right w:val="single" w:color="000000" w:sz="4" w:space="0"/>
            </w:tcBorders>
            <w:vAlign w:val="center"/>
          </w:tcPr>
          <w:p>
            <w:pPr>
              <w:pStyle w:val="115"/>
              <w:spacing w:before="81" w:line="240" w:lineRule="exact"/>
              <w:ind w:left="7" w:right="5"/>
              <w:jc w:val="center"/>
              <w:rPr>
                <w:rFonts w:ascii="宋体" w:hAnsi="宋体" w:cs="宋体"/>
                <w:kern w:val="2"/>
                <w:sz w:val="21"/>
                <w:szCs w:val="21"/>
                <w:lang w:eastAsia="zh-CN"/>
              </w:rPr>
            </w:pPr>
            <w:r>
              <w:rPr>
                <w:rFonts w:hint="eastAsia" w:ascii="宋体" w:hAnsi="宋体" w:cs="宋体"/>
                <w:spacing w:val="1"/>
                <w:w w:val="99"/>
                <w:kern w:val="2"/>
                <w:sz w:val="21"/>
                <w:szCs w:val="21"/>
                <w:lang w:eastAsia="zh-CN"/>
              </w:rPr>
              <w:t>A02</w:t>
            </w:r>
            <w:r>
              <w:rPr>
                <w:rFonts w:hint="eastAsia" w:ascii="宋体" w:hAnsi="宋体" w:cs="宋体"/>
                <w:w w:val="99"/>
                <w:kern w:val="2"/>
                <w:sz w:val="21"/>
                <w:szCs w:val="21"/>
                <w:lang w:eastAsia="zh-CN"/>
              </w:rPr>
              <w:t>09</w:t>
            </w:r>
            <w:r>
              <w:rPr>
                <w:rFonts w:hint="eastAsia" w:ascii="宋体" w:hAnsi="宋体" w:cs="宋体"/>
                <w:spacing w:val="1"/>
                <w:w w:val="99"/>
                <w:kern w:val="2"/>
                <w:sz w:val="21"/>
                <w:szCs w:val="21"/>
                <w:lang w:eastAsia="zh-CN"/>
              </w:rPr>
              <w:t>1</w:t>
            </w:r>
            <w:r>
              <w:rPr>
                <w:rFonts w:hint="eastAsia" w:ascii="宋体" w:hAnsi="宋体" w:cs="宋体"/>
                <w:w w:val="99"/>
                <w:kern w:val="2"/>
                <w:sz w:val="21"/>
                <w:szCs w:val="21"/>
                <w:lang w:eastAsia="zh-CN"/>
              </w:rPr>
              <w:t>001普通电视设备（</w:t>
            </w:r>
            <w:r>
              <w:rPr>
                <w:rFonts w:hint="eastAsia" w:ascii="宋体" w:hAnsi="宋体" w:cs="宋体"/>
                <w:spacing w:val="2"/>
                <w:w w:val="99"/>
                <w:kern w:val="2"/>
                <w:sz w:val="21"/>
                <w:szCs w:val="21"/>
                <w:lang w:eastAsia="zh-CN"/>
              </w:rPr>
              <w:t>电</w:t>
            </w:r>
            <w:r>
              <w:rPr>
                <w:rFonts w:hint="eastAsia" w:ascii="宋体" w:hAnsi="宋体" w:cs="宋体"/>
                <w:w w:val="99"/>
                <w:kern w:val="2"/>
                <w:sz w:val="21"/>
                <w:szCs w:val="21"/>
                <w:lang w:eastAsia="zh-CN"/>
              </w:rPr>
              <w:t>视机）</w:t>
            </w: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rPr>
            </w:pPr>
          </w:p>
        </w:tc>
        <w:tc>
          <w:tcPr>
            <w:tcW w:w="2092" w:type="pct"/>
            <w:tcBorders>
              <w:top w:val="single" w:color="000000" w:sz="4" w:space="0"/>
              <w:left w:val="single" w:color="000000" w:sz="4" w:space="0"/>
              <w:bottom w:val="single" w:color="000000" w:sz="4" w:space="0"/>
              <w:right w:val="single" w:color="000000" w:sz="4" w:space="0"/>
            </w:tcBorders>
          </w:tcPr>
          <w:p>
            <w:pPr>
              <w:pStyle w:val="115"/>
              <w:spacing w:before="81" w:line="240" w:lineRule="exact"/>
              <w:ind w:left="7" w:right="4"/>
              <w:rPr>
                <w:rFonts w:ascii="宋体" w:hAnsi="宋体" w:cs="宋体"/>
                <w:kern w:val="2"/>
                <w:sz w:val="21"/>
                <w:szCs w:val="21"/>
                <w:lang w:eastAsia="zh-CN"/>
              </w:rPr>
            </w:pPr>
            <w:r>
              <w:rPr>
                <w:rFonts w:hint="eastAsia" w:ascii="宋体" w:hAnsi="宋体" w:cs="宋体"/>
                <w:spacing w:val="12"/>
                <w:w w:val="99"/>
                <w:kern w:val="2"/>
                <w:sz w:val="21"/>
                <w:szCs w:val="21"/>
                <w:lang w:eastAsia="zh-CN"/>
              </w:rPr>
              <w:t>《平板电视与机顶盒能效限定值及能效等级</w:t>
            </w:r>
            <w:r>
              <w:rPr>
                <w:rFonts w:hint="eastAsia" w:ascii="宋体" w:hAnsi="宋体" w:cs="宋体"/>
                <w:w w:val="99"/>
                <w:kern w:val="2"/>
                <w:sz w:val="21"/>
                <w:szCs w:val="21"/>
                <w:lang w:eastAsia="zh-CN"/>
              </w:rPr>
              <w:t>》（</w:t>
            </w:r>
            <w:r>
              <w:rPr>
                <w:rFonts w:hint="eastAsia" w:ascii="宋体" w:hAnsi="宋体" w:cs="宋体"/>
                <w:spacing w:val="1"/>
                <w:w w:val="99"/>
                <w:kern w:val="2"/>
                <w:sz w:val="21"/>
                <w:szCs w:val="21"/>
                <w:lang w:eastAsia="zh-CN"/>
              </w:rPr>
              <w:t>G</w:t>
            </w:r>
            <w:r>
              <w:rPr>
                <w:rFonts w:hint="eastAsia" w:ascii="宋体" w:hAnsi="宋体" w:cs="宋体"/>
                <w:w w:val="99"/>
                <w:kern w:val="2"/>
                <w:sz w:val="21"/>
                <w:szCs w:val="21"/>
                <w:lang w:eastAsia="zh-CN"/>
              </w:rPr>
              <w:t>B</w:t>
            </w:r>
            <w:r>
              <w:rPr>
                <w:rFonts w:hint="eastAsia" w:ascii="宋体" w:hAnsi="宋体" w:cs="宋体"/>
                <w:spacing w:val="1"/>
                <w:w w:val="99"/>
                <w:kern w:val="2"/>
                <w:sz w:val="21"/>
                <w:szCs w:val="21"/>
                <w:lang w:eastAsia="zh-CN"/>
              </w:rPr>
              <w:t>248</w:t>
            </w:r>
            <w:r>
              <w:rPr>
                <w:rFonts w:hint="eastAsia" w:ascii="宋体" w:hAnsi="宋体" w:cs="宋体"/>
                <w:w w:val="99"/>
                <w:kern w:val="2"/>
                <w:sz w:val="21"/>
                <w:szCs w:val="21"/>
                <w:lang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tcBorders>
              <w:top w:val="single" w:color="000000" w:sz="4" w:space="0"/>
              <w:left w:val="single" w:color="000000" w:sz="4" w:space="0"/>
              <w:bottom w:val="single" w:color="000000" w:sz="4" w:space="0"/>
              <w:right w:val="single" w:color="000000" w:sz="4" w:space="0"/>
            </w:tcBorders>
            <w:vAlign w:val="center"/>
          </w:tcPr>
          <w:p>
            <w:pPr>
              <w:pStyle w:val="115"/>
              <w:spacing w:line="240" w:lineRule="exact"/>
              <w:jc w:val="center"/>
              <w:rPr>
                <w:rFonts w:ascii="宋体" w:hAnsi="宋体" w:cs="宋体"/>
                <w:kern w:val="2"/>
                <w:sz w:val="21"/>
                <w:szCs w:val="21"/>
              </w:rPr>
            </w:pPr>
            <w:r>
              <w:rPr>
                <w:rFonts w:hint="eastAsia" w:ascii="宋体" w:hAnsi="宋体"/>
                <w:spacing w:val="1"/>
                <w:w w:val="99"/>
                <w:kern w:val="2"/>
                <w:sz w:val="21"/>
                <w:szCs w:val="21"/>
              </w:rPr>
              <w:t>1</w:t>
            </w:r>
            <w:r>
              <w:rPr>
                <w:rFonts w:hint="eastAsia" w:ascii="宋体" w:hAnsi="宋体"/>
                <w:w w:val="99"/>
                <w:kern w:val="2"/>
                <w:sz w:val="21"/>
                <w:szCs w:val="21"/>
              </w:rPr>
              <w:t>3</w:t>
            </w:r>
          </w:p>
        </w:tc>
        <w:tc>
          <w:tcPr>
            <w:tcW w:w="834" w:type="pct"/>
            <w:tcBorders>
              <w:top w:val="single" w:color="000000" w:sz="4" w:space="0"/>
              <w:left w:val="single" w:color="000000" w:sz="4" w:space="0"/>
              <w:bottom w:val="single" w:color="000000" w:sz="4" w:space="0"/>
              <w:right w:val="single" w:color="000000" w:sz="4" w:space="0"/>
            </w:tcBorders>
            <w:vAlign w:val="center"/>
          </w:tcPr>
          <w:p>
            <w:pPr>
              <w:pStyle w:val="115"/>
              <w:spacing w:line="240" w:lineRule="exact"/>
              <w:jc w:val="center"/>
              <w:rPr>
                <w:rFonts w:ascii="宋体" w:hAnsi="宋体" w:cs="宋体"/>
                <w:kern w:val="2"/>
                <w:sz w:val="21"/>
                <w:szCs w:val="21"/>
              </w:rPr>
            </w:pPr>
            <w:r>
              <w:rPr>
                <w:rFonts w:hint="eastAsia" w:ascii="宋体" w:hAnsi="宋体" w:cs="宋体"/>
                <w:w w:val="99"/>
                <w:kern w:val="2"/>
                <w:sz w:val="21"/>
                <w:szCs w:val="21"/>
              </w:rPr>
              <w:t>★</w:t>
            </w:r>
            <w:r>
              <w:rPr>
                <w:rFonts w:hint="eastAsia" w:ascii="宋体" w:hAnsi="宋体" w:cs="宋体"/>
                <w:spacing w:val="1"/>
                <w:w w:val="99"/>
                <w:kern w:val="2"/>
                <w:sz w:val="21"/>
                <w:szCs w:val="21"/>
              </w:rPr>
              <w:t>A020</w:t>
            </w:r>
            <w:r>
              <w:rPr>
                <w:rFonts w:hint="eastAsia" w:ascii="宋体" w:hAnsi="宋体" w:cs="宋体"/>
                <w:w w:val="99"/>
                <w:kern w:val="2"/>
                <w:sz w:val="21"/>
                <w:szCs w:val="21"/>
              </w:rPr>
              <w:t>91100视频设备</w:t>
            </w:r>
          </w:p>
        </w:tc>
        <w:tc>
          <w:tcPr>
            <w:tcW w:w="878" w:type="pct"/>
            <w:tcBorders>
              <w:top w:val="single" w:color="000000" w:sz="4" w:space="0"/>
              <w:left w:val="single" w:color="000000" w:sz="4" w:space="0"/>
              <w:bottom w:val="single" w:color="000000" w:sz="4" w:space="0"/>
              <w:right w:val="single" w:color="000000" w:sz="4" w:space="0"/>
            </w:tcBorders>
            <w:vAlign w:val="center"/>
          </w:tcPr>
          <w:p>
            <w:pPr>
              <w:pStyle w:val="115"/>
              <w:spacing w:line="240" w:lineRule="exact"/>
              <w:ind w:right="5"/>
              <w:jc w:val="center"/>
              <w:rPr>
                <w:rFonts w:ascii="宋体" w:hAnsi="宋体" w:cs="宋体"/>
                <w:kern w:val="2"/>
                <w:sz w:val="21"/>
                <w:szCs w:val="21"/>
              </w:rPr>
            </w:pPr>
            <w:r>
              <w:rPr>
                <w:rFonts w:hint="eastAsia" w:ascii="宋体" w:hAnsi="宋体" w:cs="宋体"/>
                <w:spacing w:val="1"/>
                <w:w w:val="99"/>
                <w:kern w:val="2"/>
                <w:sz w:val="21"/>
                <w:szCs w:val="21"/>
              </w:rPr>
              <w:t>A02</w:t>
            </w:r>
            <w:r>
              <w:rPr>
                <w:rFonts w:hint="eastAsia" w:ascii="宋体" w:hAnsi="宋体" w:cs="宋体"/>
                <w:w w:val="99"/>
                <w:kern w:val="2"/>
                <w:sz w:val="21"/>
                <w:szCs w:val="21"/>
              </w:rPr>
              <w:t>09</w:t>
            </w:r>
            <w:r>
              <w:rPr>
                <w:rFonts w:hint="eastAsia" w:ascii="宋体" w:hAnsi="宋体" w:cs="宋体"/>
                <w:spacing w:val="1"/>
                <w:w w:val="99"/>
                <w:kern w:val="2"/>
                <w:sz w:val="21"/>
                <w:szCs w:val="21"/>
              </w:rPr>
              <w:t>1</w:t>
            </w:r>
            <w:r>
              <w:rPr>
                <w:rFonts w:hint="eastAsia" w:ascii="宋体" w:hAnsi="宋体" w:cs="宋体"/>
                <w:w w:val="99"/>
                <w:kern w:val="2"/>
                <w:sz w:val="21"/>
                <w:szCs w:val="21"/>
              </w:rPr>
              <w:t>107视频监控设备</w:t>
            </w:r>
          </w:p>
        </w:tc>
        <w:tc>
          <w:tcPr>
            <w:tcW w:w="802" w:type="pct"/>
            <w:tcBorders>
              <w:top w:val="single" w:color="000000" w:sz="4" w:space="0"/>
              <w:left w:val="single" w:color="000000" w:sz="4" w:space="0"/>
              <w:bottom w:val="single" w:color="000000" w:sz="4" w:space="0"/>
              <w:right w:val="single" w:color="000000" w:sz="4" w:space="0"/>
            </w:tcBorders>
            <w:vAlign w:val="center"/>
          </w:tcPr>
          <w:p>
            <w:pPr>
              <w:pStyle w:val="115"/>
              <w:spacing w:line="240" w:lineRule="exact"/>
              <w:jc w:val="center"/>
              <w:rPr>
                <w:rFonts w:ascii="宋体" w:hAnsi="宋体" w:cs="宋体"/>
                <w:kern w:val="2"/>
                <w:sz w:val="21"/>
                <w:szCs w:val="21"/>
              </w:rPr>
            </w:pPr>
            <w:r>
              <w:rPr>
                <w:rFonts w:hint="eastAsia" w:ascii="宋体" w:hAnsi="宋体" w:cs="宋体"/>
                <w:w w:val="99"/>
                <w:kern w:val="2"/>
                <w:sz w:val="21"/>
                <w:szCs w:val="21"/>
              </w:rPr>
              <w:t>监视器</w:t>
            </w:r>
          </w:p>
        </w:tc>
        <w:tc>
          <w:tcPr>
            <w:tcW w:w="2092" w:type="pct"/>
            <w:tcBorders>
              <w:top w:val="single" w:color="000000" w:sz="4" w:space="0"/>
              <w:left w:val="single" w:color="000000" w:sz="4" w:space="0"/>
              <w:bottom w:val="single" w:color="000000" w:sz="4" w:space="0"/>
              <w:right w:val="single" w:color="000000" w:sz="4" w:space="0"/>
            </w:tcBorders>
          </w:tcPr>
          <w:p>
            <w:pPr>
              <w:pStyle w:val="115"/>
              <w:spacing w:before="28" w:line="240" w:lineRule="exact"/>
              <w:ind w:left="7" w:right="5"/>
              <w:rPr>
                <w:rFonts w:ascii="宋体" w:hAnsi="宋体" w:cs="宋体"/>
                <w:kern w:val="2"/>
                <w:sz w:val="21"/>
                <w:szCs w:val="21"/>
                <w:lang w:eastAsia="zh-CN"/>
              </w:rPr>
            </w:pPr>
            <w:r>
              <w:rPr>
                <w:rFonts w:hint="eastAsia" w:ascii="宋体" w:hAnsi="宋体" w:cs="宋体"/>
                <w:spacing w:val="12"/>
                <w:w w:val="99"/>
                <w:kern w:val="2"/>
                <w:sz w:val="21"/>
                <w:szCs w:val="21"/>
                <w:lang w:eastAsia="zh-CN"/>
              </w:rPr>
              <w:t>以射频信号为主要信号</w:t>
            </w:r>
            <w:r>
              <w:rPr>
                <w:rFonts w:hint="eastAsia" w:ascii="宋体" w:hAnsi="宋体" w:cs="宋体"/>
                <w:spacing w:val="9"/>
                <w:w w:val="99"/>
                <w:kern w:val="2"/>
                <w:sz w:val="21"/>
                <w:szCs w:val="21"/>
                <w:lang w:eastAsia="zh-CN"/>
              </w:rPr>
              <w:t>输</w:t>
            </w:r>
            <w:r>
              <w:rPr>
                <w:rFonts w:hint="eastAsia" w:ascii="宋体" w:hAnsi="宋体" w:cs="宋体"/>
                <w:spacing w:val="12"/>
                <w:w w:val="99"/>
                <w:kern w:val="2"/>
                <w:sz w:val="21"/>
                <w:szCs w:val="21"/>
                <w:lang w:eastAsia="zh-CN"/>
              </w:rPr>
              <w:t>入的</w:t>
            </w:r>
            <w:r>
              <w:rPr>
                <w:rFonts w:hint="eastAsia" w:ascii="宋体" w:hAnsi="宋体" w:cs="宋体"/>
                <w:w w:val="99"/>
                <w:kern w:val="2"/>
                <w:sz w:val="21"/>
                <w:szCs w:val="21"/>
                <w:lang w:eastAsia="zh-CN"/>
              </w:rPr>
              <w:t>监视器应</w:t>
            </w:r>
            <w:r>
              <w:rPr>
                <w:rFonts w:hint="eastAsia" w:ascii="宋体" w:hAnsi="宋体" w:cs="宋体"/>
                <w:spacing w:val="2"/>
                <w:w w:val="99"/>
                <w:kern w:val="2"/>
                <w:sz w:val="21"/>
                <w:szCs w:val="21"/>
                <w:lang w:eastAsia="zh-CN"/>
              </w:rPr>
              <w:t>符</w:t>
            </w:r>
            <w:r>
              <w:rPr>
                <w:rFonts w:hint="eastAsia" w:ascii="宋体" w:hAnsi="宋体" w:cs="宋体"/>
                <w:spacing w:val="-58"/>
                <w:w w:val="99"/>
                <w:kern w:val="2"/>
                <w:sz w:val="21"/>
                <w:szCs w:val="21"/>
                <w:lang w:eastAsia="zh-CN"/>
              </w:rPr>
              <w:t>合</w:t>
            </w:r>
            <w:r>
              <w:rPr>
                <w:rFonts w:hint="eastAsia" w:ascii="宋体" w:hAnsi="宋体" w:cs="宋体"/>
                <w:spacing w:val="2"/>
                <w:w w:val="99"/>
                <w:kern w:val="2"/>
                <w:sz w:val="21"/>
                <w:szCs w:val="21"/>
                <w:lang w:eastAsia="zh-CN"/>
              </w:rPr>
              <w:t>《</w:t>
            </w:r>
            <w:r>
              <w:rPr>
                <w:rFonts w:hint="eastAsia" w:ascii="宋体" w:hAnsi="宋体" w:cs="宋体"/>
                <w:w w:val="99"/>
                <w:kern w:val="2"/>
                <w:sz w:val="21"/>
                <w:szCs w:val="21"/>
                <w:lang w:eastAsia="zh-CN"/>
              </w:rPr>
              <w:t>平板电视与机顶盒能效限定值及能效等级》（</w:t>
            </w:r>
            <w:r>
              <w:rPr>
                <w:rFonts w:hint="eastAsia" w:ascii="宋体" w:hAnsi="宋体" w:cs="宋体"/>
                <w:spacing w:val="1"/>
                <w:w w:val="99"/>
                <w:kern w:val="2"/>
                <w:sz w:val="21"/>
                <w:szCs w:val="21"/>
                <w:lang w:eastAsia="zh-CN"/>
              </w:rPr>
              <w:t>G</w:t>
            </w:r>
            <w:r>
              <w:rPr>
                <w:rFonts w:hint="eastAsia" w:ascii="宋体" w:hAnsi="宋体" w:cs="宋体"/>
                <w:w w:val="99"/>
                <w:kern w:val="2"/>
                <w:sz w:val="21"/>
                <w:szCs w:val="21"/>
                <w:lang w:eastAsia="zh-CN"/>
              </w:rPr>
              <w:t>B</w:t>
            </w:r>
            <w:r>
              <w:rPr>
                <w:rFonts w:hint="eastAsia" w:ascii="宋体" w:hAnsi="宋体" w:cs="宋体"/>
                <w:spacing w:val="1"/>
                <w:w w:val="99"/>
                <w:kern w:val="2"/>
                <w:sz w:val="21"/>
                <w:szCs w:val="21"/>
                <w:lang w:eastAsia="zh-CN"/>
              </w:rPr>
              <w:t>24850</w:t>
            </w:r>
            <w:r>
              <w:rPr>
                <w:rFonts w:hint="eastAsia" w:ascii="宋体" w:hAnsi="宋体" w:cs="宋体"/>
                <w:spacing w:val="-3"/>
                <w:w w:val="99"/>
                <w:kern w:val="2"/>
                <w:sz w:val="21"/>
                <w:szCs w:val="21"/>
                <w:lang w:eastAsia="zh-CN"/>
              </w:rPr>
              <w:t>）</w:t>
            </w:r>
            <w:r>
              <w:rPr>
                <w:rFonts w:hint="eastAsia" w:ascii="宋体" w:hAnsi="宋体" w:cs="宋体"/>
                <w:w w:val="99"/>
                <w:kern w:val="2"/>
                <w:sz w:val="21"/>
                <w:szCs w:val="21"/>
                <w:lang w:eastAsia="zh-CN"/>
              </w:rPr>
              <w:t>，</w:t>
            </w:r>
            <w:r>
              <w:rPr>
                <w:rFonts w:hint="eastAsia" w:ascii="宋体" w:hAnsi="宋体" w:cs="宋体"/>
                <w:spacing w:val="12"/>
                <w:w w:val="99"/>
                <w:kern w:val="2"/>
                <w:sz w:val="21"/>
                <w:szCs w:val="21"/>
                <w:lang w:eastAsia="zh-CN"/>
              </w:rPr>
              <w:t>以数字信号为主要信号</w:t>
            </w:r>
            <w:r>
              <w:rPr>
                <w:rFonts w:hint="eastAsia" w:ascii="宋体" w:hAnsi="宋体" w:cs="宋体"/>
                <w:spacing w:val="9"/>
                <w:w w:val="99"/>
                <w:kern w:val="2"/>
                <w:sz w:val="21"/>
                <w:szCs w:val="21"/>
                <w:lang w:eastAsia="zh-CN"/>
              </w:rPr>
              <w:t>输</w:t>
            </w:r>
            <w:r>
              <w:rPr>
                <w:rFonts w:hint="eastAsia" w:ascii="宋体" w:hAnsi="宋体" w:cs="宋体"/>
                <w:spacing w:val="12"/>
                <w:w w:val="99"/>
                <w:kern w:val="2"/>
                <w:sz w:val="21"/>
                <w:szCs w:val="21"/>
                <w:lang w:eastAsia="zh-CN"/>
              </w:rPr>
              <w:t>入的</w:t>
            </w:r>
            <w:r>
              <w:rPr>
                <w:rFonts w:hint="eastAsia" w:ascii="宋体" w:hAnsi="宋体" w:cs="宋体"/>
                <w:w w:val="99"/>
                <w:kern w:val="2"/>
                <w:sz w:val="21"/>
                <w:szCs w:val="21"/>
                <w:lang w:eastAsia="zh-CN"/>
              </w:rPr>
              <w:t>监视器应</w:t>
            </w:r>
            <w:r>
              <w:rPr>
                <w:rFonts w:hint="eastAsia" w:ascii="宋体" w:hAnsi="宋体" w:cs="宋体"/>
                <w:spacing w:val="2"/>
                <w:w w:val="99"/>
                <w:kern w:val="2"/>
                <w:sz w:val="21"/>
                <w:szCs w:val="21"/>
                <w:lang w:eastAsia="zh-CN"/>
              </w:rPr>
              <w:t>符</w:t>
            </w:r>
            <w:r>
              <w:rPr>
                <w:rFonts w:hint="eastAsia" w:ascii="宋体" w:hAnsi="宋体" w:cs="宋体"/>
                <w:spacing w:val="-58"/>
                <w:w w:val="99"/>
                <w:kern w:val="2"/>
                <w:sz w:val="21"/>
                <w:szCs w:val="21"/>
                <w:lang w:eastAsia="zh-CN"/>
              </w:rPr>
              <w:t>合</w:t>
            </w:r>
            <w:r>
              <w:rPr>
                <w:rFonts w:hint="eastAsia" w:ascii="宋体" w:hAnsi="宋体" w:cs="宋体"/>
                <w:spacing w:val="2"/>
                <w:w w:val="99"/>
                <w:kern w:val="2"/>
                <w:sz w:val="21"/>
                <w:szCs w:val="21"/>
                <w:lang w:eastAsia="zh-CN"/>
              </w:rPr>
              <w:t>《</w:t>
            </w:r>
            <w:r>
              <w:rPr>
                <w:rFonts w:hint="eastAsia" w:ascii="宋体" w:hAnsi="宋体" w:cs="宋体"/>
                <w:w w:val="99"/>
                <w:kern w:val="2"/>
                <w:sz w:val="21"/>
                <w:szCs w:val="21"/>
                <w:lang w:eastAsia="zh-CN"/>
              </w:rPr>
              <w:t>计算</w:t>
            </w:r>
            <w:r>
              <w:rPr>
                <w:rFonts w:hint="eastAsia" w:ascii="宋体" w:hAnsi="宋体" w:cs="宋体"/>
                <w:spacing w:val="2"/>
                <w:w w:val="99"/>
                <w:kern w:val="2"/>
                <w:sz w:val="21"/>
                <w:szCs w:val="21"/>
                <w:lang w:eastAsia="zh-CN"/>
              </w:rPr>
              <w:t>机</w:t>
            </w:r>
            <w:r>
              <w:rPr>
                <w:rFonts w:hint="eastAsia" w:ascii="宋体" w:hAnsi="宋体" w:cs="宋体"/>
                <w:w w:val="99"/>
                <w:kern w:val="2"/>
                <w:sz w:val="21"/>
                <w:szCs w:val="21"/>
                <w:lang w:eastAsia="zh-CN"/>
              </w:rPr>
              <w:t>显示</w:t>
            </w:r>
            <w:r>
              <w:rPr>
                <w:rFonts w:hint="eastAsia" w:ascii="宋体" w:hAnsi="宋体" w:cs="宋体"/>
                <w:spacing w:val="2"/>
                <w:w w:val="99"/>
                <w:kern w:val="2"/>
                <w:sz w:val="21"/>
                <w:szCs w:val="21"/>
                <w:lang w:eastAsia="zh-CN"/>
              </w:rPr>
              <w:t>器</w:t>
            </w:r>
            <w:r>
              <w:rPr>
                <w:rFonts w:hint="eastAsia" w:ascii="宋体" w:hAnsi="宋体" w:cs="宋体"/>
                <w:w w:val="99"/>
                <w:kern w:val="2"/>
                <w:sz w:val="21"/>
                <w:szCs w:val="21"/>
                <w:lang w:eastAsia="zh-CN"/>
              </w:rPr>
              <w:t>能效限定值及</w:t>
            </w:r>
            <w:r>
              <w:rPr>
                <w:rFonts w:hint="eastAsia" w:ascii="宋体" w:hAnsi="宋体" w:cs="宋体"/>
                <w:spacing w:val="2"/>
                <w:w w:val="99"/>
                <w:kern w:val="2"/>
                <w:sz w:val="21"/>
                <w:szCs w:val="21"/>
                <w:lang w:eastAsia="zh-CN"/>
              </w:rPr>
              <w:t>能</w:t>
            </w:r>
            <w:r>
              <w:rPr>
                <w:rFonts w:hint="eastAsia" w:ascii="宋体" w:hAnsi="宋体" w:cs="宋体"/>
                <w:w w:val="99"/>
                <w:kern w:val="2"/>
                <w:sz w:val="21"/>
                <w:szCs w:val="21"/>
                <w:lang w:eastAsia="zh-CN"/>
              </w:rPr>
              <w:t>效等</w:t>
            </w:r>
            <w:r>
              <w:rPr>
                <w:rFonts w:hint="eastAsia" w:ascii="宋体" w:hAnsi="宋体" w:cs="宋体"/>
                <w:spacing w:val="2"/>
                <w:w w:val="99"/>
                <w:kern w:val="2"/>
                <w:sz w:val="21"/>
                <w:szCs w:val="21"/>
                <w:lang w:eastAsia="zh-CN"/>
              </w:rPr>
              <w:t>级</w:t>
            </w:r>
            <w:r>
              <w:rPr>
                <w:rFonts w:hint="eastAsia" w:ascii="宋体" w:hAnsi="宋体" w:cs="宋体"/>
                <w:w w:val="99"/>
                <w:kern w:val="2"/>
                <w:sz w:val="21"/>
                <w:szCs w:val="21"/>
                <w:lang w:eastAsia="zh-CN"/>
              </w:rPr>
              <w:t>》（</w:t>
            </w:r>
            <w:r>
              <w:rPr>
                <w:rFonts w:hint="eastAsia" w:ascii="宋体" w:hAnsi="宋体" w:cs="宋体"/>
                <w:spacing w:val="1"/>
                <w:w w:val="99"/>
                <w:kern w:val="2"/>
                <w:sz w:val="21"/>
                <w:szCs w:val="21"/>
                <w:lang w:eastAsia="zh-CN"/>
              </w:rPr>
              <w:t>G</w:t>
            </w:r>
            <w:r>
              <w:rPr>
                <w:rFonts w:hint="eastAsia" w:ascii="宋体" w:hAnsi="宋体" w:cs="宋体"/>
                <w:w w:val="99"/>
                <w:kern w:val="2"/>
                <w:sz w:val="21"/>
                <w:szCs w:val="21"/>
                <w:lang w:eastAsia="zh-CN"/>
              </w:rPr>
              <w:t>B</w:t>
            </w:r>
            <w:r>
              <w:rPr>
                <w:rFonts w:hint="eastAsia" w:ascii="宋体" w:hAnsi="宋体" w:cs="宋体"/>
                <w:spacing w:val="1"/>
                <w:w w:val="99"/>
                <w:kern w:val="2"/>
                <w:sz w:val="21"/>
                <w:szCs w:val="21"/>
                <w:lang w:eastAsia="zh-CN"/>
              </w:rPr>
              <w:t>21</w:t>
            </w:r>
            <w:r>
              <w:rPr>
                <w:rFonts w:hint="eastAsia" w:ascii="宋体" w:hAnsi="宋体" w:cs="宋体"/>
                <w:w w:val="99"/>
                <w:kern w:val="2"/>
                <w:sz w:val="21"/>
                <w:szCs w:val="21"/>
                <w:lang w:eastAsia="zh-CN"/>
              </w:rPr>
              <w:t>52</w:t>
            </w:r>
            <w:r>
              <w:rPr>
                <w:rFonts w:hint="eastAsia" w:ascii="宋体" w:hAnsi="宋体" w:cs="宋体"/>
                <w:spacing w:val="1"/>
                <w:w w:val="99"/>
                <w:kern w:val="2"/>
                <w:sz w:val="21"/>
                <w:szCs w:val="21"/>
                <w:lang w:eastAsia="zh-CN"/>
              </w:rPr>
              <w:t>0</w:t>
            </w:r>
            <w:r>
              <w:rPr>
                <w:rFonts w:hint="eastAsia" w:ascii="宋体" w:hAnsi="宋体" w:cs="宋体"/>
                <w:w w:val="99"/>
                <w:kern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tcBorders>
              <w:top w:val="single" w:color="000000" w:sz="4" w:space="0"/>
              <w:left w:val="single" w:color="000000" w:sz="4" w:space="0"/>
              <w:bottom w:val="single" w:color="000000" w:sz="4" w:space="0"/>
              <w:right w:val="single" w:color="000000" w:sz="4" w:space="0"/>
            </w:tcBorders>
            <w:vAlign w:val="center"/>
          </w:tcPr>
          <w:p>
            <w:pPr>
              <w:pStyle w:val="115"/>
              <w:spacing w:line="240" w:lineRule="exact"/>
              <w:jc w:val="center"/>
              <w:rPr>
                <w:rFonts w:ascii="宋体" w:hAnsi="宋体" w:cs="宋体"/>
                <w:kern w:val="2"/>
                <w:sz w:val="21"/>
                <w:szCs w:val="21"/>
              </w:rPr>
            </w:pPr>
            <w:r>
              <w:rPr>
                <w:rFonts w:hint="eastAsia" w:ascii="宋体" w:hAnsi="宋体"/>
                <w:spacing w:val="1"/>
                <w:w w:val="99"/>
                <w:kern w:val="2"/>
                <w:sz w:val="21"/>
                <w:szCs w:val="21"/>
              </w:rPr>
              <w:t>1</w:t>
            </w:r>
            <w:r>
              <w:rPr>
                <w:rFonts w:hint="eastAsia" w:ascii="宋体" w:hAnsi="宋体"/>
                <w:w w:val="99"/>
                <w:kern w:val="2"/>
                <w:sz w:val="21"/>
                <w:szCs w:val="21"/>
              </w:rPr>
              <w:t>4</w:t>
            </w:r>
          </w:p>
        </w:tc>
        <w:tc>
          <w:tcPr>
            <w:tcW w:w="834" w:type="pct"/>
            <w:tcBorders>
              <w:top w:val="single" w:color="000000" w:sz="4" w:space="0"/>
              <w:left w:val="single" w:color="000000" w:sz="4" w:space="0"/>
              <w:bottom w:val="single" w:color="000000" w:sz="4" w:space="0"/>
              <w:right w:val="single" w:color="000000" w:sz="4" w:space="0"/>
            </w:tcBorders>
            <w:vAlign w:val="center"/>
          </w:tcPr>
          <w:p>
            <w:pPr>
              <w:pStyle w:val="115"/>
              <w:spacing w:before="76" w:line="240" w:lineRule="exact"/>
              <w:ind w:left="7"/>
              <w:jc w:val="center"/>
              <w:rPr>
                <w:rFonts w:ascii="宋体" w:hAnsi="宋体" w:cs="宋体"/>
                <w:kern w:val="2"/>
                <w:sz w:val="21"/>
                <w:szCs w:val="21"/>
              </w:rPr>
            </w:pPr>
            <w:r>
              <w:rPr>
                <w:rFonts w:hint="eastAsia" w:ascii="宋体" w:hAnsi="宋体" w:cs="仿宋_GB2312"/>
                <w:kern w:val="2"/>
                <w:sz w:val="21"/>
                <w:szCs w:val="21"/>
              </w:rPr>
              <w:t>A02241000</w:t>
            </w:r>
            <w:r>
              <w:rPr>
                <w:rFonts w:hint="eastAsia" w:ascii="宋体" w:hAnsi="宋体" w:cs="宋体"/>
                <w:w w:val="99"/>
                <w:kern w:val="2"/>
                <w:sz w:val="21"/>
                <w:szCs w:val="21"/>
              </w:rPr>
              <w:t>饮食炊事机械</w:t>
            </w:r>
          </w:p>
        </w:tc>
        <w:tc>
          <w:tcPr>
            <w:tcW w:w="878" w:type="pct"/>
            <w:tcBorders>
              <w:top w:val="single" w:color="000000" w:sz="4" w:space="0"/>
              <w:left w:val="single" w:color="000000" w:sz="4" w:space="0"/>
              <w:bottom w:val="single" w:color="000000" w:sz="4" w:space="0"/>
              <w:right w:val="single" w:color="000000" w:sz="4" w:space="0"/>
            </w:tcBorders>
            <w:vAlign w:val="center"/>
          </w:tcPr>
          <w:p>
            <w:pPr>
              <w:pStyle w:val="115"/>
              <w:spacing w:line="240" w:lineRule="exact"/>
              <w:jc w:val="center"/>
              <w:rPr>
                <w:rFonts w:ascii="宋体" w:hAnsi="宋体" w:cs="宋体"/>
                <w:kern w:val="2"/>
                <w:sz w:val="21"/>
                <w:szCs w:val="21"/>
              </w:rPr>
            </w:pPr>
            <w:r>
              <w:rPr>
                <w:rFonts w:hint="eastAsia" w:ascii="宋体" w:hAnsi="宋体" w:cs="宋体"/>
                <w:w w:val="99"/>
                <w:kern w:val="2"/>
                <w:sz w:val="21"/>
                <w:szCs w:val="21"/>
              </w:rPr>
              <w:t>商用燃</w:t>
            </w:r>
            <w:r>
              <w:rPr>
                <w:rFonts w:hint="eastAsia" w:ascii="宋体" w:hAnsi="宋体" w:cs="宋体"/>
                <w:spacing w:val="2"/>
                <w:w w:val="99"/>
                <w:kern w:val="2"/>
                <w:sz w:val="21"/>
                <w:szCs w:val="21"/>
              </w:rPr>
              <w:t>气</w:t>
            </w:r>
            <w:r>
              <w:rPr>
                <w:rFonts w:hint="eastAsia" w:ascii="宋体" w:hAnsi="宋体" w:cs="宋体"/>
                <w:w w:val="99"/>
                <w:kern w:val="2"/>
                <w:sz w:val="21"/>
                <w:szCs w:val="21"/>
              </w:rPr>
              <w:t>灶具</w:t>
            </w: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rPr>
            </w:pPr>
          </w:p>
        </w:tc>
        <w:tc>
          <w:tcPr>
            <w:tcW w:w="2092" w:type="pct"/>
            <w:tcBorders>
              <w:top w:val="single" w:color="000000" w:sz="4" w:space="0"/>
              <w:left w:val="single" w:color="000000" w:sz="4" w:space="0"/>
              <w:bottom w:val="single" w:color="000000" w:sz="4" w:space="0"/>
              <w:right w:val="single" w:color="000000" w:sz="4" w:space="0"/>
            </w:tcBorders>
          </w:tcPr>
          <w:p>
            <w:pPr>
              <w:pStyle w:val="115"/>
              <w:spacing w:before="76" w:line="240" w:lineRule="exact"/>
              <w:ind w:left="7" w:right="4"/>
              <w:rPr>
                <w:rFonts w:ascii="宋体" w:hAnsi="宋体" w:cs="宋体"/>
                <w:kern w:val="2"/>
                <w:sz w:val="21"/>
                <w:szCs w:val="21"/>
                <w:lang w:eastAsia="zh-CN"/>
              </w:rPr>
            </w:pPr>
            <w:r>
              <w:rPr>
                <w:rFonts w:hint="eastAsia" w:ascii="宋体" w:hAnsi="宋体" w:cs="宋体"/>
                <w:spacing w:val="12"/>
                <w:w w:val="99"/>
                <w:kern w:val="2"/>
                <w:sz w:val="21"/>
                <w:szCs w:val="21"/>
                <w:lang w:eastAsia="zh-CN"/>
              </w:rPr>
              <w:t>《商用燃气灶具能效限</w:t>
            </w:r>
            <w:r>
              <w:rPr>
                <w:rFonts w:hint="eastAsia" w:ascii="宋体" w:hAnsi="宋体" w:cs="宋体"/>
                <w:spacing w:val="9"/>
                <w:w w:val="99"/>
                <w:kern w:val="2"/>
                <w:sz w:val="21"/>
                <w:szCs w:val="21"/>
                <w:lang w:eastAsia="zh-CN"/>
              </w:rPr>
              <w:t>定</w:t>
            </w:r>
            <w:r>
              <w:rPr>
                <w:rFonts w:hint="eastAsia" w:ascii="宋体" w:hAnsi="宋体" w:cs="宋体"/>
                <w:spacing w:val="12"/>
                <w:w w:val="99"/>
                <w:kern w:val="2"/>
                <w:sz w:val="21"/>
                <w:szCs w:val="21"/>
                <w:lang w:eastAsia="zh-CN"/>
              </w:rPr>
              <w:t>值及</w:t>
            </w:r>
            <w:r>
              <w:rPr>
                <w:rFonts w:hint="eastAsia" w:ascii="宋体" w:hAnsi="宋体" w:cs="宋体"/>
                <w:w w:val="99"/>
                <w:kern w:val="2"/>
                <w:sz w:val="21"/>
                <w:szCs w:val="21"/>
                <w:lang w:eastAsia="zh-CN"/>
              </w:rPr>
              <w:t>能效等级</w:t>
            </w:r>
            <w:r>
              <w:rPr>
                <w:rFonts w:hint="eastAsia" w:ascii="宋体" w:hAnsi="宋体" w:cs="宋体"/>
                <w:spacing w:val="2"/>
                <w:w w:val="99"/>
                <w:kern w:val="2"/>
                <w:sz w:val="21"/>
                <w:szCs w:val="21"/>
                <w:lang w:eastAsia="zh-CN"/>
              </w:rPr>
              <w:t>》</w:t>
            </w:r>
            <w:r>
              <w:rPr>
                <w:rFonts w:hint="eastAsia" w:ascii="宋体" w:hAnsi="宋体" w:cs="宋体"/>
                <w:w w:val="99"/>
                <w:kern w:val="2"/>
                <w:sz w:val="21"/>
                <w:szCs w:val="21"/>
                <w:lang w:eastAsia="zh-CN"/>
              </w:rPr>
              <w:t>（</w:t>
            </w:r>
            <w:r>
              <w:rPr>
                <w:rFonts w:hint="eastAsia" w:ascii="宋体" w:hAnsi="宋体" w:cs="宋体"/>
                <w:spacing w:val="1"/>
                <w:w w:val="99"/>
                <w:kern w:val="2"/>
                <w:sz w:val="21"/>
                <w:szCs w:val="21"/>
                <w:lang w:eastAsia="zh-CN"/>
              </w:rPr>
              <w:t>G</w:t>
            </w:r>
            <w:r>
              <w:rPr>
                <w:rFonts w:hint="eastAsia" w:ascii="宋体" w:hAnsi="宋体" w:cs="宋体"/>
                <w:w w:val="99"/>
                <w:kern w:val="2"/>
                <w:sz w:val="21"/>
                <w:szCs w:val="21"/>
                <w:lang w:eastAsia="zh-CN"/>
              </w:rPr>
              <w:t>B</w:t>
            </w:r>
            <w:r>
              <w:rPr>
                <w:rFonts w:hint="eastAsia" w:ascii="宋体" w:hAnsi="宋体" w:cs="宋体"/>
                <w:spacing w:val="1"/>
                <w:w w:val="99"/>
                <w:kern w:val="2"/>
                <w:sz w:val="21"/>
                <w:szCs w:val="21"/>
                <w:lang w:eastAsia="zh-CN"/>
              </w:rPr>
              <w:t>30</w:t>
            </w:r>
            <w:r>
              <w:rPr>
                <w:rFonts w:hint="eastAsia" w:ascii="宋体" w:hAnsi="宋体" w:cs="宋体"/>
                <w:w w:val="99"/>
                <w:kern w:val="2"/>
                <w:sz w:val="21"/>
                <w:szCs w:val="21"/>
                <w:lang w:eastAsia="zh-CN"/>
              </w:rPr>
              <w:t>53</w:t>
            </w:r>
            <w:r>
              <w:rPr>
                <w:rFonts w:hint="eastAsia" w:ascii="宋体" w:hAnsi="宋体" w:cs="宋体"/>
                <w:spacing w:val="1"/>
                <w:w w:val="99"/>
                <w:kern w:val="2"/>
                <w:sz w:val="21"/>
                <w:szCs w:val="21"/>
                <w:lang w:eastAsia="zh-CN"/>
              </w:rPr>
              <w:t>1</w:t>
            </w:r>
            <w:r>
              <w:rPr>
                <w:rFonts w:hint="eastAsia" w:ascii="宋体" w:hAnsi="宋体" w:cs="宋体"/>
                <w:w w:val="99"/>
                <w:kern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rPr>
            </w:pPr>
            <w:r>
              <w:rPr>
                <w:rFonts w:hint="eastAsia" w:ascii="宋体" w:hAnsi="宋体"/>
                <w:szCs w:val="21"/>
              </w:rPr>
              <w:t>15</w:t>
            </w:r>
          </w:p>
        </w:tc>
        <w:tc>
          <w:tcPr>
            <w:tcW w:w="834" w:type="pct"/>
            <w:vMerge w:val="restart"/>
            <w:tcBorders>
              <w:top w:val="single" w:color="000000" w:sz="4" w:space="0"/>
              <w:left w:val="single" w:color="000000" w:sz="4" w:space="0"/>
              <w:bottom w:val="single" w:color="000000" w:sz="4" w:space="0"/>
              <w:right w:val="single" w:color="000000" w:sz="4" w:space="0"/>
            </w:tcBorders>
            <w:vAlign w:val="center"/>
          </w:tcPr>
          <w:p>
            <w:pPr>
              <w:pStyle w:val="115"/>
              <w:spacing w:line="240" w:lineRule="exact"/>
              <w:jc w:val="center"/>
              <w:rPr>
                <w:rFonts w:ascii="宋体" w:hAnsi="宋体" w:cs="宋体"/>
                <w:w w:val="99"/>
                <w:kern w:val="2"/>
                <w:sz w:val="21"/>
                <w:szCs w:val="21"/>
              </w:rPr>
            </w:pPr>
            <w:r>
              <w:rPr>
                <w:rFonts w:hint="eastAsia" w:ascii="宋体" w:hAnsi="宋体" w:cs="宋体"/>
                <w:w w:val="99"/>
                <w:kern w:val="2"/>
                <w:sz w:val="21"/>
                <w:szCs w:val="21"/>
              </w:rPr>
              <w:t>★</w:t>
            </w:r>
            <w:r>
              <w:rPr>
                <w:rFonts w:hint="eastAsia" w:ascii="宋体" w:hAnsi="宋体" w:cs="仿宋_GB2312"/>
                <w:kern w:val="2"/>
                <w:sz w:val="21"/>
                <w:szCs w:val="21"/>
              </w:rPr>
              <w:t>A05020105</w:t>
            </w:r>
            <w:r>
              <w:rPr>
                <w:rFonts w:hint="eastAsia" w:ascii="宋体" w:hAnsi="宋体" w:cs="宋体"/>
                <w:w w:val="99"/>
                <w:kern w:val="2"/>
                <w:sz w:val="21"/>
                <w:szCs w:val="21"/>
              </w:rPr>
              <w:t>便器</w:t>
            </w:r>
          </w:p>
        </w:tc>
        <w:tc>
          <w:tcPr>
            <w:tcW w:w="878" w:type="pct"/>
            <w:tcBorders>
              <w:top w:val="single" w:color="000000" w:sz="4" w:space="0"/>
              <w:left w:val="single" w:color="000000" w:sz="4" w:space="0"/>
              <w:bottom w:val="single" w:color="000000" w:sz="4" w:space="0"/>
              <w:right w:val="single" w:color="000000" w:sz="4" w:space="0"/>
            </w:tcBorders>
            <w:vAlign w:val="center"/>
          </w:tcPr>
          <w:p>
            <w:pPr>
              <w:pStyle w:val="115"/>
              <w:spacing w:line="240" w:lineRule="exact"/>
              <w:jc w:val="center"/>
              <w:rPr>
                <w:rFonts w:ascii="宋体" w:hAnsi="宋体" w:cs="宋体"/>
                <w:kern w:val="2"/>
                <w:sz w:val="21"/>
                <w:szCs w:val="21"/>
              </w:rPr>
            </w:pPr>
            <w:r>
              <w:rPr>
                <w:rFonts w:hint="eastAsia" w:ascii="宋体" w:hAnsi="宋体" w:cs="宋体"/>
                <w:w w:val="99"/>
                <w:kern w:val="2"/>
                <w:sz w:val="21"/>
                <w:szCs w:val="21"/>
              </w:rPr>
              <w:t>坐便器</w:t>
            </w: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rPr>
            </w:pPr>
          </w:p>
        </w:tc>
        <w:tc>
          <w:tcPr>
            <w:tcW w:w="2092" w:type="pct"/>
            <w:tcBorders>
              <w:top w:val="single" w:color="000000" w:sz="4" w:space="0"/>
              <w:left w:val="single" w:color="000000" w:sz="4" w:space="0"/>
              <w:bottom w:val="single" w:color="000000" w:sz="4" w:space="0"/>
              <w:right w:val="single" w:color="000000" w:sz="4" w:space="0"/>
            </w:tcBorders>
          </w:tcPr>
          <w:p>
            <w:pPr>
              <w:pStyle w:val="115"/>
              <w:spacing w:before="124" w:line="240" w:lineRule="exact"/>
              <w:ind w:left="7"/>
              <w:rPr>
                <w:rFonts w:ascii="宋体" w:hAnsi="宋体" w:cs="宋体"/>
                <w:kern w:val="2"/>
                <w:sz w:val="21"/>
                <w:szCs w:val="21"/>
                <w:lang w:eastAsia="zh-CN"/>
              </w:rPr>
            </w:pPr>
            <w:r>
              <w:rPr>
                <w:rFonts w:hint="eastAsia" w:ascii="宋体" w:hAnsi="宋体" w:cs="宋体"/>
                <w:w w:val="99"/>
                <w:kern w:val="2"/>
                <w:sz w:val="21"/>
                <w:szCs w:val="21"/>
                <w:lang w:eastAsia="zh-CN"/>
              </w:rPr>
              <w:t>《坐便</w:t>
            </w:r>
            <w:r>
              <w:rPr>
                <w:rFonts w:hint="eastAsia" w:ascii="宋体" w:hAnsi="宋体" w:cs="宋体"/>
                <w:spacing w:val="2"/>
                <w:w w:val="99"/>
                <w:kern w:val="2"/>
                <w:sz w:val="21"/>
                <w:szCs w:val="21"/>
                <w:lang w:eastAsia="zh-CN"/>
              </w:rPr>
              <w:t>器</w:t>
            </w:r>
            <w:r>
              <w:rPr>
                <w:rFonts w:hint="eastAsia" w:ascii="宋体" w:hAnsi="宋体" w:cs="宋体"/>
                <w:w w:val="99"/>
                <w:kern w:val="2"/>
                <w:sz w:val="21"/>
                <w:szCs w:val="21"/>
                <w:lang w:eastAsia="zh-CN"/>
              </w:rPr>
              <w:t>水效</w:t>
            </w:r>
            <w:r>
              <w:rPr>
                <w:rFonts w:hint="eastAsia" w:ascii="宋体" w:hAnsi="宋体" w:cs="宋体"/>
                <w:spacing w:val="2"/>
                <w:w w:val="99"/>
                <w:kern w:val="2"/>
                <w:sz w:val="21"/>
                <w:szCs w:val="21"/>
                <w:lang w:eastAsia="zh-CN"/>
              </w:rPr>
              <w:t>限</w:t>
            </w:r>
            <w:r>
              <w:rPr>
                <w:rFonts w:hint="eastAsia" w:ascii="宋体" w:hAnsi="宋体" w:cs="宋体"/>
                <w:w w:val="99"/>
                <w:kern w:val="2"/>
                <w:sz w:val="21"/>
                <w:szCs w:val="21"/>
                <w:lang w:eastAsia="zh-CN"/>
              </w:rPr>
              <w:t>定值</w:t>
            </w:r>
            <w:r>
              <w:rPr>
                <w:rFonts w:hint="eastAsia" w:ascii="宋体" w:hAnsi="宋体" w:cs="宋体"/>
                <w:spacing w:val="2"/>
                <w:w w:val="99"/>
                <w:kern w:val="2"/>
                <w:sz w:val="21"/>
                <w:szCs w:val="21"/>
                <w:lang w:eastAsia="zh-CN"/>
              </w:rPr>
              <w:t>及</w:t>
            </w:r>
            <w:r>
              <w:rPr>
                <w:rFonts w:hint="eastAsia" w:ascii="宋体" w:hAnsi="宋体" w:cs="宋体"/>
                <w:w w:val="99"/>
                <w:kern w:val="2"/>
                <w:sz w:val="21"/>
                <w:szCs w:val="21"/>
                <w:lang w:eastAsia="zh-CN"/>
              </w:rPr>
              <w:t>水</w:t>
            </w:r>
            <w:r>
              <w:rPr>
                <w:rFonts w:hint="eastAsia" w:ascii="宋体" w:hAnsi="宋体" w:cs="宋体"/>
                <w:spacing w:val="2"/>
                <w:w w:val="99"/>
                <w:kern w:val="2"/>
                <w:sz w:val="21"/>
                <w:szCs w:val="21"/>
                <w:lang w:eastAsia="zh-CN"/>
              </w:rPr>
              <w:t>效</w:t>
            </w:r>
            <w:r>
              <w:rPr>
                <w:rFonts w:hint="eastAsia" w:ascii="宋体" w:hAnsi="宋体" w:cs="宋体"/>
                <w:w w:val="99"/>
                <w:kern w:val="2"/>
                <w:sz w:val="21"/>
                <w:szCs w:val="21"/>
                <w:lang w:eastAsia="zh-CN"/>
              </w:rPr>
              <w:t>等级》</w:t>
            </w:r>
          </w:p>
          <w:p>
            <w:pPr>
              <w:pStyle w:val="115"/>
              <w:spacing w:before="50" w:line="240" w:lineRule="exact"/>
              <w:ind w:left="7"/>
              <w:rPr>
                <w:rFonts w:ascii="宋体" w:hAnsi="宋体" w:cs="宋体"/>
                <w:kern w:val="2"/>
                <w:sz w:val="21"/>
                <w:szCs w:val="21"/>
              </w:rPr>
            </w:pPr>
            <w:r>
              <w:rPr>
                <w:rFonts w:hint="eastAsia" w:ascii="宋体" w:hAnsi="宋体" w:cs="宋体"/>
                <w:w w:val="99"/>
                <w:kern w:val="2"/>
                <w:sz w:val="21"/>
                <w:szCs w:val="21"/>
              </w:rPr>
              <w:t>（</w:t>
            </w:r>
            <w:r>
              <w:rPr>
                <w:rFonts w:hint="eastAsia" w:ascii="宋体" w:hAnsi="宋体" w:cs="宋体"/>
                <w:spacing w:val="1"/>
                <w:w w:val="99"/>
                <w:kern w:val="2"/>
                <w:sz w:val="21"/>
                <w:szCs w:val="21"/>
              </w:rPr>
              <w:t>G</w:t>
            </w:r>
            <w:r>
              <w:rPr>
                <w:rFonts w:hint="eastAsia" w:ascii="宋体" w:hAnsi="宋体" w:cs="宋体"/>
                <w:w w:val="99"/>
                <w:kern w:val="2"/>
                <w:sz w:val="21"/>
                <w:szCs w:val="21"/>
              </w:rPr>
              <w:t>B</w:t>
            </w:r>
            <w:r>
              <w:rPr>
                <w:rFonts w:hint="eastAsia" w:ascii="宋体" w:hAnsi="宋体" w:cs="宋体"/>
                <w:spacing w:val="1"/>
                <w:w w:val="99"/>
                <w:kern w:val="2"/>
                <w:sz w:val="21"/>
                <w:szCs w:val="21"/>
              </w:rPr>
              <w:t>2</w:t>
            </w:r>
            <w:r>
              <w:rPr>
                <w:rFonts w:hint="eastAsia" w:ascii="宋体" w:hAnsi="宋体" w:cs="宋体"/>
                <w:w w:val="99"/>
                <w:kern w:val="2"/>
                <w:sz w:val="21"/>
                <w:szCs w:val="21"/>
              </w:rPr>
              <w:t>55</w:t>
            </w:r>
            <w:r>
              <w:rPr>
                <w:rFonts w:hint="eastAsia" w:ascii="宋体" w:hAnsi="宋体" w:cs="宋体"/>
                <w:spacing w:val="1"/>
                <w:w w:val="99"/>
                <w:kern w:val="2"/>
                <w:sz w:val="21"/>
                <w:szCs w:val="21"/>
              </w:rPr>
              <w:t>02</w:t>
            </w:r>
            <w:r>
              <w:rPr>
                <w:rFonts w:hint="eastAsia" w:ascii="宋体" w:hAnsi="宋体" w:cs="宋体"/>
                <w:w w:val="99"/>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szCs w:val="21"/>
              </w:rPr>
            </w:pPr>
          </w:p>
        </w:tc>
        <w:tc>
          <w:tcPr>
            <w:tcW w:w="83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w w:val="99"/>
                <w:szCs w:val="21"/>
                <w:lang w:eastAsia="en-US"/>
              </w:rPr>
            </w:pPr>
          </w:p>
        </w:tc>
        <w:tc>
          <w:tcPr>
            <w:tcW w:w="878" w:type="pct"/>
            <w:tcBorders>
              <w:top w:val="single" w:color="000000" w:sz="4" w:space="0"/>
              <w:left w:val="single" w:color="000000" w:sz="4" w:space="0"/>
              <w:bottom w:val="single" w:color="000000" w:sz="4" w:space="0"/>
              <w:right w:val="single" w:color="000000" w:sz="4" w:space="0"/>
            </w:tcBorders>
            <w:vAlign w:val="center"/>
          </w:tcPr>
          <w:p>
            <w:pPr>
              <w:pStyle w:val="115"/>
              <w:spacing w:line="240" w:lineRule="exact"/>
              <w:jc w:val="center"/>
              <w:rPr>
                <w:rFonts w:ascii="宋体" w:hAnsi="宋体" w:cs="宋体"/>
                <w:kern w:val="2"/>
                <w:sz w:val="21"/>
                <w:szCs w:val="21"/>
              </w:rPr>
            </w:pPr>
            <w:r>
              <w:rPr>
                <w:rFonts w:hint="eastAsia" w:ascii="宋体" w:hAnsi="宋体" w:cs="宋体"/>
                <w:w w:val="99"/>
                <w:kern w:val="2"/>
                <w:sz w:val="21"/>
                <w:szCs w:val="21"/>
              </w:rPr>
              <w:t>蹲便器</w:t>
            </w: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rPr>
            </w:pPr>
          </w:p>
        </w:tc>
        <w:tc>
          <w:tcPr>
            <w:tcW w:w="2092" w:type="pct"/>
            <w:tcBorders>
              <w:top w:val="single" w:color="000000" w:sz="4" w:space="0"/>
              <w:left w:val="single" w:color="000000" w:sz="4" w:space="0"/>
              <w:bottom w:val="single" w:color="000000" w:sz="4" w:space="0"/>
              <w:right w:val="single" w:color="000000" w:sz="4" w:space="0"/>
            </w:tcBorders>
          </w:tcPr>
          <w:p>
            <w:pPr>
              <w:pStyle w:val="115"/>
              <w:spacing w:before="124" w:line="240" w:lineRule="exact"/>
              <w:ind w:left="7" w:right="4"/>
              <w:rPr>
                <w:rFonts w:ascii="宋体" w:hAnsi="宋体" w:cs="宋体"/>
                <w:kern w:val="2"/>
                <w:sz w:val="21"/>
                <w:szCs w:val="21"/>
                <w:lang w:eastAsia="zh-CN"/>
              </w:rPr>
            </w:pPr>
            <w:r>
              <w:rPr>
                <w:rFonts w:hint="eastAsia" w:ascii="宋体" w:hAnsi="宋体" w:cs="宋体"/>
                <w:spacing w:val="12"/>
                <w:w w:val="99"/>
                <w:kern w:val="2"/>
                <w:sz w:val="21"/>
                <w:szCs w:val="21"/>
                <w:lang w:eastAsia="zh-CN"/>
              </w:rPr>
              <w:t>《蹲便器用水效率限定</w:t>
            </w:r>
            <w:r>
              <w:rPr>
                <w:rFonts w:hint="eastAsia" w:ascii="宋体" w:hAnsi="宋体" w:cs="宋体"/>
                <w:spacing w:val="9"/>
                <w:w w:val="99"/>
                <w:kern w:val="2"/>
                <w:sz w:val="21"/>
                <w:szCs w:val="21"/>
                <w:lang w:eastAsia="zh-CN"/>
              </w:rPr>
              <w:t>值</w:t>
            </w:r>
            <w:r>
              <w:rPr>
                <w:rFonts w:hint="eastAsia" w:ascii="宋体" w:hAnsi="宋体" w:cs="宋体"/>
                <w:spacing w:val="12"/>
                <w:w w:val="99"/>
                <w:kern w:val="2"/>
                <w:sz w:val="21"/>
                <w:szCs w:val="21"/>
                <w:lang w:eastAsia="zh-CN"/>
              </w:rPr>
              <w:t>及用</w:t>
            </w:r>
            <w:r>
              <w:rPr>
                <w:rFonts w:hint="eastAsia" w:ascii="宋体" w:hAnsi="宋体" w:cs="宋体"/>
                <w:w w:val="99"/>
                <w:kern w:val="2"/>
                <w:sz w:val="21"/>
                <w:szCs w:val="21"/>
                <w:lang w:eastAsia="zh-CN"/>
              </w:rPr>
              <w:t>水效率等</w:t>
            </w:r>
            <w:r>
              <w:rPr>
                <w:rFonts w:hint="eastAsia" w:ascii="宋体" w:hAnsi="宋体" w:cs="宋体"/>
                <w:spacing w:val="2"/>
                <w:w w:val="99"/>
                <w:kern w:val="2"/>
                <w:sz w:val="21"/>
                <w:szCs w:val="21"/>
                <w:lang w:eastAsia="zh-CN"/>
              </w:rPr>
              <w:t>级</w:t>
            </w:r>
            <w:r>
              <w:rPr>
                <w:rFonts w:hint="eastAsia" w:ascii="宋体" w:hAnsi="宋体" w:cs="宋体"/>
                <w:w w:val="99"/>
                <w:kern w:val="2"/>
                <w:sz w:val="21"/>
                <w:szCs w:val="21"/>
                <w:lang w:eastAsia="zh-CN"/>
              </w:rPr>
              <w:t>》（</w:t>
            </w:r>
            <w:r>
              <w:rPr>
                <w:rFonts w:hint="eastAsia" w:ascii="宋体" w:hAnsi="宋体" w:cs="宋体"/>
                <w:spacing w:val="1"/>
                <w:w w:val="99"/>
                <w:kern w:val="2"/>
                <w:sz w:val="21"/>
                <w:szCs w:val="21"/>
                <w:lang w:eastAsia="zh-CN"/>
              </w:rPr>
              <w:t>G</w:t>
            </w:r>
            <w:r>
              <w:rPr>
                <w:rFonts w:hint="eastAsia" w:ascii="宋体" w:hAnsi="宋体" w:cs="宋体"/>
                <w:w w:val="99"/>
                <w:kern w:val="2"/>
                <w:sz w:val="21"/>
                <w:szCs w:val="21"/>
                <w:lang w:eastAsia="zh-CN"/>
              </w:rPr>
              <w:t>B</w:t>
            </w:r>
            <w:r>
              <w:rPr>
                <w:rFonts w:hint="eastAsia" w:ascii="宋体" w:hAnsi="宋体" w:cs="宋体"/>
                <w:spacing w:val="1"/>
                <w:w w:val="99"/>
                <w:kern w:val="2"/>
                <w:sz w:val="21"/>
                <w:szCs w:val="21"/>
                <w:lang w:eastAsia="zh-CN"/>
              </w:rPr>
              <w:t>307</w:t>
            </w:r>
            <w:r>
              <w:rPr>
                <w:rFonts w:hint="eastAsia" w:ascii="宋体" w:hAnsi="宋体" w:cs="宋体"/>
                <w:w w:val="99"/>
                <w:kern w:val="2"/>
                <w:sz w:val="21"/>
                <w:szCs w:val="21"/>
                <w:lang w:eastAsia="zh-CN"/>
              </w:rPr>
              <w:t>1</w:t>
            </w:r>
            <w:r>
              <w:rPr>
                <w:rFonts w:hint="eastAsia" w:ascii="宋体" w:hAnsi="宋体" w:cs="宋体"/>
                <w:spacing w:val="-1"/>
                <w:w w:val="99"/>
                <w:kern w:val="2"/>
                <w:sz w:val="21"/>
                <w:szCs w:val="21"/>
                <w:lang w:eastAsia="zh-CN"/>
              </w:rPr>
              <w:t>7</w:t>
            </w:r>
            <w:r>
              <w:rPr>
                <w:rFonts w:hint="eastAsia" w:ascii="宋体" w:hAnsi="宋体" w:cs="宋体"/>
                <w:w w:val="99"/>
                <w:kern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szCs w:val="21"/>
              </w:rPr>
            </w:pPr>
          </w:p>
        </w:tc>
        <w:tc>
          <w:tcPr>
            <w:tcW w:w="83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w w:val="99"/>
                <w:szCs w:val="21"/>
              </w:rPr>
            </w:pPr>
          </w:p>
        </w:tc>
        <w:tc>
          <w:tcPr>
            <w:tcW w:w="878" w:type="pct"/>
            <w:tcBorders>
              <w:top w:val="single" w:color="000000" w:sz="4" w:space="0"/>
              <w:left w:val="single" w:color="000000" w:sz="4" w:space="0"/>
              <w:bottom w:val="single" w:color="000000" w:sz="4" w:space="0"/>
              <w:right w:val="single" w:color="000000" w:sz="4" w:space="0"/>
            </w:tcBorders>
            <w:vAlign w:val="center"/>
          </w:tcPr>
          <w:p>
            <w:pPr>
              <w:pStyle w:val="115"/>
              <w:spacing w:line="240" w:lineRule="exact"/>
              <w:jc w:val="center"/>
              <w:rPr>
                <w:rFonts w:ascii="宋体" w:hAnsi="宋体" w:cs="宋体"/>
                <w:kern w:val="2"/>
                <w:sz w:val="21"/>
                <w:szCs w:val="21"/>
              </w:rPr>
            </w:pPr>
            <w:r>
              <w:rPr>
                <w:rFonts w:hint="eastAsia" w:ascii="宋体" w:hAnsi="宋体" w:cs="宋体"/>
                <w:w w:val="99"/>
                <w:kern w:val="2"/>
                <w:sz w:val="21"/>
                <w:szCs w:val="21"/>
              </w:rPr>
              <w:t>小便器</w:t>
            </w: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rPr>
            </w:pPr>
          </w:p>
        </w:tc>
        <w:tc>
          <w:tcPr>
            <w:tcW w:w="2092" w:type="pct"/>
            <w:tcBorders>
              <w:top w:val="single" w:color="000000" w:sz="4" w:space="0"/>
              <w:left w:val="single" w:color="000000" w:sz="4" w:space="0"/>
              <w:bottom w:val="single" w:color="000000" w:sz="4" w:space="0"/>
              <w:right w:val="single" w:color="000000" w:sz="4" w:space="0"/>
            </w:tcBorders>
          </w:tcPr>
          <w:p>
            <w:pPr>
              <w:pStyle w:val="115"/>
              <w:spacing w:before="124" w:line="240" w:lineRule="exact"/>
              <w:ind w:left="7" w:right="4"/>
              <w:rPr>
                <w:rFonts w:ascii="宋体" w:hAnsi="宋体" w:cs="宋体"/>
                <w:kern w:val="2"/>
                <w:sz w:val="21"/>
                <w:szCs w:val="21"/>
                <w:lang w:eastAsia="zh-CN"/>
              </w:rPr>
            </w:pPr>
            <w:r>
              <w:rPr>
                <w:rFonts w:hint="eastAsia" w:ascii="宋体" w:hAnsi="宋体" w:cs="宋体"/>
                <w:spacing w:val="12"/>
                <w:w w:val="99"/>
                <w:kern w:val="2"/>
                <w:sz w:val="21"/>
                <w:szCs w:val="21"/>
                <w:lang w:eastAsia="zh-CN"/>
              </w:rPr>
              <w:t>《小便器用水效率限定</w:t>
            </w:r>
            <w:r>
              <w:rPr>
                <w:rFonts w:hint="eastAsia" w:ascii="宋体" w:hAnsi="宋体" w:cs="宋体"/>
                <w:spacing w:val="9"/>
                <w:w w:val="99"/>
                <w:kern w:val="2"/>
                <w:sz w:val="21"/>
                <w:szCs w:val="21"/>
                <w:lang w:eastAsia="zh-CN"/>
              </w:rPr>
              <w:t>值</w:t>
            </w:r>
            <w:r>
              <w:rPr>
                <w:rFonts w:hint="eastAsia" w:ascii="宋体" w:hAnsi="宋体" w:cs="宋体"/>
                <w:spacing w:val="12"/>
                <w:w w:val="99"/>
                <w:kern w:val="2"/>
                <w:sz w:val="21"/>
                <w:szCs w:val="21"/>
                <w:lang w:eastAsia="zh-CN"/>
              </w:rPr>
              <w:t>及用</w:t>
            </w:r>
            <w:r>
              <w:rPr>
                <w:rFonts w:hint="eastAsia" w:ascii="宋体" w:hAnsi="宋体" w:cs="宋体"/>
                <w:w w:val="99"/>
                <w:kern w:val="2"/>
                <w:sz w:val="21"/>
                <w:szCs w:val="21"/>
                <w:lang w:eastAsia="zh-CN"/>
              </w:rPr>
              <w:t>水效率等</w:t>
            </w:r>
            <w:r>
              <w:rPr>
                <w:rFonts w:hint="eastAsia" w:ascii="宋体" w:hAnsi="宋体" w:cs="宋体"/>
                <w:spacing w:val="2"/>
                <w:w w:val="99"/>
                <w:kern w:val="2"/>
                <w:sz w:val="21"/>
                <w:szCs w:val="21"/>
                <w:lang w:eastAsia="zh-CN"/>
              </w:rPr>
              <w:t>级</w:t>
            </w:r>
            <w:r>
              <w:rPr>
                <w:rFonts w:hint="eastAsia" w:ascii="宋体" w:hAnsi="宋体" w:cs="宋体"/>
                <w:w w:val="99"/>
                <w:kern w:val="2"/>
                <w:sz w:val="21"/>
                <w:szCs w:val="21"/>
                <w:lang w:eastAsia="zh-CN"/>
              </w:rPr>
              <w:t>》（</w:t>
            </w:r>
            <w:r>
              <w:rPr>
                <w:rFonts w:hint="eastAsia" w:ascii="宋体" w:hAnsi="宋体" w:cs="宋体"/>
                <w:spacing w:val="1"/>
                <w:w w:val="99"/>
                <w:kern w:val="2"/>
                <w:sz w:val="21"/>
                <w:szCs w:val="21"/>
                <w:lang w:eastAsia="zh-CN"/>
              </w:rPr>
              <w:t>G</w:t>
            </w:r>
            <w:r>
              <w:rPr>
                <w:rFonts w:hint="eastAsia" w:ascii="宋体" w:hAnsi="宋体" w:cs="宋体"/>
                <w:w w:val="99"/>
                <w:kern w:val="2"/>
                <w:sz w:val="21"/>
                <w:szCs w:val="21"/>
                <w:lang w:eastAsia="zh-CN"/>
              </w:rPr>
              <w:t>B</w:t>
            </w:r>
            <w:r>
              <w:rPr>
                <w:rFonts w:hint="eastAsia" w:ascii="宋体" w:hAnsi="宋体" w:cs="宋体"/>
                <w:spacing w:val="1"/>
                <w:w w:val="99"/>
                <w:kern w:val="2"/>
                <w:sz w:val="21"/>
                <w:szCs w:val="21"/>
                <w:lang w:eastAsia="zh-CN"/>
              </w:rPr>
              <w:t>283</w:t>
            </w:r>
            <w:r>
              <w:rPr>
                <w:rFonts w:hint="eastAsia" w:ascii="宋体" w:hAnsi="宋体" w:cs="宋体"/>
                <w:w w:val="99"/>
                <w:kern w:val="2"/>
                <w:sz w:val="21"/>
                <w:szCs w:val="21"/>
                <w:lang w:eastAsia="zh-CN"/>
              </w:rPr>
              <w:t>7</w:t>
            </w:r>
            <w:r>
              <w:rPr>
                <w:rFonts w:hint="eastAsia" w:ascii="宋体" w:hAnsi="宋体" w:cs="宋体"/>
                <w:spacing w:val="-1"/>
                <w:w w:val="99"/>
                <w:kern w:val="2"/>
                <w:sz w:val="21"/>
                <w:szCs w:val="21"/>
                <w:lang w:eastAsia="zh-CN"/>
              </w:rPr>
              <w:t>7</w:t>
            </w:r>
            <w:r>
              <w:rPr>
                <w:rFonts w:hint="eastAsia" w:ascii="宋体" w:hAnsi="宋体" w:cs="宋体"/>
                <w:w w:val="99"/>
                <w:kern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tcBorders>
              <w:top w:val="single" w:color="000000" w:sz="4" w:space="0"/>
              <w:left w:val="single" w:color="000000" w:sz="4" w:space="0"/>
              <w:bottom w:val="single" w:color="000000" w:sz="4" w:space="0"/>
              <w:right w:val="single" w:color="000000" w:sz="4" w:space="0"/>
            </w:tcBorders>
            <w:vAlign w:val="center"/>
          </w:tcPr>
          <w:p>
            <w:pPr>
              <w:pStyle w:val="115"/>
              <w:spacing w:line="240" w:lineRule="exact"/>
              <w:jc w:val="center"/>
              <w:rPr>
                <w:rFonts w:ascii="宋体" w:hAnsi="宋体" w:cs="宋体"/>
                <w:kern w:val="2"/>
                <w:sz w:val="21"/>
                <w:szCs w:val="21"/>
              </w:rPr>
            </w:pPr>
            <w:r>
              <w:rPr>
                <w:rFonts w:hint="eastAsia" w:ascii="宋体" w:hAnsi="宋体"/>
                <w:kern w:val="2"/>
                <w:sz w:val="21"/>
                <w:szCs w:val="21"/>
              </w:rPr>
              <w:t>16</w:t>
            </w:r>
          </w:p>
        </w:tc>
        <w:tc>
          <w:tcPr>
            <w:tcW w:w="834" w:type="pct"/>
            <w:tcBorders>
              <w:top w:val="single" w:color="000000" w:sz="4" w:space="0"/>
              <w:left w:val="single" w:color="000000" w:sz="4" w:space="0"/>
              <w:bottom w:val="single" w:color="000000" w:sz="4" w:space="0"/>
              <w:right w:val="single" w:color="000000" w:sz="4" w:space="0"/>
            </w:tcBorders>
            <w:vAlign w:val="center"/>
          </w:tcPr>
          <w:p>
            <w:pPr>
              <w:pStyle w:val="115"/>
              <w:spacing w:before="153" w:line="240" w:lineRule="exact"/>
              <w:ind w:left="7"/>
              <w:jc w:val="center"/>
              <w:rPr>
                <w:rFonts w:ascii="宋体" w:hAnsi="宋体" w:cs="宋体"/>
                <w:kern w:val="2"/>
                <w:sz w:val="21"/>
                <w:szCs w:val="21"/>
              </w:rPr>
            </w:pPr>
            <w:r>
              <w:rPr>
                <w:rFonts w:hint="eastAsia" w:ascii="宋体" w:hAnsi="宋体" w:cs="宋体"/>
                <w:kern w:val="2"/>
                <w:sz w:val="21"/>
                <w:szCs w:val="21"/>
              </w:rPr>
              <w:t>★</w:t>
            </w:r>
            <w:r>
              <w:rPr>
                <w:rFonts w:hint="eastAsia" w:ascii="宋体" w:hAnsi="宋体" w:cs="仿宋_GB2312"/>
                <w:kern w:val="2"/>
                <w:sz w:val="21"/>
                <w:szCs w:val="21"/>
              </w:rPr>
              <w:t>A05020106</w:t>
            </w:r>
            <w:r>
              <w:rPr>
                <w:rFonts w:hint="eastAsia" w:ascii="宋体" w:hAnsi="宋体" w:cs="宋体"/>
                <w:kern w:val="2"/>
                <w:sz w:val="21"/>
                <w:szCs w:val="21"/>
              </w:rPr>
              <w:t>水</w:t>
            </w:r>
            <w:r>
              <w:rPr>
                <w:rFonts w:hint="eastAsia" w:ascii="宋体" w:hAnsi="宋体" w:cs="宋体"/>
                <w:w w:val="99"/>
                <w:kern w:val="2"/>
                <w:sz w:val="21"/>
                <w:szCs w:val="21"/>
              </w:rPr>
              <w:t>嘴</w:t>
            </w:r>
          </w:p>
        </w:tc>
        <w:tc>
          <w:tcPr>
            <w:tcW w:w="878"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lang w:eastAsia="en-US"/>
              </w:rPr>
            </w:pP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lang w:eastAsia="en-US"/>
              </w:rPr>
            </w:pPr>
          </w:p>
        </w:tc>
        <w:tc>
          <w:tcPr>
            <w:tcW w:w="2092" w:type="pct"/>
            <w:tcBorders>
              <w:top w:val="single" w:color="000000" w:sz="4" w:space="0"/>
              <w:left w:val="single" w:color="000000" w:sz="4" w:space="0"/>
              <w:bottom w:val="single" w:color="000000" w:sz="4" w:space="0"/>
              <w:right w:val="single" w:color="000000" w:sz="4" w:space="0"/>
            </w:tcBorders>
          </w:tcPr>
          <w:p>
            <w:pPr>
              <w:pStyle w:val="115"/>
              <w:spacing w:before="153" w:line="240" w:lineRule="exact"/>
              <w:ind w:left="7" w:right="4"/>
              <w:rPr>
                <w:rFonts w:ascii="宋体" w:hAnsi="宋体" w:cs="宋体"/>
                <w:kern w:val="2"/>
                <w:sz w:val="21"/>
                <w:szCs w:val="21"/>
                <w:lang w:eastAsia="zh-CN"/>
              </w:rPr>
            </w:pPr>
            <w:r>
              <w:rPr>
                <w:rFonts w:hint="eastAsia" w:ascii="宋体" w:hAnsi="宋体" w:cs="宋体"/>
                <w:spacing w:val="10"/>
                <w:kern w:val="2"/>
                <w:sz w:val="21"/>
                <w:szCs w:val="21"/>
                <w:lang w:eastAsia="zh-CN"/>
              </w:rPr>
              <w:t>《水嘴用水效率限定值及用水效</w:t>
            </w:r>
            <w:r>
              <w:rPr>
                <w:rFonts w:hint="eastAsia" w:ascii="宋体" w:hAnsi="宋体" w:cs="宋体"/>
                <w:kern w:val="2"/>
                <w:sz w:val="21"/>
                <w:szCs w:val="21"/>
                <w:lang w:eastAsia="zh-CN"/>
              </w:rPr>
              <w:t>率等级》（GB 25501）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tcBorders>
              <w:top w:val="single" w:color="000000" w:sz="4" w:space="0"/>
              <w:left w:val="single" w:color="000000" w:sz="4" w:space="0"/>
              <w:bottom w:val="single" w:color="000000" w:sz="4" w:space="0"/>
              <w:right w:val="single" w:color="000000" w:sz="4" w:space="0"/>
            </w:tcBorders>
            <w:vAlign w:val="center"/>
          </w:tcPr>
          <w:p>
            <w:pPr>
              <w:pStyle w:val="115"/>
              <w:spacing w:line="240" w:lineRule="exact"/>
              <w:jc w:val="center"/>
              <w:rPr>
                <w:rFonts w:ascii="宋体" w:hAnsi="宋体" w:cs="宋体"/>
                <w:kern w:val="2"/>
                <w:sz w:val="21"/>
                <w:szCs w:val="21"/>
              </w:rPr>
            </w:pPr>
            <w:r>
              <w:rPr>
                <w:rFonts w:hint="eastAsia" w:ascii="宋体" w:hAnsi="宋体"/>
                <w:kern w:val="2"/>
                <w:sz w:val="21"/>
                <w:szCs w:val="21"/>
              </w:rPr>
              <w:t>17</w:t>
            </w:r>
          </w:p>
        </w:tc>
        <w:tc>
          <w:tcPr>
            <w:tcW w:w="834" w:type="pct"/>
            <w:tcBorders>
              <w:top w:val="single" w:color="000000" w:sz="4" w:space="0"/>
              <w:left w:val="single" w:color="000000" w:sz="4" w:space="0"/>
              <w:bottom w:val="single" w:color="000000" w:sz="4" w:space="0"/>
              <w:right w:val="single" w:color="000000" w:sz="4" w:space="0"/>
            </w:tcBorders>
            <w:vAlign w:val="center"/>
          </w:tcPr>
          <w:p>
            <w:pPr>
              <w:pStyle w:val="115"/>
              <w:spacing w:before="112" w:line="240" w:lineRule="exact"/>
              <w:ind w:left="7"/>
              <w:jc w:val="center"/>
              <w:rPr>
                <w:rFonts w:ascii="宋体" w:hAnsi="宋体" w:cs="宋体"/>
                <w:kern w:val="2"/>
                <w:sz w:val="21"/>
                <w:szCs w:val="21"/>
              </w:rPr>
            </w:pPr>
            <w:r>
              <w:rPr>
                <w:rFonts w:hint="eastAsia" w:ascii="宋体" w:hAnsi="宋体" w:cs="仿宋_GB2312"/>
                <w:kern w:val="2"/>
                <w:sz w:val="21"/>
                <w:szCs w:val="21"/>
              </w:rPr>
              <w:t>A05020107</w:t>
            </w:r>
            <w:r>
              <w:rPr>
                <w:rFonts w:hint="eastAsia" w:ascii="宋体" w:hAnsi="宋体" w:cs="宋体"/>
                <w:kern w:val="2"/>
                <w:sz w:val="21"/>
                <w:szCs w:val="21"/>
              </w:rPr>
              <w:t>便器冲洗阀</w:t>
            </w:r>
          </w:p>
        </w:tc>
        <w:tc>
          <w:tcPr>
            <w:tcW w:w="878"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lang w:eastAsia="en-US"/>
              </w:rPr>
            </w:pP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lang w:eastAsia="en-US"/>
              </w:rPr>
            </w:pPr>
          </w:p>
        </w:tc>
        <w:tc>
          <w:tcPr>
            <w:tcW w:w="2092" w:type="pct"/>
            <w:tcBorders>
              <w:top w:val="single" w:color="000000" w:sz="4" w:space="0"/>
              <w:left w:val="single" w:color="000000" w:sz="4" w:space="0"/>
              <w:bottom w:val="single" w:color="000000" w:sz="4" w:space="0"/>
              <w:right w:val="single" w:color="000000" w:sz="4" w:space="0"/>
            </w:tcBorders>
          </w:tcPr>
          <w:p>
            <w:pPr>
              <w:pStyle w:val="115"/>
              <w:spacing w:before="112" w:line="240" w:lineRule="exact"/>
              <w:ind w:left="7" w:right="4"/>
              <w:rPr>
                <w:rFonts w:ascii="宋体" w:hAnsi="宋体" w:cs="宋体"/>
                <w:kern w:val="2"/>
                <w:sz w:val="21"/>
                <w:szCs w:val="21"/>
                <w:lang w:eastAsia="zh-CN"/>
              </w:rPr>
            </w:pPr>
            <w:r>
              <w:rPr>
                <w:rFonts w:hint="eastAsia" w:ascii="宋体" w:hAnsi="宋体" w:cs="宋体"/>
                <w:spacing w:val="10"/>
                <w:kern w:val="2"/>
                <w:sz w:val="21"/>
                <w:szCs w:val="21"/>
                <w:lang w:eastAsia="zh-CN"/>
              </w:rPr>
              <w:t>《便器冲洗阀用水效率限定值及</w:t>
            </w:r>
            <w:r>
              <w:rPr>
                <w:rFonts w:hint="eastAsia" w:ascii="宋体" w:hAnsi="宋体" w:cs="宋体"/>
                <w:kern w:val="2"/>
                <w:sz w:val="21"/>
                <w:szCs w:val="21"/>
                <w:lang w:eastAsia="zh-CN"/>
              </w:rPr>
              <w:t>用水效率等级》（GB28379）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tcBorders>
              <w:top w:val="single" w:color="000000" w:sz="4" w:space="0"/>
              <w:left w:val="single" w:color="000000" w:sz="4" w:space="0"/>
              <w:bottom w:val="single" w:color="000000" w:sz="4" w:space="0"/>
              <w:right w:val="single" w:color="000000" w:sz="4" w:space="0"/>
            </w:tcBorders>
            <w:vAlign w:val="center"/>
          </w:tcPr>
          <w:p>
            <w:pPr>
              <w:pStyle w:val="115"/>
              <w:spacing w:line="240" w:lineRule="exact"/>
              <w:jc w:val="center"/>
              <w:rPr>
                <w:rFonts w:ascii="宋体" w:hAnsi="宋体" w:cs="宋体"/>
                <w:kern w:val="2"/>
                <w:sz w:val="21"/>
                <w:szCs w:val="21"/>
              </w:rPr>
            </w:pPr>
            <w:r>
              <w:rPr>
                <w:rFonts w:hint="eastAsia" w:ascii="宋体" w:hAnsi="宋体"/>
                <w:kern w:val="2"/>
                <w:sz w:val="21"/>
                <w:szCs w:val="21"/>
              </w:rPr>
              <w:t>18</w:t>
            </w:r>
          </w:p>
        </w:tc>
        <w:tc>
          <w:tcPr>
            <w:tcW w:w="834" w:type="pct"/>
            <w:tcBorders>
              <w:top w:val="single" w:color="000000" w:sz="4" w:space="0"/>
              <w:left w:val="single" w:color="000000" w:sz="4" w:space="0"/>
              <w:bottom w:val="single" w:color="000000" w:sz="4" w:space="0"/>
              <w:right w:val="single" w:color="000000" w:sz="4" w:space="0"/>
            </w:tcBorders>
            <w:vAlign w:val="center"/>
          </w:tcPr>
          <w:p>
            <w:pPr>
              <w:pStyle w:val="115"/>
              <w:spacing w:before="131" w:line="240" w:lineRule="exact"/>
              <w:ind w:left="7"/>
              <w:jc w:val="center"/>
              <w:rPr>
                <w:rFonts w:ascii="宋体" w:hAnsi="宋体" w:cs="宋体"/>
                <w:kern w:val="2"/>
                <w:sz w:val="21"/>
                <w:szCs w:val="21"/>
              </w:rPr>
            </w:pPr>
            <w:r>
              <w:rPr>
                <w:rFonts w:hint="eastAsia" w:ascii="宋体" w:hAnsi="宋体" w:cs="仿宋_GB2312"/>
                <w:kern w:val="2"/>
                <w:sz w:val="21"/>
                <w:szCs w:val="21"/>
              </w:rPr>
              <w:t>A05020110</w:t>
            </w:r>
            <w:r>
              <w:rPr>
                <w:rFonts w:hint="eastAsia" w:ascii="宋体" w:hAnsi="宋体" w:cs="宋体"/>
                <w:kern w:val="2"/>
                <w:sz w:val="21"/>
                <w:szCs w:val="21"/>
              </w:rPr>
              <w:t>淋浴</w:t>
            </w:r>
            <w:r>
              <w:rPr>
                <w:rFonts w:hint="eastAsia" w:ascii="宋体" w:hAnsi="宋体" w:cs="宋体"/>
                <w:w w:val="99"/>
                <w:kern w:val="2"/>
                <w:sz w:val="21"/>
                <w:szCs w:val="21"/>
              </w:rPr>
              <w:t>器</w:t>
            </w:r>
          </w:p>
        </w:tc>
        <w:tc>
          <w:tcPr>
            <w:tcW w:w="878"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lang w:eastAsia="en-US"/>
              </w:rPr>
            </w:pP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宋体" w:hAnsi="宋体"/>
                <w:szCs w:val="21"/>
                <w:lang w:eastAsia="en-US"/>
              </w:rPr>
            </w:pPr>
          </w:p>
        </w:tc>
        <w:tc>
          <w:tcPr>
            <w:tcW w:w="2092" w:type="pct"/>
            <w:tcBorders>
              <w:top w:val="single" w:color="000000" w:sz="4" w:space="0"/>
              <w:left w:val="single" w:color="000000" w:sz="4" w:space="0"/>
              <w:bottom w:val="single" w:color="000000" w:sz="4" w:space="0"/>
              <w:right w:val="single" w:color="000000" w:sz="4" w:space="0"/>
            </w:tcBorders>
          </w:tcPr>
          <w:p>
            <w:pPr>
              <w:pStyle w:val="115"/>
              <w:spacing w:before="131" w:line="240" w:lineRule="exact"/>
              <w:ind w:left="7" w:right="4"/>
              <w:rPr>
                <w:rFonts w:ascii="宋体" w:hAnsi="宋体" w:cs="宋体"/>
                <w:kern w:val="2"/>
                <w:sz w:val="21"/>
                <w:szCs w:val="21"/>
                <w:lang w:eastAsia="zh-CN"/>
              </w:rPr>
            </w:pPr>
            <w:r>
              <w:rPr>
                <w:rFonts w:hint="eastAsia" w:ascii="宋体" w:hAnsi="宋体" w:cs="宋体"/>
                <w:spacing w:val="10"/>
                <w:kern w:val="2"/>
                <w:sz w:val="21"/>
                <w:szCs w:val="21"/>
                <w:lang w:eastAsia="zh-CN"/>
              </w:rPr>
              <w:t>《淋浴器用水效率限定值及用水</w:t>
            </w:r>
            <w:r>
              <w:rPr>
                <w:rFonts w:hint="eastAsia" w:ascii="宋体" w:hAnsi="宋体" w:cs="宋体"/>
                <w:kern w:val="2"/>
                <w:sz w:val="21"/>
                <w:szCs w:val="21"/>
                <w:lang w:eastAsia="zh-CN"/>
              </w:rPr>
              <w:t>效率等级》（GB28378）</w:t>
            </w:r>
          </w:p>
        </w:tc>
      </w:tr>
    </w:tbl>
    <w:p>
      <w:pPr>
        <w:pStyle w:val="18"/>
        <w:spacing w:line="360" w:lineRule="auto"/>
        <w:rPr>
          <w:rFonts w:ascii="宋体" w:hAnsi="宋体"/>
          <w:kern w:val="2"/>
          <w:sz w:val="21"/>
          <w:szCs w:val="21"/>
        </w:rPr>
      </w:pPr>
      <w:r>
        <w:rPr>
          <w:rFonts w:hint="eastAsia" w:ascii="宋体" w:hAnsi="宋体"/>
          <w:spacing w:val="-3"/>
          <w:sz w:val="21"/>
          <w:szCs w:val="21"/>
        </w:rPr>
        <w:t>注：</w:t>
      </w:r>
      <w:r>
        <w:rPr>
          <w:rFonts w:ascii="宋体" w:hAnsi="宋体"/>
          <w:spacing w:val="-3"/>
          <w:sz w:val="21"/>
          <w:szCs w:val="21"/>
        </w:rPr>
        <w:t>1.</w:t>
      </w:r>
      <w:r>
        <w:rPr>
          <w:rFonts w:hint="eastAsia" w:ascii="宋体" w:hAnsi="宋体"/>
          <w:spacing w:val="-3"/>
          <w:sz w:val="21"/>
          <w:szCs w:val="21"/>
        </w:rPr>
        <w:t>节能产品认证应依据相关国家标准的最新版本，依据国家标准中二级能效（水效）</w:t>
      </w:r>
      <w:r>
        <w:rPr>
          <w:rFonts w:hint="eastAsia" w:ascii="宋体" w:hAnsi="宋体"/>
          <w:sz w:val="21"/>
          <w:szCs w:val="21"/>
        </w:rPr>
        <w:t>指标。</w:t>
      </w:r>
    </w:p>
    <w:p>
      <w:pPr>
        <w:pStyle w:val="18"/>
        <w:spacing w:line="360" w:lineRule="auto"/>
        <w:ind w:firstLine="465"/>
        <w:rPr>
          <w:rFonts w:ascii="宋体" w:hAnsi="宋体"/>
          <w:sz w:val="21"/>
          <w:szCs w:val="21"/>
        </w:rPr>
      </w:pPr>
      <w:r>
        <w:rPr>
          <w:rFonts w:ascii="宋体" w:hAnsi="宋体"/>
          <w:sz w:val="21"/>
          <w:szCs w:val="21"/>
        </w:rPr>
        <w:t>2</w:t>
      </w:r>
      <w:r>
        <w:rPr>
          <w:rFonts w:hint="eastAsia" w:ascii="宋体" w:hAnsi="宋体"/>
          <w:sz w:val="21"/>
          <w:szCs w:val="21"/>
        </w:rPr>
        <w:t>.以</w:t>
      </w:r>
      <w:r>
        <w:rPr>
          <w:rFonts w:ascii="宋体" w:hAnsi="宋体"/>
          <w:sz w:val="21"/>
          <w:szCs w:val="21"/>
        </w:rPr>
        <w:t>“</w:t>
      </w:r>
      <w:r>
        <w:rPr>
          <w:rFonts w:hint="eastAsia" w:ascii="宋体" w:hAnsi="宋体"/>
          <w:sz w:val="21"/>
          <w:szCs w:val="21"/>
        </w:rPr>
        <w:t>★</w:t>
      </w:r>
      <w:r>
        <w:rPr>
          <w:rFonts w:ascii="宋体" w:hAnsi="宋体"/>
          <w:sz w:val="21"/>
          <w:szCs w:val="21"/>
        </w:rPr>
        <w:t>”</w:t>
      </w:r>
      <w:r>
        <w:rPr>
          <w:rFonts w:hint="eastAsia" w:ascii="宋体" w:hAnsi="宋体"/>
          <w:sz w:val="21"/>
          <w:szCs w:val="21"/>
        </w:rPr>
        <w:t>标注的为政府强制采购产品。</w:t>
      </w:r>
    </w:p>
    <w:p>
      <w:pPr>
        <w:pStyle w:val="18"/>
        <w:spacing w:line="360" w:lineRule="auto"/>
        <w:ind w:firstLine="465"/>
        <w:rPr>
          <w:rFonts w:ascii="宋体" w:hAnsi="宋体"/>
          <w:sz w:val="21"/>
          <w:szCs w:val="21"/>
        </w:rPr>
      </w:pPr>
      <w:r>
        <w:rPr>
          <w:rFonts w:hint="eastAsia" w:ascii="宋体" w:hAnsi="宋体"/>
          <w:sz w:val="21"/>
          <w:szCs w:val="21"/>
        </w:rPr>
        <w:t>3.本表格原为《关于印发节能产品政府采购品目清单的通知》（财库〔2019〕19号）规定的表格附件，其中名称及编码已根据《财政部关于印发〈政府采购品目分类目录〉的通知》（财库〔2022〕31号）修改。</w:t>
      </w:r>
    </w:p>
    <w:p>
      <w:pPr>
        <w:pStyle w:val="18"/>
        <w:spacing w:line="360" w:lineRule="auto"/>
        <w:ind w:firstLine="465"/>
        <w:rPr>
          <w:rFonts w:ascii="宋体" w:hAnsi="宋体"/>
          <w:sz w:val="21"/>
          <w:szCs w:val="21"/>
        </w:rPr>
      </w:pPr>
    </w:p>
    <w:p>
      <w:pPr>
        <w:tabs>
          <w:tab w:val="left" w:pos="180"/>
          <w:tab w:val="left" w:pos="1620"/>
        </w:tabs>
        <w:spacing w:line="360" w:lineRule="auto"/>
        <w:ind w:firstLine="420" w:firstLineChars="200"/>
        <w:rPr>
          <w:rFonts w:ascii="宋体" w:hAnsi="宋体"/>
        </w:rPr>
      </w:pPr>
    </w:p>
    <w:p>
      <w:pPr>
        <w:widowControl/>
        <w:jc w:val="left"/>
        <w:rPr>
          <w:rFonts w:ascii="黑体" w:hAnsi="黑体" w:eastAsia="黑体" w:cs="黑体"/>
          <w:sz w:val="32"/>
          <w:szCs w:val="32"/>
        </w:rPr>
      </w:pPr>
      <w:r>
        <w:rPr>
          <w:rFonts w:ascii="Arial Unicode MS" w:hAnsi="Arial Unicode MS" w:eastAsia="等线" w:cs="Arial Unicode MS"/>
          <w:kern w:val="0"/>
          <w:sz w:val="32"/>
          <w:szCs w:val="32"/>
        </w:rPr>
        <w:br w:type="page"/>
      </w:r>
      <w:r>
        <w:rPr>
          <w:rFonts w:hint="eastAsia" w:ascii="黑体" w:hAnsi="黑体" w:eastAsia="黑体" w:cs="黑体"/>
          <w:sz w:val="32"/>
          <w:szCs w:val="32"/>
        </w:rPr>
        <w:t>附件2：</w:t>
      </w:r>
    </w:p>
    <w:p>
      <w:pPr>
        <w:pStyle w:val="18"/>
        <w:jc w:val="center"/>
        <w:rPr>
          <w:b/>
          <w:sz w:val="28"/>
          <w:szCs w:val="28"/>
        </w:rPr>
      </w:pPr>
      <w:r>
        <w:rPr>
          <w:rFonts w:hint="eastAsia"/>
          <w:b/>
          <w:sz w:val="28"/>
          <w:szCs w:val="28"/>
        </w:rPr>
        <w:t>中小企业划型标准规定</w:t>
      </w:r>
    </w:p>
    <w:p>
      <w:pPr>
        <w:pStyle w:val="18"/>
        <w:jc w:val="center"/>
        <w:rPr>
          <w:rFonts w:ascii="宋体" w:hAnsi="宋体"/>
          <w:sz w:val="21"/>
          <w:szCs w:val="21"/>
        </w:rPr>
      </w:pPr>
      <w:r>
        <w:rPr>
          <w:rFonts w:hint="eastAsia" w:ascii="宋体" w:hAnsi="宋体"/>
          <w:sz w:val="21"/>
          <w:szCs w:val="21"/>
        </w:rPr>
        <w:t>工信部联企业〔2011〕300号</w:t>
      </w:r>
    </w:p>
    <w:p>
      <w:pPr>
        <w:pStyle w:val="18"/>
        <w:rPr>
          <w:sz w:val="21"/>
          <w:szCs w:val="21"/>
        </w:rPr>
      </w:pPr>
    </w:p>
    <w:p>
      <w:pPr>
        <w:pStyle w:val="18"/>
        <w:ind w:firstLine="420" w:firstLineChars="200"/>
        <w:rPr>
          <w:sz w:val="21"/>
          <w:szCs w:val="21"/>
        </w:rPr>
      </w:pPr>
      <w:r>
        <w:rPr>
          <w:rFonts w:hint="eastAsia"/>
          <w:sz w:val="21"/>
          <w:szCs w:val="21"/>
        </w:rPr>
        <w:t>一、根据《中华人民共和国中小企业促进法》和《国务院关于进一步促进中小企业发展的若干意见》（国发〔2009〕36号），制定本规定。</w:t>
      </w:r>
    </w:p>
    <w:p>
      <w:pPr>
        <w:pStyle w:val="18"/>
        <w:rPr>
          <w:sz w:val="21"/>
          <w:szCs w:val="21"/>
        </w:rPr>
      </w:pPr>
      <w:r>
        <w:rPr>
          <w:rFonts w:hint="eastAsia"/>
          <w:sz w:val="21"/>
          <w:szCs w:val="21"/>
        </w:rPr>
        <w:t>　　二、中小企业划分为中型、小型、微型三种类型，具体标准根据企业从业人员、营业收入、资产总额等指标，结合行业特点制定。</w:t>
      </w:r>
    </w:p>
    <w:p>
      <w:pPr>
        <w:pStyle w:val="18"/>
        <w:rPr>
          <w:sz w:val="21"/>
          <w:szCs w:val="21"/>
        </w:rPr>
      </w:pPr>
      <w:r>
        <w:rPr>
          <w:rFonts w:hint="eastAsia"/>
          <w:sz w:val="21"/>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pPr>
        <w:pStyle w:val="18"/>
        <w:rPr>
          <w:sz w:val="21"/>
          <w:szCs w:val="21"/>
        </w:rPr>
      </w:pPr>
      <w:r>
        <w:rPr>
          <w:rFonts w:hint="eastAsia"/>
          <w:sz w:val="21"/>
          <w:szCs w:val="21"/>
        </w:rPr>
        <w:t>　　四、各行业划型标准为：</w:t>
      </w:r>
    </w:p>
    <w:p>
      <w:pPr>
        <w:pStyle w:val="18"/>
        <w:rPr>
          <w:sz w:val="21"/>
          <w:szCs w:val="21"/>
        </w:rPr>
      </w:pPr>
      <w:r>
        <w:rPr>
          <w:rFonts w:hint="eastAsia"/>
          <w:sz w:val="21"/>
          <w:szCs w:val="21"/>
        </w:rPr>
        <w:t>　　（一）农、林、牧、渔业。营业收入20000万元以下的为中小微型企业。其中，营业收入500万元及以上的为中型企业，营业收入50万元及以上的为小型企业，营业收入50万元以下的为微型企业。</w:t>
      </w:r>
    </w:p>
    <w:p>
      <w:pPr>
        <w:pStyle w:val="18"/>
        <w:rPr>
          <w:sz w:val="21"/>
          <w:szCs w:val="21"/>
        </w:rPr>
      </w:pPr>
      <w:r>
        <w:rPr>
          <w:rFonts w:hint="eastAsia"/>
          <w:sz w:val="21"/>
          <w:szCs w:val="21"/>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pStyle w:val="18"/>
        <w:rPr>
          <w:sz w:val="21"/>
          <w:szCs w:val="21"/>
        </w:rPr>
      </w:pPr>
      <w:r>
        <w:rPr>
          <w:rFonts w:hint="eastAsia"/>
          <w:sz w:val="21"/>
          <w:szCs w:val="21"/>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pStyle w:val="18"/>
        <w:rPr>
          <w:sz w:val="21"/>
          <w:szCs w:val="21"/>
        </w:rPr>
      </w:pPr>
      <w:r>
        <w:rPr>
          <w:rFonts w:hint="eastAsia"/>
          <w:sz w:val="21"/>
          <w:szCs w:val="21"/>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pStyle w:val="18"/>
        <w:rPr>
          <w:sz w:val="21"/>
          <w:szCs w:val="21"/>
        </w:rPr>
      </w:pPr>
      <w:r>
        <w:rPr>
          <w:rFonts w:hint="eastAsia"/>
          <w:sz w:val="21"/>
          <w:szCs w:val="21"/>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pStyle w:val="18"/>
        <w:rPr>
          <w:sz w:val="21"/>
          <w:szCs w:val="21"/>
        </w:rPr>
      </w:pPr>
      <w:r>
        <w:rPr>
          <w:rFonts w:hint="eastAsia"/>
          <w:sz w:val="21"/>
          <w:szCs w:val="21"/>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pStyle w:val="18"/>
        <w:rPr>
          <w:sz w:val="21"/>
          <w:szCs w:val="21"/>
        </w:rPr>
      </w:pPr>
      <w:r>
        <w:rPr>
          <w:rFonts w:hint="eastAsia"/>
          <w:sz w:val="21"/>
          <w:szCs w:val="21"/>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pStyle w:val="18"/>
        <w:rPr>
          <w:sz w:val="21"/>
          <w:szCs w:val="21"/>
        </w:rPr>
      </w:pPr>
      <w:r>
        <w:rPr>
          <w:rFonts w:hint="eastAsia"/>
          <w:sz w:val="21"/>
          <w:szCs w:val="21"/>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pStyle w:val="18"/>
        <w:rPr>
          <w:sz w:val="21"/>
          <w:szCs w:val="21"/>
        </w:rPr>
      </w:pPr>
      <w:r>
        <w:rPr>
          <w:rFonts w:hint="eastAsia"/>
          <w:sz w:val="21"/>
          <w:szCs w:val="21"/>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pStyle w:val="18"/>
        <w:rPr>
          <w:sz w:val="21"/>
          <w:szCs w:val="21"/>
        </w:rPr>
      </w:pPr>
      <w:r>
        <w:rPr>
          <w:rFonts w:hint="eastAsia"/>
          <w:sz w:val="21"/>
          <w:szCs w:val="21"/>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pStyle w:val="18"/>
        <w:rPr>
          <w:sz w:val="21"/>
          <w:szCs w:val="21"/>
        </w:rPr>
      </w:pPr>
      <w:r>
        <w:rPr>
          <w:rFonts w:hint="eastAsia"/>
          <w:sz w:val="21"/>
          <w:szCs w:val="21"/>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pStyle w:val="18"/>
        <w:rPr>
          <w:sz w:val="21"/>
          <w:szCs w:val="21"/>
        </w:rPr>
      </w:pPr>
      <w:r>
        <w:rPr>
          <w:rFonts w:hint="eastAsia"/>
          <w:sz w:val="21"/>
          <w:szCs w:val="21"/>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pStyle w:val="18"/>
        <w:rPr>
          <w:sz w:val="21"/>
          <w:szCs w:val="21"/>
        </w:rPr>
      </w:pPr>
      <w:r>
        <w:rPr>
          <w:rFonts w:hint="eastAsia"/>
          <w:sz w:val="21"/>
          <w:szCs w:val="21"/>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pStyle w:val="18"/>
        <w:rPr>
          <w:sz w:val="21"/>
          <w:szCs w:val="21"/>
        </w:rPr>
      </w:pPr>
      <w:r>
        <w:rPr>
          <w:rFonts w:hint="eastAsia"/>
          <w:sz w:val="21"/>
          <w:szCs w:val="21"/>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pStyle w:val="18"/>
        <w:rPr>
          <w:sz w:val="21"/>
          <w:szCs w:val="21"/>
        </w:rPr>
      </w:pPr>
      <w:r>
        <w:rPr>
          <w:rFonts w:hint="eastAsia"/>
          <w:sz w:val="21"/>
          <w:szCs w:val="21"/>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pStyle w:val="18"/>
        <w:rPr>
          <w:sz w:val="21"/>
          <w:szCs w:val="21"/>
        </w:rPr>
      </w:pPr>
      <w:r>
        <w:rPr>
          <w:rFonts w:hint="eastAsia"/>
          <w:sz w:val="21"/>
          <w:szCs w:val="21"/>
        </w:rPr>
        <w:t>　　（十六）其他未列明行业。从业人员300人以下的为中小微型企业。其中，从业人员100人及以上的为中型企业；从业人员10人及以上的为小型企业；从业人员10人以下的为微型企业。</w:t>
      </w:r>
    </w:p>
    <w:p>
      <w:pPr>
        <w:pStyle w:val="18"/>
        <w:ind w:firstLine="420"/>
        <w:rPr>
          <w:sz w:val="21"/>
          <w:szCs w:val="21"/>
        </w:rPr>
      </w:pPr>
      <w:r>
        <w:rPr>
          <w:rFonts w:hint="eastAsia"/>
          <w:sz w:val="21"/>
          <w:szCs w:val="21"/>
        </w:rPr>
        <w:t>五、企业类型的划分以统计部门的统计数据为依据。</w:t>
      </w:r>
    </w:p>
    <w:p>
      <w:pPr>
        <w:pStyle w:val="18"/>
        <w:ind w:firstLine="420"/>
        <w:rPr>
          <w:sz w:val="21"/>
          <w:szCs w:val="21"/>
        </w:rPr>
      </w:pPr>
      <w:r>
        <w:rPr>
          <w:rFonts w:hint="eastAsia"/>
          <w:sz w:val="21"/>
          <w:szCs w:val="21"/>
        </w:rPr>
        <w:t>六、本规定适用于在中华人民共和国境内依法设立的各类所有制和各种组织形式的企业。个体工商户和本规定以外的行业，参照本规定进行划型。</w:t>
      </w:r>
    </w:p>
    <w:p>
      <w:pPr>
        <w:pStyle w:val="18"/>
        <w:ind w:firstLine="420"/>
        <w:rPr>
          <w:sz w:val="21"/>
          <w:szCs w:val="21"/>
        </w:rPr>
      </w:pPr>
      <w:r>
        <w:rPr>
          <w:rFonts w:hint="eastAsia"/>
          <w:sz w:val="21"/>
          <w:szCs w:val="21"/>
        </w:rPr>
        <w:t>七、本规定的中型企业标准上限即为大型企业标准的下限，国家统计部门据此制定大中小微型企业的统计分类。国务院有关部门据此进行相关数据分析，不得制定与本规定不一致的企业划型标准。</w:t>
      </w:r>
    </w:p>
    <w:p>
      <w:pPr>
        <w:pStyle w:val="18"/>
        <w:ind w:firstLine="420"/>
        <w:rPr>
          <w:sz w:val="21"/>
          <w:szCs w:val="21"/>
        </w:rPr>
      </w:pPr>
      <w:r>
        <w:rPr>
          <w:rFonts w:hint="eastAsia"/>
          <w:sz w:val="21"/>
          <w:szCs w:val="21"/>
        </w:rPr>
        <w:t>八、本规定由工业和信息化部、国家统计局会同有关部门根据《国民经济行业分类》修订情况和企业发展变化情况适时修订。</w:t>
      </w:r>
    </w:p>
    <w:p>
      <w:pPr>
        <w:pStyle w:val="18"/>
        <w:ind w:firstLine="420"/>
        <w:rPr>
          <w:sz w:val="21"/>
          <w:szCs w:val="21"/>
        </w:rPr>
      </w:pPr>
      <w:r>
        <w:rPr>
          <w:rFonts w:hint="eastAsia"/>
          <w:sz w:val="21"/>
          <w:szCs w:val="21"/>
        </w:rPr>
        <w:t>九、本规定由工业和信息化部、国家统计局会同有关部门负责解释。</w:t>
      </w:r>
    </w:p>
    <w:p>
      <w:pPr>
        <w:pStyle w:val="18"/>
        <w:ind w:firstLine="420"/>
        <w:rPr>
          <w:rFonts w:ascii="宋体" w:hAnsi="宋体" w:cs="宋体"/>
          <w:sz w:val="20"/>
          <w:szCs w:val="20"/>
        </w:rPr>
      </w:pPr>
      <w:r>
        <w:rPr>
          <w:rFonts w:hint="eastAsia"/>
          <w:sz w:val="21"/>
          <w:szCs w:val="21"/>
        </w:rPr>
        <w:t>十、本规定自发布之日起执行，原国家经贸委、原国家计委、财政部和国家统计局2003年颁布的《中小企业标准暂行规定》同时废止。</w:t>
      </w:r>
    </w:p>
    <w:p>
      <w:pPr>
        <w:spacing w:line="360" w:lineRule="auto"/>
        <w:ind w:firstLine="310" w:firstLineChars="147"/>
        <w:jc w:val="left"/>
        <w:rPr>
          <w:rFonts w:ascii="宋体" w:hAnsi="宋体"/>
          <w:b/>
          <w:szCs w:val="21"/>
        </w:rPr>
      </w:pPr>
    </w:p>
    <w:bookmarkEnd w:id="85"/>
    <w:bookmarkEnd w:id="86"/>
    <w:p>
      <w:pPr>
        <w:widowControl/>
        <w:rPr>
          <w:rFonts w:ascii="宋体" w:hAnsi="宋体" w:cs="宋体"/>
          <w:sz w:val="20"/>
          <w:szCs w:val="20"/>
        </w:rPr>
        <w:sectPr>
          <w:headerReference r:id="rId3" w:type="first"/>
          <w:footerReference r:id="rId5" w:type="first"/>
          <w:footerReference r:id="rId4" w:type="default"/>
          <w:pgSz w:w="11910" w:h="16840"/>
          <w:pgMar w:top="1440" w:right="1080" w:bottom="1440" w:left="1080" w:header="720" w:footer="720" w:gutter="0"/>
          <w:cols w:space="720" w:num="1"/>
          <w:titlePg/>
          <w:docGrid w:linePitch="286" w:charSpace="0"/>
        </w:sectPr>
      </w:pPr>
    </w:p>
    <w:p>
      <w:pPr>
        <w:pStyle w:val="2"/>
        <w:keepNext w:val="0"/>
        <w:keepLines w:val="0"/>
        <w:tabs>
          <w:tab w:val="left" w:pos="0"/>
          <w:tab w:val="left" w:pos="3165"/>
          <w:tab w:val="center" w:pos="4153"/>
        </w:tabs>
        <w:autoSpaceDE w:val="0"/>
        <w:autoSpaceDN w:val="0"/>
        <w:adjustRightInd w:val="0"/>
        <w:spacing w:before="0" w:after="0" w:line="360" w:lineRule="auto"/>
        <w:jc w:val="center"/>
      </w:pPr>
      <w:bookmarkStart w:id="87" w:name="_Toc25688"/>
      <w:r>
        <w:rPr>
          <w:rFonts w:hint="eastAsia"/>
        </w:rPr>
        <w:t>第三章  投标人须知</w:t>
      </w:r>
      <w:bookmarkEnd w:id="87"/>
    </w:p>
    <w:p>
      <w:pPr>
        <w:jc w:val="center"/>
        <w:rPr>
          <w:sz w:val="36"/>
          <w:szCs w:val="36"/>
        </w:rPr>
      </w:pPr>
      <w:bookmarkStart w:id="88" w:name="_Toc254970667"/>
      <w:bookmarkStart w:id="89" w:name="_Toc254970526"/>
      <w:r>
        <w:rPr>
          <w:rFonts w:hint="eastAsia"/>
          <w:sz w:val="36"/>
          <w:szCs w:val="36"/>
        </w:rPr>
        <w:t>投标人须知前附表</w:t>
      </w:r>
      <w:bookmarkEnd w:id="88"/>
      <w:bookmarkEnd w:id="89"/>
    </w:p>
    <w:tbl>
      <w:tblPr>
        <w:tblStyle w:val="49"/>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82"/>
        <w:gridCol w:w="754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 w:type="pct"/>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left"/>
              <w:rPr>
                <w:rFonts w:ascii="宋体" w:hAnsi="宋体"/>
                <w:szCs w:val="21"/>
              </w:rPr>
            </w:pPr>
            <w:r>
              <w:rPr>
                <w:rFonts w:hint="eastAsia" w:ascii="宋体" w:hAnsi="宋体"/>
                <w:szCs w:val="21"/>
              </w:rPr>
              <w:t>条款号</w:t>
            </w:r>
          </w:p>
        </w:tc>
        <w:tc>
          <w:tcPr>
            <w:tcW w:w="4424" w:type="pct"/>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szCs w:val="21"/>
              </w:rPr>
            </w:pPr>
            <w:r>
              <w:rPr>
                <w:rFonts w:hint="eastAsia" w:ascii="宋体" w:hAnsi="宋体"/>
                <w:szCs w:val="21"/>
              </w:rPr>
              <w:t>编列内容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Cs w:val="21"/>
              </w:rPr>
            </w:pPr>
            <w:r>
              <w:rPr>
                <w:rFonts w:hint="eastAsia" w:ascii="宋体" w:hAnsi="宋体"/>
                <w:szCs w:val="21"/>
              </w:rPr>
              <w:t>3</w:t>
            </w:r>
          </w:p>
        </w:tc>
        <w:tc>
          <w:tcPr>
            <w:tcW w:w="4424" w:type="pct"/>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left"/>
              <w:rPr>
                <w:rFonts w:ascii="宋体" w:hAnsi="宋体"/>
                <w:szCs w:val="21"/>
              </w:rPr>
            </w:pPr>
            <w:r>
              <w:rPr>
                <w:rFonts w:hint="eastAsia" w:ascii="宋体" w:hAnsi="宋体"/>
                <w:szCs w:val="21"/>
              </w:rPr>
              <w:t>1</w:t>
            </w:r>
            <w:r>
              <w:rPr>
                <w:rFonts w:ascii="宋体" w:hAnsi="宋体"/>
                <w:szCs w:val="21"/>
              </w:rPr>
              <w:t>.</w:t>
            </w:r>
            <w:r>
              <w:rPr>
                <w:rFonts w:hint="eastAsia" w:ascii="宋体" w:hAnsi="宋体"/>
                <w:szCs w:val="21"/>
              </w:rPr>
              <w:t>投标人的资格要求详见招标公告。</w:t>
            </w:r>
          </w:p>
          <w:p>
            <w:pPr>
              <w:snapToGrid w:val="0"/>
              <w:spacing w:line="360" w:lineRule="exact"/>
              <w:jc w:val="left"/>
              <w:rPr>
                <w:rFonts w:ascii="宋体" w:hAnsi="宋体"/>
                <w:szCs w:val="21"/>
              </w:rPr>
            </w:pPr>
            <w:r>
              <w:rPr>
                <w:rFonts w:hint="eastAsia" w:ascii="宋体" w:hAnsi="宋体"/>
                <w:szCs w:val="21"/>
              </w:rPr>
              <w:t>2</w:t>
            </w:r>
            <w:r>
              <w:rPr>
                <w:rFonts w:ascii="宋体" w:hAnsi="宋体"/>
                <w:szCs w:val="21"/>
              </w:rPr>
              <w:t>.</w:t>
            </w:r>
            <w:r>
              <w:rPr>
                <w:rFonts w:hint="eastAsia" w:ascii="宋体" w:hAnsi="宋体"/>
                <w:szCs w:val="21"/>
              </w:rPr>
              <w:t>投标人出现下列情形之一的，不得参加政府采购活动：</w:t>
            </w:r>
          </w:p>
          <w:p>
            <w:pPr>
              <w:snapToGrid w:val="0"/>
              <w:spacing w:line="360" w:lineRule="exact"/>
              <w:jc w:val="left"/>
              <w:rPr>
                <w:rFonts w:ascii="宋体" w:hAnsi="宋体"/>
                <w:szCs w:val="21"/>
              </w:rPr>
            </w:pPr>
            <w:r>
              <w:rPr>
                <w:rFonts w:ascii="宋体" w:hAnsi="宋体"/>
                <w:szCs w:val="21"/>
              </w:rPr>
              <w:t>2.1</w:t>
            </w:r>
            <w:r>
              <w:rPr>
                <w:rFonts w:hint="eastAsia" w:ascii="宋体" w:hAnsi="宋体"/>
                <w:szCs w:val="21"/>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pPr>
              <w:snapToGrid w:val="0"/>
              <w:spacing w:line="360" w:lineRule="exact"/>
              <w:jc w:val="left"/>
              <w:rPr>
                <w:rFonts w:ascii="宋体" w:hAnsi="宋体"/>
                <w:szCs w:val="21"/>
              </w:rPr>
            </w:pPr>
            <w:r>
              <w:rPr>
                <w:rFonts w:ascii="宋体" w:hAnsi="宋体"/>
                <w:szCs w:val="21"/>
              </w:rPr>
              <w:t>2.2</w:t>
            </w:r>
            <w:r>
              <w:rPr>
                <w:rFonts w:hint="eastAsia" w:ascii="宋体" w:hAnsi="宋体"/>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Cs w:val="21"/>
              </w:rPr>
            </w:pPr>
            <w:bookmarkStart w:id="90" w:name="_5"/>
            <w:bookmarkEnd w:id="90"/>
            <w:bookmarkStart w:id="91" w:name="_9.2"/>
            <w:bookmarkEnd w:id="91"/>
            <w:bookmarkStart w:id="92" w:name="_8.1"/>
            <w:bookmarkEnd w:id="92"/>
            <w:r>
              <w:rPr>
                <w:rFonts w:hint="eastAsia" w:ascii="宋体" w:hAnsi="宋体"/>
                <w:szCs w:val="21"/>
              </w:rPr>
              <w:t>6.1</w:t>
            </w:r>
          </w:p>
        </w:tc>
        <w:tc>
          <w:tcPr>
            <w:tcW w:w="4424" w:type="pct"/>
            <w:tcBorders>
              <w:top w:val="single" w:color="auto" w:sz="4" w:space="0"/>
              <w:left w:val="single" w:color="auto" w:sz="4" w:space="0"/>
              <w:bottom w:val="single" w:color="auto" w:sz="4" w:space="0"/>
              <w:right w:val="single" w:color="auto" w:sz="4" w:space="0"/>
            </w:tcBorders>
            <w:vAlign w:val="center"/>
          </w:tcPr>
          <w:p>
            <w:pPr>
              <w:pStyle w:val="16"/>
              <w:spacing w:line="360" w:lineRule="exact"/>
              <w:rPr>
                <w:rFonts w:ascii="宋体" w:hAnsi="宋体"/>
                <w:szCs w:val="21"/>
              </w:rPr>
            </w:pPr>
            <w:r>
              <w:rPr>
                <w:rFonts w:hint="eastAsia" w:ascii="宋体" w:hAnsi="宋体"/>
                <w:szCs w:val="21"/>
              </w:rPr>
              <w:t>本项目是否接受联合体投标：详见招标公告。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Cs w:val="21"/>
              </w:rPr>
            </w:pPr>
            <w:r>
              <w:rPr>
                <w:rFonts w:ascii="宋体" w:hAnsi="宋体"/>
                <w:szCs w:val="21"/>
              </w:rPr>
              <w:t>6.2</w:t>
            </w:r>
          </w:p>
        </w:tc>
        <w:tc>
          <w:tcPr>
            <w:tcW w:w="4424" w:type="pct"/>
            <w:tcBorders>
              <w:top w:val="single" w:color="auto" w:sz="4" w:space="0"/>
              <w:left w:val="single" w:color="auto" w:sz="4" w:space="0"/>
              <w:bottom w:val="single" w:color="auto" w:sz="4" w:space="0"/>
              <w:right w:val="single" w:color="auto" w:sz="4" w:space="0"/>
            </w:tcBorders>
            <w:vAlign w:val="center"/>
          </w:tcPr>
          <w:p>
            <w:pPr>
              <w:pStyle w:val="16"/>
              <w:spacing w:line="360" w:lineRule="exact"/>
              <w:rPr>
                <w:rFonts w:ascii="宋体" w:hAnsi="宋体"/>
                <w:szCs w:val="21"/>
              </w:rPr>
            </w:pPr>
            <w:bookmarkStart w:id="93" w:name="_Hlk54105293"/>
            <w:r>
              <w:rPr>
                <w:rFonts w:hint="eastAsia" w:ascii="宋体" w:hAnsi="宋体"/>
                <w:szCs w:val="21"/>
              </w:rPr>
              <w:t>如接受联合体投标，</w:t>
            </w:r>
            <w:bookmarkEnd w:id="93"/>
            <w:r>
              <w:rPr>
                <w:rFonts w:hint="eastAsia" w:ascii="宋体" w:hAnsi="宋体"/>
                <w:szCs w:val="21"/>
              </w:rPr>
              <w:t>联合体投标要求如下：</w:t>
            </w:r>
          </w:p>
          <w:p>
            <w:pPr>
              <w:pStyle w:val="16"/>
              <w:spacing w:line="360" w:lineRule="exact"/>
              <w:rPr>
                <w:rFonts w:ascii="宋体" w:hAnsi="宋体"/>
                <w:szCs w:val="21"/>
              </w:rPr>
            </w:pPr>
            <w:r>
              <w:rPr>
                <w:rFonts w:hint="eastAsia" w:ascii="宋体" w:hAnsi="宋体"/>
                <w:szCs w:val="21"/>
              </w:rPr>
              <w:t>1</w:t>
            </w:r>
            <w:r>
              <w:rPr>
                <w:rFonts w:ascii="宋体" w:hAnsi="宋体"/>
                <w:szCs w:val="21"/>
              </w:rPr>
              <w:t>.</w:t>
            </w:r>
            <w:r>
              <w:rPr>
                <w:rFonts w:hint="eastAsia" w:ascii="宋体" w:hAnsi="宋体"/>
                <w:szCs w:val="21"/>
              </w:rPr>
              <w:t>两个以上投标人可以组成一个投标联合体，以一个投标人的身份共同参加投标。联合体投标的，须提供《联合体投标协议书》（格式见第六章）。</w:t>
            </w:r>
          </w:p>
          <w:p>
            <w:pPr>
              <w:pStyle w:val="16"/>
              <w:spacing w:line="360" w:lineRule="exact"/>
              <w:rPr>
                <w:rFonts w:ascii="宋体" w:hAnsi="宋体"/>
                <w:szCs w:val="21"/>
              </w:rPr>
            </w:pPr>
            <w:r>
              <w:rPr>
                <w:rFonts w:hint="eastAsia" w:ascii="宋体" w:hAnsi="宋体"/>
                <w:szCs w:val="21"/>
              </w:rPr>
              <w:t>2</w:t>
            </w:r>
            <w:r>
              <w:rPr>
                <w:rFonts w:ascii="宋体" w:hAnsi="宋体"/>
                <w:szCs w:val="21"/>
              </w:rPr>
              <w:t>.</w:t>
            </w:r>
            <w:r>
              <w:rPr>
                <w:rFonts w:hint="eastAsia" w:ascii="宋体" w:hAnsi="宋体"/>
                <w:szCs w:val="21"/>
              </w:rPr>
              <w:t>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招标文件规定的特定条件。</w:t>
            </w:r>
          </w:p>
          <w:p>
            <w:pPr>
              <w:pStyle w:val="16"/>
              <w:spacing w:line="360" w:lineRule="exact"/>
              <w:rPr>
                <w:rFonts w:ascii="宋体" w:hAnsi="宋体"/>
                <w:szCs w:val="21"/>
              </w:rPr>
            </w:pPr>
            <w:r>
              <w:rPr>
                <w:rFonts w:hint="eastAsia" w:ascii="宋体" w:hAnsi="宋体"/>
                <w:szCs w:val="21"/>
              </w:rPr>
              <w:t>3</w:t>
            </w:r>
            <w:r>
              <w:rPr>
                <w:rFonts w:ascii="宋体" w:hAnsi="宋体"/>
                <w:szCs w:val="21"/>
              </w:rPr>
              <w:t>.</w:t>
            </w:r>
            <w:r>
              <w:rPr>
                <w:rFonts w:hint="eastAsia" w:ascii="宋体" w:hAnsi="宋体"/>
                <w:szCs w:val="21"/>
              </w:rPr>
              <w:t>联合体各方之间必须签订联合投标协议，协议书必须明确主体方（或者牵头方）并明确约定联合体各方承担的工作和相应的责任（各方承担责任与义务的分工必须符合采购需求，否则，</w:t>
            </w:r>
            <w:r>
              <w:rPr>
                <w:rFonts w:hint="eastAsia" w:ascii="宋体" w:hAnsi="宋体"/>
                <w:b/>
                <w:bCs/>
                <w:szCs w:val="21"/>
              </w:rPr>
              <w:t>联合体投标无效</w:t>
            </w:r>
            <w:r>
              <w:rPr>
                <w:rFonts w:hint="eastAsia" w:ascii="宋体" w:hAnsi="宋体"/>
                <w:szCs w:val="21"/>
              </w:rPr>
              <w:t>），并将联合投标协议放入投标文件。联合体各方必须共同与采购人签订采购合同，就采购合同约定的事项对采购人承担连带责任。</w:t>
            </w:r>
          </w:p>
          <w:p>
            <w:pPr>
              <w:pStyle w:val="16"/>
              <w:spacing w:line="360" w:lineRule="exact"/>
              <w:rPr>
                <w:rFonts w:ascii="宋体" w:hAnsi="宋体"/>
                <w:szCs w:val="21"/>
              </w:rPr>
            </w:pPr>
            <w:r>
              <w:rPr>
                <w:rFonts w:hint="eastAsia" w:ascii="宋体" w:hAnsi="宋体"/>
                <w:szCs w:val="21"/>
              </w:rPr>
              <w:t>4</w:t>
            </w:r>
            <w:r>
              <w:rPr>
                <w:rFonts w:ascii="宋体" w:hAnsi="宋体"/>
                <w:szCs w:val="21"/>
              </w:rPr>
              <w:t>.</w:t>
            </w:r>
            <w:r>
              <w:rPr>
                <w:rFonts w:hint="eastAsia" w:ascii="宋体" w:hAnsi="宋体"/>
                <w:szCs w:val="21"/>
              </w:rPr>
              <w:t>以联合体形式参加政府采购活动的，联合体各方不得再单独参加或者与其他投标人另外组成联合体参加同一合同项下的政府采购活动。</w:t>
            </w:r>
          </w:p>
          <w:p>
            <w:pPr>
              <w:pStyle w:val="16"/>
              <w:spacing w:line="360" w:lineRule="exact"/>
              <w:rPr>
                <w:rFonts w:ascii="宋体" w:hAnsi="宋体"/>
                <w:szCs w:val="21"/>
              </w:rPr>
            </w:pPr>
            <w:r>
              <w:rPr>
                <w:rFonts w:hint="eastAsia" w:ascii="宋体" w:hAnsi="宋体"/>
                <w:szCs w:val="21"/>
              </w:rPr>
              <w:t>5</w:t>
            </w:r>
            <w:r>
              <w:rPr>
                <w:rFonts w:ascii="宋体" w:hAnsi="宋体"/>
                <w:szCs w:val="21"/>
              </w:rPr>
              <w:t>.</w:t>
            </w:r>
            <w:r>
              <w:rPr>
                <w:rFonts w:hint="eastAsia" w:ascii="宋体" w:hAnsi="宋体"/>
                <w:szCs w:val="21"/>
              </w:rPr>
              <w:t>联合体中有同类资质的投标人按照联合体分工承担相同工作的，应当按照资质等级较低的投标人确定资质等级。</w:t>
            </w:r>
          </w:p>
          <w:p>
            <w:pPr>
              <w:pStyle w:val="16"/>
              <w:spacing w:line="360" w:lineRule="exact"/>
              <w:rPr>
                <w:rFonts w:ascii="宋体" w:hAnsi="宋体"/>
                <w:szCs w:val="21"/>
              </w:rPr>
            </w:pPr>
            <w:r>
              <w:rPr>
                <w:rFonts w:hint="eastAsia" w:ascii="宋体" w:hAnsi="宋体"/>
                <w:szCs w:val="21"/>
              </w:rPr>
              <w:t>6</w:t>
            </w:r>
            <w:r>
              <w:rPr>
                <w:rFonts w:ascii="宋体" w:hAnsi="宋体"/>
                <w:szCs w:val="21"/>
              </w:rPr>
              <w:t>.</w:t>
            </w:r>
            <w:r>
              <w:rPr>
                <w:rFonts w:hint="eastAsia" w:ascii="宋体" w:hAnsi="宋体"/>
                <w:szCs w:val="21"/>
              </w:rPr>
              <w:t>联合体投标业绩、履约能力按照联合体各方其中较高的一方认定并计算（招标文件另有规定的除外）。</w:t>
            </w:r>
          </w:p>
          <w:p>
            <w:pPr>
              <w:pStyle w:val="16"/>
              <w:spacing w:line="360" w:lineRule="exact"/>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投标人为联合体的，可以由联合体中的一方或者多方共同交纳投标保证金，其交纳的保证金对联合体各方均具有约束力。</w:t>
            </w:r>
          </w:p>
          <w:p>
            <w:pPr>
              <w:pStyle w:val="16"/>
              <w:spacing w:line="360" w:lineRule="exact"/>
              <w:rPr>
                <w:rFonts w:ascii="宋体" w:hAnsi="宋体"/>
                <w:szCs w:val="21"/>
              </w:rPr>
            </w:pPr>
            <w:r>
              <w:rPr>
                <w:rFonts w:hint="eastAsia" w:ascii="宋体" w:hAnsi="宋体"/>
                <w:szCs w:val="21"/>
              </w:rPr>
              <w:t>8</w:t>
            </w:r>
            <w:r>
              <w:rPr>
                <w:rFonts w:ascii="宋体" w:hAnsi="宋体"/>
                <w:szCs w:val="21"/>
              </w:rPr>
              <w:t>.</w:t>
            </w:r>
            <w:r>
              <w:rPr>
                <w:rFonts w:hint="eastAsia" w:ascii="宋体" w:hAnsi="宋体"/>
                <w:szCs w:val="21"/>
              </w:rPr>
              <w:t>联合体各方均应按照招标文件的规定提交资格证明文件。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Cs w:val="21"/>
              </w:rPr>
            </w:pPr>
            <w:r>
              <w:rPr>
                <w:rFonts w:hint="eastAsia" w:ascii="宋体" w:hAnsi="宋体"/>
                <w:szCs w:val="21"/>
              </w:rPr>
              <w:t>7.2</w:t>
            </w:r>
          </w:p>
        </w:tc>
        <w:tc>
          <w:tcPr>
            <w:tcW w:w="4424" w:type="pct"/>
            <w:tcBorders>
              <w:top w:val="single" w:color="auto" w:sz="4" w:space="0"/>
              <w:left w:val="single" w:color="auto" w:sz="4" w:space="0"/>
              <w:bottom w:val="single" w:color="auto" w:sz="4" w:space="0"/>
              <w:right w:val="single" w:color="auto" w:sz="4" w:space="0"/>
            </w:tcBorders>
            <w:vAlign w:val="center"/>
          </w:tcPr>
          <w:p>
            <w:pPr>
              <w:pStyle w:val="16"/>
              <w:spacing w:line="360" w:lineRule="exact"/>
              <w:jc w:val="both"/>
              <w:rPr>
                <w:rFonts w:ascii="宋体" w:hAnsi="宋体"/>
                <w:szCs w:val="21"/>
              </w:rPr>
            </w:pPr>
            <w:r>
              <w:rPr>
                <w:rFonts w:hint="eastAsia" w:ascii="MS Mincho" w:hAnsi="MS Mincho" w:eastAsia="MS Mincho" w:cs="MS Mincho"/>
              </w:rPr>
              <w:t>☑</w:t>
            </w:r>
            <w:r>
              <w:rPr>
                <w:rFonts w:hint="eastAsia" w:ascii="宋体" w:hAnsi="宋体"/>
                <w:szCs w:val="21"/>
              </w:rPr>
              <w:t>不允许分包</w:t>
            </w:r>
          </w:p>
          <w:p>
            <w:pPr>
              <w:pStyle w:val="16"/>
              <w:spacing w:line="360" w:lineRule="exact"/>
              <w:jc w:val="both"/>
              <w:rPr>
                <w:rFonts w:ascii="宋体" w:hAnsi="宋体"/>
                <w:szCs w:val="21"/>
              </w:rPr>
            </w:pPr>
            <w:r>
              <w:rPr>
                <w:rFonts w:hint="eastAsia" w:ascii="宋体" w:hAnsi="宋体"/>
                <w:szCs w:val="21"/>
              </w:rPr>
              <w:t>□允许分包</w:t>
            </w:r>
          </w:p>
          <w:p>
            <w:pPr>
              <w:pStyle w:val="16"/>
              <w:spacing w:line="360" w:lineRule="exact"/>
              <w:jc w:val="both"/>
              <w:rPr>
                <w:rFonts w:ascii="宋体" w:hAnsi="宋体"/>
                <w:szCs w:val="21"/>
                <w:u w:val="single"/>
              </w:rPr>
            </w:pPr>
            <w:r>
              <w:rPr>
                <w:rFonts w:hint="eastAsia" w:ascii="宋体" w:hAnsi="宋体"/>
                <w:szCs w:val="21"/>
              </w:rPr>
              <w:t>分包内容：</w:t>
            </w:r>
            <w:r>
              <w:rPr>
                <w:rFonts w:hint="eastAsia" w:ascii="宋体" w:hAnsi="宋体"/>
                <w:szCs w:val="21"/>
                <w:u w:val="single"/>
              </w:rPr>
              <w:t xml:space="preserve"> / 。</w:t>
            </w:r>
          </w:p>
          <w:p>
            <w:pPr>
              <w:pStyle w:val="16"/>
              <w:spacing w:line="360" w:lineRule="exact"/>
              <w:jc w:val="both"/>
              <w:rPr>
                <w:rFonts w:ascii="宋体" w:hAnsi="宋体"/>
                <w:szCs w:val="21"/>
                <w:u w:val="single"/>
              </w:rPr>
            </w:pPr>
            <w:r>
              <w:rPr>
                <w:rFonts w:hint="eastAsia" w:ascii="宋体" w:hAnsi="宋体"/>
                <w:szCs w:val="21"/>
              </w:rPr>
              <w:t>分包金额或者比例：</w:t>
            </w:r>
            <w:r>
              <w:rPr>
                <w:rFonts w:hint="eastAsia" w:ascii="宋体" w:hAnsi="宋体"/>
                <w:szCs w:val="21"/>
                <w:u w:val="single"/>
              </w:rPr>
              <w:t xml:space="preserve"> /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Cs w:val="21"/>
              </w:rPr>
            </w:pPr>
            <w:r>
              <w:rPr>
                <w:rFonts w:hint="eastAsia" w:ascii="宋体" w:hAnsi="宋体"/>
                <w:szCs w:val="21"/>
              </w:rPr>
              <w:t>8.1</w:t>
            </w:r>
          </w:p>
        </w:tc>
        <w:tc>
          <w:tcPr>
            <w:tcW w:w="4424" w:type="pct"/>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exact"/>
              <w:ind w:firstLine="420" w:firstLineChars="200"/>
              <w:textAlignment w:val="bottom"/>
              <w:rPr>
                <w:rFonts w:ascii="宋体" w:hAnsi="宋体"/>
                <w:szCs w:val="21"/>
              </w:rPr>
            </w:pPr>
            <w:r>
              <w:rPr>
                <w:rFonts w:hint="eastAsia" w:ascii="宋体" w:hAnsi="宋体"/>
                <w:szCs w:val="21"/>
              </w:rPr>
              <w:t>采用综合评分法的采购项目，提供相同品牌产品（非单一产品采购项目的，指核心产品）的不同投标人评审得分相同时，按照下列方式确定一个投标人获得中标人推荐资格：</w:t>
            </w:r>
          </w:p>
          <w:p>
            <w:pPr>
              <w:autoSpaceDE w:val="0"/>
              <w:autoSpaceDN w:val="0"/>
              <w:snapToGrid w:val="0"/>
              <w:spacing w:line="360" w:lineRule="exact"/>
              <w:textAlignment w:val="bottom"/>
              <w:rPr>
                <w:rFonts w:ascii="宋体" w:hAnsi="宋体"/>
                <w:szCs w:val="21"/>
              </w:rPr>
            </w:pPr>
            <w:r>
              <w:rPr>
                <w:rFonts w:hint="eastAsia" w:ascii="MS Mincho" w:hAnsi="MS Mincho" w:eastAsia="MS Mincho" w:cs="MS Mincho"/>
              </w:rPr>
              <w:t>☑</w:t>
            </w:r>
            <w:r>
              <w:rPr>
                <w:rFonts w:hint="eastAsia" w:ascii="宋体" w:hAnsi="宋体"/>
                <w:szCs w:val="21"/>
              </w:rPr>
              <w:t>依次按投标报价低的优先、政策分得分高的优先、技术评分高的优先、商务评分高的优先、售后服务方案优的顺序推荐；</w:t>
            </w:r>
          </w:p>
          <w:p>
            <w:pPr>
              <w:autoSpaceDE w:val="0"/>
              <w:autoSpaceDN w:val="0"/>
              <w:snapToGrid w:val="0"/>
              <w:spacing w:line="360" w:lineRule="exact"/>
              <w:textAlignment w:val="bottom"/>
              <w:rPr>
                <w:rFonts w:ascii="宋体" w:hAnsi="宋体"/>
                <w:szCs w:val="21"/>
              </w:rPr>
            </w:pPr>
            <w:r>
              <w:rPr>
                <w:rFonts w:hint="eastAsia" w:ascii="宋体" w:hAnsi="宋体"/>
                <w:szCs w:val="21"/>
              </w:rPr>
              <w:t>□随机抽取。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11" w:hRule="atLeast"/>
        </w:trPr>
        <w:tc>
          <w:tcPr>
            <w:tcW w:w="576" w:type="pct"/>
            <w:vMerge w:val="restart"/>
            <w:tcBorders>
              <w:top w:val="single" w:color="auto" w:sz="4" w:space="0"/>
              <w:left w:val="single" w:color="auto" w:sz="4" w:space="0"/>
              <w:right w:val="single" w:color="auto" w:sz="4" w:space="0"/>
            </w:tcBorders>
            <w:vAlign w:val="center"/>
          </w:tcPr>
          <w:p>
            <w:pPr>
              <w:spacing w:line="360" w:lineRule="exact"/>
              <w:jc w:val="center"/>
              <w:rPr>
                <w:rFonts w:ascii="宋体" w:hAnsi="宋体"/>
                <w:szCs w:val="21"/>
              </w:rPr>
            </w:pPr>
            <w:r>
              <w:rPr>
                <w:rFonts w:hint="eastAsia" w:ascii="宋体" w:hAnsi="宋体"/>
                <w:szCs w:val="21"/>
              </w:rPr>
              <w:t>1</w:t>
            </w:r>
            <w:r>
              <w:rPr>
                <w:rFonts w:ascii="宋体" w:hAnsi="宋体"/>
                <w:szCs w:val="21"/>
              </w:rPr>
              <w:t>1.2</w:t>
            </w:r>
          </w:p>
        </w:tc>
        <w:tc>
          <w:tcPr>
            <w:tcW w:w="4424" w:type="pct"/>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ascii="宋体" w:hAnsi="宋体"/>
                <w:szCs w:val="21"/>
              </w:rPr>
            </w:pPr>
            <w:r>
              <w:rPr>
                <w:rFonts w:hint="eastAsia" w:ascii="MS Mincho" w:hAnsi="MS Mincho" w:eastAsia="MS Mincho" w:cs="MS Mincho"/>
                <w:szCs w:val="21"/>
              </w:rPr>
              <w:t>☑</w:t>
            </w:r>
            <w:r>
              <w:rPr>
                <w:rFonts w:hint="eastAsia" w:ascii="宋体" w:hAnsi="宋体"/>
                <w:szCs w:val="21"/>
              </w:rPr>
              <w:t>不组织现场考察</w:t>
            </w:r>
          </w:p>
          <w:p>
            <w:pPr>
              <w:snapToGrid w:val="0"/>
              <w:spacing w:line="360" w:lineRule="exact"/>
              <w:rPr>
                <w:rFonts w:ascii="宋体" w:hAnsi="宋体"/>
                <w:szCs w:val="21"/>
              </w:rPr>
            </w:pPr>
            <w:r>
              <w:rPr>
                <w:rFonts w:hint="eastAsia" w:ascii="宋体" w:hAnsi="宋体"/>
                <w:szCs w:val="21"/>
              </w:rPr>
              <w:t>□组织现场考察：</w:t>
            </w:r>
          </w:p>
          <w:p>
            <w:pPr>
              <w:snapToGrid w:val="0"/>
              <w:spacing w:line="360" w:lineRule="exact"/>
              <w:rPr>
                <w:rFonts w:ascii="宋体" w:hAnsi="宋体"/>
                <w:szCs w:val="21"/>
                <w:u w:val="single"/>
              </w:rPr>
            </w:pPr>
            <w:r>
              <w:rPr>
                <w:rFonts w:hint="eastAsia" w:ascii="宋体" w:hAnsi="宋体"/>
                <w:szCs w:val="21"/>
              </w:rPr>
              <w:t>集中时间：</w:t>
            </w:r>
            <w:r>
              <w:rPr>
                <w:rFonts w:hint="eastAsia" w:ascii="宋体" w:hAnsi="宋体"/>
                <w:szCs w:val="21"/>
                <w:u w:val="single"/>
              </w:rPr>
              <w:t xml:space="preserve">   /  </w:t>
            </w:r>
            <w:r>
              <w:rPr>
                <w:rFonts w:hint="eastAsia" w:ascii="宋体" w:hAnsi="宋体"/>
                <w:szCs w:val="21"/>
              </w:rPr>
              <w:t>，逾时后果自负。集中地点：</w:t>
            </w:r>
            <w:r>
              <w:rPr>
                <w:rFonts w:hint="eastAsia" w:ascii="宋体" w:hAnsi="宋体"/>
                <w:szCs w:val="21"/>
                <w:u w:val="single"/>
              </w:rPr>
              <w:t xml:space="preserve">  /  </w:t>
            </w:r>
          </w:p>
          <w:p>
            <w:pPr>
              <w:snapToGrid w:val="0"/>
              <w:spacing w:line="360" w:lineRule="exact"/>
              <w:rPr>
                <w:rFonts w:ascii="宋体" w:hAnsi="宋体"/>
                <w:szCs w:val="21"/>
              </w:rPr>
            </w:pPr>
            <w:r>
              <w:rPr>
                <w:rFonts w:hint="eastAsia" w:ascii="宋体" w:hAnsi="宋体"/>
                <w:szCs w:val="21"/>
              </w:rPr>
              <w:t>联系人及电话：</w:t>
            </w:r>
            <w:r>
              <w:rPr>
                <w:rFonts w:hint="eastAsia" w:ascii="宋体" w:hAnsi="宋体"/>
                <w:szCs w:val="21"/>
                <w:u w:val="single"/>
              </w:rPr>
              <w:t xml:space="preserve">  /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58" w:hRule="atLeast"/>
        </w:trPr>
        <w:tc>
          <w:tcPr>
            <w:tcW w:w="576" w:type="pct"/>
            <w:vMerge w:val="continue"/>
            <w:tcBorders>
              <w:left w:val="single" w:color="auto" w:sz="4" w:space="0"/>
              <w:bottom w:val="single" w:color="auto" w:sz="4" w:space="0"/>
              <w:right w:val="single" w:color="auto" w:sz="4" w:space="0"/>
            </w:tcBorders>
            <w:vAlign w:val="center"/>
          </w:tcPr>
          <w:p>
            <w:pPr>
              <w:spacing w:line="360" w:lineRule="exact"/>
              <w:jc w:val="center"/>
              <w:rPr>
                <w:rFonts w:ascii="宋体" w:hAnsi="宋体"/>
                <w:szCs w:val="21"/>
              </w:rPr>
            </w:pPr>
          </w:p>
        </w:tc>
        <w:tc>
          <w:tcPr>
            <w:tcW w:w="4424" w:type="pct"/>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ascii="宋体" w:hAnsi="宋体"/>
                <w:szCs w:val="21"/>
              </w:rPr>
            </w:pPr>
            <w:r>
              <w:rPr>
                <w:rFonts w:hint="eastAsia" w:ascii="MS Mincho" w:hAnsi="MS Mincho" w:eastAsia="MS Mincho" w:cs="MS Mincho"/>
              </w:rPr>
              <w:t>☑</w:t>
            </w:r>
            <w:r>
              <w:rPr>
                <w:rFonts w:hint="eastAsia" w:ascii="宋体" w:hAnsi="宋体"/>
                <w:szCs w:val="21"/>
              </w:rPr>
              <w:t>不组织召开开标前答疑会</w:t>
            </w:r>
          </w:p>
          <w:p>
            <w:pPr>
              <w:snapToGrid w:val="0"/>
              <w:spacing w:line="360" w:lineRule="exact"/>
              <w:rPr>
                <w:rFonts w:ascii="宋体" w:hAnsi="宋体"/>
                <w:szCs w:val="21"/>
              </w:rPr>
            </w:pPr>
            <w:r>
              <w:rPr>
                <w:rFonts w:hint="eastAsia" w:ascii="宋体" w:hAnsi="宋体"/>
                <w:szCs w:val="21"/>
              </w:rPr>
              <w:t>□组织召开开标前答疑会</w:t>
            </w:r>
          </w:p>
          <w:p>
            <w:pPr>
              <w:snapToGrid w:val="0"/>
              <w:spacing w:line="360" w:lineRule="exact"/>
              <w:rPr>
                <w:rFonts w:ascii="宋体" w:hAnsi="宋体"/>
                <w:szCs w:val="21"/>
              </w:rPr>
            </w:pPr>
            <w:r>
              <w:rPr>
                <w:rFonts w:hint="eastAsia" w:ascii="宋体" w:hAnsi="宋体"/>
                <w:szCs w:val="21"/>
              </w:rPr>
              <w:t>会议开始时间：</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hint="eastAsia" w:ascii="宋体" w:hAnsi="宋体"/>
                <w:szCs w:val="21"/>
              </w:rPr>
              <w:t xml:space="preserve">日 </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hint="eastAsia" w:ascii="宋体" w:hAnsi="宋体"/>
                <w:szCs w:val="21"/>
              </w:rPr>
              <w:t>时</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分</w:t>
            </w:r>
            <w:r>
              <w:rPr>
                <w:rFonts w:hint="eastAsia" w:ascii="宋体" w:hAnsi="宋体"/>
                <w:szCs w:val="21"/>
              </w:rPr>
              <w:t>，逾期后果自负。会议地点：</w:t>
            </w:r>
            <w:r>
              <w:rPr>
                <w:rFonts w:hint="eastAsia" w:ascii="宋体" w:hAnsi="宋体"/>
                <w:szCs w:val="21"/>
                <w:u w:val="single"/>
              </w:rPr>
              <w:t xml:space="preserve"> </w:t>
            </w:r>
            <w:r>
              <w:rPr>
                <w:rFonts w:ascii="宋体" w:hAnsi="宋体"/>
                <w:szCs w:val="21"/>
                <w:u w:val="single"/>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 w:type="pct"/>
            <w:vMerge w:val="restart"/>
            <w:tcBorders>
              <w:top w:val="single" w:color="auto" w:sz="4" w:space="0"/>
              <w:left w:val="single" w:color="auto" w:sz="4" w:space="0"/>
              <w:right w:val="single" w:color="auto" w:sz="4" w:space="0"/>
            </w:tcBorders>
            <w:vAlign w:val="center"/>
          </w:tcPr>
          <w:p>
            <w:pPr>
              <w:spacing w:line="360" w:lineRule="exact"/>
              <w:jc w:val="center"/>
              <w:rPr>
                <w:rFonts w:ascii="宋体" w:hAnsi="宋体"/>
                <w:szCs w:val="21"/>
              </w:rPr>
            </w:pPr>
            <w:bookmarkStart w:id="94" w:name="_13.1"/>
            <w:bookmarkEnd w:id="94"/>
            <w:r>
              <w:rPr>
                <w:rFonts w:hint="eastAsia" w:ascii="宋体" w:hAnsi="宋体"/>
                <w:szCs w:val="21"/>
              </w:rPr>
              <w:t>13</w:t>
            </w:r>
          </w:p>
        </w:tc>
        <w:tc>
          <w:tcPr>
            <w:tcW w:w="4424" w:type="pct"/>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left"/>
              <w:rPr>
                <w:rFonts w:ascii="宋体" w:hAnsi="宋体" w:cs="Courier New"/>
                <w:b/>
                <w:szCs w:val="21"/>
              </w:rPr>
            </w:pPr>
            <w:r>
              <w:rPr>
                <w:rFonts w:hint="eastAsia" w:ascii="宋体" w:hAnsi="宋体" w:cs="Courier New"/>
                <w:b/>
                <w:szCs w:val="21"/>
              </w:rPr>
              <w:t>报价文件：</w:t>
            </w:r>
          </w:p>
          <w:p>
            <w:pPr>
              <w:tabs>
                <w:tab w:val="left" w:pos="459"/>
              </w:tabs>
              <w:snapToGrid w:val="0"/>
              <w:spacing w:line="360" w:lineRule="exact"/>
              <w:ind w:left="420"/>
              <w:jc w:val="left"/>
              <w:rPr>
                <w:rFonts w:ascii="宋体" w:hAnsi="宋体"/>
                <w:szCs w:val="21"/>
              </w:rPr>
            </w:pPr>
            <w:r>
              <w:rPr>
                <w:rFonts w:hint="eastAsia" w:ascii="宋体" w:hAnsi="宋体"/>
                <w:szCs w:val="21"/>
              </w:rPr>
              <w:t>1.投标函（格式见第六章）；</w:t>
            </w:r>
            <w:r>
              <w:rPr>
                <w:rFonts w:hint="eastAsia" w:ascii="宋体" w:hAnsi="宋体"/>
                <w:b/>
                <w:szCs w:val="21"/>
              </w:rPr>
              <w:t>（必须提供，否则按无效投标处理）</w:t>
            </w:r>
          </w:p>
          <w:p>
            <w:pPr>
              <w:tabs>
                <w:tab w:val="left" w:pos="459"/>
              </w:tabs>
              <w:snapToGrid w:val="0"/>
              <w:spacing w:line="360" w:lineRule="exact"/>
              <w:ind w:left="420"/>
              <w:jc w:val="left"/>
              <w:rPr>
                <w:rFonts w:ascii="宋体" w:hAnsi="宋体"/>
                <w:szCs w:val="21"/>
              </w:rPr>
            </w:pPr>
            <w:bookmarkStart w:id="95" w:name="_Hlk71299233"/>
            <w:r>
              <w:rPr>
                <w:rFonts w:hint="eastAsia" w:ascii="宋体" w:hAnsi="宋体"/>
                <w:szCs w:val="21"/>
              </w:rPr>
              <w:t>2.开标一览表</w:t>
            </w:r>
            <w:bookmarkEnd w:id="95"/>
            <w:r>
              <w:rPr>
                <w:rFonts w:hint="eastAsia" w:ascii="宋体" w:hAnsi="宋体"/>
                <w:szCs w:val="21"/>
              </w:rPr>
              <w:t>（格式见第六章）；（</w:t>
            </w:r>
            <w:r>
              <w:rPr>
                <w:rFonts w:hint="eastAsia" w:ascii="宋体" w:hAnsi="宋体"/>
                <w:b/>
                <w:szCs w:val="21"/>
              </w:rPr>
              <w:t>必须提供，否则按无效投标处理</w:t>
            </w:r>
            <w:r>
              <w:rPr>
                <w:rFonts w:hint="eastAsia" w:ascii="宋体" w:hAnsi="宋体"/>
                <w:szCs w:val="21"/>
              </w:rPr>
              <w:t>）</w:t>
            </w:r>
          </w:p>
          <w:p>
            <w:pPr>
              <w:tabs>
                <w:tab w:val="left" w:pos="459"/>
              </w:tabs>
              <w:snapToGrid w:val="0"/>
              <w:spacing w:line="360" w:lineRule="exact"/>
              <w:ind w:left="420"/>
              <w:jc w:val="left"/>
              <w:rPr>
                <w:rFonts w:ascii="宋体" w:hAnsi="宋体"/>
                <w:szCs w:val="21"/>
              </w:rPr>
            </w:pPr>
            <w:r>
              <w:rPr>
                <w:rFonts w:hint="eastAsia" w:ascii="宋体" w:hAnsi="宋体"/>
                <w:szCs w:val="21"/>
              </w:rPr>
              <w:t>3.供应商享受中小企业扶持政策的材料（</w:t>
            </w:r>
            <w:r>
              <w:rPr>
                <w:rFonts w:hint="eastAsia" w:ascii="宋体" w:hAnsi="宋体"/>
                <w:b/>
                <w:bCs/>
                <w:szCs w:val="21"/>
              </w:rPr>
              <w:t>供应商根据自身响应情况，提供以下任意一项材料以证明自身可享受中小企业扶持政策）</w:t>
            </w:r>
            <w:r>
              <w:rPr>
                <w:rFonts w:hint="eastAsia" w:ascii="宋体" w:hAnsi="宋体"/>
                <w:szCs w:val="21"/>
              </w:rPr>
              <w:t>：</w:t>
            </w:r>
          </w:p>
          <w:p>
            <w:pPr>
              <w:tabs>
                <w:tab w:val="left" w:pos="459"/>
              </w:tabs>
              <w:snapToGrid w:val="0"/>
              <w:spacing w:line="360" w:lineRule="exact"/>
              <w:ind w:left="420"/>
              <w:jc w:val="left"/>
              <w:rPr>
                <w:rFonts w:ascii="宋体" w:hAnsi="宋体"/>
                <w:szCs w:val="21"/>
              </w:rPr>
            </w:pPr>
            <w:r>
              <w:rPr>
                <w:rFonts w:hint="eastAsia" w:ascii="宋体" w:hAnsi="宋体"/>
                <w:szCs w:val="21"/>
              </w:rPr>
              <w:t>（1）《中小企业声明函》（格式后附）；</w:t>
            </w:r>
          </w:p>
          <w:p>
            <w:pPr>
              <w:tabs>
                <w:tab w:val="left" w:pos="459"/>
              </w:tabs>
              <w:snapToGrid w:val="0"/>
              <w:spacing w:line="360" w:lineRule="exact"/>
              <w:ind w:left="420"/>
              <w:jc w:val="left"/>
              <w:rPr>
                <w:rFonts w:ascii="宋体" w:hAnsi="宋体"/>
                <w:szCs w:val="21"/>
              </w:rPr>
            </w:pPr>
            <w:r>
              <w:rPr>
                <w:rFonts w:hint="eastAsia" w:ascii="宋体" w:hAnsi="宋体"/>
                <w:szCs w:val="21"/>
              </w:rPr>
              <w:t>（2）《残疾人福利性单位声明函》（格式后附）；</w:t>
            </w:r>
          </w:p>
          <w:p>
            <w:pPr>
              <w:tabs>
                <w:tab w:val="left" w:pos="459"/>
              </w:tabs>
              <w:snapToGrid w:val="0"/>
              <w:spacing w:line="360" w:lineRule="exact"/>
              <w:ind w:left="420"/>
              <w:jc w:val="left"/>
              <w:rPr>
                <w:rFonts w:ascii="宋体" w:hAnsi="宋体"/>
                <w:szCs w:val="21"/>
              </w:rPr>
            </w:pPr>
            <w:r>
              <w:rPr>
                <w:rFonts w:hint="eastAsia" w:ascii="宋体" w:hAnsi="宋体"/>
                <w:szCs w:val="21"/>
              </w:rPr>
              <w:t xml:space="preserve">（3）省级以上监狱管理局、戒毒管理局(含新疆生产建设兵团)出具的属于监狱企业的证明文件； </w:t>
            </w:r>
          </w:p>
          <w:p>
            <w:pPr>
              <w:tabs>
                <w:tab w:val="left" w:pos="459"/>
              </w:tabs>
              <w:snapToGrid w:val="0"/>
              <w:spacing w:line="360" w:lineRule="exact"/>
              <w:ind w:left="420"/>
              <w:jc w:val="left"/>
              <w:rPr>
                <w:rFonts w:ascii="宋体" w:hAnsi="宋体"/>
                <w:szCs w:val="21"/>
              </w:rPr>
            </w:pPr>
            <w:r>
              <w:rPr>
                <w:rFonts w:hint="eastAsia" w:ascii="宋体" w:hAnsi="宋体"/>
                <w:szCs w:val="21"/>
              </w:rPr>
              <w:t>4.《关于符合本国产品标准的声明函》或者财政部会同有关部门规定的有关证明文件；</w:t>
            </w:r>
            <w:r>
              <w:rPr>
                <w:rFonts w:hint="eastAsia" w:ascii="宋体" w:hAnsi="宋体"/>
                <w:b/>
                <w:bCs/>
                <w:szCs w:val="21"/>
              </w:rPr>
              <w:t>（供应商根据自身响应情况出具）</w:t>
            </w:r>
          </w:p>
          <w:p>
            <w:pPr>
              <w:tabs>
                <w:tab w:val="left" w:pos="459"/>
              </w:tabs>
              <w:snapToGrid w:val="0"/>
              <w:spacing w:line="360" w:lineRule="exact"/>
              <w:ind w:left="420"/>
              <w:jc w:val="left"/>
              <w:rPr>
                <w:rFonts w:ascii="宋体" w:hAnsi="宋体"/>
                <w:szCs w:val="21"/>
              </w:rPr>
            </w:pPr>
            <w:r>
              <w:rPr>
                <w:rFonts w:hint="eastAsia" w:ascii="宋体" w:hAnsi="宋体"/>
                <w:szCs w:val="21"/>
              </w:rPr>
              <w:t>5.投标人针对报价需要说明的其他文件和说明（格式自拟）。</w:t>
            </w:r>
          </w:p>
          <w:p>
            <w:pPr>
              <w:tabs>
                <w:tab w:val="left" w:pos="420"/>
              </w:tabs>
              <w:snapToGrid w:val="0"/>
              <w:spacing w:line="360" w:lineRule="exact"/>
              <w:ind w:firstLine="422" w:firstLineChars="200"/>
              <w:jc w:val="left"/>
              <w:rPr>
                <w:rFonts w:ascii="宋体" w:hAnsi="宋体"/>
                <w:b/>
                <w:szCs w:val="21"/>
              </w:rPr>
            </w:pPr>
            <w:r>
              <w:rPr>
                <w:rFonts w:hint="eastAsia" w:ascii="宋体" w:hAnsi="宋体"/>
                <w:b/>
                <w:szCs w:val="21"/>
              </w:rPr>
              <w:t>注：以上标明“必须提供”的材料，格式中有要求法定代表人或者委托代理人签字的，必须按要求签字并加盖投标人电子签章，否则按无效投标处理。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 w:type="pct"/>
            <w:vMerge w:val="continue"/>
            <w:tcBorders>
              <w:left w:val="single" w:color="auto" w:sz="4" w:space="0"/>
              <w:right w:val="single" w:color="auto" w:sz="4" w:space="0"/>
            </w:tcBorders>
            <w:vAlign w:val="center"/>
          </w:tcPr>
          <w:p>
            <w:pPr>
              <w:spacing w:line="360" w:lineRule="exact"/>
              <w:rPr>
                <w:rFonts w:ascii="宋体" w:hAnsi="宋体"/>
                <w:szCs w:val="21"/>
              </w:rPr>
            </w:pPr>
            <w:bookmarkStart w:id="96" w:name="_13.2"/>
            <w:bookmarkEnd w:id="96"/>
          </w:p>
        </w:tc>
        <w:tc>
          <w:tcPr>
            <w:tcW w:w="4424" w:type="pct"/>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left"/>
              <w:rPr>
                <w:rFonts w:ascii="宋体" w:hAnsi="宋体" w:cs="Courier New"/>
                <w:b/>
                <w:color w:val="auto"/>
                <w:szCs w:val="21"/>
                <w:highlight w:val="none"/>
              </w:rPr>
            </w:pPr>
            <w:r>
              <w:rPr>
                <w:rFonts w:hint="eastAsia" w:ascii="宋体" w:hAnsi="宋体" w:cs="Courier New"/>
                <w:b/>
                <w:color w:val="auto"/>
                <w:szCs w:val="21"/>
                <w:highlight w:val="none"/>
              </w:rPr>
              <w:t>资格证明文件（投标人所提供的材料不完整，或模糊不清以致关键信息无法辨认的，责任自负）：</w:t>
            </w:r>
          </w:p>
          <w:p>
            <w:pPr>
              <w:snapToGrid w:val="0"/>
              <w:spacing w:line="360" w:lineRule="exact"/>
              <w:ind w:firstLine="420" w:firstLineChars="200"/>
              <w:jc w:val="left"/>
              <w:rPr>
                <w:rFonts w:ascii="宋体" w:hAnsi="宋体" w:cs="Courier New"/>
                <w:b/>
                <w:color w:val="auto"/>
                <w:szCs w:val="21"/>
                <w:highlight w:val="none"/>
              </w:rPr>
            </w:pPr>
            <w:r>
              <w:rPr>
                <w:rFonts w:hint="eastAsia" w:ascii="宋体" w:hAnsi="宋体"/>
                <w:color w:val="auto"/>
                <w:szCs w:val="21"/>
                <w:highlight w:val="none"/>
              </w:rPr>
              <w:t>1.投标人为法人或者其他组织的，提供营业执照等证明文件复印件</w:t>
            </w:r>
            <w:r>
              <w:rPr>
                <w:rFonts w:hint="eastAsia" w:ascii="宋体" w:hAnsi="宋体" w:cs="宋体"/>
                <w:color w:val="auto"/>
                <w:szCs w:val="21"/>
                <w:highlight w:val="none"/>
              </w:rPr>
              <w:t>（如营业执照或者事业单位法人证书或者</w:t>
            </w:r>
            <w:r>
              <w:rPr>
                <w:rStyle w:val="100"/>
                <w:color w:val="auto"/>
                <w:szCs w:val="21"/>
                <w:highlight w:val="none"/>
              </w:rPr>
              <w:t>执业许可证</w:t>
            </w:r>
            <w:r>
              <w:rPr>
                <w:rFonts w:hint="eastAsia" w:ascii="宋体" w:hAnsi="宋体" w:cs="宋体"/>
                <w:color w:val="auto"/>
                <w:szCs w:val="21"/>
                <w:highlight w:val="none"/>
              </w:rPr>
              <w:t>或者登记证书等）</w:t>
            </w:r>
            <w:r>
              <w:rPr>
                <w:rFonts w:hint="eastAsia" w:ascii="宋体" w:hAnsi="宋体"/>
                <w:color w:val="auto"/>
                <w:szCs w:val="21"/>
                <w:highlight w:val="none"/>
              </w:rPr>
              <w:t>，投标人为自然人的，提供身份证</w:t>
            </w:r>
            <w:r>
              <w:rPr>
                <w:rFonts w:hint="eastAsia" w:ascii="宋体" w:hAnsi="宋体" w:cs="宋体"/>
                <w:color w:val="auto"/>
                <w:szCs w:val="21"/>
                <w:highlight w:val="none"/>
              </w:rPr>
              <w:t>复印件</w:t>
            </w:r>
            <w:r>
              <w:rPr>
                <w:rFonts w:hint="eastAsia" w:ascii="宋体" w:hAnsi="宋体"/>
                <w:color w:val="auto"/>
                <w:szCs w:val="21"/>
                <w:highlight w:val="none"/>
              </w:rPr>
              <w:t>；（</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pPr>
              <w:snapToGrid w:val="0"/>
              <w:spacing w:line="360" w:lineRule="exact"/>
              <w:ind w:firstLine="420" w:firstLineChars="200"/>
              <w:jc w:val="left"/>
              <w:rPr>
                <w:rFonts w:ascii="宋体" w:hAnsi="宋体" w:cs="Courier New"/>
                <w:b/>
                <w:color w:val="auto"/>
                <w:szCs w:val="21"/>
                <w:highlight w:val="none"/>
              </w:rPr>
            </w:pPr>
            <w:r>
              <w:rPr>
                <w:rFonts w:hint="eastAsia" w:ascii="宋体" w:hAnsi="宋体" w:cs="宋体"/>
                <w:color w:val="auto"/>
                <w:szCs w:val="21"/>
                <w:highlight w:val="none"/>
              </w:rPr>
              <w:t>2.投标人依法缴纳税收的相关材料（开标截止之日起半年内任意其中</w:t>
            </w:r>
            <w:r>
              <w:rPr>
                <w:rFonts w:hint="eastAsia" w:ascii="宋体" w:hAnsi="宋体" w:cs="宋体"/>
                <w:color w:val="auto"/>
                <w:szCs w:val="21"/>
                <w:highlight w:val="none"/>
                <w:u w:val="single"/>
              </w:rPr>
              <w:t xml:space="preserve"> 三 </w:t>
            </w:r>
            <w:r>
              <w:rPr>
                <w:rFonts w:hint="eastAsia" w:ascii="宋体" w:hAnsi="宋体" w:cs="宋体"/>
                <w:color w:val="auto"/>
                <w:szCs w:val="21"/>
                <w:highlight w:val="none"/>
              </w:rPr>
              <w:t>个月的依法缴纳税收的证明材料复印件；依法免税的供应商，必须提供符合免税条件的证明材料。从成立之日起到投标文件提交截止时间止不足要求月数的，只需提供从成立之日起的依法缴纳税收相应证明文件）</w:t>
            </w:r>
            <w:r>
              <w:rPr>
                <w:rFonts w:hint="eastAsia" w:ascii="宋体" w:hAnsi="宋体"/>
                <w:color w:val="auto"/>
                <w:szCs w:val="21"/>
                <w:highlight w:val="none"/>
              </w:rPr>
              <w:t>；（</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pPr>
              <w:snapToGrid w:val="0"/>
              <w:spacing w:line="360" w:lineRule="exact"/>
              <w:ind w:firstLine="420" w:firstLineChars="200"/>
              <w:jc w:val="left"/>
              <w:rPr>
                <w:rFonts w:ascii="宋体" w:hAnsi="宋体" w:cs="Courier New"/>
                <w:b/>
                <w:color w:val="auto"/>
                <w:szCs w:val="21"/>
                <w:highlight w:val="none"/>
              </w:rPr>
            </w:pPr>
            <w:r>
              <w:rPr>
                <w:rFonts w:hint="eastAsia" w:ascii="宋体" w:hAnsi="宋体" w:cs="宋体"/>
                <w:color w:val="auto"/>
                <w:szCs w:val="21"/>
                <w:highlight w:val="none"/>
              </w:rPr>
              <w:t>3.投标人依法缴纳社会保障资金的相关材料[开标截止之日起半年内任意其中</w:t>
            </w:r>
            <w:r>
              <w:rPr>
                <w:rFonts w:hint="eastAsia" w:ascii="宋体" w:hAnsi="宋体" w:cs="宋体"/>
                <w:color w:val="auto"/>
                <w:szCs w:val="21"/>
                <w:highlight w:val="none"/>
                <w:u w:val="single"/>
              </w:rPr>
              <w:t xml:space="preserve"> 三 </w:t>
            </w:r>
            <w:r>
              <w:rPr>
                <w:rFonts w:hint="eastAsia" w:ascii="宋体" w:hAnsi="宋体" w:cs="宋体"/>
                <w:color w:val="auto"/>
                <w:szCs w:val="21"/>
                <w:highlight w:val="none"/>
              </w:rPr>
              <w:t>个月的依法缴纳社会保障资金的缴费证明材料（如：专用收据、社会保险缴纳清单或者社保部门的证明）复印件；依法不需要缴纳社会保障资金的供应商，必须提供相应文件证明不需要缴纳社会保障资金。从成立之日起到投标文件提交截止时间止不足要求月数的只需提供从成立之日起的依法缴纳社会保障资金的相应证明文件]</w:t>
            </w:r>
            <w:r>
              <w:rPr>
                <w:rFonts w:hint="eastAsia" w:ascii="宋体" w:hAnsi="宋体"/>
                <w:color w:val="auto"/>
                <w:szCs w:val="21"/>
                <w:highlight w:val="none"/>
              </w:rPr>
              <w:t>；（</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pPr>
              <w:snapToGrid w:val="0"/>
              <w:spacing w:line="360" w:lineRule="exact"/>
              <w:ind w:firstLine="420" w:firstLineChars="200"/>
              <w:jc w:val="left"/>
              <w:rPr>
                <w:rFonts w:ascii="宋体" w:hAnsi="宋体" w:cs="Courier New"/>
                <w:b/>
                <w:color w:val="auto"/>
                <w:szCs w:val="21"/>
                <w:highlight w:val="none"/>
              </w:rPr>
            </w:pPr>
            <w:r>
              <w:rPr>
                <w:rFonts w:hint="eastAsia" w:ascii="宋体" w:hAnsi="宋体" w:cs="宋体"/>
                <w:color w:val="auto"/>
                <w:szCs w:val="21"/>
                <w:highlight w:val="none"/>
              </w:rPr>
              <w:t>4.投标人</w:t>
            </w:r>
            <w:r>
              <w:rPr>
                <w:rFonts w:hint="eastAsia" w:ascii="宋体" w:hAnsi="宋体"/>
                <w:color w:val="auto"/>
                <w:szCs w:val="21"/>
                <w:highlight w:val="none"/>
              </w:rPr>
              <w:t>财务状况报告[2</w:t>
            </w:r>
            <w:r>
              <w:rPr>
                <w:rFonts w:ascii="宋体" w:hAnsi="宋体"/>
                <w:color w:val="auto"/>
                <w:szCs w:val="21"/>
                <w:highlight w:val="none"/>
              </w:rPr>
              <w:t>024</w:t>
            </w:r>
            <w:r>
              <w:rPr>
                <w:rFonts w:hint="eastAsia" w:ascii="宋体" w:hAnsi="宋体"/>
                <w:color w:val="auto"/>
                <w:szCs w:val="21"/>
                <w:highlight w:val="none"/>
              </w:rPr>
              <w:t>年度财务报表复印件，或者银行出具的资信证明，或者中国人民银行征信中心出具的信用报告（企业投标的提供企业信用报告，自然人投标的提供个人信用报告，投标人属于成立时间在规定年度之后的法人或其他组织，需提供成立之日起至投标截止时间前的月报表或银行出具的资信证明或者中国人民银行征信中心出具的企业信用报告；资信证明应在有效期内，未注明有效期的，银行出具时间至投标截止时间不超过一年]；（</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pPr>
              <w:snapToGrid w:val="0"/>
              <w:spacing w:line="360" w:lineRule="exact"/>
              <w:ind w:firstLine="420" w:firstLineChars="200"/>
              <w:jc w:val="left"/>
              <w:rPr>
                <w:rFonts w:ascii="宋体" w:hAnsi="宋体"/>
                <w:color w:val="auto"/>
                <w:szCs w:val="21"/>
                <w:highlight w:val="none"/>
              </w:rPr>
            </w:pPr>
            <w:r>
              <w:rPr>
                <w:rFonts w:hint="eastAsia" w:ascii="宋体" w:hAnsi="宋体"/>
                <w:color w:val="auto"/>
                <w:szCs w:val="21"/>
                <w:highlight w:val="none"/>
              </w:rPr>
              <w:t>5.投标人直接控股股东信息表（格式见第六章）；</w:t>
            </w:r>
            <w:r>
              <w:rPr>
                <w:rFonts w:hint="eastAsia" w:ascii="宋体" w:hAnsi="宋体"/>
                <w:b/>
                <w:color w:val="auto"/>
                <w:szCs w:val="21"/>
                <w:highlight w:val="none"/>
              </w:rPr>
              <w:t>（必须提供，否则按无效投标处理）</w:t>
            </w:r>
          </w:p>
          <w:p>
            <w:pPr>
              <w:snapToGrid w:val="0"/>
              <w:spacing w:line="360" w:lineRule="exact"/>
              <w:ind w:firstLine="420" w:firstLineChars="200"/>
              <w:jc w:val="left"/>
              <w:rPr>
                <w:rFonts w:ascii="宋体" w:hAnsi="宋体"/>
                <w:color w:val="auto"/>
                <w:szCs w:val="21"/>
                <w:highlight w:val="none"/>
              </w:rPr>
            </w:pPr>
            <w:bookmarkStart w:id="97" w:name="OLE_LINK14"/>
            <w:r>
              <w:rPr>
                <w:rFonts w:hint="eastAsia" w:ascii="宋体" w:hAnsi="宋体"/>
                <w:color w:val="auto"/>
                <w:szCs w:val="21"/>
                <w:highlight w:val="none"/>
              </w:rPr>
              <w:t>6.投标人直接管理关系信息表（格式见第六章）；</w:t>
            </w:r>
            <w:r>
              <w:rPr>
                <w:rFonts w:hint="eastAsia" w:ascii="宋体" w:hAnsi="宋体"/>
                <w:b/>
                <w:color w:val="auto"/>
                <w:szCs w:val="21"/>
                <w:highlight w:val="none"/>
              </w:rPr>
              <w:t>（必须提供，否则按无效投标处理）</w:t>
            </w:r>
          </w:p>
          <w:bookmarkEnd w:id="97"/>
          <w:p>
            <w:pPr>
              <w:snapToGrid w:val="0"/>
              <w:spacing w:line="360" w:lineRule="exact"/>
              <w:ind w:firstLine="420" w:firstLineChars="200"/>
              <w:jc w:val="left"/>
              <w:rPr>
                <w:rFonts w:ascii="宋体" w:hAnsi="宋体"/>
                <w:color w:val="auto"/>
                <w:szCs w:val="21"/>
                <w:highlight w:val="none"/>
              </w:rPr>
            </w:pPr>
            <w:bookmarkStart w:id="98" w:name="OLE_LINK15"/>
            <w:r>
              <w:rPr>
                <w:rFonts w:ascii="宋体" w:hAnsi="宋体"/>
                <w:color w:val="auto"/>
                <w:szCs w:val="21"/>
                <w:highlight w:val="none"/>
              </w:rPr>
              <w:t>7</w:t>
            </w:r>
            <w:r>
              <w:rPr>
                <w:rFonts w:hint="eastAsia" w:ascii="宋体" w:hAnsi="宋体"/>
                <w:color w:val="auto"/>
                <w:szCs w:val="21"/>
                <w:highlight w:val="none"/>
              </w:rPr>
              <w:t>.投标声明（格式见第六章）；（</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bookmarkEnd w:id="98"/>
          </w:p>
          <w:p>
            <w:pPr>
              <w:snapToGrid w:val="0"/>
              <w:spacing w:line="360" w:lineRule="exact"/>
              <w:ind w:firstLine="420" w:firstLineChars="200"/>
              <w:jc w:val="left"/>
              <w:rPr>
                <w:rFonts w:ascii="宋体" w:hAnsi="宋体"/>
                <w:b/>
                <w:color w:val="auto"/>
                <w:szCs w:val="21"/>
                <w:highlight w:val="none"/>
              </w:rPr>
            </w:pPr>
            <w:r>
              <w:rPr>
                <w:rFonts w:hint="eastAsia" w:ascii="宋体" w:hAnsi="宋体"/>
                <w:color w:val="auto"/>
                <w:szCs w:val="21"/>
                <w:highlight w:val="none"/>
              </w:rPr>
              <w:t>8.联合体协议书（格式见第六章）；</w:t>
            </w:r>
            <w:r>
              <w:rPr>
                <w:rFonts w:hint="eastAsia" w:ascii="宋体" w:hAnsi="宋体"/>
                <w:b/>
                <w:color w:val="auto"/>
                <w:szCs w:val="21"/>
                <w:highlight w:val="none"/>
              </w:rPr>
              <w:t>（本项目接受联合体）</w:t>
            </w:r>
          </w:p>
          <w:p>
            <w:pPr>
              <w:snapToGrid w:val="0"/>
              <w:spacing w:line="360" w:lineRule="exact"/>
              <w:ind w:firstLine="420" w:firstLineChars="200"/>
              <w:jc w:val="left"/>
              <w:rPr>
                <w:rFonts w:ascii="宋体" w:hAnsi="宋体"/>
                <w:color w:val="auto"/>
                <w:szCs w:val="21"/>
                <w:highlight w:val="none"/>
              </w:rPr>
            </w:pPr>
            <w:r>
              <w:rPr>
                <w:rFonts w:ascii="宋体" w:hAnsi="宋体"/>
                <w:color w:val="auto"/>
                <w:szCs w:val="21"/>
                <w:highlight w:val="none"/>
              </w:rPr>
              <w:t>9.</w:t>
            </w:r>
            <w:r>
              <w:rPr>
                <w:rFonts w:hint="eastAsia" w:ascii="宋体" w:hAnsi="宋体"/>
                <w:color w:val="auto"/>
                <w:szCs w:val="21"/>
                <w:highlight w:val="none"/>
              </w:rPr>
              <w:t>本项目落实政府采购政策需满足的资格要求：无；</w:t>
            </w:r>
          </w:p>
          <w:p>
            <w:pPr>
              <w:snapToGrid w:val="0"/>
              <w:spacing w:line="360" w:lineRule="exact"/>
              <w:ind w:firstLine="420" w:firstLineChars="200"/>
              <w:jc w:val="left"/>
              <w:rPr>
                <w:rFonts w:ascii="宋体" w:hAnsi="宋体" w:cs="Courier New"/>
                <w:b/>
                <w:color w:val="auto"/>
                <w:szCs w:val="21"/>
                <w:highlight w:val="none"/>
              </w:rPr>
            </w:pPr>
            <w:r>
              <w:rPr>
                <w:rFonts w:ascii="宋体" w:hAnsi="宋体"/>
                <w:color w:val="auto"/>
                <w:szCs w:val="21"/>
                <w:highlight w:val="none"/>
              </w:rPr>
              <w:t>10.</w:t>
            </w:r>
            <w:r>
              <w:rPr>
                <w:rFonts w:hint="eastAsia" w:ascii="宋体" w:hAnsi="宋体"/>
                <w:color w:val="auto"/>
                <w:szCs w:val="21"/>
                <w:highlight w:val="none"/>
              </w:rPr>
              <w:t>本项目的特定资格要求：无。</w:t>
            </w:r>
          </w:p>
          <w:p>
            <w:pPr>
              <w:snapToGrid w:val="0"/>
              <w:spacing w:line="360" w:lineRule="exact"/>
              <w:ind w:firstLine="420" w:firstLineChars="200"/>
              <w:jc w:val="left"/>
              <w:rPr>
                <w:rFonts w:ascii="宋体" w:hAnsi="宋体"/>
                <w:color w:val="auto"/>
                <w:szCs w:val="21"/>
                <w:highlight w:val="none"/>
              </w:rPr>
            </w:pPr>
            <w:r>
              <w:rPr>
                <w:rFonts w:ascii="宋体" w:hAnsi="宋体"/>
                <w:color w:val="auto"/>
                <w:szCs w:val="21"/>
                <w:highlight w:val="none"/>
              </w:rPr>
              <w:t>11</w:t>
            </w:r>
            <w:r>
              <w:rPr>
                <w:rFonts w:hint="eastAsia" w:ascii="宋体" w:hAnsi="宋体"/>
                <w:color w:val="auto"/>
                <w:szCs w:val="21"/>
                <w:highlight w:val="none"/>
              </w:rPr>
              <w:t>.除招标文件规定必须提供以外，投标人认为需要提供的其他证明材料。</w:t>
            </w:r>
          </w:p>
          <w:p>
            <w:pPr>
              <w:snapToGrid w:val="0"/>
              <w:spacing w:line="360" w:lineRule="exact"/>
              <w:jc w:val="left"/>
              <w:rPr>
                <w:rFonts w:ascii="宋体" w:hAnsi="宋体"/>
                <w:b/>
                <w:bCs/>
                <w:color w:val="auto"/>
                <w:szCs w:val="21"/>
                <w:highlight w:val="none"/>
              </w:rPr>
            </w:pPr>
            <w:r>
              <w:rPr>
                <w:rFonts w:hint="eastAsia" w:ascii="宋体" w:hAnsi="宋体"/>
                <w:b/>
                <w:bCs/>
                <w:color w:val="auto"/>
                <w:szCs w:val="21"/>
                <w:highlight w:val="none"/>
              </w:rPr>
              <w:t>注：</w:t>
            </w:r>
          </w:p>
          <w:p>
            <w:pPr>
              <w:snapToGrid w:val="0"/>
              <w:spacing w:line="360" w:lineRule="exact"/>
              <w:ind w:firstLine="422" w:firstLineChars="200"/>
              <w:jc w:val="left"/>
              <w:rPr>
                <w:rFonts w:ascii="宋体" w:hAnsi="宋体"/>
                <w:b/>
                <w:bCs/>
                <w:color w:val="auto"/>
                <w:szCs w:val="21"/>
                <w:highlight w:val="none"/>
              </w:rPr>
            </w:pPr>
            <w:r>
              <w:rPr>
                <w:rFonts w:hint="eastAsia" w:ascii="宋体" w:hAnsi="宋体"/>
                <w:b/>
                <w:bCs/>
                <w:color w:val="auto"/>
                <w:szCs w:val="21"/>
                <w:highlight w:val="none"/>
              </w:rPr>
              <w:t>1.以上标明“必须提供”的材料，格式中有要求法定代表人或者委托代理人签字的，必须按要求签字并加盖投标人电子签章，否则按无效投标处理。</w:t>
            </w:r>
          </w:p>
          <w:p>
            <w:pPr>
              <w:snapToGrid w:val="0"/>
              <w:spacing w:line="360" w:lineRule="exact"/>
              <w:ind w:firstLine="422" w:firstLineChars="200"/>
              <w:jc w:val="left"/>
              <w:rPr>
                <w:rFonts w:ascii="宋体" w:hAnsi="宋体"/>
                <w:b/>
                <w:bCs/>
                <w:color w:val="auto"/>
                <w:szCs w:val="21"/>
                <w:highlight w:val="none"/>
              </w:rPr>
            </w:pPr>
            <w:r>
              <w:rPr>
                <w:rFonts w:hint="eastAsia" w:ascii="宋体" w:hAnsi="宋体"/>
                <w:b/>
                <w:bCs/>
                <w:color w:val="auto"/>
                <w:szCs w:val="21"/>
                <w:highlight w:val="none"/>
              </w:rPr>
              <w:t>2.联合体投标时，第1-</w:t>
            </w:r>
            <w:r>
              <w:rPr>
                <w:rFonts w:ascii="宋体" w:hAnsi="宋体"/>
                <w:b/>
                <w:bCs/>
                <w:color w:val="auto"/>
                <w:szCs w:val="21"/>
                <w:highlight w:val="none"/>
              </w:rPr>
              <w:t>6</w:t>
            </w:r>
            <w:r>
              <w:rPr>
                <w:rFonts w:hint="eastAsia" w:ascii="宋体" w:hAnsi="宋体"/>
                <w:b/>
                <w:bCs/>
                <w:color w:val="auto"/>
                <w:szCs w:val="21"/>
                <w:highlight w:val="none"/>
              </w:rPr>
              <w:t>项资格证明文件联合体各方均必须分别提供，并由联合体牵头人加盖电子签章，规定签字处签字（或者电子签名），否则按无效投标处理。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 w:type="pct"/>
            <w:vMerge w:val="continue"/>
            <w:tcBorders>
              <w:left w:val="single" w:color="auto" w:sz="4" w:space="0"/>
              <w:right w:val="single" w:color="auto" w:sz="4" w:space="0"/>
            </w:tcBorders>
            <w:vAlign w:val="center"/>
          </w:tcPr>
          <w:p>
            <w:pPr>
              <w:spacing w:line="360" w:lineRule="exact"/>
              <w:rPr>
                <w:rFonts w:ascii="宋体" w:hAnsi="宋体"/>
                <w:szCs w:val="21"/>
              </w:rPr>
            </w:pPr>
            <w:bookmarkStart w:id="99" w:name="_13.3"/>
            <w:bookmarkEnd w:id="99"/>
          </w:p>
        </w:tc>
        <w:tc>
          <w:tcPr>
            <w:tcW w:w="4424" w:type="pct"/>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left"/>
              <w:rPr>
                <w:rFonts w:ascii="宋体" w:hAnsi="宋体" w:cs="Courier New"/>
                <w:b/>
                <w:color w:val="auto"/>
                <w:szCs w:val="21"/>
                <w:highlight w:val="none"/>
              </w:rPr>
            </w:pPr>
            <w:r>
              <w:rPr>
                <w:rFonts w:hint="eastAsia" w:ascii="宋体" w:hAnsi="宋体" w:cs="Courier New"/>
                <w:b/>
                <w:color w:val="auto"/>
                <w:szCs w:val="21"/>
                <w:highlight w:val="none"/>
              </w:rPr>
              <w:t>商务及技术文件：</w:t>
            </w:r>
          </w:p>
          <w:p>
            <w:pPr>
              <w:snapToGrid w:val="0"/>
              <w:spacing w:line="360" w:lineRule="exact"/>
              <w:ind w:left="413"/>
              <w:jc w:val="left"/>
              <w:rPr>
                <w:rFonts w:ascii="宋体" w:hAnsi="宋体"/>
                <w:color w:val="auto"/>
                <w:szCs w:val="21"/>
                <w:highlight w:val="none"/>
              </w:rPr>
            </w:pPr>
            <w:r>
              <w:rPr>
                <w:rFonts w:hint="eastAsia" w:ascii="宋体" w:hAnsi="宋体"/>
                <w:color w:val="auto"/>
                <w:szCs w:val="21"/>
                <w:highlight w:val="none"/>
              </w:rPr>
              <w:t>1.无串通投标行为的承诺函（格式见第六章）；（</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pPr>
              <w:snapToGrid w:val="0"/>
              <w:spacing w:line="360" w:lineRule="exact"/>
              <w:ind w:left="413"/>
              <w:jc w:val="left"/>
              <w:rPr>
                <w:rFonts w:ascii="宋体" w:hAnsi="宋体"/>
                <w:color w:val="auto"/>
                <w:szCs w:val="21"/>
                <w:highlight w:val="none"/>
              </w:rPr>
            </w:pPr>
            <w:r>
              <w:rPr>
                <w:rFonts w:hint="eastAsia" w:ascii="宋体" w:hAnsi="宋体"/>
                <w:color w:val="auto"/>
                <w:szCs w:val="21"/>
                <w:highlight w:val="none"/>
              </w:rPr>
              <w:t>2.投标保证金提交凭证；（</w:t>
            </w:r>
            <w:r>
              <w:rPr>
                <w:rFonts w:hint="eastAsia" w:ascii="宋体" w:hAnsi="宋体"/>
                <w:b/>
                <w:bCs/>
                <w:color w:val="auto"/>
                <w:szCs w:val="21"/>
                <w:highlight w:val="none"/>
              </w:rPr>
              <w:t>如要求提交投标保证金的则必须提供</w:t>
            </w:r>
            <w:r>
              <w:rPr>
                <w:rFonts w:hint="eastAsia" w:ascii="宋体" w:hAnsi="宋体"/>
                <w:b/>
                <w:color w:val="auto"/>
                <w:szCs w:val="21"/>
                <w:highlight w:val="none"/>
              </w:rPr>
              <w:t>，否则按无效投标处理</w:t>
            </w:r>
            <w:r>
              <w:rPr>
                <w:rFonts w:hint="eastAsia" w:ascii="宋体" w:hAnsi="宋体"/>
                <w:color w:val="auto"/>
                <w:szCs w:val="21"/>
                <w:highlight w:val="none"/>
              </w:rPr>
              <w:t>）</w:t>
            </w:r>
          </w:p>
          <w:p>
            <w:pPr>
              <w:snapToGrid w:val="0"/>
              <w:spacing w:line="360" w:lineRule="exact"/>
              <w:ind w:left="413"/>
              <w:jc w:val="left"/>
              <w:rPr>
                <w:rFonts w:ascii="宋体" w:hAnsi="宋体"/>
                <w:color w:val="auto"/>
                <w:szCs w:val="21"/>
                <w:highlight w:val="none"/>
              </w:rPr>
            </w:pPr>
            <w:r>
              <w:rPr>
                <w:rFonts w:hint="eastAsia" w:ascii="宋体" w:hAnsi="宋体"/>
                <w:color w:val="auto"/>
                <w:szCs w:val="21"/>
                <w:highlight w:val="none"/>
              </w:rPr>
              <w:t>3.法定代表人身份证明及法定代表人有效身份证正反面复印件（格式见第六章）；（</w:t>
            </w:r>
            <w:r>
              <w:rPr>
                <w:rFonts w:hint="eastAsia" w:ascii="宋体" w:hAnsi="宋体" w:cs="宋体"/>
                <w:b/>
                <w:bCs/>
                <w:color w:val="auto"/>
                <w:szCs w:val="21"/>
                <w:highlight w:val="none"/>
              </w:rPr>
              <w:t>除自然人投标外</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pPr>
              <w:snapToGrid w:val="0"/>
              <w:spacing w:line="360" w:lineRule="exact"/>
              <w:ind w:left="413"/>
              <w:jc w:val="left"/>
              <w:rPr>
                <w:rFonts w:ascii="宋体" w:hAnsi="宋体"/>
                <w:color w:val="auto"/>
                <w:szCs w:val="21"/>
                <w:highlight w:val="none"/>
              </w:rPr>
            </w:pPr>
            <w:r>
              <w:rPr>
                <w:rFonts w:hint="eastAsia" w:ascii="宋体" w:hAnsi="宋体"/>
                <w:color w:val="auto"/>
                <w:szCs w:val="21"/>
                <w:highlight w:val="none"/>
              </w:rPr>
              <w:t>4.授权委托书及委托代理人有效身份证正反面复印件（格式见第六章）；（</w:t>
            </w:r>
            <w:r>
              <w:rPr>
                <w:rFonts w:hint="eastAsia" w:ascii="宋体" w:hAnsi="宋体"/>
                <w:b/>
                <w:color w:val="auto"/>
                <w:szCs w:val="21"/>
                <w:highlight w:val="none"/>
              </w:rPr>
              <w:t>委托时必须提供，否则按无效投标处理</w:t>
            </w:r>
            <w:r>
              <w:rPr>
                <w:rFonts w:hint="eastAsia" w:ascii="宋体" w:hAnsi="宋体"/>
                <w:color w:val="auto"/>
                <w:szCs w:val="21"/>
                <w:highlight w:val="none"/>
              </w:rPr>
              <w:t>）</w:t>
            </w:r>
          </w:p>
          <w:p>
            <w:pPr>
              <w:snapToGrid w:val="0"/>
              <w:spacing w:line="360" w:lineRule="exact"/>
              <w:ind w:left="413"/>
              <w:jc w:val="left"/>
              <w:rPr>
                <w:rFonts w:ascii="宋体" w:hAnsi="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w:t>
            </w:r>
            <w:r>
              <w:rPr>
                <w:rFonts w:hint="eastAsia" w:ascii="宋体" w:hAnsi="宋体"/>
                <w:color w:val="auto"/>
                <w:szCs w:val="21"/>
                <w:highlight w:val="none"/>
              </w:rPr>
              <w:t>商务要求偏离表（格式见第六章）；（</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pPr>
              <w:snapToGrid w:val="0"/>
              <w:spacing w:line="360" w:lineRule="exact"/>
              <w:ind w:left="413"/>
              <w:jc w:val="left"/>
              <w:rPr>
                <w:rFonts w:ascii="宋体" w:hAnsi="宋体"/>
                <w:color w:val="auto"/>
                <w:szCs w:val="21"/>
                <w:highlight w:val="none"/>
              </w:rPr>
            </w:pPr>
            <w:r>
              <w:rPr>
                <w:rFonts w:ascii="宋体" w:hAnsi="宋体"/>
                <w:color w:val="auto"/>
                <w:szCs w:val="21"/>
                <w:highlight w:val="none"/>
              </w:rPr>
              <w:t>6</w:t>
            </w:r>
            <w:r>
              <w:rPr>
                <w:rFonts w:hint="eastAsia" w:ascii="宋体" w:hAnsi="宋体"/>
                <w:color w:val="auto"/>
                <w:szCs w:val="21"/>
                <w:highlight w:val="none"/>
              </w:rPr>
              <w:t>.售后服务承诺（格式自拟）；（</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pPr>
              <w:snapToGrid w:val="0"/>
              <w:spacing w:line="360" w:lineRule="exact"/>
              <w:ind w:left="413"/>
              <w:jc w:val="left"/>
              <w:rPr>
                <w:rFonts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.投标人情况介绍（格式自拟）；（如有，请提供）</w:t>
            </w:r>
          </w:p>
          <w:p>
            <w:pPr>
              <w:snapToGrid w:val="0"/>
              <w:spacing w:line="360" w:lineRule="exact"/>
              <w:ind w:left="413"/>
              <w:jc w:val="left"/>
              <w:rPr>
                <w:rFonts w:ascii="宋体" w:hAnsi="宋体"/>
                <w:color w:val="auto"/>
                <w:szCs w:val="21"/>
                <w:highlight w:val="none"/>
              </w:rPr>
            </w:pPr>
            <w:r>
              <w:rPr>
                <w:rFonts w:hint="eastAsia" w:ascii="宋体" w:hAnsi="宋体"/>
                <w:color w:val="auto"/>
                <w:szCs w:val="21"/>
                <w:highlight w:val="none"/>
              </w:rPr>
              <w:t>8.联合体协议书（格式见第六章）；</w:t>
            </w:r>
            <w:r>
              <w:rPr>
                <w:rFonts w:hint="eastAsia" w:ascii="宋体" w:hAnsi="宋体"/>
                <w:b/>
                <w:color w:val="auto"/>
                <w:szCs w:val="21"/>
                <w:highlight w:val="none"/>
              </w:rPr>
              <w:t>（本项目接受联合体）</w:t>
            </w:r>
          </w:p>
          <w:p>
            <w:pPr>
              <w:snapToGrid w:val="0"/>
              <w:spacing w:line="360" w:lineRule="exact"/>
              <w:ind w:left="413"/>
              <w:jc w:val="left"/>
              <w:rPr>
                <w:rFonts w:ascii="宋体" w:hAnsi="宋体"/>
                <w:color w:val="auto"/>
                <w:szCs w:val="21"/>
                <w:highlight w:val="none"/>
              </w:rPr>
            </w:pPr>
            <w:r>
              <w:rPr>
                <w:rFonts w:hint="eastAsia" w:ascii="宋体" w:hAnsi="宋体"/>
                <w:color w:val="auto"/>
                <w:szCs w:val="21"/>
                <w:highlight w:val="none"/>
              </w:rPr>
              <w:t>9.代理服务费承诺书（格式见第六章）；</w:t>
            </w:r>
          </w:p>
          <w:p>
            <w:pPr>
              <w:snapToGrid w:val="0"/>
              <w:spacing w:line="360" w:lineRule="exact"/>
              <w:ind w:left="413"/>
              <w:jc w:val="left"/>
              <w:rPr>
                <w:rFonts w:ascii="宋体" w:hAnsi="宋体"/>
                <w:color w:val="auto"/>
                <w:szCs w:val="21"/>
                <w:highlight w:val="none"/>
              </w:rPr>
            </w:pPr>
            <w:r>
              <w:rPr>
                <w:rFonts w:hint="eastAsia" w:ascii="宋体" w:hAnsi="宋体"/>
                <w:color w:val="auto"/>
                <w:szCs w:val="21"/>
                <w:highlight w:val="none"/>
              </w:rPr>
              <w:t>10.设备性能配置清单（格式见第六章）；</w:t>
            </w:r>
            <w:r>
              <w:rPr>
                <w:rFonts w:hint="eastAsia" w:ascii="宋体" w:hAnsi="宋体"/>
                <w:b/>
                <w:color w:val="auto"/>
                <w:szCs w:val="21"/>
                <w:highlight w:val="none"/>
              </w:rPr>
              <w:t>（必须提供，否则按无效投标处理）</w:t>
            </w:r>
          </w:p>
          <w:p>
            <w:pPr>
              <w:snapToGrid w:val="0"/>
              <w:spacing w:line="360" w:lineRule="exact"/>
              <w:ind w:left="413"/>
              <w:jc w:val="left"/>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1.技术要求偏离表（格式见第六章）；</w:t>
            </w:r>
            <w:r>
              <w:rPr>
                <w:rFonts w:hint="eastAsia" w:ascii="宋体" w:hAnsi="宋体"/>
                <w:b/>
                <w:color w:val="auto"/>
                <w:szCs w:val="21"/>
                <w:highlight w:val="none"/>
              </w:rPr>
              <w:t>（必须提供，否则按无效投标处理）</w:t>
            </w:r>
          </w:p>
          <w:p>
            <w:pPr>
              <w:snapToGrid w:val="0"/>
              <w:spacing w:line="360" w:lineRule="exact"/>
              <w:ind w:left="413"/>
              <w:jc w:val="left"/>
              <w:rPr>
                <w:rFonts w:ascii="宋体" w:hAnsi="宋体"/>
                <w:color w:val="auto"/>
                <w:szCs w:val="21"/>
                <w:highlight w:val="none"/>
              </w:rPr>
            </w:pPr>
            <w:r>
              <w:rPr>
                <w:rFonts w:hint="eastAsia" w:ascii="宋体" w:hAnsi="宋体"/>
                <w:color w:val="auto"/>
                <w:szCs w:val="21"/>
                <w:highlight w:val="none"/>
              </w:rPr>
              <w:t>12.项目安装调试方案（包括但不限于：管理措施、具体实施流程、进度安排、质量保证措施、风险防范等措施）（格式自拟）；（如有，请提供）</w:t>
            </w:r>
          </w:p>
          <w:p>
            <w:pPr>
              <w:snapToGrid w:val="0"/>
              <w:spacing w:line="360" w:lineRule="exact"/>
              <w:ind w:left="413"/>
              <w:jc w:val="left"/>
              <w:rPr>
                <w:rFonts w:ascii="宋体" w:hAnsi="宋体"/>
                <w:color w:val="auto"/>
                <w:szCs w:val="21"/>
                <w:highlight w:val="none"/>
              </w:rPr>
            </w:pPr>
            <w:r>
              <w:rPr>
                <w:rFonts w:hint="eastAsia" w:ascii="宋体" w:hAnsi="宋体"/>
                <w:color w:val="auto"/>
                <w:szCs w:val="21"/>
                <w:highlight w:val="none"/>
              </w:rPr>
              <w:t>13.对本项目系统总体要求的理解。包括：功能说明、性能指标及设备选型说明（质量、性能、价格、外观、体积等方面进行比较和选择的理由及过程，格式自拟）；（如有，请提供）</w:t>
            </w:r>
          </w:p>
          <w:p>
            <w:pPr>
              <w:snapToGrid w:val="0"/>
              <w:spacing w:line="360" w:lineRule="exact"/>
              <w:ind w:left="413"/>
              <w:jc w:val="left"/>
              <w:rPr>
                <w:rFonts w:ascii="宋体" w:hAnsi="宋体"/>
                <w:color w:val="auto"/>
                <w:szCs w:val="21"/>
                <w:highlight w:val="none"/>
              </w:rPr>
            </w:pPr>
            <w:r>
              <w:rPr>
                <w:rFonts w:hint="eastAsia" w:ascii="宋体" w:hAnsi="宋体"/>
                <w:color w:val="auto"/>
                <w:szCs w:val="21"/>
                <w:highlight w:val="none"/>
              </w:rPr>
              <w:t>14.产品出厂标准、质量检测报告【其中有精度要求的仪器设备类政府采购项目，应当要求投标人提供精度数据（国家认可的有资质的第三方检测机构出具的检测报告复印件或者由采购人在投标前组织的实测获得）】</w:t>
            </w:r>
          </w:p>
          <w:p>
            <w:pPr>
              <w:snapToGrid w:val="0"/>
              <w:spacing w:line="360" w:lineRule="exact"/>
              <w:ind w:left="413"/>
              <w:jc w:val="left"/>
              <w:rPr>
                <w:rFonts w:ascii="宋体" w:hAnsi="宋体"/>
                <w:color w:val="auto"/>
                <w:szCs w:val="21"/>
                <w:highlight w:val="none"/>
              </w:rPr>
            </w:pPr>
            <w:r>
              <w:rPr>
                <w:rFonts w:hint="eastAsia" w:ascii="宋体" w:hAnsi="宋体"/>
                <w:color w:val="auto"/>
                <w:szCs w:val="21"/>
                <w:highlight w:val="none"/>
              </w:rPr>
              <w:t>15.优惠条件：投标人承诺给予招标人的各种优惠条件，包括售后服务、备品备件、专用耗材等方面的优惠；投标人不得给予赠品或者与采购无关的其他商品、服务；（如</w:t>
            </w:r>
            <w:r>
              <w:rPr>
                <w:rFonts w:ascii="宋体" w:hAnsi="宋体"/>
                <w:color w:val="auto"/>
                <w:szCs w:val="21"/>
                <w:highlight w:val="none"/>
              </w:rPr>
              <w:t>有</w:t>
            </w:r>
            <w:r>
              <w:rPr>
                <w:rFonts w:hint="eastAsia" w:ascii="宋体" w:hAnsi="宋体"/>
                <w:color w:val="auto"/>
                <w:szCs w:val="21"/>
                <w:highlight w:val="none"/>
              </w:rPr>
              <w:t>，请</w:t>
            </w:r>
            <w:r>
              <w:rPr>
                <w:rFonts w:ascii="宋体" w:hAnsi="宋体"/>
                <w:color w:val="auto"/>
                <w:szCs w:val="21"/>
                <w:highlight w:val="none"/>
              </w:rPr>
              <w:t>提供</w:t>
            </w:r>
            <w:r>
              <w:rPr>
                <w:rFonts w:hint="eastAsia" w:ascii="宋体" w:hAnsi="宋体"/>
                <w:color w:val="auto"/>
                <w:szCs w:val="21"/>
                <w:highlight w:val="none"/>
              </w:rPr>
              <w:t>）</w:t>
            </w:r>
          </w:p>
          <w:p>
            <w:pPr>
              <w:snapToGrid w:val="0"/>
              <w:spacing w:line="360" w:lineRule="exact"/>
              <w:ind w:left="413"/>
              <w:jc w:val="left"/>
              <w:rPr>
                <w:rFonts w:ascii="宋体" w:hAnsi="宋体"/>
                <w:color w:val="auto"/>
                <w:szCs w:val="21"/>
                <w:highlight w:val="none"/>
              </w:rPr>
            </w:pPr>
            <w:r>
              <w:rPr>
                <w:rFonts w:hint="eastAsia" w:ascii="宋体" w:hAnsi="宋体"/>
                <w:color w:val="auto"/>
                <w:szCs w:val="21"/>
                <w:highlight w:val="none"/>
              </w:rPr>
              <w:t>16.投标人对本项目的合理化建议和改进措施（格式自拟）；（如</w:t>
            </w:r>
            <w:r>
              <w:rPr>
                <w:rFonts w:ascii="宋体" w:hAnsi="宋体"/>
                <w:color w:val="auto"/>
                <w:szCs w:val="21"/>
                <w:highlight w:val="none"/>
              </w:rPr>
              <w:t>有</w:t>
            </w:r>
            <w:r>
              <w:rPr>
                <w:rFonts w:hint="eastAsia" w:ascii="宋体" w:hAnsi="宋体"/>
                <w:color w:val="auto"/>
                <w:szCs w:val="21"/>
                <w:highlight w:val="none"/>
              </w:rPr>
              <w:t>，请</w:t>
            </w:r>
            <w:r>
              <w:rPr>
                <w:rFonts w:ascii="宋体" w:hAnsi="宋体"/>
                <w:color w:val="auto"/>
                <w:szCs w:val="21"/>
                <w:highlight w:val="none"/>
              </w:rPr>
              <w:t>提供</w:t>
            </w:r>
            <w:r>
              <w:rPr>
                <w:rFonts w:hint="eastAsia" w:ascii="宋体" w:hAnsi="宋体"/>
                <w:color w:val="auto"/>
                <w:szCs w:val="21"/>
                <w:highlight w:val="none"/>
              </w:rPr>
              <w:t>）</w:t>
            </w:r>
          </w:p>
          <w:p>
            <w:pPr>
              <w:snapToGrid w:val="0"/>
              <w:spacing w:line="360" w:lineRule="exact"/>
              <w:ind w:left="413"/>
              <w:jc w:val="left"/>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7.除招标文件规定必须提供以外，投标人认为需要提供的其他证明材料（格式自拟）。</w:t>
            </w:r>
          </w:p>
          <w:p>
            <w:pPr>
              <w:snapToGrid w:val="0"/>
              <w:spacing w:line="360" w:lineRule="exact"/>
              <w:ind w:left="413"/>
              <w:jc w:val="left"/>
              <w:rPr>
                <w:rFonts w:ascii="宋体" w:hAnsi="宋体"/>
                <w:color w:val="auto"/>
                <w:szCs w:val="21"/>
                <w:highlight w:val="none"/>
              </w:rPr>
            </w:pPr>
            <w:r>
              <w:rPr>
                <w:rFonts w:hint="eastAsia" w:ascii="宋体" w:hAnsi="宋体"/>
                <w:color w:val="auto"/>
                <w:szCs w:val="21"/>
                <w:highlight w:val="none"/>
              </w:rPr>
              <w:t>（注：以上由投标人根据“第二章 采购需求”及“第四章 评标方法及评标标准”提供有关证明材料）。</w:t>
            </w:r>
          </w:p>
          <w:p>
            <w:pPr>
              <w:snapToGrid w:val="0"/>
              <w:spacing w:line="360" w:lineRule="exact"/>
              <w:ind w:firstLine="422" w:firstLineChars="200"/>
              <w:jc w:val="left"/>
              <w:rPr>
                <w:rFonts w:ascii="宋体" w:hAnsi="宋体"/>
                <w:color w:val="auto"/>
                <w:szCs w:val="21"/>
                <w:highlight w:val="none"/>
              </w:rPr>
            </w:pPr>
            <w:bookmarkStart w:id="100" w:name="OLE_LINK16"/>
            <w:r>
              <w:rPr>
                <w:rFonts w:hint="eastAsia" w:ascii="宋体" w:hAnsi="宋体"/>
                <w:b/>
                <w:bCs/>
                <w:color w:val="auto"/>
                <w:szCs w:val="21"/>
                <w:highlight w:val="none"/>
              </w:rPr>
              <w:t>注：以上标明“必须提供”的材料，格式中有要求法定代表人或者委托代理人签字的，必须按要求签字并加盖投标人电子签章，否则按无效投标处理。</w:t>
            </w:r>
            <w:bookmarkEnd w:id="100"/>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Cs w:val="21"/>
              </w:rPr>
            </w:pPr>
            <w:bookmarkStart w:id="101" w:name="_13.5"/>
            <w:bookmarkEnd w:id="101"/>
            <w:bookmarkStart w:id="102" w:name="_13.4"/>
            <w:bookmarkEnd w:id="102"/>
            <w:bookmarkStart w:id="103" w:name="_16.2"/>
            <w:bookmarkEnd w:id="103"/>
            <w:r>
              <w:rPr>
                <w:rFonts w:hint="eastAsia" w:ascii="宋体" w:hAnsi="宋体"/>
                <w:szCs w:val="21"/>
              </w:rPr>
              <w:t>16</w:t>
            </w:r>
            <w:bookmarkStart w:id="104" w:name="_Hlt19693758"/>
            <w:bookmarkStart w:id="105" w:name="_Hlt19693759"/>
            <w:bookmarkStart w:id="106" w:name="_Hlt19194067"/>
            <w:bookmarkStart w:id="107" w:name="_Hlt19194066"/>
            <w:r>
              <w:rPr>
                <w:rFonts w:hint="eastAsia" w:ascii="宋体" w:hAnsi="宋体"/>
                <w:szCs w:val="21"/>
              </w:rPr>
              <w:t>.</w:t>
            </w:r>
            <w:bookmarkEnd w:id="104"/>
            <w:bookmarkEnd w:id="105"/>
            <w:bookmarkEnd w:id="106"/>
            <w:bookmarkEnd w:id="107"/>
            <w:r>
              <w:rPr>
                <w:rFonts w:hint="eastAsia" w:ascii="宋体" w:hAnsi="宋体"/>
                <w:szCs w:val="21"/>
              </w:rPr>
              <w:t>2</w:t>
            </w:r>
          </w:p>
        </w:tc>
        <w:tc>
          <w:tcPr>
            <w:tcW w:w="4424" w:type="pct"/>
            <w:tcBorders>
              <w:top w:val="single" w:color="auto" w:sz="4" w:space="0"/>
              <w:left w:val="single" w:color="auto" w:sz="4" w:space="0"/>
              <w:bottom w:val="single" w:color="auto" w:sz="4" w:space="0"/>
              <w:right w:val="single" w:color="auto" w:sz="4" w:space="0"/>
            </w:tcBorders>
            <w:vAlign w:val="center"/>
          </w:tcPr>
          <w:p>
            <w:pPr>
              <w:snapToGrid w:val="0"/>
              <w:spacing w:line="360" w:lineRule="exact"/>
              <w:ind w:firstLine="420" w:firstLineChars="200"/>
              <w:rPr>
                <w:rFonts w:ascii="宋体" w:hAnsi="宋体"/>
                <w:b/>
                <w:szCs w:val="21"/>
              </w:rPr>
            </w:pPr>
            <w:r>
              <w:rPr>
                <w:rFonts w:hint="eastAsia" w:ascii="宋体" w:hAnsi="宋体"/>
                <w:szCs w:val="21"/>
              </w:rPr>
              <w:t>投标报价是履行合同的最终价格，投标人的投标报价为人民币含税价，本项目实行总价包干且为采购人指定地点的现场交货价。具体</w:t>
            </w:r>
            <w:r>
              <w:rPr>
                <w:rFonts w:ascii="宋体" w:hAnsi="宋体"/>
                <w:szCs w:val="21"/>
              </w:rPr>
              <w:t>见</w:t>
            </w:r>
            <w:r>
              <w:rPr>
                <w:rFonts w:hint="eastAsia" w:ascii="宋体" w:hAnsi="宋体"/>
                <w:szCs w:val="21"/>
              </w:rPr>
              <w:t>本招</w:t>
            </w:r>
            <w:r>
              <w:rPr>
                <w:rFonts w:ascii="宋体" w:hAnsi="宋体"/>
                <w:szCs w:val="21"/>
              </w:rPr>
              <w:t>标文件第二</w:t>
            </w:r>
            <w:r>
              <w:rPr>
                <w:rFonts w:hint="eastAsia" w:ascii="宋体" w:hAnsi="宋体"/>
                <w:szCs w:val="21"/>
              </w:rPr>
              <w:t>章“商务要求”。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Cs w:val="21"/>
              </w:rPr>
            </w:pPr>
            <w:bookmarkStart w:id="108" w:name="_17.1"/>
            <w:bookmarkEnd w:id="108"/>
            <w:r>
              <w:rPr>
                <w:rFonts w:hint="eastAsia" w:ascii="宋体" w:hAnsi="宋体"/>
                <w:szCs w:val="21"/>
              </w:rPr>
              <w:t>17.</w:t>
            </w:r>
            <w:r>
              <w:rPr>
                <w:rFonts w:ascii="宋体" w:hAnsi="宋体"/>
                <w:szCs w:val="21"/>
              </w:rPr>
              <w:t>2</w:t>
            </w:r>
          </w:p>
        </w:tc>
        <w:tc>
          <w:tcPr>
            <w:tcW w:w="4424" w:type="pct"/>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ascii="宋体" w:hAnsi="宋体"/>
                <w:szCs w:val="21"/>
              </w:rPr>
            </w:pPr>
            <w:r>
              <w:rPr>
                <w:rFonts w:hint="eastAsia" w:ascii="宋体" w:hAnsi="宋体"/>
                <w:szCs w:val="21"/>
              </w:rPr>
              <w:t>投标有效期：自投标截止之日起</w:t>
            </w:r>
            <w:r>
              <w:rPr>
                <w:rFonts w:ascii="宋体" w:hAnsi="宋体"/>
                <w:szCs w:val="21"/>
                <w:u w:val="single"/>
              </w:rPr>
              <w:t xml:space="preserve"> </w:t>
            </w:r>
            <w:r>
              <w:rPr>
                <w:rFonts w:hint="eastAsia" w:ascii="宋体" w:hAnsi="宋体"/>
                <w:szCs w:val="21"/>
                <w:u w:val="single"/>
              </w:rPr>
              <w:t>60</w:t>
            </w:r>
            <w:r>
              <w:rPr>
                <w:rFonts w:ascii="宋体" w:hAnsi="宋体"/>
                <w:szCs w:val="21"/>
                <w:u w:val="single"/>
              </w:rPr>
              <w:t xml:space="preserve"> </w:t>
            </w:r>
            <w:r>
              <w:rPr>
                <w:rFonts w:hint="eastAsia" w:ascii="宋体" w:hAnsi="宋体"/>
                <w:szCs w:val="21"/>
              </w:rPr>
              <w:t>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Cs w:val="21"/>
              </w:rPr>
            </w:pPr>
            <w:bookmarkStart w:id="109" w:name="_18"/>
            <w:bookmarkEnd w:id="109"/>
            <w:r>
              <w:rPr>
                <w:rFonts w:hint="eastAsia" w:ascii="宋体" w:hAnsi="宋体"/>
                <w:szCs w:val="21"/>
              </w:rPr>
              <w:t>18</w:t>
            </w:r>
            <w:r>
              <w:rPr>
                <w:rFonts w:ascii="宋体" w:hAnsi="宋体"/>
                <w:szCs w:val="21"/>
              </w:rPr>
              <w:t>.1</w:t>
            </w:r>
          </w:p>
        </w:tc>
        <w:tc>
          <w:tcPr>
            <w:tcW w:w="4424" w:type="pct"/>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exact"/>
              <w:textAlignment w:val="bottom"/>
              <w:rPr>
                <w:rFonts w:ascii="宋体" w:hAnsi="宋体"/>
                <w:szCs w:val="21"/>
              </w:rPr>
            </w:pPr>
            <w:r>
              <w:rPr>
                <w:rFonts w:hint="eastAsia" w:ascii="宋体" w:hAnsi="宋体"/>
                <w:szCs w:val="21"/>
              </w:rPr>
              <w:t>□本项目不收取投标保证金。</w:t>
            </w:r>
          </w:p>
          <w:p>
            <w:pPr>
              <w:snapToGrid w:val="0"/>
              <w:spacing w:line="360" w:lineRule="exact"/>
              <w:rPr>
                <w:rFonts w:ascii="宋体" w:hAnsi="宋体"/>
                <w:szCs w:val="21"/>
              </w:rPr>
            </w:pPr>
            <w:r>
              <w:rPr>
                <w:rFonts w:hint="eastAsia" w:ascii="MS Mincho" w:hAnsi="MS Mincho" w:eastAsia="MS Mincho" w:cs="MS Mincho"/>
              </w:rPr>
              <w:t>☑</w:t>
            </w:r>
            <w:r>
              <w:rPr>
                <w:rFonts w:hint="eastAsia" w:ascii="宋体" w:hAnsi="宋体"/>
                <w:szCs w:val="21"/>
              </w:rPr>
              <w:t>本项目收取投标保证金，具体规定如下：</w:t>
            </w:r>
          </w:p>
          <w:p>
            <w:pPr>
              <w:snapToGrid w:val="0"/>
              <w:spacing w:line="360" w:lineRule="exact"/>
              <w:ind w:firstLine="420" w:firstLineChars="200"/>
              <w:rPr>
                <w:rFonts w:ascii="宋体" w:hAnsi="宋体" w:cs="宋体"/>
                <w:kern w:val="0"/>
                <w:szCs w:val="21"/>
              </w:rPr>
            </w:pPr>
            <w:r>
              <w:rPr>
                <w:rFonts w:hint="eastAsia" w:ascii="宋体" w:hAnsi="宋体" w:cs="宋体"/>
                <w:kern w:val="0"/>
                <w:szCs w:val="21"/>
              </w:rPr>
              <w:t>投标保证金人民币</w:t>
            </w:r>
            <w:r>
              <w:rPr>
                <w:rFonts w:hint="eastAsia" w:ascii="宋体" w:hAnsi="宋体" w:cs="宋体"/>
                <w:kern w:val="0"/>
                <w:szCs w:val="21"/>
                <w:u w:val="single"/>
              </w:rPr>
              <w:t xml:space="preserve"> 15000</w:t>
            </w:r>
            <w:r>
              <w:rPr>
                <w:rFonts w:ascii="宋体" w:hAnsi="宋体" w:cs="宋体"/>
                <w:kern w:val="0"/>
                <w:szCs w:val="21"/>
                <w:u w:val="single"/>
              </w:rPr>
              <w:t>.00</w:t>
            </w:r>
            <w:r>
              <w:rPr>
                <w:rFonts w:hint="eastAsia" w:ascii="宋体" w:hAnsi="宋体" w:cs="宋体"/>
                <w:kern w:val="0"/>
                <w:szCs w:val="21"/>
              </w:rPr>
              <w:t>元；</w:t>
            </w:r>
          </w:p>
          <w:p>
            <w:pPr>
              <w:snapToGrid w:val="0"/>
              <w:spacing w:line="360" w:lineRule="exact"/>
              <w:ind w:firstLine="420" w:firstLineChars="200"/>
              <w:rPr>
                <w:rFonts w:ascii="宋体" w:hAnsi="宋体"/>
                <w:szCs w:val="21"/>
              </w:rPr>
            </w:pPr>
            <w:r>
              <w:rPr>
                <w:rFonts w:hint="eastAsia" w:ascii="宋体" w:hAnsi="宋体" w:cs="宋体"/>
                <w:kern w:val="0"/>
                <w:szCs w:val="21"/>
              </w:rPr>
              <w:t>投标保证金的交纳方式：银行转账、支票、汇票、本票或者</w:t>
            </w:r>
            <w:r>
              <w:rPr>
                <w:rFonts w:hint="eastAsia" w:ascii="宋体" w:hAnsi="宋体" w:cs="宋体"/>
                <w:kern w:val="0"/>
                <w:szCs w:val="21"/>
                <w:lang w:val="en-US" w:eastAsia="zh-CN"/>
              </w:rPr>
              <w:t>金额</w:t>
            </w:r>
            <w:r>
              <w:rPr>
                <w:rFonts w:hint="eastAsia" w:ascii="宋体" w:hAnsi="宋体" w:cs="宋体"/>
                <w:kern w:val="0"/>
                <w:szCs w:val="21"/>
              </w:rPr>
              <w:t>、</w:t>
            </w:r>
            <w:r>
              <w:rPr>
                <w:rFonts w:hint="eastAsia" w:ascii="宋体" w:hAnsi="宋体" w:cs="宋体"/>
                <w:kern w:val="0"/>
                <w:szCs w:val="21"/>
                <w:lang w:val="en-US" w:eastAsia="zh-CN"/>
              </w:rPr>
              <w:t>担保</w:t>
            </w:r>
            <w:r>
              <w:rPr>
                <w:rFonts w:hint="eastAsia" w:ascii="宋体" w:hAnsi="宋体" w:cs="宋体"/>
                <w:kern w:val="0"/>
                <w:szCs w:val="21"/>
              </w:rPr>
              <w:t>机构出具的保函（包含电子保函），禁止采用现钞方式。采用银行转账方式的，在投标截止时间前从投标人账户交至指定账户并且到账【开户银行：</w:t>
            </w:r>
            <w:r>
              <w:rPr>
                <w:rFonts w:hint="eastAsia" w:ascii="宋体" w:hAnsi="宋体" w:cs="宋体"/>
                <w:kern w:val="0"/>
                <w:szCs w:val="21"/>
                <w:u w:val="single"/>
              </w:rPr>
              <w:t>招商银行股份有限公司南宁分行</w:t>
            </w:r>
            <w:r>
              <w:rPr>
                <w:rFonts w:hint="eastAsia" w:ascii="宋体" w:hAnsi="宋体" w:cs="宋体"/>
                <w:kern w:val="0"/>
                <w:szCs w:val="21"/>
              </w:rPr>
              <w:t>，开户名称：</w:t>
            </w:r>
            <w:r>
              <w:rPr>
                <w:rFonts w:hint="eastAsia" w:ascii="宋体" w:hAnsi="宋体" w:cs="宋体"/>
                <w:kern w:val="0"/>
                <w:szCs w:val="21"/>
                <w:u w:val="single"/>
              </w:rPr>
              <w:t>广西建设机电设备招标中心有限公司</w:t>
            </w:r>
            <w:r>
              <w:rPr>
                <w:rFonts w:hint="eastAsia" w:ascii="宋体" w:hAnsi="宋体" w:cs="宋体"/>
                <w:kern w:val="0"/>
                <w:szCs w:val="21"/>
              </w:rPr>
              <w:t>，银行账号：</w:t>
            </w:r>
            <w:r>
              <w:rPr>
                <w:rFonts w:hint="eastAsia" w:ascii="宋体" w:hAnsi="宋体" w:cs="宋体"/>
                <w:kern w:val="0"/>
                <w:szCs w:val="21"/>
                <w:u w:val="single"/>
              </w:rPr>
              <w:t>771901423310201】</w:t>
            </w:r>
            <w:r>
              <w:rPr>
                <w:rFonts w:hint="eastAsia" w:ascii="宋体" w:hAnsi="宋体" w:cs="宋体"/>
                <w:kern w:val="0"/>
                <w:szCs w:val="21"/>
              </w:rPr>
              <w:t>；采用支票、汇票、本票或者保函等方式的，在投标截止时间前，投标人必须递交单独密封的支票、汇票、本票或者保函原件。否则视为无效投标保证金。</w:t>
            </w:r>
          </w:p>
          <w:p>
            <w:pPr>
              <w:snapToGrid w:val="0"/>
              <w:spacing w:line="360" w:lineRule="exact"/>
              <w:rPr>
                <w:rFonts w:ascii="宋体" w:hAnsi="宋体"/>
                <w:szCs w:val="21"/>
              </w:rPr>
            </w:pPr>
            <w:r>
              <w:rPr>
                <w:rFonts w:hint="eastAsia" w:ascii="宋体" w:hAnsi="宋体"/>
                <w:szCs w:val="21"/>
              </w:rPr>
              <w:t>相关要求：</w:t>
            </w:r>
          </w:p>
          <w:p>
            <w:pPr>
              <w:pStyle w:val="16"/>
              <w:spacing w:after="120" w:line="360" w:lineRule="exact"/>
              <w:ind w:firstLine="420" w:firstLineChars="200"/>
              <w:rPr>
                <w:rFonts w:ascii="宋体" w:hAnsi="宋体"/>
                <w:szCs w:val="21"/>
              </w:rPr>
            </w:pPr>
            <w:r>
              <w:rPr>
                <w:rFonts w:hint="eastAsia" w:ascii="宋体" w:hAnsi="宋体"/>
                <w:szCs w:val="21"/>
              </w:rPr>
              <w:t>1.投标保证金采用银行转账交纳方式的，在投标截止时间前交至指定账户并且到账，投标人应将银行转账底单的复印件作为投标保证金提交凭证，放置于商务及技术文件中，</w:t>
            </w:r>
            <w:r>
              <w:rPr>
                <w:rFonts w:hint="eastAsia" w:ascii="宋体" w:hAnsi="宋体"/>
                <w:b/>
                <w:szCs w:val="21"/>
              </w:rPr>
              <w:t>否则投标无效</w:t>
            </w:r>
            <w:r>
              <w:rPr>
                <w:rFonts w:hint="eastAsia" w:ascii="宋体" w:hAnsi="宋体"/>
                <w:szCs w:val="21"/>
              </w:rPr>
              <w:t>。</w:t>
            </w:r>
          </w:p>
          <w:p>
            <w:pPr>
              <w:pStyle w:val="16"/>
              <w:spacing w:after="120" w:line="360" w:lineRule="exact"/>
              <w:ind w:firstLine="422" w:firstLineChars="200"/>
              <w:rPr>
                <w:rFonts w:ascii="宋体" w:hAnsi="宋体"/>
                <w:szCs w:val="21"/>
              </w:rPr>
            </w:pPr>
            <w:r>
              <w:rPr>
                <w:rFonts w:hint="eastAsia" w:ascii="宋体" w:hAnsi="宋体"/>
                <w:b/>
              </w:rPr>
              <w:t>▲</w:t>
            </w:r>
            <w:r>
              <w:rPr>
                <w:rFonts w:hint="eastAsia" w:ascii="宋体" w:hAnsi="宋体"/>
                <w:szCs w:val="21"/>
              </w:rPr>
              <w:t>2.投标保证金采用支票、汇票、本票或者</w:t>
            </w:r>
            <w:r>
              <w:rPr>
                <w:rFonts w:hint="eastAsia" w:ascii="宋体" w:hAnsi="宋体"/>
                <w:szCs w:val="21"/>
                <w:lang w:val="en-US" w:eastAsia="zh-CN"/>
              </w:rPr>
              <w:t>金额</w:t>
            </w:r>
            <w:r>
              <w:rPr>
                <w:rFonts w:hint="eastAsia" w:ascii="宋体" w:hAnsi="宋体"/>
                <w:szCs w:val="21"/>
              </w:rPr>
              <w:t>、</w:t>
            </w:r>
            <w:r>
              <w:rPr>
                <w:rFonts w:hint="eastAsia" w:ascii="宋体" w:hAnsi="宋体"/>
                <w:szCs w:val="21"/>
                <w:lang w:val="en-US" w:eastAsia="zh-CN"/>
              </w:rPr>
              <w:t>担保</w:t>
            </w:r>
            <w:r>
              <w:rPr>
                <w:rFonts w:hint="eastAsia" w:ascii="宋体" w:hAnsi="宋体"/>
                <w:szCs w:val="21"/>
              </w:rPr>
              <w:t>机构出具的保函</w:t>
            </w:r>
            <w:r>
              <w:rPr>
                <w:rFonts w:hint="eastAsia" w:ascii="宋体" w:hAnsi="宋体" w:cs="宋体"/>
                <w:kern w:val="0"/>
                <w:szCs w:val="21"/>
              </w:rPr>
              <w:t>（包含电子保函）</w:t>
            </w:r>
            <w:r>
              <w:rPr>
                <w:rFonts w:hint="eastAsia" w:ascii="宋体" w:hAnsi="宋体"/>
                <w:szCs w:val="21"/>
              </w:rPr>
              <w:t>交纳方式的，投标人应将支票、汇票、本票或者</w:t>
            </w:r>
            <w:r>
              <w:rPr>
                <w:rFonts w:hint="eastAsia" w:ascii="宋体" w:hAnsi="宋体"/>
                <w:szCs w:val="21"/>
                <w:lang w:val="en-US" w:eastAsia="zh-CN"/>
              </w:rPr>
              <w:t>进金额</w:t>
            </w:r>
            <w:r>
              <w:rPr>
                <w:rFonts w:hint="eastAsia" w:ascii="宋体" w:hAnsi="宋体"/>
                <w:szCs w:val="21"/>
              </w:rPr>
              <w:t>、</w:t>
            </w:r>
            <w:r>
              <w:rPr>
                <w:rFonts w:hint="eastAsia" w:ascii="宋体" w:hAnsi="宋体"/>
                <w:szCs w:val="21"/>
                <w:lang w:val="en-US" w:eastAsia="zh-CN"/>
              </w:rPr>
              <w:t>担保</w:t>
            </w:r>
            <w:r>
              <w:rPr>
                <w:rFonts w:hint="eastAsia" w:ascii="宋体" w:hAnsi="宋体"/>
                <w:szCs w:val="21"/>
              </w:rPr>
              <w:t>机构出具的保函</w:t>
            </w:r>
            <w:r>
              <w:rPr>
                <w:rFonts w:hint="eastAsia" w:ascii="宋体" w:hAnsi="宋体" w:cs="宋体"/>
                <w:kern w:val="0"/>
                <w:szCs w:val="21"/>
              </w:rPr>
              <w:t>（包含电子保函）</w:t>
            </w:r>
            <w:r>
              <w:rPr>
                <w:rFonts w:hint="eastAsia" w:ascii="宋体" w:hAnsi="宋体"/>
                <w:szCs w:val="21"/>
              </w:rPr>
              <w:t>的复印件作为投标保证金提交凭证，放置于商务及技术文件中，</w:t>
            </w:r>
            <w:r>
              <w:rPr>
                <w:rFonts w:hint="eastAsia" w:ascii="宋体" w:hAnsi="宋体"/>
                <w:b/>
                <w:szCs w:val="21"/>
              </w:rPr>
              <w:t>否则投标无效</w:t>
            </w:r>
            <w:r>
              <w:rPr>
                <w:rFonts w:hint="eastAsia" w:ascii="宋体" w:hAnsi="宋体"/>
                <w:szCs w:val="21"/>
              </w:rPr>
              <w:t>。</w:t>
            </w:r>
            <w:r>
              <w:rPr>
                <w:rFonts w:hint="eastAsia" w:ascii="宋体" w:hAnsi="宋体"/>
                <w:b/>
                <w:bCs/>
                <w:szCs w:val="21"/>
                <w:u w:val="single"/>
              </w:rPr>
              <w:t>投标人必须在投标截止时间前采用现场或邮寄方式（开标当日现场提交地址：广西壮族自治区公共资源交易中心（广西南宁市青秀区星湖路2</w:t>
            </w:r>
            <w:r>
              <w:rPr>
                <w:rFonts w:ascii="宋体" w:hAnsi="宋体"/>
                <w:b/>
                <w:bCs/>
                <w:szCs w:val="21"/>
                <w:u w:val="single"/>
              </w:rPr>
              <w:t>2</w:t>
            </w:r>
            <w:r>
              <w:rPr>
                <w:rFonts w:hint="eastAsia" w:ascii="宋体" w:hAnsi="宋体"/>
                <w:b/>
                <w:bCs/>
                <w:szCs w:val="21"/>
                <w:u w:val="single"/>
              </w:rPr>
              <w:t>号开标楼）（具体根据开标当日电子屏幕显示的安排）；开标日期前邮寄地址：南宁市青秀区枫林路18号广西国控集团（枫林路办公区）裙楼三层，收件人：陈泰东、黄艳颀、王剑，联系方式：0771-5824250）将单独密封的支票、汇票、本票或者</w:t>
            </w:r>
            <w:r>
              <w:rPr>
                <w:rFonts w:hint="eastAsia" w:ascii="宋体" w:hAnsi="宋体"/>
                <w:b/>
                <w:bCs/>
                <w:szCs w:val="21"/>
                <w:u w:val="single"/>
                <w:lang w:val="en-US" w:eastAsia="zh-CN"/>
              </w:rPr>
              <w:t>金额</w:t>
            </w:r>
            <w:r>
              <w:rPr>
                <w:rFonts w:hint="eastAsia" w:ascii="宋体" w:hAnsi="宋体"/>
                <w:b/>
                <w:bCs/>
                <w:szCs w:val="21"/>
                <w:u w:val="single"/>
              </w:rPr>
              <w:t>、</w:t>
            </w:r>
            <w:r>
              <w:rPr>
                <w:rFonts w:hint="eastAsia" w:ascii="宋体" w:hAnsi="宋体"/>
                <w:b/>
                <w:bCs/>
                <w:szCs w:val="21"/>
                <w:u w:val="single"/>
                <w:lang w:val="en-US" w:eastAsia="zh-CN"/>
              </w:rPr>
              <w:t>担保</w:t>
            </w:r>
            <w:r>
              <w:rPr>
                <w:rFonts w:hint="eastAsia" w:ascii="宋体" w:hAnsi="宋体"/>
                <w:b/>
                <w:bCs/>
                <w:szCs w:val="21"/>
                <w:u w:val="single"/>
              </w:rPr>
              <w:t>机构出具的保函原件提交给采购代理机构，未按时提交的，投标无效</w:t>
            </w:r>
            <w:r>
              <w:rPr>
                <w:rFonts w:hint="eastAsia" w:ascii="宋体" w:hAnsi="宋体"/>
                <w:szCs w:val="21"/>
              </w:rPr>
              <w:t>，由采购代理机构向投标人出具回执（邮寄方式的除外），并妥善保管。</w:t>
            </w:r>
          </w:p>
          <w:p>
            <w:pPr>
              <w:pStyle w:val="16"/>
              <w:spacing w:after="120" w:line="360" w:lineRule="exact"/>
              <w:ind w:firstLine="420" w:firstLineChars="200"/>
              <w:rPr>
                <w:rFonts w:ascii="宋体" w:hAnsi="宋体"/>
                <w:szCs w:val="21"/>
              </w:rPr>
            </w:pPr>
            <w:r>
              <w:rPr>
                <w:rFonts w:hint="eastAsia" w:ascii="宋体" w:hAnsi="宋体"/>
                <w:szCs w:val="21"/>
              </w:rPr>
              <w:t>3</w:t>
            </w:r>
            <w:r>
              <w:rPr>
                <w:rFonts w:ascii="宋体" w:hAnsi="宋体"/>
                <w:szCs w:val="21"/>
              </w:rPr>
              <w:t>.</w:t>
            </w:r>
            <w:r>
              <w:rPr>
                <w:rFonts w:hint="eastAsia" w:ascii="宋体" w:hAnsi="宋体"/>
                <w:szCs w:val="21"/>
              </w:rPr>
              <w:t>投标人为联合体的，可以由联合体中的一方或者多方共同交纳投标保证金，其交纳的保证金对联合体各方均具有约束力。</w:t>
            </w:r>
          </w:p>
          <w:p>
            <w:pPr>
              <w:snapToGrid w:val="0"/>
              <w:spacing w:line="360" w:lineRule="exact"/>
              <w:rPr>
                <w:rFonts w:ascii="宋体" w:hAnsi="宋体"/>
                <w:b/>
                <w:szCs w:val="21"/>
              </w:rPr>
            </w:pPr>
            <w:r>
              <w:rPr>
                <w:rFonts w:hint="eastAsia" w:ascii="宋体" w:hAnsi="宋体"/>
                <w:b/>
                <w:szCs w:val="21"/>
              </w:rPr>
              <w:t xml:space="preserve">备注： </w:t>
            </w:r>
          </w:p>
          <w:p>
            <w:pPr>
              <w:snapToGrid w:val="0"/>
              <w:spacing w:line="360" w:lineRule="exact"/>
              <w:rPr>
                <w:rFonts w:ascii="宋体" w:hAnsi="宋体"/>
                <w:b/>
                <w:szCs w:val="21"/>
              </w:rPr>
            </w:pPr>
            <w:r>
              <w:rPr>
                <w:rFonts w:hint="eastAsia" w:ascii="宋体" w:hAnsi="宋体"/>
                <w:b/>
                <w:szCs w:val="21"/>
              </w:rPr>
              <w:t>1.投标保证金在投标截止时间后提交的，或者不按规定交纳方式交纳的，或者未足额交纳的（包含保函额度不足的），视为无效投标保证金。</w:t>
            </w:r>
          </w:p>
          <w:p>
            <w:pPr>
              <w:snapToGrid w:val="0"/>
              <w:spacing w:line="360" w:lineRule="exact"/>
              <w:rPr>
                <w:rFonts w:ascii="宋体" w:hAnsi="宋体"/>
                <w:b/>
                <w:szCs w:val="21"/>
              </w:rPr>
            </w:pPr>
            <w:r>
              <w:rPr>
                <w:rFonts w:hint="eastAsia" w:ascii="宋体" w:hAnsi="宋体"/>
                <w:b/>
                <w:szCs w:val="21"/>
              </w:rPr>
              <w:t>2.投标人采用现钞方式或者从个人账户（自然人投标除外）转出的投标保证金，视为无效投标保证金。</w:t>
            </w:r>
          </w:p>
          <w:p>
            <w:pPr>
              <w:snapToGrid w:val="0"/>
              <w:spacing w:line="360" w:lineRule="exact"/>
              <w:rPr>
                <w:rFonts w:ascii="宋体" w:hAnsi="宋体"/>
                <w:b/>
                <w:szCs w:val="21"/>
              </w:rPr>
            </w:pPr>
            <w:r>
              <w:rPr>
                <w:rFonts w:hint="eastAsia" w:ascii="宋体" w:hAnsi="宋体"/>
                <w:b/>
                <w:szCs w:val="21"/>
              </w:rPr>
              <w:t>3.支票、汇票或者本票出现无效或者背书情形的，视为无效投标保证金。</w:t>
            </w:r>
          </w:p>
          <w:p>
            <w:pPr>
              <w:snapToGrid w:val="0"/>
              <w:spacing w:line="360" w:lineRule="exact"/>
              <w:rPr>
                <w:rFonts w:ascii="宋体" w:hAnsi="宋体"/>
                <w:b/>
                <w:szCs w:val="21"/>
              </w:rPr>
            </w:pPr>
            <w:r>
              <w:rPr>
                <w:rFonts w:hint="eastAsia" w:ascii="宋体" w:hAnsi="宋体"/>
                <w:b/>
                <w:szCs w:val="21"/>
              </w:rPr>
              <w:t>4.保函有效期低于投标有效期的，视为无效投标保证金。</w:t>
            </w:r>
          </w:p>
          <w:p>
            <w:pPr>
              <w:snapToGrid w:val="0"/>
              <w:spacing w:line="360" w:lineRule="exact"/>
              <w:rPr>
                <w:rFonts w:ascii="宋体" w:hAnsi="宋体"/>
                <w:szCs w:val="21"/>
              </w:rPr>
            </w:pPr>
            <w:r>
              <w:rPr>
                <w:rFonts w:hint="eastAsia" w:ascii="宋体" w:hAnsi="宋体"/>
                <w:b/>
                <w:szCs w:val="21"/>
              </w:rPr>
              <w:t>5.采用</w:t>
            </w:r>
            <w:r>
              <w:rPr>
                <w:rFonts w:hint="eastAsia" w:ascii="宋体" w:hAnsi="宋体"/>
                <w:b/>
                <w:szCs w:val="21"/>
                <w:lang w:val="en-US" w:eastAsia="zh-CN"/>
              </w:rPr>
              <w:t>金额</w:t>
            </w:r>
            <w:r>
              <w:rPr>
                <w:rFonts w:hint="eastAsia" w:ascii="宋体" w:hAnsi="宋体"/>
                <w:b/>
                <w:szCs w:val="21"/>
              </w:rPr>
              <w:t>、</w:t>
            </w:r>
            <w:r>
              <w:rPr>
                <w:rFonts w:hint="eastAsia" w:ascii="宋体" w:hAnsi="宋体"/>
                <w:b/>
                <w:szCs w:val="21"/>
                <w:lang w:val="en-US" w:eastAsia="zh-CN"/>
              </w:rPr>
              <w:t>担保</w:t>
            </w:r>
            <w:r>
              <w:rPr>
                <w:rFonts w:hint="eastAsia" w:ascii="宋体" w:hAnsi="宋体"/>
                <w:b/>
                <w:szCs w:val="21"/>
              </w:rPr>
              <w:t>机构出具保函的，必须为无条件保函，否则视为无效投标保证金。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Cs w:val="21"/>
              </w:rPr>
            </w:pPr>
            <w:bookmarkStart w:id="110" w:name="_19.2"/>
            <w:bookmarkEnd w:id="110"/>
            <w:r>
              <w:rPr>
                <w:rFonts w:hint="eastAsia" w:ascii="宋体" w:hAnsi="宋体"/>
                <w:szCs w:val="21"/>
              </w:rPr>
              <w:t>20</w:t>
            </w:r>
          </w:p>
        </w:tc>
        <w:tc>
          <w:tcPr>
            <w:tcW w:w="442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textAlignment w:val="bottom"/>
              <w:rPr>
                <w:rFonts w:ascii="宋体" w:hAnsi="宋体"/>
                <w:szCs w:val="21"/>
              </w:rPr>
            </w:pPr>
            <w:r>
              <w:rPr>
                <w:rFonts w:ascii="Segoe UI Emoji" w:hAnsi="Segoe UI Emoji" w:cs="Segoe UI Emoji"/>
              </w:rPr>
              <w:t>☑</w:t>
            </w:r>
            <w:r>
              <w:rPr>
                <w:rFonts w:hint="eastAsia" w:ascii="宋体" w:hAnsi="宋体"/>
                <w:szCs w:val="21"/>
              </w:rPr>
              <w:t>本项目不接受</w:t>
            </w:r>
            <w:r>
              <w:rPr>
                <w:rFonts w:hint="eastAsia"/>
              </w:rPr>
              <w:t>电子</w:t>
            </w:r>
            <w:r>
              <w:rPr>
                <w:rFonts w:hint="eastAsia" w:ascii="宋体" w:hAnsi="宋体"/>
                <w:szCs w:val="21"/>
              </w:rPr>
              <w:t>备份投标文件；</w:t>
            </w:r>
          </w:p>
          <w:p>
            <w:pPr>
              <w:autoSpaceDE w:val="0"/>
              <w:autoSpaceDN w:val="0"/>
              <w:adjustRightInd w:val="0"/>
              <w:spacing w:line="360" w:lineRule="exact"/>
              <w:textAlignment w:val="bottom"/>
            </w:pPr>
            <w:r>
              <w:rPr>
                <w:rFonts w:hint="eastAsia" w:ascii="宋体" w:hAnsi="宋体"/>
                <w:szCs w:val="21"/>
              </w:rPr>
              <w:t>□</w:t>
            </w:r>
            <w:r>
              <w:rPr>
                <w:rFonts w:hint="eastAsia"/>
              </w:rPr>
              <w:t>本项目接受电子备份投标文件。</w:t>
            </w:r>
          </w:p>
          <w:p>
            <w:pPr>
              <w:autoSpaceDE w:val="0"/>
              <w:autoSpaceDN w:val="0"/>
              <w:adjustRightInd w:val="0"/>
              <w:spacing w:line="360" w:lineRule="exact"/>
              <w:ind w:firstLine="420" w:firstLineChars="200"/>
              <w:textAlignment w:val="bottom"/>
            </w:pPr>
            <w:r>
              <w:rPr>
                <w:rFonts w:hint="eastAsia"/>
              </w:rPr>
              <w:t>电子</w:t>
            </w:r>
            <w:r>
              <w:rPr>
                <w:rFonts w:hint="eastAsia" w:ascii="宋体" w:hAnsi="宋体"/>
                <w:szCs w:val="21"/>
              </w:rPr>
              <w:t>备份投标文件</w:t>
            </w:r>
            <w:r>
              <w:rPr>
                <w:rFonts w:hint="eastAsia"/>
              </w:rPr>
              <w:t>提交方式：投标人可以在投标截止时间前采用以下</w:t>
            </w:r>
            <w:r>
              <w:rPr>
                <w:u w:val="single"/>
              </w:rPr>
              <w:t xml:space="preserve">  /  </w:t>
            </w:r>
            <w:r>
              <w:rPr>
                <w:rFonts w:hint="eastAsia"/>
              </w:rPr>
              <w:t>种方式向采购代理机构提交电子备份投标文件：</w:t>
            </w:r>
          </w:p>
          <w:p>
            <w:pPr>
              <w:autoSpaceDE w:val="0"/>
              <w:autoSpaceDN w:val="0"/>
              <w:adjustRightInd w:val="0"/>
              <w:spacing w:line="360" w:lineRule="exact"/>
              <w:textAlignment w:val="bottom"/>
            </w:pPr>
            <w:r>
              <w:rPr>
                <w:rFonts w:hint="eastAsia"/>
              </w:rPr>
              <w:t>（</w:t>
            </w:r>
            <w:r>
              <w:t>1</w:t>
            </w:r>
            <w:r>
              <w:rPr>
                <w:rFonts w:hint="eastAsia"/>
              </w:rPr>
              <w:t>）现场提交方式，应采用</w:t>
            </w:r>
            <w:r>
              <w:t>U</w:t>
            </w:r>
            <w:r>
              <w:rPr>
                <w:rFonts w:hint="eastAsia"/>
              </w:rPr>
              <w:t>盘进行存储，提交地址：</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hint="eastAsia"/>
              </w:rPr>
              <w:t>；提交截止时间：</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hint="eastAsia"/>
              </w:rPr>
              <w:t>；外包装上注明投标人名称、项目名称及项目编号（外包装不作密封要求）。</w:t>
            </w:r>
          </w:p>
          <w:p>
            <w:pPr>
              <w:autoSpaceDE w:val="0"/>
              <w:autoSpaceDN w:val="0"/>
              <w:adjustRightInd w:val="0"/>
              <w:spacing w:line="360" w:lineRule="exact"/>
              <w:textAlignment w:val="bottom"/>
            </w:pPr>
            <w:r>
              <w:rPr>
                <w:rFonts w:hint="eastAsia"/>
              </w:rPr>
              <w:t>（</w:t>
            </w:r>
            <w:r>
              <w:t>2</w:t>
            </w:r>
            <w:r>
              <w:rPr>
                <w:rFonts w:hint="eastAsia"/>
              </w:rPr>
              <w:t>）电子邮件方式，接收电子备份投标文件的电子邮箱为：</w:t>
            </w:r>
            <w:r>
              <w:rPr>
                <w:u w:val="single"/>
              </w:rPr>
              <w:t xml:space="preserve">    /    </w:t>
            </w:r>
            <w:r>
              <w:rPr>
                <w:rFonts w:hint="eastAsia"/>
              </w:rPr>
              <w:t>。</w:t>
            </w:r>
          </w:p>
          <w:p>
            <w:pPr>
              <w:pStyle w:val="16"/>
              <w:spacing w:line="360" w:lineRule="exact"/>
            </w:pPr>
            <w:r>
              <w:rPr>
                <w:rFonts w:hint="eastAsia"/>
              </w:rPr>
              <w:t>（</w:t>
            </w:r>
            <w:r>
              <w:t>3</w:t>
            </w:r>
            <w:r>
              <w:rPr>
                <w:rFonts w:hint="eastAsia"/>
              </w:rPr>
              <w:t>）邮寄方式，应采用</w:t>
            </w:r>
            <w:r>
              <w:t>U</w:t>
            </w:r>
            <w:r>
              <w:rPr>
                <w:rFonts w:hint="eastAsia"/>
              </w:rPr>
              <w:t>盘进行存储，邮寄地址：</w:t>
            </w:r>
            <w:r>
              <w:rPr>
                <w:u w:val="single"/>
              </w:rPr>
              <w:t xml:space="preserve">  /  </w:t>
            </w:r>
            <w:r>
              <w:rPr>
                <w:rFonts w:hint="eastAsia"/>
              </w:rPr>
              <w:t>，截止接收时间：</w:t>
            </w:r>
            <w:r>
              <w:rPr>
                <w:u w:val="single"/>
              </w:rPr>
              <w:t xml:space="preserve">  /  </w:t>
            </w:r>
            <w:r>
              <w:rPr>
                <w:rFonts w:hint="eastAsia"/>
              </w:rPr>
              <w:t>，</w:t>
            </w:r>
          </w:p>
          <w:p>
            <w:pPr>
              <w:autoSpaceDE w:val="0"/>
              <w:autoSpaceDN w:val="0"/>
              <w:adjustRightInd w:val="0"/>
              <w:spacing w:line="360" w:lineRule="exact"/>
              <w:textAlignment w:val="bottom"/>
            </w:pPr>
            <w:r>
              <w:rPr>
                <w:rFonts w:hint="eastAsia"/>
              </w:rPr>
              <w:t>收件人：</w:t>
            </w:r>
            <w:r>
              <w:rPr>
                <w:u w:val="single"/>
              </w:rPr>
              <w:t xml:space="preserve">  /  </w:t>
            </w:r>
            <w:r>
              <w:rPr>
                <w:rFonts w:hint="eastAsia"/>
              </w:rPr>
              <w:t>，联系方式：</w:t>
            </w:r>
            <w:r>
              <w:rPr>
                <w:u w:val="single"/>
              </w:rPr>
              <w:t xml:space="preserve">  /  </w:t>
            </w:r>
            <w:r>
              <w:rPr>
                <w:rFonts w:hint="eastAsia"/>
              </w:rPr>
              <w:t>；外包装上注明投标人名称、项目名称及项目编号（外包装不作密封要求）。</w:t>
            </w:r>
            <w:r>
              <w:t xml:space="preserve"> </w:t>
            </w:r>
          </w:p>
          <w:p>
            <w:pPr>
              <w:autoSpaceDE w:val="0"/>
              <w:autoSpaceDN w:val="0"/>
              <w:snapToGrid w:val="0"/>
              <w:spacing w:line="360" w:lineRule="exact"/>
              <w:ind w:firstLine="420" w:firstLineChars="200"/>
              <w:textAlignment w:val="bottom"/>
            </w:pPr>
            <w:r>
              <w:rPr>
                <w:rFonts w:hint="eastAsia"/>
              </w:rPr>
              <w:t>投标人未按上述规定提交的电子备份投标文件，采购代理机构不予接收或承认。若电子加密投标文件解密成功，电子备份投标文件自动失效。若投标人无法在规定的时间内解密投标文件或者解密失败的，采购代理机构将电子备份投标文件按“广西政府采购云平台”操作规范上传至“广西政府采购云平台”，电子备份投标文件上传成功后，投标人原上传的电子加密投标文件自动失效。若投标人在规定时间内无法解密或解密失败且未提供电子备份投标文件的（包含提供的电子备份投标文件无效或无法解读的情况），</w:t>
            </w:r>
            <w:r>
              <w:rPr>
                <w:rFonts w:hint="eastAsia"/>
                <w:b/>
              </w:rPr>
              <w:t>投标人的投标文件作无效处理</w:t>
            </w:r>
            <w:r>
              <w:rPr>
                <w:rFonts w:hint="eastAsia"/>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trPr>
        <w:tc>
          <w:tcPr>
            <w:tcW w:w="57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Cs w:val="21"/>
              </w:rPr>
            </w:pPr>
            <w:bookmarkStart w:id="111" w:name="_21.1"/>
            <w:bookmarkEnd w:id="111"/>
            <w:r>
              <w:rPr>
                <w:rFonts w:hint="eastAsia" w:ascii="宋体" w:hAnsi="宋体"/>
                <w:szCs w:val="21"/>
              </w:rPr>
              <w:t>21.1</w:t>
            </w:r>
          </w:p>
        </w:tc>
        <w:tc>
          <w:tcPr>
            <w:tcW w:w="4424" w:type="pct"/>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ascii="宋体" w:hAnsi="宋体"/>
                <w:szCs w:val="21"/>
                <w:u w:val="single"/>
              </w:rPr>
            </w:pPr>
            <w:r>
              <w:rPr>
                <w:rFonts w:hint="eastAsia" w:ascii="宋体" w:hAnsi="宋体"/>
                <w:szCs w:val="21"/>
              </w:rPr>
              <w:t>1.提交投标文件截止时间：详见招标公告</w:t>
            </w:r>
          </w:p>
          <w:p>
            <w:pPr>
              <w:snapToGrid w:val="0"/>
              <w:spacing w:line="360" w:lineRule="exact"/>
              <w:rPr>
                <w:rFonts w:ascii="宋体" w:hAnsi="宋体"/>
                <w:szCs w:val="21"/>
              </w:rPr>
            </w:pPr>
            <w:r>
              <w:rPr>
                <w:rFonts w:hint="eastAsia" w:ascii="宋体" w:hAnsi="宋体"/>
                <w:szCs w:val="21"/>
              </w:rPr>
              <w:t>2.投标地点：详见招标公告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Cs w:val="21"/>
              </w:rPr>
            </w:pPr>
            <w:bookmarkStart w:id="112" w:name="_23"/>
            <w:bookmarkEnd w:id="112"/>
            <w:r>
              <w:rPr>
                <w:rFonts w:hint="eastAsia" w:ascii="宋体" w:hAnsi="宋体"/>
                <w:szCs w:val="21"/>
              </w:rPr>
              <w:t>23</w:t>
            </w:r>
          </w:p>
        </w:tc>
        <w:tc>
          <w:tcPr>
            <w:tcW w:w="4424" w:type="pct"/>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ascii="宋体" w:hAnsi="宋体"/>
                <w:szCs w:val="21"/>
              </w:rPr>
            </w:pPr>
            <w:r>
              <w:rPr>
                <w:rFonts w:hint="eastAsia" w:ascii="宋体" w:hAnsi="宋体"/>
                <w:szCs w:val="21"/>
              </w:rPr>
              <w:t>1.开标时间：详见招标公告</w:t>
            </w:r>
          </w:p>
          <w:p>
            <w:pPr>
              <w:snapToGrid w:val="0"/>
              <w:spacing w:line="360" w:lineRule="exact"/>
              <w:rPr>
                <w:rFonts w:ascii="宋体" w:hAnsi="宋体"/>
                <w:szCs w:val="21"/>
              </w:rPr>
            </w:pPr>
            <w:r>
              <w:rPr>
                <w:rFonts w:hint="eastAsia" w:ascii="宋体" w:hAnsi="宋体"/>
                <w:szCs w:val="21"/>
              </w:rPr>
              <w:t>2.开标地点：详见招标公告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Cs w:val="21"/>
              </w:rPr>
            </w:pPr>
            <w:r>
              <w:rPr>
                <w:rFonts w:hint="eastAsia" w:ascii="宋体" w:hAnsi="宋体"/>
                <w:szCs w:val="21"/>
              </w:rPr>
              <w:t>24.3（1）</w:t>
            </w:r>
          </w:p>
        </w:tc>
        <w:tc>
          <w:tcPr>
            <w:tcW w:w="4424" w:type="pct"/>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ascii="宋体" w:hAnsi="宋体"/>
                <w:b/>
                <w:szCs w:val="21"/>
                <w:u w:val="single"/>
              </w:rPr>
            </w:pPr>
            <w:r>
              <w:rPr>
                <w:rFonts w:hint="eastAsia" w:ascii="宋体" w:hAnsi="宋体"/>
                <w:b/>
                <w:szCs w:val="21"/>
              </w:rPr>
              <w:t>电子投标文件解密时间：</w:t>
            </w:r>
            <w:r>
              <w:rPr>
                <w:rFonts w:hint="eastAsia" w:ascii="宋体" w:hAnsi="宋体"/>
                <w:b/>
                <w:szCs w:val="21"/>
                <w:u w:val="single"/>
              </w:rPr>
              <w:t xml:space="preserve"> </w:t>
            </w:r>
            <w:r>
              <w:rPr>
                <w:rFonts w:ascii="宋体" w:hAnsi="宋体"/>
                <w:b/>
                <w:szCs w:val="21"/>
                <w:u w:val="single"/>
              </w:rPr>
              <w:t>30</w:t>
            </w:r>
            <w:r>
              <w:rPr>
                <w:rFonts w:hint="eastAsia" w:ascii="宋体" w:hAnsi="宋体"/>
                <w:b/>
                <w:szCs w:val="21"/>
                <w:u w:val="single"/>
              </w:rPr>
              <w:t xml:space="preserve"> </w:t>
            </w:r>
            <w:r>
              <w:rPr>
                <w:rFonts w:hint="eastAsia" w:ascii="宋体" w:hAnsi="宋体"/>
                <w:b/>
                <w:szCs w:val="21"/>
              </w:rPr>
              <w:t>分钟。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Cs w:val="21"/>
              </w:rPr>
            </w:pPr>
            <w:r>
              <w:rPr>
                <w:rFonts w:hint="eastAsia" w:ascii="宋体" w:hAnsi="宋体"/>
                <w:szCs w:val="21"/>
              </w:rPr>
              <w:t>24</w:t>
            </w:r>
            <w:r>
              <w:rPr>
                <w:rFonts w:ascii="宋体" w:hAnsi="宋体"/>
                <w:szCs w:val="21"/>
              </w:rPr>
              <w:t>.3</w:t>
            </w:r>
            <w:r>
              <w:rPr>
                <w:rFonts w:hint="eastAsia" w:ascii="宋体" w:hAnsi="宋体"/>
                <w:szCs w:val="21"/>
              </w:rPr>
              <w:t>（</w:t>
            </w:r>
            <w:r>
              <w:rPr>
                <w:rFonts w:ascii="宋体" w:hAnsi="宋体"/>
                <w:szCs w:val="21"/>
              </w:rPr>
              <w:t>2</w:t>
            </w:r>
            <w:r>
              <w:rPr>
                <w:rFonts w:hint="eastAsia" w:ascii="宋体" w:hAnsi="宋体"/>
                <w:szCs w:val="21"/>
              </w:rPr>
              <w:t>）</w:t>
            </w:r>
          </w:p>
        </w:tc>
        <w:tc>
          <w:tcPr>
            <w:tcW w:w="4424" w:type="pct"/>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ascii="宋体" w:hAnsi="宋体"/>
                <w:szCs w:val="21"/>
              </w:rPr>
            </w:pPr>
            <w:r>
              <w:rPr>
                <w:rFonts w:hint="eastAsia" w:ascii="宋体" w:hAnsi="宋体"/>
                <w:szCs w:val="21"/>
              </w:rPr>
              <w:t>宣布的内容：投标人名称、投标价格。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Cs w:val="21"/>
              </w:rPr>
            </w:pPr>
            <w:bookmarkStart w:id="113" w:name="_25.3"/>
            <w:bookmarkEnd w:id="113"/>
            <w:r>
              <w:rPr>
                <w:rFonts w:hint="eastAsia" w:ascii="宋体" w:hAnsi="宋体"/>
                <w:szCs w:val="21"/>
              </w:rPr>
              <w:t>25.3（</w:t>
            </w:r>
            <w:r>
              <w:rPr>
                <w:rFonts w:ascii="宋体" w:hAnsi="宋体"/>
                <w:szCs w:val="21"/>
              </w:rPr>
              <w:t>2</w:t>
            </w:r>
            <w:r>
              <w:rPr>
                <w:rFonts w:hint="eastAsia" w:ascii="宋体" w:hAnsi="宋体"/>
                <w:szCs w:val="21"/>
              </w:rPr>
              <w:t>）</w:t>
            </w:r>
          </w:p>
        </w:tc>
        <w:tc>
          <w:tcPr>
            <w:tcW w:w="4424" w:type="pct"/>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ascii="宋体" w:hAnsi="宋体"/>
                <w:szCs w:val="21"/>
              </w:rPr>
            </w:pPr>
            <w:r>
              <w:rPr>
                <w:rFonts w:hint="eastAsia" w:ascii="宋体" w:hAnsi="宋体"/>
                <w:szCs w:val="21"/>
              </w:rPr>
              <w:t>采购人或者采购代理机构在资格审查结束前，对投标人进行信用查询。</w:t>
            </w:r>
          </w:p>
          <w:p>
            <w:pPr>
              <w:snapToGrid w:val="0"/>
              <w:spacing w:line="360" w:lineRule="exact"/>
              <w:rPr>
                <w:rFonts w:ascii="宋体" w:hAnsi="宋体"/>
                <w:szCs w:val="21"/>
              </w:rPr>
            </w:pPr>
            <w:r>
              <w:rPr>
                <w:rFonts w:hint="eastAsia" w:ascii="宋体" w:hAnsi="宋体"/>
                <w:szCs w:val="21"/>
              </w:rPr>
              <w:t>查询渠道：“信用中国”网站（www.creditchina.gov.cn） 、中国政府采购网（www.ccgp.gov.cn）。</w:t>
            </w:r>
          </w:p>
          <w:p>
            <w:pPr>
              <w:snapToGrid w:val="0"/>
              <w:spacing w:line="360" w:lineRule="exact"/>
              <w:rPr>
                <w:rFonts w:ascii="宋体" w:hAnsi="宋体"/>
                <w:szCs w:val="21"/>
              </w:rPr>
            </w:pPr>
            <w:r>
              <w:rPr>
                <w:rFonts w:hint="eastAsia" w:ascii="宋体" w:hAnsi="宋体"/>
                <w:szCs w:val="21"/>
              </w:rPr>
              <w:t>信用查询截止时点：资格审查结束前。</w:t>
            </w:r>
          </w:p>
          <w:p>
            <w:pPr>
              <w:snapToGrid w:val="0"/>
              <w:spacing w:line="360" w:lineRule="exact"/>
              <w:rPr>
                <w:rFonts w:ascii="宋体" w:hAnsi="宋体"/>
                <w:szCs w:val="21"/>
              </w:rPr>
            </w:pPr>
            <w:r>
              <w:rPr>
                <w:rFonts w:hint="eastAsia" w:ascii="宋体" w:hAnsi="宋体"/>
                <w:szCs w:val="21"/>
              </w:rPr>
              <w:t>查询记录和证据留存方式：在查询网站中直接截图查询记录，截图作为在广西政府采购云平台作为附件上传保存。</w:t>
            </w:r>
          </w:p>
          <w:p>
            <w:pPr>
              <w:snapToGrid w:val="0"/>
              <w:spacing w:line="360" w:lineRule="exact"/>
              <w:rPr>
                <w:rFonts w:ascii="宋体" w:hAnsi="宋体"/>
                <w:b/>
                <w:szCs w:val="21"/>
              </w:rPr>
            </w:pPr>
            <w:r>
              <w:rPr>
                <w:rFonts w:hint="eastAsia" w:ascii="宋体" w:hAnsi="宋体"/>
                <w:szCs w:val="21"/>
              </w:rPr>
              <w:t>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应当拒绝其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Cs w:val="21"/>
              </w:rPr>
            </w:pPr>
            <w:bookmarkStart w:id="114" w:name="_26"/>
            <w:bookmarkEnd w:id="114"/>
            <w:r>
              <w:rPr>
                <w:rFonts w:hint="eastAsia" w:ascii="宋体" w:hAnsi="宋体"/>
                <w:szCs w:val="21"/>
              </w:rPr>
              <w:t>26</w:t>
            </w:r>
            <w:r>
              <w:rPr>
                <w:rFonts w:ascii="宋体" w:hAnsi="宋体"/>
                <w:szCs w:val="21"/>
              </w:rPr>
              <w:t>.1</w:t>
            </w:r>
          </w:p>
        </w:tc>
        <w:tc>
          <w:tcPr>
            <w:tcW w:w="4424" w:type="pct"/>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exact"/>
              <w:textAlignment w:val="bottom"/>
              <w:rPr>
                <w:rFonts w:ascii="宋体" w:hAnsi="宋体"/>
                <w:szCs w:val="21"/>
              </w:rPr>
            </w:pPr>
            <w:r>
              <w:rPr>
                <w:rFonts w:hint="eastAsia" w:ascii="宋体" w:hAnsi="宋体"/>
                <w:szCs w:val="21"/>
              </w:rPr>
              <w:t>评标委员会的人数：</w:t>
            </w:r>
            <w:r>
              <w:rPr>
                <w:rFonts w:hint="eastAsia" w:ascii="宋体" w:hAnsi="宋体"/>
                <w:szCs w:val="21"/>
                <w:u w:val="single"/>
              </w:rPr>
              <w:t>5</w:t>
            </w:r>
            <w:r>
              <w:rPr>
                <w:rFonts w:hint="eastAsia" w:ascii="宋体" w:hAnsi="宋体"/>
                <w:szCs w:val="21"/>
              </w:rPr>
              <w:t>人或以上单数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Cs w:val="21"/>
              </w:rPr>
            </w:pPr>
            <w:r>
              <w:rPr>
                <w:rFonts w:hint="eastAsia" w:ascii="宋体" w:hAnsi="宋体"/>
                <w:szCs w:val="21"/>
              </w:rPr>
              <w:t>27</w:t>
            </w:r>
          </w:p>
        </w:tc>
        <w:tc>
          <w:tcPr>
            <w:tcW w:w="4424" w:type="pct"/>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exact"/>
              <w:textAlignment w:val="bottom"/>
              <w:rPr>
                <w:rFonts w:ascii="宋体" w:hAnsi="宋体"/>
                <w:szCs w:val="21"/>
              </w:rPr>
            </w:pPr>
            <w:r>
              <w:rPr>
                <w:rFonts w:hint="eastAsia" w:ascii="宋体" w:hAnsi="宋体"/>
                <w:szCs w:val="21"/>
              </w:rPr>
              <w:t>如供应商系统平台报价与电子投标文件中报价不一致的，以投标文件开标一览表报价为准。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Cs w:val="21"/>
              </w:rPr>
            </w:pPr>
            <w:bookmarkStart w:id="115" w:name="_28.3"/>
            <w:bookmarkEnd w:id="115"/>
            <w:r>
              <w:rPr>
                <w:rFonts w:ascii="宋体" w:hAnsi="宋体"/>
                <w:szCs w:val="21"/>
              </w:rPr>
              <w:t>29.1</w:t>
            </w:r>
          </w:p>
        </w:tc>
        <w:tc>
          <w:tcPr>
            <w:tcW w:w="4424" w:type="pct"/>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exact"/>
              <w:textAlignment w:val="bottom"/>
              <w:rPr>
                <w:rFonts w:ascii="宋体" w:hAnsi="宋体"/>
                <w:szCs w:val="21"/>
              </w:rPr>
            </w:pPr>
            <w:r>
              <w:rPr>
                <w:rFonts w:hint="eastAsia" w:ascii="宋体" w:hAnsi="宋体"/>
                <w:szCs w:val="21"/>
              </w:rPr>
              <w:t>评标方法：</w:t>
            </w:r>
          </w:p>
          <w:p>
            <w:pPr>
              <w:autoSpaceDE w:val="0"/>
              <w:autoSpaceDN w:val="0"/>
              <w:snapToGrid w:val="0"/>
              <w:spacing w:line="360" w:lineRule="exact"/>
              <w:textAlignment w:val="bottom"/>
              <w:rPr>
                <w:rFonts w:ascii="宋体" w:hAnsi="宋体"/>
                <w:szCs w:val="21"/>
              </w:rPr>
            </w:pPr>
            <w:r>
              <w:rPr>
                <w:rFonts w:hint="eastAsia" w:ascii="MS Mincho" w:hAnsi="MS Mincho" w:eastAsia="MS Mincho" w:cs="MS Mincho"/>
              </w:rPr>
              <w:t>☑</w:t>
            </w:r>
            <w:r>
              <w:rPr>
                <w:rFonts w:hint="eastAsia" w:ascii="宋体" w:hAnsi="宋体"/>
                <w:szCs w:val="21"/>
              </w:rPr>
              <w:t>综合评分法</w:t>
            </w:r>
          </w:p>
          <w:p>
            <w:pPr>
              <w:autoSpaceDE w:val="0"/>
              <w:autoSpaceDN w:val="0"/>
              <w:snapToGrid w:val="0"/>
              <w:spacing w:line="360" w:lineRule="exact"/>
              <w:textAlignment w:val="bottom"/>
              <w:rPr>
                <w:rFonts w:ascii="宋体" w:hAnsi="宋体"/>
                <w:szCs w:val="21"/>
              </w:rPr>
            </w:pPr>
            <w:r>
              <w:rPr>
                <w:rFonts w:hint="eastAsia" w:ascii="宋体" w:hAnsi="宋体"/>
                <w:szCs w:val="21"/>
              </w:rPr>
              <w:t>□最低评标价法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57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Cs w:val="21"/>
              </w:rPr>
            </w:pPr>
            <w:bookmarkStart w:id="116" w:name="_29.2.2（2）"/>
            <w:bookmarkEnd w:id="116"/>
            <w:r>
              <w:rPr>
                <w:rFonts w:hint="eastAsia" w:ascii="宋体" w:hAnsi="宋体"/>
                <w:szCs w:val="21"/>
              </w:rPr>
              <w:t>2</w:t>
            </w:r>
            <w:r>
              <w:rPr>
                <w:rFonts w:ascii="宋体" w:hAnsi="宋体"/>
                <w:szCs w:val="21"/>
              </w:rPr>
              <w:t>9.2</w:t>
            </w:r>
          </w:p>
        </w:tc>
        <w:tc>
          <w:tcPr>
            <w:tcW w:w="4424" w:type="pct"/>
            <w:tcBorders>
              <w:top w:val="single" w:color="auto" w:sz="4" w:space="0"/>
              <w:left w:val="single" w:color="auto" w:sz="4" w:space="0"/>
              <w:right w:val="single" w:color="auto" w:sz="4" w:space="0"/>
            </w:tcBorders>
            <w:vAlign w:val="center"/>
          </w:tcPr>
          <w:p>
            <w:pPr>
              <w:snapToGrid w:val="0"/>
              <w:spacing w:line="360" w:lineRule="exact"/>
              <w:rPr>
                <w:rFonts w:ascii="宋体" w:hAnsi="宋体"/>
                <w:szCs w:val="21"/>
              </w:rPr>
            </w:pPr>
            <w:r>
              <w:rPr>
                <w:rFonts w:hint="eastAsia" w:ascii="宋体" w:hAnsi="宋体" w:cs="宋体"/>
                <w:szCs w:val="21"/>
              </w:rPr>
              <w:t>商务要求</w:t>
            </w:r>
            <w:r>
              <w:rPr>
                <w:rFonts w:hint="eastAsia" w:ascii="宋体" w:hAnsi="宋体"/>
                <w:szCs w:val="21"/>
              </w:rPr>
              <w:t>评审中负偏离的条款：招标文件第二章采购需求表“商务要求”中凡标注“▲”的条款或要求不响应或不满足的，投标文件即作无效处理；</w:t>
            </w:r>
          </w:p>
          <w:p>
            <w:pPr>
              <w:snapToGrid w:val="0"/>
              <w:spacing w:line="360" w:lineRule="exact"/>
              <w:rPr>
                <w:rFonts w:ascii="宋体" w:hAnsi="宋体"/>
                <w:szCs w:val="21"/>
              </w:rPr>
            </w:pPr>
            <w:r>
              <w:rPr>
                <w:rFonts w:hint="eastAsia" w:ascii="宋体" w:hAnsi="宋体" w:cs="宋体"/>
                <w:szCs w:val="21"/>
              </w:rPr>
              <w:t>技术要求</w:t>
            </w:r>
            <w:r>
              <w:rPr>
                <w:rFonts w:hint="eastAsia" w:ascii="宋体" w:hAnsi="宋体"/>
                <w:szCs w:val="21"/>
              </w:rPr>
              <w:t>评审中负偏离的条款：招标文件第二章采购需求表“主要技术参数及性能（配置）要求”中凡标注“▲”的条款或要求不响应或不满足的，投标文件即作无效处理；未标注“▲”号的条款或要求或作为评审依据进行考核，若</w:t>
            </w:r>
            <w:r>
              <w:rPr>
                <w:rFonts w:ascii="宋体" w:hAnsi="宋体"/>
                <w:szCs w:val="21"/>
              </w:rPr>
              <w:t>作为评审依据考核</w:t>
            </w:r>
            <w:r>
              <w:rPr>
                <w:rFonts w:hint="eastAsia" w:ascii="宋体" w:hAnsi="宋体"/>
                <w:szCs w:val="21"/>
              </w:rPr>
              <w:t>的，具体见本招标文件第四章。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57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Cs w:val="21"/>
              </w:rPr>
            </w:pPr>
            <w:r>
              <w:rPr>
                <w:rFonts w:hint="eastAsia" w:ascii="宋体" w:hAnsi="宋体"/>
                <w:szCs w:val="21"/>
              </w:rPr>
              <w:t>2</w:t>
            </w:r>
            <w:r>
              <w:rPr>
                <w:rFonts w:ascii="宋体" w:hAnsi="宋体"/>
                <w:szCs w:val="21"/>
              </w:rPr>
              <w:t>9.3</w:t>
            </w:r>
          </w:p>
        </w:tc>
        <w:tc>
          <w:tcPr>
            <w:tcW w:w="4424" w:type="pct"/>
            <w:tcBorders>
              <w:top w:val="single" w:color="auto" w:sz="4" w:space="0"/>
              <w:left w:val="single" w:color="auto" w:sz="4" w:space="0"/>
              <w:right w:val="single" w:color="auto" w:sz="4" w:space="0"/>
            </w:tcBorders>
            <w:vAlign w:val="center"/>
          </w:tcPr>
          <w:p>
            <w:pPr>
              <w:snapToGrid w:val="0"/>
              <w:spacing w:line="360" w:lineRule="exact"/>
              <w:rPr>
                <w:rFonts w:ascii="宋体" w:hAnsi="宋体"/>
                <w:szCs w:val="21"/>
              </w:rPr>
            </w:pPr>
            <w:r>
              <w:rPr>
                <w:rFonts w:ascii="宋体" w:hAnsi="宋体"/>
                <w:szCs w:val="21"/>
              </w:rPr>
              <w:t>中标候选人推荐数量</w:t>
            </w:r>
            <w:r>
              <w:rPr>
                <w:rFonts w:hint="eastAsia" w:ascii="宋体" w:hAnsi="宋体"/>
                <w:szCs w:val="21"/>
              </w:rPr>
              <w:t>：</w:t>
            </w:r>
          </w:p>
          <w:p>
            <w:pPr>
              <w:snapToGrid w:val="0"/>
              <w:spacing w:line="360" w:lineRule="exact"/>
              <w:rPr>
                <w:rFonts w:ascii="宋体" w:hAnsi="宋体"/>
                <w:szCs w:val="21"/>
              </w:rPr>
            </w:pPr>
            <w:r>
              <w:rPr>
                <w:rFonts w:hint="eastAsia" w:ascii="宋体" w:hAnsi="宋体"/>
                <w:szCs w:val="21"/>
              </w:rPr>
              <w:t>□</w:t>
            </w:r>
            <w:r>
              <w:rPr>
                <w:rFonts w:hint="eastAsia" w:ascii="宋体" w:hAnsi="宋体"/>
                <w:szCs w:val="21"/>
                <w:u w:val="single"/>
              </w:rPr>
              <w:t xml:space="preserve"> </w:t>
            </w:r>
            <w:r>
              <w:rPr>
                <w:rFonts w:ascii="宋体" w:hAnsi="宋体"/>
                <w:szCs w:val="21"/>
                <w:u w:val="single"/>
              </w:rPr>
              <w:t xml:space="preserve"> /  </w:t>
            </w:r>
            <w:r>
              <w:rPr>
                <w:rFonts w:ascii="宋体" w:hAnsi="宋体"/>
                <w:szCs w:val="21"/>
              </w:rPr>
              <w:t>名</w:t>
            </w:r>
          </w:p>
          <w:p>
            <w:pPr>
              <w:snapToGrid w:val="0"/>
              <w:spacing w:line="360" w:lineRule="exact"/>
              <w:rPr>
                <w:rFonts w:ascii="宋体" w:hAnsi="宋体" w:cs="宋体"/>
                <w:szCs w:val="21"/>
                <w:u w:val="single"/>
              </w:rPr>
            </w:pPr>
            <w:r>
              <w:rPr>
                <w:rFonts w:hint="eastAsia" w:ascii="MS Mincho" w:hAnsi="MS Mincho" w:eastAsia="MS Mincho" w:cs="MS Mincho"/>
              </w:rPr>
              <w:t>☑</w:t>
            </w:r>
            <w:r>
              <w:rPr>
                <w:rFonts w:hint="eastAsia" w:ascii="宋体" w:hAnsi="宋体"/>
                <w:szCs w:val="21"/>
              </w:rPr>
              <w:t>根据总得分由高到低排列次序并全部推荐为中标候选人。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Cs w:val="21"/>
              </w:rPr>
            </w:pPr>
            <w:r>
              <w:rPr>
                <w:rFonts w:hint="eastAsia" w:ascii="宋体" w:hAnsi="宋体"/>
                <w:szCs w:val="21"/>
              </w:rPr>
              <w:t>30</w:t>
            </w:r>
            <w:r>
              <w:rPr>
                <w:rFonts w:ascii="宋体" w:hAnsi="宋体"/>
                <w:szCs w:val="21"/>
              </w:rPr>
              <w:t>.1</w:t>
            </w:r>
          </w:p>
        </w:tc>
        <w:tc>
          <w:tcPr>
            <w:tcW w:w="4424" w:type="pct"/>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exact"/>
              <w:textAlignment w:val="bottom"/>
              <w:rPr>
                <w:rFonts w:ascii="宋体" w:hAnsi="宋体"/>
                <w:szCs w:val="21"/>
              </w:rPr>
            </w:pPr>
            <w:r>
              <w:rPr>
                <w:rFonts w:hint="eastAsia" w:ascii="宋体" w:hAnsi="宋体"/>
                <w:szCs w:val="21"/>
              </w:rPr>
              <w:t>采购人确定中标人时，出现中标候选人并列的情形，采购人按以下的方式确定中标人：</w:t>
            </w:r>
          </w:p>
          <w:p>
            <w:pPr>
              <w:autoSpaceDE w:val="0"/>
              <w:autoSpaceDN w:val="0"/>
              <w:snapToGrid w:val="0"/>
              <w:spacing w:line="360" w:lineRule="exact"/>
              <w:textAlignment w:val="bottom"/>
              <w:rPr>
                <w:rFonts w:ascii="宋体" w:hAnsi="宋体"/>
                <w:szCs w:val="21"/>
              </w:rPr>
            </w:pPr>
            <w:r>
              <w:rPr>
                <w:rFonts w:hint="eastAsia" w:ascii="MS Mincho" w:hAnsi="MS Mincho" w:eastAsia="MS Mincho" w:cs="MS Mincho"/>
              </w:rPr>
              <w:t>☑</w:t>
            </w:r>
            <w:r>
              <w:rPr>
                <w:rFonts w:hint="eastAsia" w:ascii="宋体" w:hAnsi="宋体"/>
                <w:szCs w:val="21"/>
              </w:rPr>
              <w:t>依次按投标报价低的优先、政策分得分高的优先、技术评分高的优先、商务评分高的优先、售后服务方案优的顺序确定；按上述顺序依然无法确定时，将由采购人采取随机抽取方式确定。</w:t>
            </w:r>
          </w:p>
          <w:p>
            <w:pPr>
              <w:autoSpaceDE w:val="0"/>
              <w:autoSpaceDN w:val="0"/>
              <w:snapToGrid w:val="0"/>
              <w:spacing w:line="360" w:lineRule="exact"/>
              <w:textAlignment w:val="bottom"/>
              <w:rPr>
                <w:rFonts w:ascii="宋体" w:hAnsi="宋体"/>
                <w:szCs w:val="21"/>
              </w:rPr>
            </w:pPr>
            <w:r>
              <w:rPr>
                <w:rFonts w:hint="eastAsia" w:ascii="宋体" w:hAnsi="宋体"/>
                <w:szCs w:val="21"/>
              </w:rPr>
              <w:t>□随机抽取。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7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Cs w:val="21"/>
              </w:rPr>
            </w:pPr>
            <w:bookmarkStart w:id="117" w:name="_39.1"/>
            <w:bookmarkEnd w:id="117"/>
            <w:r>
              <w:rPr>
                <w:rFonts w:hint="eastAsia" w:ascii="宋体" w:hAnsi="宋体"/>
                <w:szCs w:val="21"/>
              </w:rPr>
              <w:t>35</w:t>
            </w:r>
            <w:r>
              <w:rPr>
                <w:rFonts w:ascii="宋体" w:hAnsi="宋体"/>
                <w:szCs w:val="21"/>
              </w:rPr>
              <w:t>.1</w:t>
            </w:r>
          </w:p>
        </w:tc>
        <w:tc>
          <w:tcPr>
            <w:tcW w:w="4424" w:type="pct"/>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exact"/>
              <w:textAlignment w:val="bottom"/>
              <w:rPr>
                <w:rFonts w:ascii="宋体" w:hAnsi="宋体"/>
                <w:szCs w:val="21"/>
              </w:rPr>
            </w:pPr>
            <w:r>
              <w:rPr>
                <w:rFonts w:hint="eastAsia" w:ascii="宋体" w:hAnsi="宋体"/>
                <w:szCs w:val="21"/>
              </w:rPr>
              <w:t>□本项目不收取履约保证金。</w:t>
            </w:r>
          </w:p>
          <w:p>
            <w:pPr>
              <w:pStyle w:val="16"/>
              <w:spacing w:after="120" w:line="360" w:lineRule="exact"/>
              <w:rPr>
                <w:rFonts w:ascii="宋体" w:hAnsi="宋体"/>
                <w:szCs w:val="21"/>
                <w:u w:val="single"/>
              </w:rPr>
            </w:pPr>
            <w:r>
              <w:rPr>
                <w:rFonts w:hint="eastAsia" w:ascii="MS Mincho" w:hAnsi="MS Mincho" w:eastAsia="MS Mincho" w:cs="MS Mincho"/>
                <w:szCs w:val="21"/>
              </w:rPr>
              <w:t>☑</w:t>
            </w:r>
            <w:r>
              <w:rPr>
                <w:rFonts w:hint="eastAsia" w:ascii="宋体" w:hAnsi="宋体"/>
                <w:szCs w:val="21"/>
              </w:rPr>
              <w:t>本项目收取履约保证金，具体规定见本招标文件第二章“商务要求”。</w:t>
            </w:r>
          </w:p>
          <w:p>
            <w:pPr>
              <w:spacing w:line="360" w:lineRule="exact"/>
              <w:jc w:val="left"/>
              <w:rPr>
                <w:rFonts w:ascii="宋体" w:hAnsi="宋体" w:cs="Courier New"/>
                <w:b/>
                <w:szCs w:val="21"/>
              </w:rPr>
            </w:pPr>
            <w:r>
              <w:rPr>
                <w:rFonts w:ascii="宋体" w:hAnsi="宋体" w:cs="Courier New"/>
                <w:b/>
                <w:szCs w:val="21"/>
              </w:rPr>
              <w:t>备注：</w:t>
            </w:r>
          </w:p>
          <w:p>
            <w:pPr>
              <w:spacing w:line="360" w:lineRule="exact"/>
              <w:jc w:val="left"/>
              <w:rPr>
                <w:rFonts w:ascii="宋体" w:hAnsi="宋体"/>
                <w:b/>
                <w:szCs w:val="21"/>
              </w:rPr>
            </w:pPr>
            <w:r>
              <w:rPr>
                <w:rFonts w:hint="eastAsia" w:ascii="宋体" w:hAnsi="宋体"/>
                <w:b/>
                <w:szCs w:val="21"/>
              </w:rPr>
              <w:t>1.根据《广西壮族自治区财政厅关于持续优化政府采购营商环境推动高质量发展的通知》（桂财采〔2024〕55号）规定，对中小企业收取的履约保证金数额不得超过政府采购合同金额的2%。</w:t>
            </w:r>
          </w:p>
          <w:p>
            <w:pPr>
              <w:spacing w:line="360" w:lineRule="exact"/>
              <w:jc w:val="left"/>
              <w:rPr>
                <w:rFonts w:ascii="宋体" w:hAnsi="宋体"/>
                <w:b/>
                <w:szCs w:val="21"/>
              </w:rPr>
            </w:pPr>
            <w:r>
              <w:rPr>
                <w:rFonts w:ascii="宋体" w:hAnsi="宋体"/>
                <w:b/>
                <w:szCs w:val="21"/>
              </w:rPr>
              <w:t>2.</w:t>
            </w:r>
            <w:r>
              <w:rPr>
                <w:rFonts w:hint="eastAsia" w:ascii="宋体" w:hAnsi="宋体"/>
                <w:b/>
                <w:szCs w:val="21"/>
              </w:rPr>
              <w:t>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p>
          <w:p>
            <w:pPr>
              <w:spacing w:line="360" w:lineRule="exact"/>
              <w:jc w:val="left"/>
              <w:rPr>
                <w:rFonts w:ascii="宋体" w:hAnsi="宋体"/>
                <w:b/>
                <w:szCs w:val="21"/>
              </w:rPr>
            </w:pPr>
            <w:r>
              <w:rPr>
                <w:rFonts w:ascii="宋体" w:hAnsi="宋体"/>
                <w:b/>
                <w:szCs w:val="21"/>
              </w:rPr>
              <w:t>3.采用</w:t>
            </w:r>
            <w:r>
              <w:rPr>
                <w:rFonts w:hint="eastAsia" w:ascii="宋体" w:hAnsi="宋体"/>
                <w:b/>
                <w:szCs w:val="21"/>
                <w:lang w:val="en-US" w:eastAsia="zh-CN"/>
              </w:rPr>
              <w:t>金额</w:t>
            </w:r>
            <w:r>
              <w:rPr>
                <w:rFonts w:ascii="宋体" w:hAnsi="宋体"/>
                <w:b/>
                <w:szCs w:val="21"/>
              </w:rPr>
              <w:t>、</w:t>
            </w:r>
            <w:r>
              <w:rPr>
                <w:rFonts w:hint="eastAsia" w:ascii="宋体" w:hAnsi="宋体"/>
                <w:b/>
                <w:szCs w:val="21"/>
                <w:lang w:val="en-US" w:eastAsia="zh-CN"/>
              </w:rPr>
              <w:t>担保</w:t>
            </w:r>
            <w:r>
              <w:rPr>
                <w:rFonts w:ascii="宋体" w:hAnsi="宋体"/>
                <w:b/>
                <w:szCs w:val="21"/>
              </w:rPr>
              <w:t>机构出具的保函的，必须为无条件保函，否则不予签订合同。</w:t>
            </w:r>
          </w:p>
          <w:p>
            <w:pPr>
              <w:spacing w:line="360" w:lineRule="exact"/>
              <w:jc w:val="left"/>
              <w:rPr>
                <w:rFonts w:ascii="宋体" w:hAnsi="宋体" w:cs="宋体"/>
                <w:kern w:val="0"/>
                <w:szCs w:val="21"/>
              </w:rPr>
            </w:pPr>
            <w:r>
              <w:rPr>
                <w:rFonts w:ascii="宋体" w:hAnsi="宋体"/>
                <w:b/>
                <w:szCs w:val="21"/>
              </w:rPr>
              <w:t>4.</w:t>
            </w:r>
            <w:r>
              <w:rPr>
                <w:rFonts w:hint="eastAsia" w:ascii="宋体" w:hAnsi="宋体"/>
                <w:b/>
                <w:szCs w:val="21"/>
              </w:rPr>
              <w:t>投标人为联合体的，由联合体其中一方按规定提交的履约保证金，视为有效履约保证金。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Cs w:val="21"/>
              </w:rPr>
            </w:pPr>
            <w:bookmarkStart w:id="118" w:name="_40.1"/>
            <w:bookmarkEnd w:id="118"/>
            <w:r>
              <w:rPr>
                <w:rFonts w:hint="eastAsia" w:ascii="宋体" w:hAnsi="宋体"/>
                <w:szCs w:val="21"/>
              </w:rPr>
              <w:t>36.1</w:t>
            </w:r>
          </w:p>
        </w:tc>
        <w:tc>
          <w:tcPr>
            <w:tcW w:w="4424" w:type="pct"/>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exact"/>
              <w:textAlignment w:val="bottom"/>
              <w:rPr>
                <w:rFonts w:ascii="宋体" w:hAnsi="宋体"/>
                <w:szCs w:val="21"/>
              </w:rPr>
            </w:pPr>
            <w:r>
              <w:rPr>
                <w:rFonts w:hint="eastAsia" w:ascii="宋体" w:hAnsi="宋体"/>
                <w:szCs w:val="21"/>
              </w:rPr>
              <w:t xml:space="preserve">签订合同携带的证明材料： </w:t>
            </w:r>
          </w:p>
          <w:p>
            <w:pPr>
              <w:autoSpaceDE w:val="0"/>
              <w:autoSpaceDN w:val="0"/>
              <w:snapToGrid w:val="0"/>
              <w:spacing w:line="360" w:lineRule="exact"/>
              <w:textAlignment w:val="bottom"/>
              <w:rPr>
                <w:rFonts w:ascii="宋体" w:hAnsi="宋体"/>
                <w:szCs w:val="21"/>
              </w:rPr>
            </w:pPr>
            <w:r>
              <w:rPr>
                <w:rFonts w:hint="eastAsia" w:ascii="宋体" w:hAnsi="宋体"/>
                <w:szCs w:val="21"/>
              </w:rPr>
              <w:t>委托代理人负责签订合同的，须携带授权委托书及委托代理人身份证原件等其他资格证件。</w:t>
            </w:r>
          </w:p>
          <w:p>
            <w:pPr>
              <w:autoSpaceDE w:val="0"/>
              <w:autoSpaceDN w:val="0"/>
              <w:snapToGrid w:val="0"/>
              <w:spacing w:line="360" w:lineRule="exact"/>
              <w:textAlignment w:val="bottom"/>
              <w:rPr>
                <w:rFonts w:ascii="宋体" w:hAnsi="宋体"/>
                <w:szCs w:val="21"/>
              </w:rPr>
            </w:pPr>
            <w:r>
              <w:rPr>
                <w:rFonts w:hint="eastAsia" w:ascii="宋体" w:hAnsi="宋体"/>
                <w:szCs w:val="21"/>
              </w:rPr>
              <w:t>法定代表人负责签订合同的，须携带法定代表人</w:t>
            </w:r>
            <w:r>
              <w:rPr>
                <w:rFonts w:ascii="宋体" w:hAnsi="宋体"/>
                <w:szCs w:val="21"/>
              </w:rPr>
              <w:t>身份证明原件</w:t>
            </w:r>
            <w:r>
              <w:rPr>
                <w:rFonts w:hint="eastAsia" w:ascii="宋体" w:hAnsi="宋体"/>
                <w:szCs w:val="21"/>
              </w:rPr>
              <w:t>及</w:t>
            </w:r>
            <w:r>
              <w:rPr>
                <w:rFonts w:ascii="宋体" w:hAnsi="宋体"/>
                <w:szCs w:val="21"/>
              </w:rPr>
              <w:t>身份证原件</w:t>
            </w:r>
            <w:r>
              <w:rPr>
                <w:rFonts w:hint="eastAsia" w:ascii="宋体" w:hAnsi="宋体"/>
                <w:szCs w:val="21"/>
              </w:rPr>
              <w:t>等其他证明材料。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Cs w:val="21"/>
              </w:rPr>
            </w:pPr>
            <w:r>
              <w:rPr>
                <w:rFonts w:hint="eastAsia" w:ascii="宋体" w:hAnsi="宋体"/>
                <w:szCs w:val="21"/>
              </w:rPr>
              <w:t>3</w:t>
            </w:r>
            <w:r>
              <w:rPr>
                <w:rFonts w:ascii="宋体" w:hAnsi="宋体"/>
                <w:szCs w:val="21"/>
              </w:rPr>
              <w:t>8.2</w:t>
            </w:r>
          </w:p>
        </w:tc>
        <w:tc>
          <w:tcPr>
            <w:tcW w:w="4424" w:type="pct"/>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ascii="宋体" w:hAnsi="宋体"/>
                <w:szCs w:val="21"/>
              </w:rPr>
            </w:pPr>
            <w:r>
              <w:rPr>
                <w:rFonts w:hint="eastAsia" w:ascii="宋体" w:hAnsi="宋体"/>
                <w:szCs w:val="21"/>
              </w:rPr>
              <w:t>接收质疑函方式：以书面形式</w:t>
            </w:r>
          </w:p>
          <w:p>
            <w:pPr>
              <w:snapToGrid w:val="0"/>
              <w:spacing w:line="360" w:lineRule="exact"/>
              <w:rPr>
                <w:rFonts w:ascii="宋体" w:hAnsi="宋体"/>
                <w:szCs w:val="21"/>
              </w:rPr>
            </w:pPr>
            <w:r>
              <w:rPr>
                <w:rFonts w:hint="eastAsia" w:ascii="宋体" w:hAnsi="宋体"/>
                <w:szCs w:val="21"/>
              </w:rPr>
              <w:t>质疑联系部门及联系方式：</w:t>
            </w:r>
            <w:r>
              <w:rPr>
                <w:rFonts w:hint="eastAsia" w:ascii="宋体" w:hAnsi="宋体"/>
                <w:szCs w:val="21"/>
                <w:u w:val="single"/>
              </w:rPr>
              <w:t>广西建设机电设备招标中心有限公司</w:t>
            </w:r>
            <w:r>
              <w:rPr>
                <w:rFonts w:hint="eastAsia" w:ascii="宋体" w:hAnsi="宋体"/>
                <w:szCs w:val="21"/>
              </w:rPr>
              <w:t>，</w:t>
            </w:r>
            <w:r>
              <w:rPr>
                <w:rFonts w:ascii="宋体" w:hAnsi="宋体"/>
                <w:szCs w:val="21"/>
              </w:rPr>
              <w:t>联系电话</w:t>
            </w:r>
            <w:r>
              <w:rPr>
                <w:rFonts w:hint="eastAsia" w:ascii="宋体" w:hAnsi="宋体"/>
                <w:szCs w:val="21"/>
              </w:rPr>
              <w:t>：</w:t>
            </w:r>
            <w:r>
              <w:rPr>
                <w:rFonts w:hint="eastAsia" w:ascii="宋体" w:hAnsi="宋体"/>
                <w:szCs w:val="21"/>
                <w:u w:val="single"/>
              </w:rPr>
              <w:t>0771-5824250</w:t>
            </w:r>
            <w:r>
              <w:rPr>
                <w:rFonts w:hint="eastAsia" w:ascii="宋体" w:hAnsi="宋体"/>
                <w:szCs w:val="21"/>
              </w:rPr>
              <w:t>，</w:t>
            </w:r>
            <w:r>
              <w:rPr>
                <w:rFonts w:ascii="宋体" w:hAnsi="宋体"/>
                <w:szCs w:val="21"/>
              </w:rPr>
              <w:t>通讯地址</w:t>
            </w:r>
            <w:r>
              <w:rPr>
                <w:rFonts w:hint="eastAsia" w:ascii="宋体" w:hAnsi="宋体" w:cs="Helvetica"/>
                <w:szCs w:val="21"/>
              </w:rPr>
              <w:t>：</w:t>
            </w:r>
            <w:r>
              <w:rPr>
                <w:rFonts w:hint="eastAsia" w:ascii="宋体" w:hAnsi="宋体"/>
                <w:szCs w:val="21"/>
                <w:u w:val="single"/>
              </w:rPr>
              <w:t>南宁市青秀区枫林路18号广西国控集团（枫林路办公区）裙楼三层。</w:t>
            </w:r>
          </w:p>
          <w:p>
            <w:pPr>
              <w:autoSpaceDE w:val="0"/>
              <w:autoSpaceDN w:val="0"/>
              <w:snapToGrid w:val="0"/>
              <w:spacing w:line="360" w:lineRule="exact"/>
              <w:textAlignment w:val="bottom"/>
              <w:rPr>
                <w:rFonts w:ascii="宋体" w:hAnsi="宋体"/>
                <w:szCs w:val="21"/>
              </w:rPr>
            </w:pPr>
            <w:r>
              <w:rPr>
                <w:rFonts w:hint="eastAsia" w:ascii="宋体" w:hAnsi="宋体"/>
                <w:szCs w:val="21"/>
              </w:rPr>
              <w:t>现场提交质疑办理业务时间：每天8时30分到12时00分，15时00分到18时00分，业务时间以外、双休日和法定节假日不办理业务。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Cs w:val="21"/>
              </w:rPr>
            </w:pPr>
            <w:bookmarkStart w:id="119" w:name="_41"/>
            <w:bookmarkEnd w:id="119"/>
            <w:bookmarkStart w:id="120" w:name="_42"/>
            <w:bookmarkEnd w:id="120"/>
            <w:bookmarkStart w:id="121" w:name="_Hlt17709148"/>
            <w:r>
              <w:rPr>
                <w:rFonts w:hint="eastAsia" w:ascii="宋体" w:hAnsi="宋体"/>
                <w:szCs w:val="21"/>
              </w:rPr>
              <w:t>3</w:t>
            </w:r>
            <w:bookmarkEnd w:id="121"/>
            <w:r>
              <w:rPr>
                <w:rFonts w:ascii="宋体" w:hAnsi="宋体"/>
                <w:szCs w:val="21"/>
              </w:rPr>
              <w:t>9.1</w:t>
            </w:r>
          </w:p>
        </w:tc>
        <w:tc>
          <w:tcPr>
            <w:tcW w:w="4424" w:type="pct"/>
            <w:tcBorders>
              <w:top w:val="single" w:color="auto" w:sz="4" w:space="0"/>
              <w:left w:val="single" w:color="auto" w:sz="4" w:space="0"/>
              <w:bottom w:val="single" w:color="auto" w:sz="4" w:space="0"/>
              <w:right w:val="single" w:color="auto" w:sz="4" w:space="0"/>
            </w:tcBorders>
            <w:vAlign w:val="center"/>
          </w:tcPr>
          <w:p>
            <w:pPr>
              <w:pStyle w:val="24"/>
              <w:snapToGrid w:val="0"/>
              <w:spacing w:line="360" w:lineRule="exact"/>
              <w:rPr>
                <w:rFonts w:hAnsi="宋体" w:cs="宋体"/>
                <w:sz w:val="21"/>
              </w:rPr>
            </w:pPr>
            <w:r>
              <w:rPr>
                <w:rFonts w:hint="eastAsia" w:hAnsi="宋体" w:cs="宋体"/>
                <w:sz w:val="21"/>
              </w:rPr>
              <w:t>1.采购代理费支付方式：</w:t>
            </w:r>
          </w:p>
          <w:p>
            <w:pPr>
              <w:pStyle w:val="24"/>
              <w:snapToGrid w:val="0"/>
              <w:spacing w:line="360" w:lineRule="exact"/>
              <w:rPr>
                <w:rFonts w:hAnsi="宋体" w:cs="宋体"/>
                <w:sz w:val="21"/>
              </w:rPr>
            </w:pPr>
            <w:r>
              <w:rPr>
                <w:rFonts w:hint="eastAsia" w:ascii="MS Mincho" w:hAnsi="MS Mincho" w:eastAsia="MS Mincho" w:cs="MS Mincho"/>
                <w:sz w:val="21"/>
              </w:rPr>
              <w:t>☑</w:t>
            </w:r>
            <w:r>
              <w:rPr>
                <w:rFonts w:hint="eastAsia" w:hAnsi="宋体" w:cs="宋体"/>
                <w:sz w:val="21"/>
              </w:rPr>
              <w:t>本项目代理服务费由</w:t>
            </w:r>
            <w:r>
              <w:rPr>
                <w:rFonts w:hint="eastAsia" w:hAnsi="宋体" w:cs="宋体"/>
                <w:sz w:val="21"/>
                <w:u w:val="single"/>
              </w:rPr>
              <w:t>中标人</w:t>
            </w:r>
            <w:r>
              <w:rPr>
                <w:rFonts w:hint="eastAsia" w:hAnsi="宋体" w:cs="宋体"/>
                <w:sz w:val="21"/>
              </w:rPr>
              <w:t>一次性向采购代理机构支付。</w:t>
            </w:r>
          </w:p>
          <w:p>
            <w:pPr>
              <w:pStyle w:val="24"/>
              <w:snapToGrid w:val="0"/>
              <w:spacing w:line="360" w:lineRule="exact"/>
              <w:rPr>
                <w:rFonts w:hAnsi="宋体" w:cs="宋体"/>
                <w:sz w:val="21"/>
              </w:rPr>
            </w:pPr>
            <w:r>
              <w:rPr>
                <w:rFonts w:hint="eastAsia" w:hAnsi="宋体" w:cs="宋体"/>
                <w:sz w:val="21"/>
              </w:rPr>
              <w:t>□采购人支付。</w:t>
            </w:r>
          </w:p>
          <w:p>
            <w:pPr>
              <w:pStyle w:val="24"/>
              <w:snapToGrid w:val="0"/>
              <w:spacing w:line="360" w:lineRule="exact"/>
              <w:rPr>
                <w:rFonts w:hAnsi="宋体" w:cs="宋体"/>
                <w:sz w:val="21"/>
              </w:rPr>
            </w:pPr>
            <w:r>
              <w:rPr>
                <w:rFonts w:hint="eastAsia" w:hAnsi="宋体" w:cs="宋体"/>
                <w:sz w:val="21"/>
              </w:rPr>
              <w:t>2.采购代理费收取标准：</w:t>
            </w:r>
          </w:p>
          <w:p>
            <w:pPr>
              <w:pStyle w:val="24"/>
              <w:snapToGrid w:val="0"/>
              <w:spacing w:line="360" w:lineRule="exact"/>
              <w:rPr>
                <w:rFonts w:hAnsi="宋体" w:cs="宋体"/>
                <w:sz w:val="21"/>
              </w:rPr>
            </w:pPr>
            <w:r>
              <w:rPr>
                <w:rFonts w:hint="eastAsia" w:ascii="MS Mincho" w:hAnsi="MS Mincho" w:eastAsia="MS Mincho" w:cs="MS Mincho"/>
                <w:sz w:val="21"/>
              </w:rPr>
              <w:t>☑</w:t>
            </w:r>
            <w:bookmarkStart w:id="122" w:name="OLE_LINK7"/>
            <w:r>
              <w:rPr>
                <w:rFonts w:hint="eastAsia" w:hAnsi="宋体" w:cs="宋体"/>
                <w:sz w:val="21"/>
              </w:rPr>
              <w:t>以分标（</w:t>
            </w:r>
            <w:r>
              <w:rPr>
                <w:rFonts w:hint="eastAsia" w:ascii="MS Mincho" w:hAnsi="MS Mincho" w:eastAsia="MS Mincho" w:cs="MS Mincho"/>
                <w:sz w:val="21"/>
              </w:rPr>
              <w:t>☑</w:t>
            </w:r>
            <w:r>
              <w:rPr>
                <w:rFonts w:hint="eastAsia" w:hAnsi="宋体" w:cs="宋体"/>
                <w:sz w:val="21"/>
              </w:rPr>
              <w:t>中标金额/□采购预算/□暂定中标金额/□其他</w:t>
            </w:r>
            <w:r>
              <w:rPr>
                <w:rFonts w:hint="eastAsia" w:hAnsi="宋体" w:cs="宋体"/>
                <w:sz w:val="21"/>
                <w:u w:val="single"/>
              </w:rPr>
              <w:t xml:space="preserve"> </w:t>
            </w:r>
            <w:r>
              <w:rPr>
                <w:rFonts w:hAnsi="宋体" w:cs="宋体"/>
                <w:sz w:val="21"/>
                <w:u w:val="single"/>
              </w:rPr>
              <w:t xml:space="preserve">/ </w:t>
            </w:r>
            <w:r>
              <w:rPr>
                <w:rFonts w:hint="eastAsia" w:hAnsi="宋体" w:cs="宋体"/>
                <w:sz w:val="21"/>
              </w:rPr>
              <w:t>）为计费额，按本须知正文第</w:t>
            </w:r>
            <w:r>
              <w:rPr>
                <w:rFonts w:hAnsi="宋体" w:cs="宋体"/>
                <w:sz w:val="21"/>
              </w:rPr>
              <w:t>39</w:t>
            </w:r>
            <w:r>
              <w:rPr>
                <w:rFonts w:hint="eastAsia" w:hAnsi="宋体" w:cs="宋体"/>
                <w:sz w:val="21"/>
              </w:rPr>
              <w:t>.</w:t>
            </w:r>
            <w:r>
              <w:rPr>
                <w:rFonts w:hAnsi="宋体" w:cs="宋体"/>
                <w:sz w:val="21"/>
              </w:rPr>
              <w:t>2</w:t>
            </w:r>
            <w:r>
              <w:rPr>
                <w:rFonts w:hint="eastAsia" w:hAnsi="宋体" w:cs="宋体"/>
                <w:sz w:val="21"/>
              </w:rPr>
              <w:t>条规定的收费计算标准（</w:t>
            </w:r>
            <w:r>
              <w:rPr>
                <w:rFonts w:hint="eastAsia" w:ascii="MS Mincho" w:hAnsi="MS Mincho" w:eastAsia="MS Mincho" w:cs="MS Mincho"/>
                <w:sz w:val="21"/>
              </w:rPr>
              <w:t>☑</w:t>
            </w:r>
            <w:r>
              <w:rPr>
                <w:rFonts w:hint="eastAsia" w:hAnsi="宋体" w:cs="宋体"/>
                <w:sz w:val="21"/>
              </w:rPr>
              <w:t>货物招标/□服务招标/</w:t>
            </w:r>
            <w:bookmarkStart w:id="123" w:name="OLE_LINK4"/>
            <w:bookmarkStart w:id="124" w:name="OLE_LINK3"/>
            <w:r>
              <w:rPr>
                <w:rFonts w:hint="eastAsia" w:hAnsi="宋体" w:cs="宋体"/>
                <w:sz w:val="21"/>
              </w:rPr>
              <w:t>□</w:t>
            </w:r>
            <w:bookmarkEnd w:id="123"/>
            <w:bookmarkEnd w:id="124"/>
            <w:r>
              <w:rPr>
                <w:rFonts w:hint="eastAsia" w:hAnsi="宋体" w:cs="宋体"/>
                <w:sz w:val="21"/>
              </w:rPr>
              <w:t>工程招标）采用差额定率累进法计算出收费基准价格，采购代理收费以（☑收费基准价格/</w:t>
            </w:r>
            <w:r>
              <w:rPr>
                <w:rFonts w:hint="eastAsia" w:ascii="MS Mincho" w:hAnsi="MS Mincho" w:cs="MS Mincho"/>
                <w:sz w:val="21"/>
              </w:rPr>
              <w:t>□</w:t>
            </w:r>
            <w:r>
              <w:rPr>
                <w:rFonts w:hint="eastAsia" w:hAnsi="宋体" w:cs="宋体"/>
                <w:sz w:val="21"/>
              </w:rPr>
              <w:t>收费基准价格下浮</w:t>
            </w:r>
            <w:r>
              <w:rPr>
                <w:rFonts w:hint="eastAsia" w:hAnsi="宋体" w:cs="宋体"/>
                <w:sz w:val="21"/>
                <w:u w:val="single"/>
              </w:rPr>
              <w:t xml:space="preserve"> /%</w:t>
            </w:r>
            <w:r>
              <w:rPr>
                <w:rFonts w:hAnsi="宋体" w:cs="宋体"/>
                <w:sz w:val="21"/>
              </w:rPr>
              <w:t>/</w:t>
            </w:r>
            <w:r>
              <w:rPr>
                <w:rFonts w:hint="eastAsia" w:hAnsi="宋体" w:cs="宋体"/>
                <w:sz w:val="21"/>
              </w:rPr>
              <w:t>□收费基准价格上浮</w:t>
            </w:r>
            <w:r>
              <w:rPr>
                <w:rFonts w:hint="eastAsia" w:hAnsi="宋体" w:cs="宋体"/>
                <w:sz w:val="21"/>
                <w:u w:val="single"/>
              </w:rPr>
              <w:t xml:space="preserve"> </w:t>
            </w:r>
            <w:r>
              <w:rPr>
                <w:rFonts w:hAnsi="宋体" w:cs="宋体"/>
                <w:sz w:val="21"/>
                <w:u w:val="single"/>
              </w:rPr>
              <w:t xml:space="preserve">/ </w:t>
            </w:r>
            <w:r>
              <w:rPr>
                <w:rFonts w:hint="eastAsia" w:hAnsi="宋体" w:cs="宋体"/>
                <w:sz w:val="21"/>
                <w:u w:val="single"/>
              </w:rPr>
              <w:t>%</w:t>
            </w:r>
            <w:r>
              <w:rPr>
                <w:rFonts w:hint="eastAsia" w:hAnsi="宋体" w:cs="宋体"/>
                <w:sz w:val="21"/>
              </w:rPr>
              <w:t>）[单个项目服务费不足人民币伍仟元整(¥5000元)的，按人民币伍仟元整(¥5000元)收取]。</w:t>
            </w:r>
            <w:bookmarkEnd w:id="122"/>
          </w:p>
          <w:p>
            <w:pPr>
              <w:pStyle w:val="24"/>
              <w:snapToGrid w:val="0"/>
              <w:spacing w:line="360" w:lineRule="exact"/>
              <w:rPr>
                <w:rFonts w:hAnsi="宋体" w:cs="宋体"/>
                <w:sz w:val="21"/>
                <w:u w:val="single"/>
              </w:rPr>
            </w:pPr>
            <w:r>
              <w:rPr>
                <w:rFonts w:hint="eastAsia" w:hAnsi="宋体" w:cs="宋体"/>
                <w:sz w:val="21"/>
              </w:rPr>
              <w:t>□固定采购代理收费</w:t>
            </w:r>
            <w:r>
              <w:rPr>
                <w:rFonts w:hint="eastAsia" w:hAnsi="宋体" w:cs="宋体"/>
                <w:sz w:val="21"/>
                <w:u w:val="single"/>
              </w:rPr>
              <w:t xml:space="preserve">  </w:t>
            </w:r>
            <w:r>
              <w:rPr>
                <w:rFonts w:hAnsi="宋体" w:cs="宋体"/>
                <w:sz w:val="21"/>
                <w:u w:val="single"/>
              </w:rPr>
              <w:t>/</w:t>
            </w:r>
            <w:r>
              <w:rPr>
                <w:rFonts w:hint="eastAsia" w:hAnsi="宋体" w:cs="宋体"/>
                <w:sz w:val="21"/>
                <w:u w:val="single"/>
              </w:rPr>
              <w:t xml:space="preserve"> 。</w:t>
            </w:r>
          </w:p>
          <w:p>
            <w:pPr>
              <w:pStyle w:val="24"/>
              <w:snapToGrid w:val="0"/>
              <w:spacing w:line="360" w:lineRule="exact"/>
              <w:rPr>
                <w:rFonts w:hAnsi="宋体" w:cs="宋体"/>
                <w:sz w:val="21"/>
              </w:rPr>
            </w:pPr>
            <w:r>
              <w:rPr>
                <w:rFonts w:hint="eastAsia" w:hAnsi="宋体" w:cs="宋体"/>
                <w:sz w:val="21"/>
              </w:rPr>
              <w:t>3</w:t>
            </w:r>
            <w:r>
              <w:rPr>
                <w:rFonts w:hAnsi="宋体" w:cs="宋体"/>
                <w:sz w:val="21"/>
              </w:rPr>
              <w:t>.</w:t>
            </w:r>
            <w:r>
              <w:rPr>
                <w:rFonts w:hint="eastAsia" w:hAnsi="宋体" w:cs="宋体"/>
                <w:sz w:val="21"/>
              </w:rPr>
              <w:t>代理机构银行账户信息如下：</w:t>
            </w:r>
          </w:p>
          <w:p>
            <w:pPr>
              <w:pStyle w:val="24"/>
              <w:snapToGrid w:val="0"/>
              <w:spacing w:line="360" w:lineRule="exact"/>
              <w:rPr>
                <w:rFonts w:hAnsi="宋体" w:cs="宋体"/>
                <w:sz w:val="21"/>
              </w:rPr>
            </w:pPr>
            <w:r>
              <w:rPr>
                <w:rFonts w:hint="eastAsia" w:hAnsi="宋体" w:cs="宋体"/>
                <w:sz w:val="21"/>
              </w:rPr>
              <w:t>账户名称：广西建设机电设备招标中心有限公司</w:t>
            </w:r>
          </w:p>
          <w:p>
            <w:pPr>
              <w:pStyle w:val="24"/>
              <w:snapToGrid w:val="0"/>
              <w:spacing w:line="360" w:lineRule="exact"/>
              <w:rPr>
                <w:rFonts w:hAnsi="宋体" w:cs="宋体"/>
                <w:sz w:val="21"/>
              </w:rPr>
            </w:pPr>
            <w:r>
              <w:rPr>
                <w:rFonts w:hint="eastAsia" w:hAnsi="宋体" w:cs="宋体"/>
                <w:sz w:val="21"/>
              </w:rPr>
              <w:t>开户银行：招商银行股份有限公司南宁分行</w:t>
            </w:r>
          </w:p>
          <w:p>
            <w:pPr>
              <w:pStyle w:val="24"/>
              <w:snapToGrid w:val="0"/>
              <w:spacing w:line="360" w:lineRule="exact"/>
              <w:rPr>
                <w:rFonts w:hAnsi="宋体" w:cs="宋体"/>
                <w:sz w:val="21"/>
              </w:rPr>
            </w:pPr>
            <w:r>
              <w:rPr>
                <w:rFonts w:hint="eastAsia" w:hAnsi="宋体" w:cs="宋体"/>
                <w:sz w:val="21"/>
              </w:rPr>
              <w:t>银行账号：771901423310201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 w:type="pct"/>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szCs w:val="21"/>
              </w:rPr>
            </w:pPr>
            <w:r>
              <w:rPr>
                <w:rFonts w:ascii="宋体" w:hAnsi="宋体"/>
                <w:szCs w:val="21"/>
              </w:rPr>
              <w:t>40.1</w:t>
            </w:r>
          </w:p>
        </w:tc>
        <w:tc>
          <w:tcPr>
            <w:tcW w:w="4424" w:type="pct"/>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ascii="宋体" w:hAnsi="宋体"/>
                <w:szCs w:val="21"/>
              </w:rPr>
            </w:pPr>
            <w:r>
              <w:rPr>
                <w:rFonts w:hint="eastAsia" w:ascii="宋体" w:hAnsi="宋体"/>
                <w:szCs w:val="21"/>
              </w:rPr>
              <w:t>解释：</w:t>
            </w:r>
            <w:r>
              <w:rPr>
                <w:rFonts w:ascii="宋体" w:hAnsi="宋体"/>
                <w:szCs w:val="21"/>
              </w:rPr>
              <w:t>构成本招标文件的各个组成文件应互为解释，互为说明；除招标文件中有特别规定外，仅适用于招标投标阶段的规定，按</w:t>
            </w:r>
            <w:r>
              <w:rPr>
                <w:rFonts w:hint="eastAsia" w:ascii="宋体" w:hAnsi="宋体"/>
                <w:szCs w:val="21"/>
              </w:rPr>
              <w:t>更正公告（澄清公告）</w:t>
            </w:r>
            <w:r>
              <w:rPr>
                <w:rFonts w:ascii="宋体" w:hAnsi="宋体"/>
                <w:szCs w:val="21"/>
              </w:rPr>
              <w:t>、招标公告、</w:t>
            </w:r>
            <w:r>
              <w:rPr>
                <w:rFonts w:hint="eastAsia" w:ascii="宋体" w:hAnsi="宋体"/>
                <w:szCs w:val="21"/>
              </w:rPr>
              <w:t>采购需求、</w:t>
            </w:r>
            <w:r>
              <w:rPr>
                <w:rFonts w:ascii="宋体" w:hAnsi="宋体"/>
                <w:szCs w:val="21"/>
              </w:rPr>
              <w:t>投标人须知、</w:t>
            </w:r>
            <w:r>
              <w:rPr>
                <w:rFonts w:hint="eastAsia" w:ascii="宋体" w:hAnsi="宋体"/>
                <w:szCs w:val="21"/>
              </w:rPr>
              <w:t>评标方法及评标标准</w:t>
            </w:r>
            <w:r>
              <w:rPr>
                <w:rFonts w:ascii="宋体" w:hAnsi="宋体"/>
                <w:szCs w:val="21"/>
              </w:rPr>
              <w:t>、</w:t>
            </w:r>
            <w:r>
              <w:rPr>
                <w:rFonts w:hint="eastAsia" w:ascii="宋体" w:hAnsi="宋体"/>
                <w:szCs w:val="21"/>
              </w:rPr>
              <w:t>拟签订的合同文本、</w:t>
            </w:r>
            <w:r>
              <w:rPr>
                <w:rFonts w:ascii="宋体" w:hAnsi="宋体"/>
                <w:szCs w:val="21"/>
              </w:rPr>
              <w:t>投标文件格式的先后顺序解释；同一组成文件中就同一事项的规定或者约定不一致的，以编排顺序在后者为准；同一组成文件不同版本之间有不一致的，以形成时间在后者为准；</w:t>
            </w:r>
            <w:r>
              <w:rPr>
                <w:rFonts w:hint="eastAsia" w:ascii="宋体" w:hAnsi="宋体"/>
                <w:szCs w:val="21"/>
              </w:rPr>
              <w:t>更正公告（澄清公告）</w:t>
            </w:r>
            <w:r>
              <w:rPr>
                <w:rFonts w:ascii="宋体" w:hAnsi="宋体"/>
                <w:szCs w:val="21"/>
              </w:rPr>
              <w:t>与同步更新的招标文件不一致时以</w:t>
            </w:r>
            <w:r>
              <w:rPr>
                <w:rFonts w:hint="eastAsia" w:ascii="宋体" w:hAnsi="宋体"/>
                <w:szCs w:val="21"/>
              </w:rPr>
              <w:t>更正公告（澄清公告）</w:t>
            </w:r>
            <w:r>
              <w:rPr>
                <w:rFonts w:ascii="宋体" w:hAnsi="宋体"/>
                <w:szCs w:val="21"/>
              </w:rPr>
              <w:t>为准。按本款前述规定仍不能形成结论的，由</w:t>
            </w:r>
            <w:r>
              <w:rPr>
                <w:rFonts w:hint="eastAsia" w:ascii="宋体" w:hAnsi="宋体"/>
                <w:szCs w:val="21"/>
              </w:rPr>
              <w:t>采购</w:t>
            </w:r>
            <w:r>
              <w:rPr>
                <w:rFonts w:ascii="宋体" w:hAnsi="宋体"/>
                <w:szCs w:val="21"/>
              </w:rPr>
              <w:t>人</w:t>
            </w:r>
            <w:r>
              <w:rPr>
                <w:rFonts w:hint="eastAsia" w:ascii="宋体" w:hAnsi="宋体"/>
                <w:szCs w:val="21"/>
              </w:rPr>
              <w:t>或者采购代理机构</w:t>
            </w:r>
            <w:r>
              <w:rPr>
                <w:rFonts w:ascii="宋体" w:hAnsi="宋体"/>
                <w:szCs w:val="21"/>
              </w:rPr>
              <w:t>负责解释。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 w:type="pct"/>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szCs w:val="21"/>
              </w:rPr>
            </w:pPr>
            <w:r>
              <w:rPr>
                <w:rFonts w:ascii="宋体" w:hAnsi="宋体"/>
                <w:szCs w:val="21"/>
              </w:rPr>
              <w:t>40.2</w:t>
            </w:r>
          </w:p>
        </w:tc>
        <w:tc>
          <w:tcPr>
            <w:tcW w:w="4424" w:type="pct"/>
            <w:tcBorders>
              <w:top w:val="single" w:color="auto" w:sz="4" w:space="0"/>
              <w:left w:val="single" w:color="auto" w:sz="4" w:space="0"/>
              <w:bottom w:val="single" w:color="auto" w:sz="4" w:space="0"/>
              <w:right w:val="single" w:color="auto" w:sz="4" w:space="0"/>
            </w:tcBorders>
            <w:vAlign w:val="center"/>
          </w:tcPr>
          <w:p>
            <w:pPr>
              <w:pStyle w:val="24"/>
              <w:snapToGrid w:val="0"/>
              <w:spacing w:line="360" w:lineRule="exact"/>
              <w:rPr>
                <w:rFonts w:hAnsi="宋体" w:cs="宋体"/>
                <w:bCs/>
                <w:sz w:val="21"/>
              </w:rPr>
            </w:pPr>
            <w:r>
              <w:rPr>
                <w:rFonts w:hint="eastAsia" w:hAnsi="宋体" w:cs="宋体"/>
                <w:bCs/>
                <w:sz w:val="21"/>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pPr>
              <w:pStyle w:val="24"/>
              <w:snapToGrid w:val="0"/>
              <w:spacing w:line="360" w:lineRule="exact"/>
              <w:rPr>
                <w:rFonts w:hAnsi="宋体" w:cs="宋体"/>
                <w:bCs/>
                <w:sz w:val="21"/>
              </w:rPr>
            </w:pPr>
            <w:r>
              <w:rPr>
                <w:rFonts w:hint="eastAsia" w:hAnsi="宋体" w:cs="宋体"/>
                <w:bCs/>
                <w:sz w:val="21"/>
              </w:rPr>
              <w:t>2.本招标文件所称的“</w:t>
            </w:r>
            <w:r>
              <w:rPr>
                <w:rFonts w:hint="eastAsia" w:hAnsi="宋体"/>
                <w:sz w:val="21"/>
              </w:rPr>
              <w:t>电子签章</w:t>
            </w:r>
            <w:r>
              <w:rPr>
                <w:rFonts w:hint="eastAsia" w:hAnsi="宋体" w:cs="宋体"/>
                <w:bCs/>
                <w:sz w:val="21"/>
              </w:rPr>
              <w:t>”、“电子签名”</w:t>
            </w:r>
            <w:r>
              <w:rPr>
                <w:rFonts w:hint="eastAsia" w:hAnsi="宋体"/>
                <w:sz w:val="21"/>
              </w:rPr>
              <w:t>，是指经广西政府采购云平台认可的CA认证的电子签名数据为表现形式的印章，可用于签署电子投标文件，电子印章与实物印章具有同等法律效力，不因其采用电子化表现形式而否定其法律效力。</w:t>
            </w:r>
          </w:p>
          <w:p>
            <w:pPr>
              <w:pStyle w:val="24"/>
              <w:snapToGrid w:val="0"/>
              <w:spacing w:line="360" w:lineRule="exact"/>
              <w:rPr>
                <w:rFonts w:hAnsi="宋体" w:cs="宋体"/>
                <w:bCs/>
                <w:sz w:val="21"/>
              </w:rPr>
            </w:pPr>
            <w:r>
              <w:rPr>
                <w:rFonts w:hint="eastAsia" w:hAnsi="宋体" w:cs="宋体"/>
                <w:bCs/>
                <w:sz w:val="21"/>
              </w:rPr>
              <w:t>3.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pPr>
              <w:pStyle w:val="24"/>
              <w:snapToGrid w:val="0"/>
              <w:spacing w:line="360" w:lineRule="exact"/>
              <w:rPr>
                <w:rFonts w:hAnsi="宋体" w:cs="宋体"/>
                <w:bCs/>
                <w:sz w:val="21"/>
              </w:rPr>
            </w:pPr>
            <w:r>
              <w:rPr>
                <w:rFonts w:hint="eastAsia" w:hAnsi="宋体" w:cs="宋体"/>
                <w:bCs/>
                <w:sz w:val="21"/>
              </w:rPr>
              <w:t>4.本招标文件中描述投标人的“签字”是指投标人的法定代表人或者委托代理人亲自在文件规定签字处亲笔写上个人的名字的行为，私章、签字章、印鉴、影印等其他形式均不能代替亲笔签字。</w:t>
            </w:r>
          </w:p>
          <w:p>
            <w:pPr>
              <w:pStyle w:val="24"/>
              <w:snapToGrid w:val="0"/>
              <w:spacing w:line="360" w:lineRule="exact"/>
              <w:rPr>
                <w:rFonts w:hAnsi="宋体"/>
                <w:sz w:val="21"/>
              </w:rPr>
            </w:pPr>
            <w:r>
              <w:rPr>
                <w:rFonts w:hint="eastAsia" w:hAnsi="宋体" w:cs="宋体"/>
                <w:bCs/>
                <w:sz w:val="21"/>
              </w:rPr>
              <w:t>5.本招标文件所称的“以上”“以下”“以内”“届满”，包括本数；所称的“不满”“超过”“以外”，不包括本数。</w:t>
            </w:r>
          </w:p>
        </w:tc>
      </w:tr>
    </w:tbl>
    <w:p>
      <w:pPr>
        <w:snapToGrid w:val="0"/>
        <w:rPr>
          <w:rFonts w:ascii="宋体" w:hAnsi="宋体"/>
          <w:sz w:val="24"/>
          <w:szCs w:val="20"/>
        </w:rPr>
      </w:pPr>
    </w:p>
    <w:p>
      <w:pPr>
        <w:pStyle w:val="4"/>
        <w:keepNext w:val="0"/>
        <w:keepLines w:val="0"/>
        <w:jc w:val="center"/>
      </w:pPr>
      <w:r>
        <w:rPr>
          <w:rFonts w:hint="eastAsia"/>
        </w:rPr>
        <w:t>投标人须知正文</w:t>
      </w:r>
    </w:p>
    <w:p>
      <w:pPr>
        <w:pStyle w:val="4"/>
        <w:keepNext w:val="0"/>
        <w:keepLines w:val="0"/>
        <w:jc w:val="center"/>
      </w:pPr>
      <w:r>
        <w:rPr>
          <w:rFonts w:hint="eastAsia"/>
        </w:rPr>
        <w:t>一、总  则</w:t>
      </w:r>
    </w:p>
    <w:p>
      <w:pPr>
        <w:pStyle w:val="6"/>
        <w:keepNext w:val="0"/>
        <w:keepLines w:val="0"/>
        <w:spacing w:before="0" w:after="0" w:line="360" w:lineRule="auto"/>
        <w:ind w:left="420" w:leftChars="200"/>
        <w:rPr>
          <w:rFonts w:ascii="黑体" w:hAnsi="黑体" w:eastAsia="黑体"/>
          <w:sz w:val="24"/>
        </w:rPr>
      </w:pPr>
      <w:bookmarkStart w:id="125" w:name="_Toc254970527"/>
      <w:bookmarkStart w:id="126" w:name="_Toc254970668"/>
      <w:r>
        <w:rPr>
          <w:rFonts w:hint="eastAsia" w:ascii="黑体" w:hAnsi="黑体" w:eastAsia="黑体"/>
          <w:sz w:val="24"/>
        </w:rPr>
        <w:t>1.适用范围</w:t>
      </w:r>
      <w:bookmarkEnd w:id="125"/>
      <w:bookmarkEnd w:id="126"/>
    </w:p>
    <w:p>
      <w:pPr>
        <w:snapToGrid w:val="0"/>
        <w:spacing w:line="360" w:lineRule="auto"/>
        <w:ind w:firstLine="420" w:firstLineChars="200"/>
        <w:jc w:val="left"/>
        <w:rPr>
          <w:rFonts w:ascii="宋体" w:hAnsi="宋体"/>
          <w:szCs w:val="21"/>
        </w:rPr>
      </w:pPr>
      <w:r>
        <w:rPr>
          <w:rFonts w:hint="eastAsia" w:ascii="宋体" w:hAnsi="宋体"/>
          <w:szCs w:val="21"/>
        </w:rPr>
        <w:t>1.1适用法律：本项目采购人、采购代理机构、投标人、评标委员会的相关行为均受《中华人民共和国政府采购法》、《中华人民共和国政府采购法实施条例》、《政府采购货物和服务招标投标管理办法》及本项目本级和上级财政部门对政府采购有关规定的约束和保护。</w:t>
      </w:r>
    </w:p>
    <w:p>
      <w:pPr>
        <w:snapToGrid w:val="0"/>
        <w:spacing w:line="360" w:lineRule="auto"/>
        <w:ind w:firstLine="420" w:firstLineChars="200"/>
        <w:jc w:val="left"/>
        <w:rPr>
          <w:rFonts w:ascii="宋体" w:hAnsi="宋体" w:cs="宋体"/>
          <w:spacing w:val="-6"/>
          <w:szCs w:val="21"/>
        </w:rPr>
      </w:pPr>
      <w:r>
        <w:rPr>
          <w:rFonts w:hint="eastAsia" w:ascii="宋体" w:hAnsi="宋体"/>
          <w:szCs w:val="21"/>
        </w:rPr>
        <w:t>1.2本招标文件</w:t>
      </w:r>
      <w:r>
        <w:rPr>
          <w:rFonts w:hint="eastAsia" w:ascii="宋体" w:hAnsi="宋体" w:cs="宋体"/>
          <w:spacing w:val="-6"/>
          <w:szCs w:val="21"/>
        </w:rPr>
        <w:t>适用于本项目的所有采购程序和环节（法律、法规另有规定的，从其规定）。</w:t>
      </w:r>
    </w:p>
    <w:p>
      <w:pPr>
        <w:pStyle w:val="6"/>
        <w:keepNext w:val="0"/>
        <w:keepLines w:val="0"/>
        <w:spacing w:before="0" w:after="0" w:line="360" w:lineRule="auto"/>
        <w:ind w:left="420" w:leftChars="200"/>
        <w:rPr>
          <w:rFonts w:ascii="黑体" w:hAnsi="黑体" w:eastAsia="黑体"/>
          <w:sz w:val="24"/>
        </w:rPr>
      </w:pPr>
      <w:bookmarkStart w:id="127" w:name="_Toc254970528"/>
      <w:bookmarkStart w:id="128" w:name="_Toc254970669"/>
      <w:r>
        <w:rPr>
          <w:rFonts w:hint="eastAsia" w:ascii="黑体" w:hAnsi="黑体" w:eastAsia="黑体"/>
          <w:sz w:val="24"/>
        </w:rPr>
        <w:t>2.定义</w:t>
      </w:r>
      <w:bookmarkEnd w:id="127"/>
      <w:bookmarkEnd w:id="128"/>
    </w:p>
    <w:p>
      <w:pPr>
        <w:pStyle w:val="6"/>
        <w:keepNext w:val="0"/>
        <w:keepLines w:val="0"/>
        <w:spacing w:before="0" w:after="0" w:line="360" w:lineRule="auto"/>
        <w:ind w:left="420" w:leftChars="200"/>
        <w:rPr>
          <w:rFonts w:ascii="宋体" w:hAnsi="宋体"/>
          <w:b w:val="0"/>
          <w:sz w:val="21"/>
          <w:szCs w:val="21"/>
        </w:rPr>
      </w:pPr>
      <w:r>
        <w:rPr>
          <w:rFonts w:hint="eastAsia" w:ascii="宋体" w:hAnsi="宋体"/>
          <w:b w:val="0"/>
          <w:sz w:val="21"/>
          <w:szCs w:val="21"/>
        </w:rPr>
        <w:t>2.1“采购人”是指依法进行政府采购的国家机关、事业单位、团体组织。</w:t>
      </w:r>
    </w:p>
    <w:p>
      <w:pPr>
        <w:pStyle w:val="6"/>
        <w:keepNext w:val="0"/>
        <w:keepLines w:val="0"/>
        <w:spacing w:before="0" w:after="0" w:line="360" w:lineRule="auto"/>
        <w:ind w:left="420" w:leftChars="200"/>
        <w:rPr>
          <w:rFonts w:ascii="宋体" w:hAnsi="宋体"/>
          <w:b w:val="0"/>
          <w:sz w:val="21"/>
          <w:szCs w:val="21"/>
        </w:rPr>
      </w:pPr>
      <w:r>
        <w:rPr>
          <w:rFonts w:hint="eastAsia" w:ascii="宋体" w:hAnsi="宋体"/>
          <w:b w:val="0"/>
          <w:sz w:val="21"/>
          <w:szCs w:val="21"/>
        </w:rPr>
        <w:t>2.2“采购代理机构”是指政府采购集中采购机构和集中采购机构以外的采购代理机构。</w:t>
      </w:r>
    </w:p>
    <w:p>
      <w:pPr>
        <w:pStyle w:val="6"/>
        <w:keepNext w:val="0"/>
        <w:keepLines w:val="0"/>
        <w:spacing w:before="0" w:after="0" w:line="360" w:lineRule="auto"/>
        <w:ind w:left="420" w:leftChars="200"/>
        <w:rPr>
          <w:rFonts w:ascii="宋体" w:hAnsi="宋体"/>
          <w:b w:val="0"/>
          <w:sz w:val="21"/>
          <w:szCs w:val="21"/>
        </w:rPr>
      </w:pPr>
      <w:r>
        <w:rPr>
          <w:rFonts w:hint="eastAsia" w:ascii="宋体" w:hAnsi="宋体"/>
          <w:b w:val="0"/>
          <w:sz w:val="21"/>
          <w:szCs w:val="21"/>
        </w:rPr>
        <w:t>2.3“供应商”是指向采购人提供货物、工程或者服务的法人、其他组织或者自然人。</w:t>
      </w:r>
    </w:p>
    <w:p>
      <w:pPr>
        <w:pStyle w:val="7"/>
        <w:spacing w:line="360" w:lineRule="auto"/>
        <w:rPr>
          <w:rFonts w:ascii="宋体" w:hAnsi="宋体"/>
          <w:szCs w:val="21"/>
        </w:rPr>
      </w:pPr>
      <w:r>
        <w:rPr>
          <w:rFonts w:hint="eastAsia" w:ascii="宋体" w:hAnsi="宋体"/>
          <w:szCs w:val="21"/>
        </w:rPr>
        <w:t>2.4“投标人”是指响应招标、参加投标竞争的法人、其他组织或者自然人。</w:t>
      </w:r>
    </w:p>
    <w:p>
      <w:pPr>
        <w:pStyle w:val="6"/>
        <w:keepNext w:val="0"/>
        <w:keepLines w:val="0"/>
        <w:spacing w:before="0" w:after="0" w:line="360" w:lineRule="auto"/>
        <w:ind w:firstLine="420" w:firstLineChars="200"/>
        <w:rPr>
          <w:rFonts w:ascii="宋体" w:hAnsi="宋体"/>
          <w:b w:val="0"/>
          <w:sz w:val="21"/>
          <w:szCs w:val="21"/>
        </w:rPr>
      </w:pPr>
      <w:r>
        <w:rPr>
          <w:rFonts w:hint="eastAsia" w:ascii="宋体" w:hAnsi="宋体"/>
          <w:b w:val="0"/>
          <w:sz w:val="21"/>
          <w:szCs w:val="21"/>
        </w:rPr>
        <w:t>2.5“货物”是指各种形态和种类的物品，包括原材料、燃料、设备、产品等。</w:t>
      </w:r>
    </w:p>
    <w:p>
      <w:pPr>
        <w:pStyle w:val="6"/>
        <w:keepNext w:val="0"/>
        <w:keepLines w:val="0"/>
        <w:spacing w:before="0" w:after="0" w:line="360" w:lineRule="auto"/>
        <w:ind w:firstLine="420" w:firstLineChars="200"/>
        <w:rPr>
          <w:rFonts w:ascii="宋体" w:hAnsi="宋体"/>
          <w:b w:val="0"/>
          <w:sz w:val="21"/>
          <w:szCs w:val="21"/>
        </w:rPr>
      </w:pPr>
      <w:r>
        <w:rPr>
          <w:rFonts w:hint="eastAsia" w:ascii="宋体" w:hAnsi="宋体"/>
          <w:b w:val="0"/>
          <w:sz w:val="21"/>
          <w:szCs w:val="21"/>
        </w:rPr>
        <w:t>2.6“售后服务”是指商品出售以后所提供的各种服务，包含但不限于投标人须承担的备品备件、包装、运输、装卸、保险、货到就位以及安装、调试、培训、质保以及其他各种服务。</w:t>
      </w:r>
    </w:p>
    <w:p>
      <w:pPr>
        <w:pStyle w:val="6"/>
        <w:keepNext w:val="0"/>
        <w:keepLines w:val="0"/>
        <w:spacing w:before="0" w:after="0" w:line="360" w:lineRule="auto"/>
        <w:rPr>
          <w:rFonts w:ascii="宋体" w:hAnsi="宋体"/>
          <w:b w:val="0"/>
          <w:sz w:val="21"/>
          <w:szCs w:val="21"/>
        </w:rPr>
      </w:pPr>
      <w:r>
        <w:rPr>
          <w:rFonts w:hint="eastAsia" w:ascii="宋体" w:hAnsi="宋体"/>
          <w:b w:val="0"/>
          <w:sz w:val="21"/>
          <w:szCs w:val="21"/>
        </w:rPr>
        <w:t xml:space="preserve">    2.7“书面形式”是指合同书、信件和数据电文（包括电报、电传、传真、电子数据交换和电子邮件）等可以有形地表现所载内容的形式。</w:t>
      </w:r>
    </w:p>
    <w:p>
      <w:pPr>
        <w:pStyle w:val="6"/>
        <w:keepNext w:val="0"/>
        <w:keepLines w:val="0"/>
        <w:spacing w:before="0" w:after="0" w:line="360" w:lineRule="auto"/>
        <w:ind w:firstLine="420" w:firstLineChars="200"/>
        <w:rPr>
          <w:rFonts w:ascii="宋体" w:hAnsi="宋体"/>
          <w:b w:val="0"/>
          <w:sz w:val="21"/>
          <w:szCs w:val="21"/>
        </w:rPr>
      </w:pPr>
      <w:r>
        <w:rPr>
          <w:rFonts w:hint="eastAsia" w:ascii="宋体" w:hAnsi="宋体"/>
          <w:b w:val="0"/>
          <w:sz w:val="21"/>
          <w:szCs w:val="21"/>
        </w:rPr>
        <w:t>2.8“实质性要求”是指招标文件中已经指明不满足则投标无效的条款，或者不能负偏离的条款，或者采购需求中带“▲”的条款。</w:t>
      </w:r>
    </w:p>
    <w:p>
      <w:pPr>
        <w:snapToGrid w:val="0"/>
        <w:spacing w:line="360" w:lineRule="auto"/>
        <w:ind w:firstLine="420" w:firstLineChars="200"/>
        <w:jc w:val="left"/>
        <w:rPr>
          <w:rFonts w:ascii="宋体" w:hAnsi="宋体" w:cs="宋体"/>
          <w:szCs w:val="21"/>
        </w:rPr>
      </w:pPr>
      <w:r>
        <w:rPr>
          <w:rFonts w:hint="eastAsia" w:ascii="宋体" w:hAnsi="宋体"/>
          <w:szCs w:val="21"/>
        </w:rPr>
        <w:t xml:space="preserve">2.9 </w:t>
      </w:r>
      <w:r>
        <w:rPr>
          <w:rFonts w:hint="eastAsia" w:ascii="宋体" w:hAnsi="宋体" w:cs="宋体"/>
          <w:szCs w:val="21"/>
        </w:rPr>
        <w:t>“正偏离”，是指投标文件对招标文件“采购需求”中有关条款作出的响应优于条款要求并有利于采购人的情形。</w:t>
      </w:r>
    </w:p>
    <w:p>
      <w:pPr>
        <w:snapToGrid w:val="0"/>
        <w:spacing w:line="360" w:lineRule="auto"/>
        <w:ind w:firstLine="420" w:firstLineChars="200"/>
        <w:jc w:val="left"/>
        <w:rPr>
          <w:rFonts w:ascii="宋体" w:hAnsi="宋体" w:cs="宋体"/>
          <w:szCs w:val="21"/>
        </w:rPr>
      </w:pPr>
      <w:r>
        <w:rPr>
          <w:rFonts w:ascii="宋体" w:hAnsi="宋体" w:cs="宋体"/>
          <w:szCs w:val="21"/>
        </w:rPr>
        <w:t>2.10</w:t>
      </w:r>
      <w:r>
        <w:rPr>
          <w:rFonts w:hint="eastAsia" w:ascii="宋体" w:hAnsi="宋体" w:cs="宋体"/>
          <w:szCs w:val="21"/>
        </w:rPr>
        <w:t>“负偏离”，是指投标文件对招标文件“采购需求”中有关条款作出的响应不满足条款要求，导致采购人要求不能得到满足的情形。</w:t>
      </w:r>
    </w:p>
    <w:p>
      <w:pPr>
        <w:snapToGrid w:val="0"/>
        <w:spacing w:line="360" w:lineRule="auto"/>
        <w:ind w:firstLine="420" w:firstLineChars="200"/>
        <w:jc w:val="left"/>
        <w:rPr>
          <w:rFonts w:ascii="宋体" w:hAnsi="宋体" w:cs="宋体"/>
          <w:szCs w:val="21"/>
        </w:rPr>
      </w:pPr>
      <w:r>
        <w:rPr>
          <w:rFonts w:hint="eastAsia" w:ascii="宋体" w:hAnsi="宋体"/>
          <w:szCs w:val="21"/>
        </w:rPr>
        <w:t>2.1</w:t>
      </w:r>
      <w:r>
        <w:rPr>
          <w:rFonts w:ascii="宋体" w:hAnsi="宋体"/>
          <w:szCs w:val="21"/>
        </w:rPr>
        <w:t>1</w:t>
      </w:r>
      <w:r>
        <w:rPr>
          <w:rFonts w:hint="eastAsia" w:ascii="宋体" w:hAnsi="宋体" w:cs="宋体"/>
          <w:szCs w:val="21"/>
        </w:rPr>
        <w:t>“允许负偏离的条款”是指采购需求中的不属于“实质性要求”的条款。</w:t>
      </w:r>
      <w:bookmarkStart w:id="129" w:name="_Toc254970670"/>
      <w:bookmarkStart w:id="130" w:name="_Toc254970529"/>
    </w:p>
    <w:p>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3.</w:t>
      </w:r>
      <w:bookmarkEnd w:id="129"/>
      <w:bookmarkEnd w:id="130"/>
      <w:r>
        <w:rPr>
          <w:rFonts w:hint="eastAsia" w:ascii="黑体" w:hAnsi="黑体" w:eastAsia="黑体"/>
          <w:sz w:val="24"/>
        </w:rPr>
        <w:t>投标人的资格要求</w:t>
      </w:r>
    </w:p>
    <w:p>
      <w:pPr>
        <w:snapToGrid w:val="0"/>
        <w:spacing w:line="360" w:lineRule="auto"/>
        <w:ind w:firstLine="420" w:firstLineChars="200"/>
        <w:jc w:val="left"/>
        <w:rPr>
          <w:rFonts w:ascii="宋体" w:hAnsi="宋体"/>
          <w:szCs w:val="21"/>
        </w:rPr>
      </w:pPr>
      <w:r>
        <w:rPr>
          <w:rFonts w:hint="eastAsia" w:ascii="宋体" w:hAnsi="宋体"/>
          <w:szCs w:val="21"/>
        </w:rPr>
        <w:t>投标人的资格要求详见“投标人须知前附表”。</w:t>
      </w:r>
    </w:p>
    <w:p>
      <w:pPr>
        <w:pStyle w:val="6"/>
        <w:keepNext w:val="0"/>
        <w:keepLines w:val="0"/>
        <w:spacing w:before="0" w:after="0" w:line="360" w:lineRule="auto"/>
        <w:ind w:left="420" w:leftChars="200"/>
        <w:rPr>
          <w:rFonts w:ascii="黑体" w:hAnsi="黑体" w:eastAsia="黑体"/>
          <w:sz w:val="24"/>
        </w:rPr>
      </w:pPr>
      <w:bookmarkStart w:id="131" w:name="_Toc254970671"/>
      <w:bookmarkStart w:id="132" w:name="_Toc254970530"/>
      <w:r>
        <w:rPr>
          <w:rFonts w:hint="eastAsia" w:ascii="黑体" w:hAnsi="黑体" w:eastAsia="黑体"/>
          <w:sz w:val="24"/>
        </w:rPr>
        <w:t>4.投标委托</w:t>
      </w:r>
      <w:bookmarkEnd w:id="131"/>
      <w:bookmarkEnd w:id="132"/>
    </w:p>
    <w:p>
      <w:pPr>
        <w:snapToGrid w:val="0"/>
        <w:spacing w:line="360" w:lineRule="auto"/>
        <w:ind w:firstLine="420" w:firstLineChars="200"/>
        <w:jc w:val="left"/>
        <w:rPr>
          <w:rFonts w:ascii="宋体" w:hAnsi="宋体"/>
          <w:szCs w:val="21"/>
        </w:rPr>
      </w:pPr>
      <w:r>
        <w:rPr>
          <w:rFonts w:hint="eastAsia" w:ascii="宋体" w:hAnsi="宋体"/>
          <w:szCs w:val="21"/>
        </w:rPr>
        <w:t>投标人代表参加投标活动过程中必须携带个人有效身份证件。如投标人代表不是法定代表人，须持有授权委托书（按第六章要求格式填写）。</w:t>
      </w:r>
    </w:p>
    <w:p>
      <w:pPr>
        <w:pStyle w:val="6"/>
        <w:keepNext w:val="0"/>
        <w:keepLines w:val="0"/>
        <w:spacing w:before="0" w:after="0" w:line="360" w:lineRule="auto"/>
        <w:ind w:left="420" w:leftChars="200"/>
        <w:rPr>
          <w:rFonts w:ascii="黑体" w:hAnsi="黑体" w:eastAsia="黑体"/>
          <w:sz w:val="24"/>
        </w:rPr>
      </w:pPr>
      <w:bookmarkStart w:id="133" w:name="_5.投标费用"/>
      <w:bookmarkEnd w:id="133"/>
      <w:bookmarkStart w:id="134" w:name="_Toc254970531"/>
      <w:bookmarkStart w:id="135" w:name="_Toc254970672"/>
      <w:r>
        <w:rPr>
          <w:rFonts w:hint="eastAsia" w:ascii="黑体" w:hAnsi="黑体" w:eastAsia="黑体"/>
          <w:sz w:val="24"/>
        </w:rPr>
        <w:t>5.投标费用</w:t>
      </w:r>
      <w:bookmarkEnd w:id="134"/>
      <w:bookmarkEnd w:id="135"/>
    </w:p>
    <w:p>
      <w:pPr>
        <w:snapToGrid w:val="0"/>
        <w:spacing w:line="360" w:lineRule="auto"/>
        <w:ind w:firstLine="420" w:firstLineChars="200"/>
        <w:jc w:val="left"/>
        <w:rPr>
          <w:rFonts w:ascii="宋体" w:hAnsi="宋体"/>
          <w:szCs w:val="21"/>
        </w:rPr>
      </w:pPr>
      <w:r>
        <w:rPr>
          <w:rFonts w:hint="eastAsia" w:ascii="宋体" w:hAnsi="宋体" w:cs="宋体"/>
          <w:szCs w:val="21"/>
        </w:rPr>
        <w:t>投标费用：投标人应承担参与本次采购活动有关的所有费用，包括但不限于获取招标文件、勘查现场、编制和提交投标文件、参加澄清说明、签订合同等，不论投标结果如何，均应自行承担。</w:t>
      </w:r>
    </w:p>
    <w:p>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6.联合体投标</w:t>
      </w:r>
    </w:p>
    <w:p>
      <w:pPr>
        <w:snapToGrid w:val="0"/>
        <w:spacing w:line="360" w:lineRule="auto"/>
        <w:ind w:firstLine="420" w:firstLineChars="200"/>
        <w:jc w:val="left"/>
        <w:rPr>
          <w:rFonts w:ascii="宋体" w:hAnsi="宋体"/>
          <w:szCs w:val="21"/>
        </w:rPr>
      </w:pPr>
      <w:r>
        <w:rPr>
          <w:rFonts w:hint="eastAsia" w:ascii="宋体" w:hAnsi="宋体"/>
          <w:szCs w:val="21"/>
        </w:rPr>
        <w:t>6.1本项目是否接受联合体投标，详见“投标人须知前附表”。</w:t>
      </w:r>
    </w:p>
    <w:p>
      <w:pPr>
        <w:snapToGrid w:val="0"/>
        <w:spacing w:line="360" w:lineRule="auto"/>
        <w:ind w:firstLine="420" w:firstLineChars="200"/>
        <w:jc w:val="left"/>
        <w:rPr>
          <w:rFonts w:ascii="宋体" w:hAnsi="宋体"/>
          <w:bCs/>
          <w:szCs w:val="21"/>
        </w:rPr>
      </w:pPr>
      <w:r>
        <w:rPr>
          <w:rFonts w:hint="eastAsia" w:ascii="宋体" w:hAnsi="宋体"/>
          <w:bCs/>
          <w:szCs w:val="21"/>
        </w:rPr>
        <w:t>6.2如接受联合体投标，联合体投标要求详见“投标人须知前附表”。</w:t>
      </w:r>
    </w:p>
    <w:p>
      <w:pPr>
        <w:pStyle w:val="6"/>
        <w:keepNext w:val="0"/>
        <w:keepLines w:val="0"/>
        <w:spacing w:before="0" w:after="0" w:line="360" w:lineRule="auto"/>
        <w:ind w:firstLine="424" w:firstLineChars="202"/>
        <w:rPr>
          <w:rFonts w:ascii="黑体" w:hAnsi="黑体" w:eastAsia="黑体"/>
          <w:sz w:val="24"/>
        </w:rPr>
      </w:pPr>
      <w:r>
        <w:rPr>
          <w:rFonts w:hint="eastAsia" w:ascii="宋体" w:hAnsi="宋体"/>
          <w:b w:val="0"/>
          <w:bCs/>
          <w:sz w:val="21"/>
          <w:szCs w:val="21"/>
        </w:rPr>
        <w:t>6.3</w:t>
      </w:r>
      <w:r>
        <w:rPr>
          <w:rFonts w:ascii="宋体" w:hAnsi="宋体"/>
          <w:b w:val="0"/>
          <w:bCs/>
          <w:sz w:val="21"/>
          <w:szCs w:val="21"/>
        </w:rPr>
        <w:t xml:space="preserve"> </w:t>
      </w:r>
      <w:bookmarkStart w:id="136" w:name="_Hlk65857072"/>
      <w:r>
        <w:rPr>
          <w:rFonts w:hint="eastAsia" w:ascii="宋体" w:hAnsi="宋体"/>
          <w:b w:val="0"/>
          <w:bCs/>
          <w:sz w:val="21"/>
          <w:szCs w:val="21"/>
        </w:rPr>
        <w:t>根据《政府采购促进中小企业发展管理办法》（财库〔2020〕46号）及《广西壮族自治区财政厅关于持续优化政府采购营商环境推动高质量发展的通知》（桂财采〔2024〕55号）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的扣除，用扣除后的价格参加评审。</w:t>
      </w:r>
      <w:bookmarkEnd w:id="136"/>
    </w:p>
    <w:p>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 xml:space="preserve">7.转包与分包             </w:t>
      </w:r>
    </w:p>
    <w:p>
      <w:pPr>
        <w:pStyle w:val="6"/>
        <w:keepNext w:val="0"/>
        <w:keepLines w:val="0"/>
        <w:spacing w:before="0" w:after="0" w:line="360" w:lineRule="auto"/>
        <w:ind w:left="420" w:leftChars="200"/>
        <w:rPr>
          <w:rFonts w:ascii="宋体" w:hAnsi="宋体"/>
          <w:b w:val="0"/>
          <w:sz w:val="21"/>
          <w:szCs w:val="21"/>
        </w:rPr>
      </w:pPr>
      <w:r>
        <w:rPr>
          <w:rFonts w:hint="eastAsia" w:ascii="宋体" w:hAnsi="宋体"/>
          <w:b w:val="0"/>
          <w:sz w:val="21"/>
          <w:szCs w:val="21"/>
        </w:rPr>
        <w:t>7.1本项目不允许转包（另有约定的除外）。</w:t>
      </w:r>
    </w:p>
    <w:p>
      <w:pPr>
        <w:pStyle w:val="6"/>
        <w:keepNext w:val="0"/>
        <w:keepLines w:val="0"/>
        <w:spacing w:before="0" w:after="0" w:line="360" w:lineRule="auto"/>
        <w:ind w:firstLine="315" w:firstLineChars="150"/>
        <w:rPr>
          <w:rFonts w:ascii="宋体" w:hAnsi="宋体"/>
          <w:b w:val="0"/>
          <w:sz w:val="21"/>
          <w:szCs w:val="21"/>
        </w:rPr>
      </w:pPr>
      <w:r>
        <w:rPr>
          <w:rFonts w:hint="eastAsia" w:ascii="宋体" w:hAnsi="宋体"/>
          <w:b w:val="0"/>
          <w:sz w:val="21"/>
          <w:szCs w:val="21"/>
        </w:rPr>
        <w:t xml:space="preserve"> 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pPr>
        <w:pStyle w:val="6"/>
        <w:keepNext w:val="0"/>
        <w:keepLines w:val="0"/>
        <w:spacing w:before="0" w:after="0" w:line="360" w:lineRule="auto"/>
        <w:ind w:firstLine="315" w:firstLineChars="150"/>
        <w:rPr>
          <w:rFonts w:ascii="宋体" w:hAnsi="宋体"/>
          <w:b w:val="0"/>
          <w:sz w:val="21"/>
          <w:szCs w:val="21"/>
        </w:rPr>
      </w:pPr>
      <w:r>
        <w:rPr>
          <w:rFonts w:hint="eastAsia" w:ascii="宋体" w:hAnsi="宋体"/>
          <w:b w:val="0"/>
          <w:sz w:val="21"/>
          <w:szCs w:val="21"/>
        </w:rPr>
        <w:t xml:space="preserve"> 7.3投标人根据招标文件的规定和采购项目的实际情况，拟在中标后将中标项目的非主体、非关键性工作分包的，应当在投标文件中载明分包承担主体，分包承担主体应当具备相应资质条件且不得再次分包。</w:t>
      </w:r>
    </w:p>
    <w:p>
      <w:pPr>
        <w:pStyle w:val="6"/>
        <w:keepNext w:val="0"/>
        <w:keepLines w:val="0"/>
        <w:spacing w:before="0" w:after="0" w:line="360" w:lineRule="auto"/>
        <w:ind w:left="420" w:leftChars="200"/>
        <w:rPr>
          <w:rFonts w:ascii="黑体" w:hAnsi="黑体" w:eastAsia="黑体"/>
          <w:sz w:val="24"/>
        </w:rPr>
      </w:pPr>
      <w:bookmarkStart w:id="137" w:name="_Toc254970673"/>
      <w:bookmarkStart w:id="138" w:name="_Toc254970532"/>
      <w:r>
        <w:rPr>
          <w:rFonts w:hint="eastAsia" w:ascii="黑体" w:hAnsi="黑体" w:eastAsia="黑体"/>
          <w:sz w:val="24"/>
        </w:rPr>
        <w:t>8.特别说明</w:t>
      </w:r>
      <w:bookmarkEnd w:id="137"/>
      <w:bookmarkEnd w:id="138"/>
    </w:p>
    <w:p>
      <w:pPr>
        <w:pStyle w:val="6"/>
        <w:keepNext w:val="0"/>
        <w:keepLines w:val="0"/>
        <w:spacing w:before="0" w:after="0" w:line="360" w:lineRule="auto"/>
        <w:ind w:firstLine="420" w:firstLineChars="200"/>
        <w:rPr>
          <w:rFonts w:ascii="宋体" w:hAnsi="宋体"/>
          <w:b w:val="0"/>
          <w:sz w:val="21"/>
          <w:szCs w:val="21"/>
        </w:rPr>
      </w:pPr>
      <w:bookmarkStart w:id="139" w:name="_8.1提供相同品牌产品且通过资格审查、符合性审查的不同投标人参加同一合"/>
      <w:bookmarkEnd w:id="139"/>
      <w:r>
        <w:rPr>
          <w:rFonts w:ascii="宋体" w:hAnsi="宋体"/>
          <w:b w:val="0"/>
          <w:sz w:val="21"/>
          <w:szCs w:val="21"/>
        </w:rPr>
        <w:fldChar w:fldCharType="begin"/>
      </w:r>
      <w:r>
        <w:rPr>
          <w:rFonts w:ascii="宋体" w:hAnsi="宋体"/>
          <w:b w:val="0"/>
          <w:sz w:val="21"/>
          <w:szCs w:val="21"/>
        </w:rPr>
        <w:instrText xml:space="preserve"> HYPERLINK  \l "_8.1" </w:instrText>
      </w:r>
      <w:r>
        <w:rPr>
          <w:rFonts w:ascii="宋体" w:hAnsi="宋体"/>
          <w:b w:val="0"/>
          <w:sz w:val="21"/>
          <w:szCs w:val="21"/>
        </w:rPr>
        <w:fldChar w:fldCharType="separate"/>
      </w:r>
      <w:r>
        <w:rPr>
          <w:rFonts w:hint="eastAsia" w:ascii="宋体" w:hAnsi="宋体"/>
          <w:b w:val="0"/>
          <w:sz w:val="21"/>
          <w:szCs w:val="21"/>
        </w:rPr>
        <w:t>8.1</w:t>
      </w:r>
      <w:r>
        <w:rPr>
          <w:rFonts w:ascii="宋体" w:hAnsi="宋体"/>
          <w:b w:val="0"/>
          <w:sz w:val="21"/>
          <w:szCs w:val="21"/>
        </w:rPr>
        <w:fldChar w:fldCharType="end"/>
      </w:r>
      <w:r>
        <w:rPr>
          <w:rFonts w:hint="eastAsia" w:ascii="宋体" w:hAnsi="宋体"/>
          <w:b w:val="0"/>
          <w:sz w:val="21"/>
          <w:szCs w:val="21"/>
        </w:rPr>
        <w:t>采用最低评标价法的采购项目，提供相同品牌产品的不同投标人参加同一合同项下投标的，以其中通过资格审查、符合性审查且报价最低的参加评标；报价相同的，由采购人或者采购人委托评标委员会按照“投标人须知前附表”规定的方式确定一个参加评标的投标人，</w:t>
      </w:r>
      <w:r>
        <w:rPr>
          <w:rFonts w:hint="eastAsia" w:ascii="宋体" w:hAnsi="宋体"/>
          <w:sz w:val="22"/>
          <w:szCs w:val="22"/>
        </w:rPr>
        <w:t>其他投标无效。</w:t>
      </w:r>
    </w:p>
    <w:p>
      <w:pPr>
        <w:pStyle w:val="6"/>
        <w:keepNext w:val="0"/>
        <w:keepLines w:val="0"/>
        <w:spacing w:before="0" w:after="0" w:line="360" w:lineRule="auto"/>
        <w:ind w:firstLine="420" w:firstLineChars="200"/>
        <w:rPr>
          <w:rFonts w:ascii="宋体" w:hAnsi="宋体"/>
          <w:b w:val="0"/>
          <w:sz w:val="21"/>
          <w:szCs w:val="21"/>
        </w:rPr>
      </w:pPr>
      <w:r>
        <w:rPr>
          <w:rFonts w:hint="eastAsia" w:ascii="宋体" w:hAnsi="宋体"/>
          <w:b w:val="0"/>
          <w:sz w:val="21"/>
          <w:szCs w:val="21"/>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其他同品牌投标人不作为中标候选人。</w:t>
      </w:r>
    </w:p>
    <w:p>
      <w:pPr>
        <w:pStyle w:val="24"/>
        <w:snapToGrid w:val="0"/>
        <w:spacing w:line="360" w:lineRule="auto"/>
        <w:ind w:left="2" w:leftChars="1" w:firstLine="420" w:firstLineChars="200"/>
        <w:rPr>
          <w:rFonts w:hAnsi="宋体"/>
          <w:kern w:val="2"/>
          <w:sz w:val="21"/>
        </w:rPr>
      </w:pPr>
      <w:r>
        <w:rPr>
          <w:rFonts w:hint="eastAsia" w:hAnsi="宋体"/>
          <w:kern w:val="2"/>
          <w:sz w:val="21"/>
        </w:rPr>
        <w:t>非单一产品采购项目，多家投标人提供的核心产品品牌相同的，</w:t>
      </w:r>
      <w:r>
        <w:rPr>
          <w:rFonts w:hint="eastAsia" w:hAnsi="宋体"/>
          <w:sz w:val="22"/>
          <w:szCs w:val="22"/>
        </w:rPr>
        <w:t>按前两款规定处理</w:t>
      </w:r>
      <w:r>
        <w:rPr>
          <w:rFonts w:hint="eastAsia" w:hAnsi="宋体"/>
          <w:kern w:val="2"/>
          <w:sz w:val="21"/>
        </w:rPr>
        <w:t>。</w:t>
      </w:r>
    </w:p>
    <w:p>
      <w:pPr>
        <w:pStyle w:val="6"/>
        <w:keepNext w:val="0"/>
        <w:keepLines w:val="0"/>
        <w:spacing w:before="0" w:after="0" w:line="360" w:lineRule="auto"/>
        <w:ind w:firstLine="367" w:firstLineChars="175"/>
        <w:rPr>
          <w:rFonts w:ascii="宋体" w:hAnsi="宋体"/>
          <w:b w:val="0"/>
          <w:sz w:val="21"/>
          <w:szCs w:val="21"/>
        </w:rPr>
      </w:pPr>
      <w:r>
        <w:rPr>
          <w:rFonts w:hint="eastAsia" w:ascii="宋体" w:hAnsi="宋体"/>
          <w:b w:val="0"/>
          <w:sz w:val="21"/>
          <w:szCs w:val="21"/>
        </w:rPr>
        <w:t xml:space="preserve"> 8.2如果本招标文件要求提供投标人或制造商的资格、信誉、荣誉、业绩与企业认证等材料的，资格、信誉、荣誉、业绩与企业认证等必须为投标人或者制造商所拥有或自身获得 。</w:t>
      </w:r>
    </w:p>
    <w:p>
      <w:pPr>
        <w:pStyle w:val="6"/>
        <w:keepNext w:val="0"/>
        <w:keepLines w:val="0"/>
        <w:spacing w:before="0" w:after="0" w:line="360" w:lineRule="auto"/>
        <w:ind w:firstLine="367" w:firstLineChars="175"/>
        <w:rPr>
          <w:rFonts w:ascii="宋体" w:hAnsi="宋体"/>
          <w:b w:val="0"/>
          <w:sz w:val="21"/>
          <w:szCs w:val="21"/>
        </w:rPr>
      </w:pPr>
      <w:r>
        <w:rPr>
          <w:rFonts w:hint="eastAsia" w:ascii="宋体" w:hAnsi="宋体"/>
          <w:b w:val="0"/>
          <w:sz w:val="21"/>
          <w:szCs w:val="21"/>
        </w:rPr>
        <w:t xml:space="preserve"> 8.3投标人应仔细阅读招标文件的所有内容，按照招标文件的要求提交投标文件，并对所提供的全部资料的真实性承担法律责任。</w:t>
      </w:r>
    </w:p>
    <w:p>
      <w:pPr>
        <w:pStyle w:val="6"/>
        <w:keepNext w:val="0"/>
        <w:keepLines w:val="0"/>
        <w:spacing w:before="0" w:after="0" w:line="360" w:lineRule="auto"/>
        <w:ind w:firstLine="367" w:firstLineChars="175"/>
        <w:rPr>
          <w:rFonts w:ascii="宋体" w:hAnsi="宋体"/>
          <w:b w:val="0"/>
          <w:sz w:val="21"/>
          <w:szCs w:val="21"/>
        </w:rPr>
      </w:pPr>
      <w:r>
        <w:rPr>
          <w:rFonts w:hint="eastAsia" w:ascii="宋体" w:hAnsi="宋体"/>
          <w:b w:val="0"/>
          <w:sz w:val="21"/>
          <w:szCs w:val="21"/>
        </w:rPr>
        <w:t xml:space="preserve"> 8.4投标人在投标活动中提供任何虚假材料，将报监管部门查处；中标后发现的，中标人须依照《中华人民共和国消费者权益保护法》规定赔偿采购人，且民事赔偿并不免除违法投标人的行政与刑事责任。</w:t>
      </w:r>
    </w:p>
    <w:p>
      <w:pPr>
        <w:pStyle w:val="7"/>
        <w:spacing w:line="360" w:lineRule="auto"/>
      </w:pPr>
      <w:r>
        <w:t>8.5</w:t>
      </w:r>
      <w:r>
        <w:rPr>
          <w:rFonts w:hint="eastAsia"/>
        </w:rPr>
        <w:t>根据《国务院办公厅关于在政府采购中实施本国产品标准及相关政策的通知》（国办发〔2025〕34号）的规定，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pPr>
        <w:pStyle w:val="7"/>
        <w:spacing w:line="360" w:lineRule="auto"/>
      </w:pPr>
      <w:r>
        <w:rPr>
          <w:rFonts w:hint="eastAsia"/>
        </w:rPr>
        <w:t>产品在中国境内生产的组件成本占比应当达到规定比例，计算公式为：</w:t>
      </w:r>
    </w:p>
    <w:p>
      <w:pPr>
        <w:widowControl/>
        <w:shd w:val="clear" w:color="auto" w:fill="FFFFFF"/>
        <w:spacing w:before="30" w:after="30" w:line="360" w:lineRule="auto"/>
        <w:jc w:val="center"/>
        <w:rPr>
          <w:rFonts w:ascii="宋体" w:hAnsi="宋体" w:cs="宋体"/>
          <w:kern w:val="0"/>
          <w:sz w:val="24"/>
        </w:rPr>
      </w:pPr>
      <w:r>
        <w:rPr>
          <w:rFonts w:ascii="宋体" w:hAnsi="宋体" w:cs="宋体"/>
          <w:kern w:val="0"/>
          <w:sz w:val="24"/>
        </w:rPr>
        <w:drawing>
          <wp:inline distT="0" distB="0" distL="114300" distR="114300">
            <wp:extent cx="4827905" cy="762635"/>
            <wp:effectExtent l="0" t="0" r="23495" b="24765"/>
            <wp:docPr id="2" name="图片 1" descr="https://www.gov.cn/zhengce/content/202509/W020250930645245947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https://www.gov.cn/zhengce/content/202509/W020250930645245947614.png"/>
                    <pic:cNvPicPr>
                      <a:picLocks noChangeAspect="1"/>
                    </pic:cNvPicPr>
                  </pic:nvPicPr>
                  <pic:blipFill>
                    <a:blip r:embed="rId16" r:link="rId17"/>
                    <a:stretch>
                      <a:fillRect/>
                    </a:stretch>
                  </pic:blipFill>
                  <pic:spPr>
                    <a:xfrm>
                      <a:off x="0" y="0"/>
                      <a:ext cx="4827905" cy="762635"/>
                    </a:xfrm>
                    <a:prstGeom prst="rect">
                      <a:avLst/>
                    </a:prstGeom>
                    <a:noFill/>
                    <a:ln>
                      <a:noFill/>
                    </a:ln>
                  </pic:spPr>
                </pic:pic>
              </a:graphicData>
            </a:graphic>
          </wp:inline>
        </w:drawing>
      </w:r>
    </w:p>
    <w:p>
      <w:pPr>
        <w:pStyle w:val="7"/>
        <w:spacing w:line="360" w:lineRule="auto"/>
      </w:pPr>
      <w:r>
        <w:rPr>
          <w:rFonts w:hint="eastAsia"/>
        </w:rPr>
        <w:t>财政部会同有关行业主管部门，分产品确定在中国境内生产的组件成本占比应当达到的规定比例。在分产品的中国境内生产的组件成本占比相关要求实施前，符合《国务院办公厅关于在政府采购中实施本国产品标准及相关政策的通知》第一条第（一）项条件的产品在政府采购活动中视同本国产品。</w:t>
      </w:r>
    </w:p>
    <w:p>
      <w:pPr>
        <w:pStyle w:val="7"/>
        <w:spacing w:line="360" w:lineRule="auto"/>
      </w:pPr>
      <w:r>
        <w:rPr>
          <w:rFonts w:hint="eastAsia"/>
        </w:rPr>
        <w:t>政府采购活动中既有本国产品又有非本国产品参与竞争的，依法对本国产品给予价格评审优惠，对本国产品的报价给予20%的价格扣除，用扣除后的价格参与评审。</w:t>
      </w:r>
    </w:p>
    <w:p>
      <w:pPr>
        <w:pStyle w:val="7"/>
        <w:spacing w:line="360" w:lineRule="auto"/>
      </w:pPr>
      <w:r>
        <w:rPr>
          <w:rFonts w:hint="eastAsia"/>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pPr>
        <w:pStyle w:val="7"/>
      </w:pPr>
    </w:p>
    <w:p>
      <w:pPr>
        <w:pStyle w:val="6"/>
        <w:keepNext w:val="0"/>
        <w:keepLines w:val="0"/>
        <w:spacing w:before="0" w:after="0" w:line="360" w:lineRule="auto"/>
        <w:ind w:left="420" w:leftChars="200"/>
        <w:rPr>
          <w:rFonts w:ascii="黑体" w:hAnsi="黑体" w:eastAsia="黑体"/>
          <w:sz w:val="24"/>
        </w:rPr>
      </w:pPr>
      <w:r>
        <w:rPr>
          <w:rFonts w:ascii="黑体" w:hAnsi="黑体" w:eastAsia="黑体"/>
          <w:sz w:val="24"/>
        </w:rPr>
        <w:t>9.</w:t>
      </w:r>
      <w:r>
        <w:rPr>
          <w:rFonts w:hint="eastAsia" w:ascii="黑体" w:hAnsi="黑体" w:eastAsia="黑体"/>
          <w:sz w:val="24"/>
        </w:rPr>
        <w:t>回避与串通投标</w:t>
      </w:r>
    </w:p>
    <w:p>
      <w:pPr>
        <w:pStyle w:val="6"/>
        <w:keepNext w:val="0"/>
        <w:keepLines w:val="0"/>
        <w:spacing w:before="0" w:after="0" w:line="360" w:lineRule="auto"/>
        <w:ind w:firstLine="367" w:firstLineChars="175"/>
        <w:rPr>
          <w:rFonts w:ascii="宋体" w:hAnsi="宋体"/>
          <w:b w:val="0"/>
          <w:sz w:val="21"/>
          <w:szCs w:val="21"/>
        </w:rPr>
      </w:pPr>
      <w:r>
        <w:rPr>
          <w:rFonts w:hint="eastAsia" w:ascii="宋体" w:hAnsi="宋体"/>
          <w:b w:val="0"/>
          <w:sz w:val="21"/>
          <w:szCs w:val="21"/>
        </w:rPr>
        <w:t>9</w:t>
      </w:r>
      <w:r>
        <w:rPr>
          <w:rFonts w:ascii="宋体" w:hAnsi="宋体"/>
          <w:b w:val="0"/>
          <w:sz w:val="21"/>
          <w:szCs w:val="21"/>
        </w:rPr>
        <w:t>.1在政府采购活动中，采购人员及相关人员与</w:t>
      </w:r>
      <w:r>
        <w:rPr>
          <w:rFonts w:hint="eastAsia" w:ascii="宋体" w:hAnsi="宋体"/>
          <w:b w:val="0"/>
          <w:sz w:val="21"/>
          <w:szCs w:val="21"/>
        </w:rPr>
        <w:t>供应商</w:t>
      </w:r>
      <w:r>
        <w:rPr>
          <w:rFonts w:ascii="宋体" w:hAnsi="宋体"/>
          <w:b w:val="0"/>
          <w:sz w:val="21"/>
          <w:szCs w:val="21"/>
        </w:rPr>
        <w:t>有下列利害关系之一的，应当回避：</w:t>
      </w:r>
    </w:p>
    <w:p>
      <w:pPr>
        <w:pStyle w:val="24"/>
        <w:snapToGrid w:val="0"/>
        <w:spacing w:line="360" w:lineRule="auto"/>
        <w:ind w:left="2" w:leftChars="1" w:firstLine="420" w:firstLineChars="200"/>
        <w:rPr>
          <w:rFonts w:hAnsi="宋体"/>
          <w:kern w:val="2"/>
          <w:sz w:val="21"/>
        </w:rPr>
      </w:pPr>
      <w:r>
        <w:rPr>
          <w:rFonts w:hAnsi="宋体"/>
          <w:kern w:val="2"/>
          <w:sz w:val="21"/>
        </w:rPr>
        <w:t>（</w:t>
      </w:r>
      <w:r>
        <w:rPr>
          <w:rFonts w:hint="eastAsia" w:hAnsi="宋体"/>
          <w:kern w:val="2"/>
          <w:sz w:val="21"/>
        </w:rPr>
        <w:t>1</w:t>
      </w:r>
      <w:r>
        <w:rPr>
          <w:rFonts w:hAnsi="宋体"/>
          <w:kern w:val="2"/>
          <w:sz w:val="21"/>
        </w:rPr>
        <w:t>）参加采购活动前3年内与</w:t>
      </w:r>
      <w:r>
        <w:rPr>
          <w:rFonts w:hint="eastAsia" w:hAnsi="宋体"/>
          <w:kern w:val="2"/>
          <w:sz w:val="21"/>
        </w:rPr>
        <w:t>供应商</w:t>
      </w:r>
      <w:r>
        <w:rPr>
          <w:rFonts w:hAnsi="宋体"/>
          <w:kern w:val="2"/>
          <w:sz w:val="21"/>
        </w:rPr>
        <w:t>存在劳动关系；</w:t>
      </w:r>
    </w:p>
    <w:p>
      <w:pPr>
        <w:pStyle w:val="24"/>
        <w:snapToGrid w:val="0"/>
        <w:spacing w:line="360" w:lineRule="auto"/>
        <w:ind w:left="2" w:leftChars="1" w:firstLine="420" w:firstLineChars="200"/>
        <w:rPr>
          <w:rFonts w:hAnsi="宋体"/>
          <w:kern w:val="2"/>
          <w:sz w:val="21"/>
        </w:rPr>
      </w:pPr>
      <w:r>
        <w:rPr>
          <w:rFonts w:hAnsi="宋体"/>
          <w:kern w:val="2"/>
          <w:sz w:val="21"/>
        </w:rPr>
        <w:t>（</w:t>
      </w:r>
      <w:r>
        <w:rPr>
          <w:rFonts w:hint="eastAsia" w:hAnsi="宋体"/>
          <w:kern w:val="2"/>
          <w:sz w:val="21"/>
        </w:rPr>
        <w:t>2</w:t>
      </w:r>
      <w:r>
        <w:rPr>
          <w:rFonts w:hAnsi="宋体"/>
          <w:kern w:val="2"/>
          <w:sz w:val="21"/>
        </w:rPr>
        <w:t>）参加采购活动前3年内担任</w:t>
      </w:r>
      <w:r>
        <w:rPr>
          <w:rFonts w:hint="eastAsia" w:hAnsi="宋体"/>
          <w:kern w:val="2"/>
          <w:sz w:val="21"/>
        </w:rPr>
        <w:t>供应商</w:t>
      </w:r>
      <w:r>
        <w:rPr>
          <w:rFonts w:hAnsi="宋体"/>
          <w:kern w:val="2"/>
          <w:sz w:val="21"/>
        </w:rPr>
        <w:t>的董事、监事；</w:t>
      </w:r>
    </w:p>
    <w:p>
      <w:pPr>
        <w:pStyle w:val="24"/>
        <w:snapToGrid w:val="0"/>
        <w:spacing w:line="360" w:lineRule="auto"/>
        <w:ind w:left="2" w:leftChars="1" w:firstLine="420" w:firstLineChars="200"/>
        <w:rPr>
          <w:rFonts w:hAnsi="宋体"/>
          <w:kern w:val="2"/>
          <w:sz w:val="21"/>
        </w:rPr>
      </w:pPr>
      <w:r>
        <w:rPr>
          <w:rFonts w:hAnsi="宋体"/>
          <w:kern w:val="2"/>
          <w:sz w:val="21"/>
        </w:rPr>
        <w:t>（</w:t>
      </w:r>
      <w:r>
        <w:rPr>
          <w:rFonts w:hint="eastAsia" w:hAnsi="宋体"/>
          <w:kern w:val="2"/>
          <w:sz w:val="21"/>
        </w:rPr>
        <w:t>3</w:t>
      </w:r>
      <w:r>
        <w:rPr>
          <w:rFonts w:hAnsi="宋体"/>
          <w:kern w:val="2"/>
          <w:sz w:val="21"/>
        </w:rPr>
        <w:t>）参加采购活动前3年内是</w:t>
      </w:r>
      <w:r>
        <w:rPr>
          <w:rFonts w:hint="eastAsia" w:hAnsi="宋体"/>
          <w:kern w:val="2"/>
          <w:sz w:val="21"/>
        </w:rPr>
        <w:t>供应商</w:t>
      </w:r>
      <w:r>
        <w:rPr>
          <w:rFonts w:hAnsi="宋体"/>
          <w:kern w:val="2"/>
          <w:sz w:val="21"/>
        </w:rPr>
        <w:t>的控股股东或者实际控制人；</w:t>
      </w:r>
    </w:p>
    <w:p>
      <w:pPr>
        <w:pStyle w:val="24"/>
        <w:snapToGrid w:val="0"/>
        <w:spacing w:line="360" w:lineRule="auto"/>
        <w:ind w:left="2" w:leftChars="1" w:firstLine="420" w:firstLineChars="200"/>
        <w:rPr>
          <w:rFonts w:hAnsi="宋体"/>
          <w:kern w:val="2"/>
          <w:sz w:val="21"/>
        </w:rPr>
      </w:pPr>
      <w:r>
        <w:rPr>
          <w:rFonts w:hAnsi="宋体"/>
          <w:kern w:val="2"/>
          <w:sz w:val="21"/>
        </w:rPr>
        <w:t>（</w:t>
      </w:r>
      <w:r>
        <w:rPr>
          <w:rFonts w:hint="eastAsia" w:hAnsi="宋体"/>
          <w:kern w:val="2"/>
          <w:sz w:val="21"/>
        </w:rPr>
        <w:t>4</w:t>
      </w:r>
      <w:r>
        <w:rPr>
          <w:rFonts w:hAnsi="宋体"/>
          <w:kern w:val="2"/>
          <w:sz w:val="21"/>
        </w:rPr>
        <w:t>）与</w:t>
      </w:r>
      <w:r>
        <w:rPr>
          <w:rFonts w:hint="eastAsia" w:hAnsi="宋体"/>
          <w:kern w:val="2"/>
          <w:sz w:val="21"/>
        </w:rPr>
        <w:t>供应商</w:t>
      </w:r>
      <w:r>
        <w:rPr>
          <w:rFonts w:hAnsi="宋体"/>
          <w:kern w:val="2"/>
          <w:sz w:val="21"/>
        </w:rPr>
        <w:t>的法定代表人或者负责人有夫妻、直系血亲、三代以内旁系血亲或者近姻亲关系；</w:t>
      </w:r>
    </w:p>
    <w:p>
      <w:pPr>
        <w:pStyle w:val="24"/>
        <w:snapToGrid w:val="0"/>
        <w:spacing w:line="360" w:lineRule="auto"/>
        <w:ind w:left="2" w:leftChars="1" w:firstLine="420" w:firstLineChars="200"/>
        <w:rPr>
          <w:rFonts w:hAnsi="宋体"/>
          <w:kern w:val="2"/>
          <w:sz w:val="21"/>
        </w:rPr>
      </w:pPr>
      <w:r>
        <w:rPr>
          <w:rFonts w:hAnsi="宋体"/>
          <w:kern w:val="2"/>
          <w:sz w:val="21"/>
        </w:rPr>
        <w:t>（</w:t>
      </w:r>
      <w:r>
        <w:rPr>
          <w:rFonts w:hint="eastAsia" w:hAnsi="宋体"/>
          <w:kern w:val="2"/>
          <w:sz w:val="21"/>
        </w:rPr>
        <w:t>5</w:t>
      </w:r>
      <w:r>
        <w:rPr>
          <w:rFonts w:hAnsi="宋体"/>
          <w:kern w:val="2"/>
          <w:sz w:val="21"/>
        </w:rPr>
        <w:t>）与</w:t>
      </w:r>
      <w:r>
        <w:rPr>
          <w:rFonts w:hint="eastAsia" w:hAnsi="宋体"/>
          <w:kern w:val="2"/>
          <w:sz w:val="21"/>
        </w:rPr>
        <w:t>供应商</w:t>
      </w:r>
      <w:r>
        <w:rPr>
          <w:rFonts w:hAnsi="宋体"/>
          <w:kern w:val="2"/>
          <w:sz w:val="21"/>
        </w:rPr>
        <w:t>有其他可能影响政府采购活动公平、公正进行的关系。</w:t>
      </w:r>
    </w:p>
    <w:p>
      <w:pPr>
        <w:pStyle w:val="24"/>
        <w:snapToGrid w:val="0"/>
        <w:spacing w:line="360" w:lineRule="auto"/>
        <w:ind w:left="2" w:leftChars="1" w:firstLine="420" w:firstLineChars="200"/>
        <w:rPr>
          <w:rFonts w:hAnsi="宋体"/>
          <w:kern w:val="2"/>
          <w:sz w:val="21"/>
        </w:rPr>
      </w:pPr>
      <w:r>
        <w:rPr>
          <w:rFonts w:hint="eastAsia" w:hAnsi="宋体"/>
          <w:kern w:val="2"/>
          <w:sz w:val="21"/>
        </w:rPr>
        <w:t>供应商</w:t>
      </w:r>
      <w:r>
        <w:rPr>
          <w:rFonts w:hAnsi="宋体"/>
          <w:kern w:val="2"/>
          <w:sz w:val="21"/>
        </w:rPr>
        <w:t>认为采购人员及相关人员与其他</w:t>
      </w:r>
      <w:r>
        <w:rPr>
          <w:rFonts w:hint="eastAsia" w:hAnsi="宋体"/>
          <w:kern w:val="2"/>
          <w:sz w:val="21"/>
        </w:rPr>
        <w:t>供应商</w:t>
      </w:r>
      <w:r>
        <w:rPr>
          <w:rFonts w:hAnsi="宋体"/>
          <w:kern w:val="2"/>
          <w:sz w:val="21"/>
        </w:rPr>
        <w:t>有利害关系的，可以向采购人或者采购代理机构书面提出回避申请，并说明理由。采购人或者采购代理机构应当及时询问被申请回避人员，有利害关系的被申请回避人员应当回避。</w:t>
      </w:r>
    </w:p>
    <w:p>
      <w:pPr>
        <w:pStyle w:val="6"/>
        <w:keepNext w:val="0"/>
        <w:keepLines w:val="0"/>
        <w:spacing w:before="0" w:after="0" w:line="360" w:lineRule="auto"/>
        <w:ind w:left="420" w:leftChars="200"/>
        <w:rPr>
          <w:rFonts w:ascii="宋体" w:hAnsi="宋体"/>
          <w:sz w:val="21"/>
          <w:szCs w:val="21"/>
        </w:rPr>
      </w:pPr>
      <w:r>
        <w:rPr>
          <w:rFonts w:ascii="宋体" w:hAnsi="宋体"/>
          <w:sz w:val="21"/>
          <w:szCs w:val="21"/>
        </w:rPr>
        <w:t>9.2</w:t>
      </w:r>
      <w:r>
        <w:rPr>
          <w:rFonts w:hint="eastAsia" w:ascii="宋体" w:hAnsi="宋体"/>
          <w:sz w:val="21"/>
          <w:szCs w:val="21"/>
        </w:rPr>
        <w:t>有下列情形之一的视为投标人相互串通投标，投标文件将被视为无效：</w:t>
      </w:r>
    </w:p>
    <w:p>
      <w:pPr>
        <w:pStyle w:val="24"/>
        <w:snapToGrid w:val="0"/>
        <w:spacing w:line="360" w:lineRule="auto"/>
        <w:ind w:left="2" w:leftChars="1" w:firstLine="422" w:firstLineChars="200"/>
        <w:rPr>
          <w:rFonts w:hAnsi="宋体"/>
          <w:b/>
          <w:kern w:val="2"/>
          <w:sz w:val="21"/>
        </w:rPr>
      </w:pPr>
      <w:r>
        <w:rPr>
          <w:rFonts w:hint="eastAsia" w:hAnsi="宋体"/>
          <w:b/>
          <w:kern w:val="2"/>
          <w:sz w:val="21"/>
        </w:rPr>
        <w:t xml:space="preserve">（1）不同投标人的投标文件由同一单位或者个人编制；或不同投标人报名的IP地址一致的； </w:t>
      </w:r>
    </w:p>
    <w:p>
      <w:pPr>
        <w:pStyle w:val="24"/>
        <w:snapToGrid w:val="0"/>
        <w:spacing w:line="360" w:lineRule="auto"/>
        <w:ind w:left="2" w:leftChars="1" w:firstLine="422" w:firstLineChars="200"/>
        <w:rPr>
          <w:rFonts w:hAnsi="宋体"/>
          <w:b/>
          <w:kern w:val="2"/>
          <w:sz w:val="21"/>
        </w:rPr>
      </w:pPr>
      <w:r>
        <w:rPr>
          <w:rFonts w:hint="eastAsia" w:hAnsi="宋体"/>
          <w:b/>
          <w:kern w:val="2"/>
          <w:sz w:val="21"/>
        </w:rPr>
        <w:t>（2）不同投标人委托同一单位或者个人办理投标事宜；</w:t>
      </w:r>
    </w:p>
    <w:p>
      <w:pPr>
        <w:pStyle w:val="24"/>
        <w:snapToGrid w:val="0"/>
        <w:spacing w:line="360" w:lineRule="auto"/>
        <w:ind w:left="2" w:leftChars="1" w:firstLine="422" w:firstLineChars="200"/>
        <w:rPr>
          <w:rFonts w:hAnsi="宋体"/>
          <w:b/>
          <w:kern w:val="2"/>
          <w:sz w:val="21"/>
        </w:rPr>
      </w:pPr>
      <w:r>
        <w:rPr>
          <w:rFonts w:hint="eastAsia" w:hAnsi="宋体"/>
          <w:b/>
          <w:kern w:val="2"/>
          <w:sz w:val="21"/>
        </w:rPr>
        <w:t>（3）不同的投标人的投标文件载明的项目管理员为同一个人；</w:t>
      </w:r>
    </w:p>
    <w:p>
      <w:pPr>
        <w:pStyle w:val="24"/>
        <w:snapToGrid w:val="0"/>
        <w:spacing w:line="360" w:lineRule="auto"/>
        <w:ind w:left="2" w:leftChars="1" w:firstLine="422" w:firstLineChars="200"/>
        <w:rPr>
          <w:rFonts w:hAnsi="宋体"/>
          <w:b/>
          <w:kern w:val="2"/>
          <w:sz w:val="21"/>
        </w:rPr>
      </w:pPr>
      <w:r>
        <w:rPr>
          <w:rFonts w:hint="eastAsia" w:hAnsi="宋体"/>
          <w:b/>
          <w:kern w:val="2"/>
          <w:sz w:val="21"/>
        </w:rPr>
        <w:t>（4）不同投标人的投标文件异常一致或者投标报价呈规律性差异；</w:t>
      </w:r>
    </w:p>
    <w:p>
      <w:pPr>
        <w:pStyle w:val="24"/>
        <w:snapToGrid w:val="0"/>
        <w:spacing w:line="360" w:lineRule="auto"/>
        <w:ind w:left="2" w:leftChars="1" w:firstLine="422" w:firstLineChars="200"/>
        <w:rPr>
          <w:rFonts w:hAnsi="宋体"/>
          <w:b/>
          <w:kern w:val="2"/>
          <w:sz w:val="21"/>
        </w:rPr>
      </w:pPr>
      <w:r>
        <w:rPr>
          <w:rFonts w:hint="eastAsia" w:hAnsi="宋体"/>
          <w:b/>
          <w:kern w:val="2"/>
          <w:sz w:val="21"/>
        </w:rPr>
        <w:t>（5）不同投标人的投标文件相互混装；</w:t>
      </w:r>
    </w:p>
    <w:p>
      <w:pPr>
        <w:pStyle w:val="24"/>
        <w:snapToGrid w:val="0"/>
        <w:spacing w:line="360" w:lineRule="auto"/>
        <w:ind w:left="2" w:leftChars="1" w:firstLine="422" w:firstLineChars="200"/>
        <w:rPr>
          <w:rFonts w:hAnsi="宋体"/>
          <w:b/>
          <w:kern w:val="2"/>
          <w:sz w:val="21"/>
        </w:rPr>
      </w:pPr>
      <w:r>
        <w:rPr>
          <w:rFonts w:hint="eastAsia" w:hAnsi="宋体"/>
          <w:b/>
          <w:kern w:val="2"/>
          <w:sz w:val="21"/>
        </w:rPr>
        <w:t>（6）不同投标人的投标保证金从同一单位或者个人账户转出。</w:t>
      </w:r>
    </w:p>
    <w:p>
      <w:pPr>
        <w:pStyle w:val="6"/>
        <w:keepNext w:val="0"/>
        <w:keepLines w:val="0"/>
        <w:spacing w:before="0" w:after="0" w:line="360" w:lineRule="auto"/>
        <w:ind w:left="420" w:leftChars="200"/>
        <w:rPr>
          <w:rFonts w:ascii="宋体" w:hAnsi="宋体"/>
          <w:b w:val="0"/>
          <w:sz w:val="21"/>
          <w:szCs w:val="21"/>
        </w:rPr>
      </w:pPr>
      <w:r>
        <w:rPr>
          <w:rFonts w:ascii="宋体" w:hAnsi="宋体"/>
          <w:b w:val="0"/>
          <w:sz w:val="21"/>
          <w:szCs w:val="21"/>
        </w:rPr>
        <w:t>9.3</w:t>
      </w:r>
      <w:r>
        <w:rPr>
          <w:rFonts w:hint="eastAsia" w:ascii="宋体" w:hAnsi="宋体"/>
          <w:b w:val="0"/>
          <w:sz w:val="21"/>
          <w:szCs w:val="21"/>
        </w:rPr>
        <w:t>供应商有下列情形之一的，属于恶意串通行为，将报同级监督管理部门：</w:t>
      </w:r>
    </w:p>
    <w:p>
      <w:pPr>
        <w:pStyle w:val="24"/>
        <w:snapToGrid w:val="0"/>
        <w:spacing w:line="360" w:lineRule="auto"/>
        <w:ind w:left="2" w:leftChars="1" w:firstLine="420" w:firstLineChars="200"/>
        <w:rPr>
          <w:rFonts w:hAnsi="宋体"/>
          <w:kern w:val="2"/>
          <w:sz w:val="21"/>
        </w:rPr>
      </w:pPr>
      <w:r>
        <w:rPr>
          <w:rFonts w:hint="eastAsia" w:hAnsi="宋体"/>
          <w:kern w:val="2"/>
          <w:sz w:val="21"/>
        </w:rPr>
        <w:t>（1）供应商直接或者间接从采购人或者采购代理机构处获得其他供应商的相关信息并修改其投标文件或者响应文件；</w:t>
      </w:r>
    </w:p>
    <w:p>
      <w:pPr>
        <w:pStyle w:val="24"/>
        <w:snapToGrid w:val="0"/>
        <w:spacing w:line="360" w:lineRule="auto"/>
        <w:ind w:left="2" w:leftChars="1" w:firstLine="420" w:firstLineChars="200"/>
        <w:rPr>
          <w:rFonts w:hAnsi="宋体"/>
          <w:kern w:val="2"/>
          <w:sz w:val="21"/>
        </w:rPr>
      </w:pPr>
      <w:r>
        <w:rPr>
          <w:rFonts w:hint="eastAsia" w:hAnsi="宋体"/>
          <w:kern w:val="2"/>
          <w:sz w:val="21"/>
        </w:rPr>
        <w:t>（2）供应商按照采购人或者采购代理机构的授意撤换、修改投标文件或者响应文件；</w:t>
      </w:r>
    </w:p>
    <w:p>
      <w:pPr>
        <w:pStyle w:val="24"/>
        <w:snapToGrid w:val="0"/>
        <w:spacing w:line="360" w:lineRule="auto"/>
        <w:ind w:left="2" w:leftChars="1" w:firstLine="420" w:firstLineChars="200"/>
        <w:rPr>
          <w:rFonts w:hAnsi="宋体"/>
          <w:kern w:val="2"/>
          <w:sz w:val="21"/>
        </w:rPr>
      </w:pPr>
      <w:r>
        <w:rPr>
          <w:rFonts w:hint="eastAsia" w:hAnsi="宋体"/>
          <w:kern w:val="2"/>
          <w:sz w:val="21"/>
        </w:rPr>
        <w:t>（3）供应商之间协商报价、技术方案等投标文件或者响应文件的实质性内容；</w:t>
      </w:r>
    </w:p>
    <w:p>
      <w:pPr>
        <w:pStyle w:val="24"/>
        <w:snapToGrid w:val="0"/>
        <w:spacing w:line="360" w:lineRule="auto"/>
        <w:ind w:left="2" w:leftChars="1" w:firstLine="420" w:firstLineChars="200"/>
        <w:rPr>
          <w:rFonts w:hAnsi="宋体"/>
          <w:kern w:val="2"/>
          <w:sz w:val="21"/>
        </w:rPr>
      </w:pPr>
      <w:r>
        <w:rPr>
          <w:rFonts w:hint="eastAsia" w:hAnsi="宋体"/>
          <w:kern w:val="2"/>
          <w:sz w:val="21"/>
        </w:rPr>
        <w:t>（4）属于同一集团、协会、商会等组织成员的供应商按照该组织要求协同参加政府采购活动；</w:t>
      </w:r>
    </w:p>
    <w:p>
      <w:pPr>
        <w:pStyle w:val="24"/>
        <w:snapToGrid w:val="0"/>
        <w:spacing w:line="360" w:lineRule="auto"/>
        <w:ind w:left="2" w:leftChars="1" w:firstLine="420" w:firstLineChars="200"/>
        <w:rPr>
          <w:rFonts w:hAnsi="宋体"/>
          <w:kern w:val="2"/>
          <w:sz w:val="21"/>
        </w:rPr>
      </w:pPr>
      <w:r>
        <w:rPr>
          <w:rFonts w:hint="eastAsia" w:hAnsi="宋体"/>
          <w:kern w:val="2"/>
          <w:sz w:val="21"/>
        </w:rPr>
        <w:t>（5）供应商之间事先约定一致抬高或者压低投标报价，或者在招标项目中事先约定轮流以高价位或者低价位中标，或者事先约定由某一特定供应商中标，然后再参加投标；</w:t>
      </w:r>
    </w:p>
    <w:p>
      <w:pPr>
        <w:pStyle w:val="24"/>
        <w:snapToGrid w:val="0"/>
        <w:spacing w:line="360" w:lineRule="auto"/>
        <w:ind w:left="2" w:leftChars="1" w:firstLine="420" w:firstLineChars="200"/>
        <w:rPr>
          <w:rFonts w:hAnsi="宋体"/>
          <w:kern w:val="2"/>
          <w:sz w:val="21"/>
        </w:rPr>
      </w:pPr>
      <w:r>
        <w:rPr>
          <w:rFonts w:hint="eastAsia" w:hAnsi="宋体"/>
          <w:kern w:val="2"/>
          <w:sz w:val="21"/>
        </w:rPr>
        <w:t>（6）供应商之间商定部分供应商放弃参加政府采购活动或者放弃中标；</w:t>
      </w:r>
    </w:p>
    <w:p>
      <w:pPr>
        <w:pStyle w:val="24"/>
        <w:snapToGrid w:val="0"/>
        <w:spacing w:line="360" w:lineRule="auto"/>
        <w:ind w:left="2" w:leftChars="1" w:firstLine="420" w:firstLineChars="200"/>
        <w:rPr>
          <w:rFonts w:hAnsi="宋体"/>
          <w:kern w:val="2"/>
          <w:sz w:val="21"/>
        </w:rPr>
      </w:pPr>
      <w:r>
        <w:rPr>
          <w:rFonts w:hint="eastAsia" w:hAnsi="宋体"/>
          <w:kern w:val="2"/>
          <w:sz w:val="21"/>
        </w:rPr>
        <w:t>（7）供应商与采购人或者采购代理机构之间、供应商相互之间，为谋求特定供应商中标或者排斥其他供应商的其他串通行为。</w:t>
      </w:r>
    </w:p>
    <w:p>
      <w:pPr>
        <w:pStyle w:val="24"/>
        <w:snapToGrid w:val="0"/>
        <w:spacing w:line="360" w:lineRule="auto"/>
        <w:ind w:left="2" w:leftChars="1" w:firstLine="422" w:firstLineChars="200"/>
        <w:rPr>
          <w:rFonts w:hAnsi="宋体"/>
          <w:b/>
          <w:kern w:val="2"/>
          <w:sz w:val="21"/>
        </w:rPr>
      </w:pPr>
    </w:p>
    <w:p>
      <w:pPr>
        <w:pStyle w:val="4"/>
        <w:keepNext w:val="0"/>
        <w:keepLines w:val="0"/>
        <w:jc w:val="center"/>
      </w:pPr>
      <w:bookmarkStart w:id="140" w:name="_Toc254970675"/>
      <w:bookmarkStart w:id="141" w:name="_Toc254970534"/>
      <w:r>
        <w:rPr>
          <w:rFonts w:hint="eastAsia"/>
        </w:rPr>
        <w:t>二、招标文件</w:t>
      </w:r>
      <w:bookmarkEnd w:id="140"/>
      <w:bookmarkEnd w:id="141"/>
    </w:p>
    <w:p>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10.招标文件的组成</w:t>
      </w:r>
    </w:p>
    <w:p>
      <w:pPr>
        <w:snapToGrid w:val="0"/>
        <w:spacing w:line="360" w:lineRule="auto"/>
        <w:ind w:firstLine="420"/>
        <w:jc w:val="left"/>
        <w:rPr>
          <w:rFonts w:ascii="宋体" w:hAnsi="宋体"/>
          <w:szCs w:val="21"/>
        </w:rPr>
      </w:pPr>
      <w:r>
        <w:rPr>
          <w:rFonts w:hint="eastAsia" w:ascii="宋体" w:hAnsi="宋体"/>
          <w:szCs w:val="21"/>
        </w:rPr>
        <w:t>（1）招标公告；</w:t>
      </w:r>
    </w:p>
    <w:p>
      <w:pPr>
        <w:snapToGrid w:val="0"/>
        <w:spacing w:line="360" w:lineRule="auto"/>
        <w:ind w:firstLine="420"/>
        <w:jc w:val="left"/>
        <w:rPr>
          <w:rFonts w:ascii="宋体" w:hAnsi="宋体"/>
          <w:szCs w:val="21"/>
        </w:rPr>
      </w:pPr>
      <w:r>
        <w:rPr>
          <w:rFonts w:hint="eastAsia" w:ascii="宋体" w:hAnsi="宋体"/>
          <w:szCs w:val="21"/>
        </w:rPr>
        <w:t xml:space="preserve">（2）采购需求； </w:t>
      </w:r>
    </w:p>
    <w:p>
      <w:pPr>
        <w:snapToGrid w:val="0"/>
        <w:spacing w:line="360" w:lineRule="auto"/>
        <w:ind w:firstLine="420"/>
        <w:jc w:val="left"/>
        <w:rPr>
          <w:rFonts w:ascii="宋体" w:hAnsi="宋体"/>
          <w:szCs w:val="21"/>
        </w:rPr>
      </w:pPr>
      <w:r>
        <w:rPr>
          <w:rFonts w:hint="eastAsia" w:ascii="宋体" w:hAnsi="宋体"/>
          <w:szCs w:val="21"/>
        </w:rPr>
        <w:t>（3）投标人须知；</w:t>
      </w:r>
    </w:p>
    <w:p>
      <w:pPr>
        <w:snapToGrid w:val="0"/>
        <w:spacing w:line="360" w:lineRule="auto"/>
        <w:ind w:firstLine="420"/>
        <w:jc w:val="left"/>
        <w:rPr>
          <w:rFonts w:ascii="宋体" w:hAnsi="宋体"/>
          <w:szCs w:val="21"/>
        </w:rPr>
      </w:pPr>
      <w:r>
        <w:rPr>
          <w:rFonts w:hint="eastAsia" w:ascii="宋体" w:hAnsi="宋体"/>
          <w:szCs w:val="21"/>
        </w:rPr>
        <w:t>（4）评标方法及评标标准；</w:t>
      </w:r>
    </w:p>
    <w:p>
      <w:pPr>
        <w:snapToGrid w:val="0"/>
        <w:spacing w:line="360" w:lineRule="auto"/>
        <w:ind w:firstLine="420"/>
        <w:jc w:val="left"/>
        <w:rPr>
          <w:rFonts w:ascii="宋体" w:hAnsi="宋体"/>
          <w:szCs w:val="21"/>
        </w:rPr>
      </w:pPr>
      <w:r>
        <w:rPr>
          <w:rFonts w:hint="eastAsia" w:ascii="宋体" w:hAnsi="宋体"/>
          <w:szCs w:val="21"/>
        </w:rPr>
        <w:t>（5）拟签订的合同文本；</w:t>
      </w:r>
    </w:p>
    <w:p>
      <w:pPr>
        <w:snapToGrid w:val="0"/>
        <w:spacing w:line="360" w:lineRule="auto"/>
        <w:ind w:firstLine="420"/>
        <w:jc w:val="left"/>
        <w:rPr>
          <w:rFonts w:ascii="宋体" w:hAnsi="宋体"/>
          <w:szCs w:val="21"/>
        </w:rPr>
      </w:pPr>
      <w:r>
        <w:rPr>
          <w:rFonts w:hint="eastAsia" w:ascii="宋体" w:hAnsi="宋体"/>
          <w:szCs w:val="21"/>
        </w:rPr>
        <w:t>（6）投标文件格式。</w:t>
      </w:r>
    </w:p>
    <w:p>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11.招标文件的澄清、修改 、现场考察和答疑会</w:t>
      </w:r>
    </w:p>
    <w:p>
      <w:pPr>
        <w:pStyle w:val="6"/>
        <w:keepNext w:val="0"/>
        <w:keepLines w:val="0"/>
        <w:spacing w:before="0" w:after="0" w:line="360" w:lineRule="auto"/>
        <w:ind w:firstLine="315" w:firstLineChars="150"/>
        <w:rPr>
          <w:rFonts w:ascii="宋体" w:hAnsi="宋体"/>
          <w:b w:val="0"/>
          <w:sz w:val="21"/>
          <w:szCs w:val="21"/>
        </w:rPr>
      </w:pPr>
      <w:r>
        <w:rPr>
          <w:rFonts w:hint="eastAsia" w:ascii="宋体" w:hAnsi="宋体"/>
          <w:b w:val="0"/>
          <w:sz w:val="21"/>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pPr>
        <w:pStyle w:val="24"/>
        <w:snapToGrid w:val="0"/>
        <w:spacing w:line="360" w:lineRule="auto"/>
        <w:ind w:firstLine="420" w:firstLineChars="200"/>
        <w:rPr>
          <w:rFonts w:hAnsi="宋体"/>
          <w:sz w:val="21"/>
        </w:rPr>
      </w:pPr>
      <w:r>
        <w:rPr>
          <w:rFonts w:hint="eastAsia" w:hAnsi="宋体"/>
          <w:sz w:val="21"/>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pPr>
        <w:pStyle w:val="24"/>
        <w:snapToGrid w:val="0"/>
        <w:spacing w:line="360" w:lineRule="auto"/>
        <w:ind w:firstLine="420" w:firstLineChars="200"/>
        <w:rPr>
          <w:rFonts w:hAnsi="宋体"/>
          <w:sz w:val="21"/>
        </w:rPr>
      </w:pPr>
      <w:r>
        <w:rPr>
          <w:rFonts w:hint="eastAsia" w:hAnsi="宋体"/>
          <w:sz w:val="21"/>
        </w:rPr>
        <w:t>1</w:t>
      </w:r>
      <w:r>
        <w:rPr>
          <w:rFonts w:hAnsi="宋体"/>
          <w:sz w:val="21"/>
        </w:rPr>
        <w:t>1.2</w:t>
      </w:r>
      <w:bookmarkStart w:id="142" w:name="_Hlk53134511"/>
      <w:r>
        <w:rPr>
          <w:rFonts w:hint="eastAsia" w:hAnsi="宋体"/>
          <w:sz w:val="21"/>
        </w:rPr>
        <w:t>采购人或者采购代理机构可以在招标文件提供期限截止后，组织已获取招标文件的潜在投标人现场考察或者召开开标前答疑会，具体详见“投标人须知前附表”。</w:t>
      </w:r>
    </w:p>
    <w:bookmarkEnd w:id="142"/>
    <w:p>
      <w:pPr>
        <w:pStyle w:val="4"/>
        <w:keepNext w:val="0"/>
        <w:keepLines w:val="0"/>
        <w:jc w:val="center"/>
      </w:pPr>
      <w:bookmarkStart w:id="143" w:name="_Toc254970535"/>
      <w:bookmarkStart w:id="144" w:name="_Toc254970676"/>
      <w:r>
        <w:rPr>
          <w:rFonts w:hint="eastAsia"/>
        </w:rPr>
        <w:t>三、投标文件的编制</w:t>
      </w:r>
      <w:bookmarkEnd w:id="143"/>
      <w:bookmarkEnd w:id="144"/>
    </w:p>
    <w:p>
      <w:pPr>
        <w:pStyle w:val="6"/>
        <w:keepNext w:val="0"/>
        <w:keepLines w:val="0"/>
        <w:spacing w:before="0" w:after="0" w:line="360" w:lineRule="auto"/>
        <w:ind w:left="420" w:leftChars="200"/>
        <w:rPr>
          <w:rFonts w:ascii="黑体" w:hAnsi="黑体" w:eastAsia="黑体"/>
          <w:sz w:val="24"/>
        </w:rPr>
      </w:pPr>
      <w:bookmarkStart w:id="145" w:name="_Toc254970536"/>
      <w:bookmarkStart w:id="146" w:name="_Toc254970677"/>
      <w:r>
        <w:rPr>
          <w:rFonts w:hint="eastAsia" w:ascii="黑体" w:hAnsi="黑体" w:eastAsia="黑体"/>
          <w:sz w:val="24"/>
        </w:rPr>
        <w:t>12.投标文件的编制原则</w:t>
      </w:r>
    </w:p>
    <w:p>
      <w:pPr>
        <w:snapToGrid w:val="0"/>
        <w:spacing w:line="360" w:lineRule="auto"/>
        <w:ind w:firstLine="420"/>
        <w:jc w:val="left"/>
        <w:rPr>
          <w:rFonts w:ascii="宋体" w:hAnsi="宋体" w:cs="Courier New"/>
          <w:szCs w:val="21"/>
        </w:rPr>
      </w:pPr>
      <w:r>
        <w:rPr>
          <w:rFonts w:ascii="宋体" w:hAnsi="宋体"/>
          <w:szCs w:val="21"/>
        </w:rPr>
        <w:t>投标人必须按照招标文件的要求编制投标文件。投标文件必须对招标文件提出的要求和条件作出明确响应。</w:t>
      </w:r>
    </w:p>
    <w:p>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13.投标文件的组成</w:t>
      </w:r>
      <w:bookmarkEnd w:id="145"/>
      <w:bookmarkEnd w:id="146"/>
    </w:p>
    <w:p>
      <w:pPr>
        <w:snapToGrid w:val="0"/>
        <w:spacing w:line="360" w:lineRule="auto"/>
        <w:ind w:firstLine="420" w:firstLineChars="200"/>
        <w:jc w:val="left"/>
        <w:rPr>
          <w:rFonts w:ascii="宋体" w:hAnsi="宋体"/>
          <w:szCs w:val="21"/>
        </w:rPr>
      </w:pPr>
      <w:r>
        <w:rPr>
          <w:rFonts w:hint="eastAsia" w:ascii="宋体" w:hAnsi="宋体"/>
          <w:szCs w:val="21"/>
        </w:rPr>
        <w:t>投标文件由报价文件、资格证明文件、商务及技术文件三部分组成。</w:t>
      </w:r>
    </w:p>
    <w:p>
      <w:pPr>
        <w:pStyle w:val="6"/>
        <w:keepNext w:val="0"/>
        <w:keepLines w:val="0"/>
        <w:spacing w:before="0" w:after="0" w:line="360" w:lineRule="auto"/>
        <w:ind w:left="420" w:leftChars="200"/>
        <w:rPr>
          <w:rFonts w:ascii="宋体" w:hAnsi="宋体"/>
          <w:b w:val="0"/>
          <w:sz w:val="21"/>
          <w:szCs w:val="21"/>
        </w:rPr>
      </w:pPr>
      <w:bookmarkStart w:id="147" w:name="_13.1报价文件:_具体材料见“投标人须知前附表”。"/>
      <w:bookmarkEnd w:id="147"/>
      <w:r>
        <w:rPr>
          <w:rFonts w:hint="eastAsia" w:ascii="宋体" w:hAnsi="宋体"/>
          <w:b w:val="0"/>
          <w:sz w:val="21"/>
          <w:szCs w:val="21"/>
        </w:rPr>
        <w:t>（1）报价文件：</w:t>
      </w:r>
      <w:r>
        <w:rPr>
          <w:rFonts w:ascii="宋体" w:hAnsi="宋体"/>
          <w:b w:val="0"/>
          <w:sz w:val="21"/>
          <w:szCs w:val="21"/>
        </w:rPr>
        <w:t>具体材料见“投标人须知前附表”</w:t>
      </w:r>
      <w:r>
        <w:rPr>
          <w:rFonts w:hint="eastAsia" w:ascii="宋体" w:hAnsi="宋体"/>
          <w:b w:val="0"/>
          <w:sz w:val="21"/>
          <w:szCs w:val="21"/>
        </w:rPr>
        <w:t>。</w:t>
      </w:r>
    </w:p>
    <w:p>
      <w:pPr>
        <w:pStyle w:val="6"/>
        <w:keepNext w:val="0"/>
        <w:keepLines w:val="0"/>
        <w:spacing w:before="0" w:after="0" w:line="360" w:lineRule="auto"/>
        <w:ind w:left="420" w:leftChars="200"/>
        <w:rPr>
          <w:rFonts w:ascii="宋体" w:hAnsi="宋体"/>
          <w:b w:val="0"/>
          <w:sz w:val="21"/>
          <w:szCs w:val="21"/>
        </w:rPr>
      </w:pPr>
      <w:bookmarkStart w:id="148" w:name="_13.2资格证明文件：具体材料见“投标人须知前附表”。"/>
      <w:bookmarkEnd w:id="148"/>
      <w:r>
        <w:rPr>
          <w:rFonts w:hint="eastAsia" w:ascii="宋体" w:hAnsi="宋体"/>
          <w:b w:val="0"/>
          <w:sz w:val="21"/>
          <w:szCs w:val="21"/>
        </w:rPr>
        <w:t>（</w:t>
      </w:r>
      <w:r>
        <w:rPr>
          <w:rFonts w:ascii="宋体" w:hAnsi="宋体"/>
          <w:b w:val="0"/>
          <w:sz w:val="21"/>
          <w:szCs w:val="21"/>
        </w:rPr>
        <w:t>2</w:t>
      </w:r>
      <w:r>
        <w:rPr>
          <w:rFonts w:hint="eastAsia" w:ascii="宋体" w:hAnsi="宋体"/>
          <w:b w:val="0"/>
          <w:sz w:val="21"/>
          <w:szCs w:val="21"/>
        </w:rPr>
        <w:t>）资格证明文件：</w:t>
      </w:r>
      <w:r>
        <w:rPr>
          <w:rFonts w:ascii="宋体" w:hAnsi="宋体"/>
          <w:b w:val="0"/>
          <w:sz w:val="21"/>
          <w:szCs w:val="21"/>
        </w:rPr>
        <w:t>具体材料见“投标人须知前附表”</w:t>
      </w:r>
      <w:r>
        <w:rPr>
          <w:rFonts w:hint="eastAsia" w:ascii="宋体" w:hAnsi="宋体"/>
          <w:b w:val="0"/>
          <w:sz w:val="21"/>
          <w:szCs w:val="21"/>
        </w:rPr>
        <w:t>。</w:t>
      </w:r>
    </w:p>
    <w:p>
      <w:pPr>
        <w:pStyle w:val="6"/>
        <w:keepNext w:val="0"/>
        <w:keepLines w:val="0"/>
        <w:spacing w:before="0" w:after="0" w:line="360" w:lineRule="auto"/>
        <w:ind w:left="420" w:leftChars="200"/>
        <w:rPr>
          <w:rFonts w:ascii="宋体" w:hAnsi="宋体"/>
          <w:b w:val="0"/>
          <w:sz w:val="21"/>
          <w:szCs w:val="21"/>
        </w:rPr>
      </w:pPr>
      <w:bookmarkStart w:id="149" w:name="_13.3商务文件:_具体材料见“投标人须知前附表”。"/>
      <w:bookmarkEnd w:id="149"/>
      <w:r>
        <w:rPr>
          <w:rFonts w:hint="eastAsia" w:ascii="宋体" w:hAnsi="宋体"/>
          <w:b w:val="0"/>
          <w:sz w:val="21"/>
          <w:szCs w:val="21"/>
        </w:rPr>
        <w:t>（</w:t>
      </w:r>
      <w:r>
        <w:rPr>
          <w:rFonts w:ascii="宋体" w:hAnsi="宋体"/>
          <w:b w:val="0"/>
          <w:sz w:val="21"/>
          <w:szCs w:val="21"/>
        </w:rPr>
        <w:t>3</w:t>
      </w:r>
      <w:r>
        <w:rPr>
          <w:rFonts w:hint="eastAsia" w:ascii="宋体" w:hAnsi="宋体"/>
          <w:b w:val="0"/>
          <w:sz w:val="21"/>
          <w:szCs w:val="21"/>
        </w:rPr>
        <w:t>）商务及技术文件：</w:t>
      </w:r>
      <w:r>
        <w:rPr>
          <w:rFonts w:ascii="宋体" w:hAnsi="宋体"/>
          <w:b w:val="0"/>
          <w:sz w:val="21"/>
          <w:szCs w:val="21"/>
        </w:rPr>
        <w:t>具体材料见“投标人须知前附表”</w:t>
      </w:r>
      <w:r>
        <w:rPr>
          <w:rFonts w:hint="eastAsia" w:ascii="宋体" w:hAnsi="宋体"/>
          <w:b w:val="0"/>
          <w:sz w:val="21"/>
          <w:szCs w:val="21"/>
        </w:rPr>
        <w:t>。</w:t>
      </w:r>
    </w:p>
    <w:p>
      <w:pPr>
        <w:pStyle w:val="6"/>
        <w:keepNext w:val="0"/>
        <w:keepLines w:val="0"/>
        <w:spacing w:before="0" w:after="0" w:line="360" w:lineRule="auto"/>
        <w:ind w:left="420" w:leftChars="200"/>
        <w:rPr>
          <w:rFonts w:ascii="黑体" w:hAnsi="黑体" w:eastAsia="黑体"/>
          <w:sz w:val="24"/>
        </w:rPr>
      </w:pPr>
      <w:bookmarkStart w:id="150" w:name="_13.5投标文件电子版：具体材料见“投标人须知前附表”。"/>
      <w:bookmarkEnd w:id="150"/>
      <w:bookmarkStart w:id="151" w:name="_Toc254970678"/>
      <w:bookmarkStart w:id="152" w:name="_Toc254970537"/>
      <w:r>
        <w:rPr>
          <w:rFonts w:hint="eastAsia" w:ascii="黑体" w:hAnsi="黑体" w:eastAsia="黑体"/>
          <w:sz w:val="24"/>
        </w:rPr>
        <w:t>14.投标文件的语言及计量</w:t>
      </w:r>
      <w:bookmarkEnd w:id="151"/>
      <w:bookmarkEnd w:id="152"/>
    </w:p>
    <w:p>
      <w:pPr>
        <w:pStyle w:val="6"/>
        <w:keepNext w:val="0"/>
        <w:keepLines w:val="0"/>
        <w:spacing w:before="0" w:after="0" w:line="360" w:lineRule="auto"/>
        <w:ind w:left="420" w:leftChars="200"/>
        <w:rPr>
          <w:rFonts w:ascii="宋体" w:hAnsi="宋体"/>
          <w:b w:val="0"/>
          <w:sz w:val="21"/>
          <w:szCs w:val="21"/>
        </w:rPr>
      </w:pPr>
      <w:r>
        <w:rPr>
          <w:rFonts w:hint="eastAsia" w:ascii="宋体" w:hAnsi="宋体"/>
          <w:b w:val="0"/>
          <w:sz w:val="21"/>
          <w:szCs w:val="21"/>
        </w:rPr>
        <w:t>14.1语言文字</w:t>
      </w:r>
    </w:p>
    <w:p>
      <w:pPr>
        <w:pStyle w:val="6"/>
        <w:keepNext w:val="0"/>
        <w:keepLines w:val="0"/>
        <w:spacing w:before="0" w:after="0" w:line="360" w:lineRule="auto"/>
        <w:ind w:firstLine="420" w:firstLineChars="200"/>
        <w:rPr>
          <w:rFonts w:ascii="宋体" w:hAnsi="宋体"/>
          <w:b w:val="0"/>
          <w:sz w:val="21"/>
          <w:szCs w:val="21"/>
        </w:rPr>
      </w:pPr>
      <w:r>
        <w:rPr>
          <w:rFonts w:hint="eastAsia" w:ascii="宋体" w:hAnsi="宋体"/>
          <w:b w:val="0"/>
          <w:sz w:val="21"/>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pPr>
        <w:pStyle w:val="6"/>
        <w:keepNext w:val="0"/>
        <w:keepLines w:val="0"/>
        <w:spacing w:before="0" w:after="0" w:line="360" w:lineRule="auto"/>
        <w:ind w:firstLine="420" w:firstLineChars="200"/>
        <w:rPr>
          <w:rFonts w:ascii="宋体" w:hAnsi="宋体"/>
          <w:b w:val="0"/>
          <w:sz w:val="21"/>
          <w:szCs w:val="21"/>
        </w:rPr>
      </w:pPr>
      <w:r>
        <w:rPr>
          <w:rFonts w:hint="eastAsia" w:ascii="宋体" w:hAnsi="宋体"/>
          <w:b w:val="0"/>
          <w:sz w:val="21"/>
          <w:szCs w:val="21"/>
        </w:rPr>
        <w:t>14.2投标计量单位</w:t>
      </w:r>
    </w:p>
    <w:p>
      <w:pPr>
        <w:pStyle w:val="6"/>
        <w:keepNext w:val="0"/>
        <w:keepLines w:val="0"/>
        <w:spacing w:before="0" w:after="0" w:line="360" w:lineRule="auto"/>
        <w:ind w:firstLine="420" w:firstLineChars="200"/>
        <w:rPr>
          <w:rFonts w:ascii="宋体" w:hAnsi="宋体"/>
          <w:b w:val="0"/>
          <w:sz w:val="21"/>
          <w:szCs w:val="21"/>
        </w:rPr>
      </w:pPr>
      <w:r>
        <w:rPr>
          <w:rFonts w:hint="eastAsia" w:ascii="宋体" w:hAnsi="宋体"/>
          <w:b w:val="0"/>
          <w:sz w:val="21"/>
          <w:szCs w:val="21"/>
        </w:rPr>
        <w:t>招标文件已有明确规定的，使用招标文件规定的计量单位；招标文件没有规定的，应采用中华人民共和国法定计量单位，货币种类为人民币，</w:t>
      </w:r>
      <w:r>
        <w:rPr>
          <w:rFonts w:hint="eastAsia" w:ascii="宋体" w:hAnsi="宋体"/>
          <w:sz w:val="21"/>
          <w:szCs w:val="21"/>
        </w:rPr>
        <w:t>否则视同未响应。</w:t>
      </w:r>
    </w:p>
    <w:p>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15.投标的风险</w:t>
      </w:r>
    </w:p>
    <w:p>
      <w:pPr>
        <w:pStyle w:val="24"/>
        <w:snapToGrid w:val="0"/>
        <w:spacing w:line="360" w:lineRule="auto"/>
        <w:ind w:firstLine="420" w:firstLineChars="200"/>
        <w:jc w:val="left"/>
        <w:rPr>
          <w:rFonts w:hAnsi="宋体"/>
          <w:sz w:val="21"/>
        </w:rPr>
      </w:pPr>
      <w:r>
        <w:rPr>
          <w:rFonts w:hint="eastAsia" w:hAnsi="宋体"/>
          <w:sz w:val="21"/>
        </w:rPr>
        <w:t>投标人没有按照招标文件要求提供全部资料，或者投标人没有对招标文件作出实质性响应是投标人的风险，并可能导致其投标被拒绝。</w:t>
      </w:r>
    </w:p>
    <w:p>
      <w:pPr>
        <w:pStyle w:val="6"/>
        <w:keepNext w:val="0"/>
        <w:keepLines w:val="0"/>
        <w:spacing w:before="0" w:after="0" w:line="360" w:lineRule="auto"/>
        <w:ind w:left="420" w:leftChars="200"/>
        <w:rPr>
          <w:rFonts w:ascii="黑体" w:hAnsi="黑体" w:eastAsia="黑体"/>
          <w:sz w:val="24"/>
        </w:rPr>
      </w:pPr>
      <w:bookmarkStart w:id="153" w:name="_Toc254970679"/>
      <w:bookmarkStart w:id="154" w:name="_Toc254970538"/>
      <w:r>
        <w:rPr>
          <w:rFonts w:hint="eastAsia" w:ascii="黑体" w:hAnsi="黑体" w:eastAsia="黑体"/>
          <w:sz w:val="24"/>
        </w:rPr>
        <w:t>16.投标报价</w:t>
      </w:r>
      <w:bookmarkEnd w:id="153"/>
      <w:bookmarkEnd w:id="154"/>
    </w:p>
    <w:p>
      <w:pPr>
        <w:pStyle w:val="6"/>
        <w:keepNext w:val="0"/>
        <w:keepLines w:val="0"/>
        <w:spacing w:before="0" w:after="0" w:line="360" w:lineRule="auto"/>
        <w:ind w:left="420" w:leftChars="200"/>
        <w:rPr>
          <w:rFonts w:ascii="宋体" w:hAnsi="宋体"/>
          <w:b w:val="0"/>
          <w:sz w:val="21"/>
          <w:szCs w:val="21"/>
        </w:rPr>
      </w:pPr>
      <w:r>
        <w:rPr>
          <w:rFonts w:hint="eastAsia" w:ascii="宋体" w:hAnsi="宋体"/>
          <w:b w:val="0"/>
          <w:sz w:val="21"/>
          <w:szCs w:val="21"/>
        </w:rPr>
        <w:t>16.1投标报价应按“第六章　投标文件格式”中“开标一览表”格式填写。</w:t>
      </w:r>
    </w:p>
    <w:p>
      <w:pPr>
        <w:pStyle w:val="6"/>
        <w:keepNext w:val="0"/>
        <w:keepLines w:val="0"/>
        <w:spacing w:before="0" w:after="0" w:line="360" w:lineRule="auto"/>
        <w:ind w:left="420" w:leftChars="200"/>
        <w:rPr>
          <w:rFonts w:ascii="宋体" w:hAnsi="宋体"/>
          <w:b w:val="0"/>
          <w:sz w:val="21"/>
          <w:szCs w:val="21"/>
        </w:rPr>
      </w:pPr>
      <w:bookmarkStart w:id="155" w:name="_16.2投标报价具体定义见投标人须知前附表。"/>
      <w:bookmarkEnd w:id="155"/>
      <w:r>
        <w:rPr>
          <w:rFonts w:hint="eastAsia" w:ascii="宋体" w:hAnsi="宋体"/>
          <w:b w:val="0"/>
          <w:sz w:val="21"/>
          <w:szCs w:val="21"/>
        </w:rPr>
        <w:t>16.2投标报价具体包括内容详见“投标人须知前附表”。</w:t>
      </w:r>
    </w:p>
    <w:p>
      <w:pPr>
        <w:pStyle w:val="6"/>
        <w:keepNext w:val="0"/>
        <w:keepLines w:val="0"/>
        <w:spacing w:before="0" w:after="0" w:line="360" w:lineRule="auto"/>
        <w:ind w:firstLine="420" w:firstLineChars="200"/>
        <w:rPr>
          <w:rFonts w:ascii="宋体" w:hAnsi="宋体"/>
          <w:b w:val="0"/>
          <w:sz w:val="21"/>
          <w:szCs w:val="21"/>
        </w:rPr>
      </w:pPr>
      <w:r>
        <w:rPr>
          <w:rFonts w:hint="eastAsia" w:ascii="宋体" w:hAnsi="宋体"/>
          <w:b w:val="0"/>
          <w:sz w:val="21"/>
          <w:szCs w:val="21"/>
        </w:rPr>
        <w:t>16.3投标人必须就所投每个分标的全部内容分别作完整唯一总价报价，不得存在漏项报价；投标人必须就所投分标的单项内容作唯一报价。</w:t>
      </w:r>
    </w:p>
    <w:p>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17.投标有效期</w:t>
      </w:r>
    </w:p>
    <w:p>
      <w:pPr>
        <w:pStyle w:val="6"/>
        <w:keepNext w:val="0"/>
        <w:keepLines w:val="0"/>
        <w:spacing w:before="0" w:after="0" w:line="360" w:lineRule="auto"/>
        <w:ind w:firstLine="420" w:firstLineChars="200"/>
        <w:rPr>
          <w:rFonts w:ascii="宋体" w:hAnsi="宋体"/>
          <w:b w:val="0"/>
          <w:sz w:val="21"/>
          <w:szCs w:val="21"/>
        </w:rPr>
      </w:pPr>
      <w:bookmarkStart w:id="156" w:name="_17.1投标有效期应按“投标人须知中的前附表”规定的期限。"/>
      <w:bookmarkEnd w:id="156"/>
      <w:r>
        <w:rPr>
          <w:rFonts w:hint="eastAsia" w:ascii="宋体" w:hAnsi="宋体"/>
          <w:b w:val="0"/>
          <w:sz w:val="21"/>
          <w:szCs w:val="21"/>
        </w:rPr>
        <w:t>17.1投标有效期是指为保证采购人有足够的时间在开标后完成评标、定标、合同签订等工作而要求投标人提交的投标文件在一定时间内保持有效的期限。</w:t>
      </w:r>
    </w:p>
    <w:p>
      <w:pPr>
        <w:pStyle w:val="6"/>
        <w:keepNext w:val="0"/>
        <w:keepLines w:val="0"/>
        <w:spacing w:before="0" w:after="0" w:line="360" w:lineRule="auto"/>
        <w:ind w:left="420" w:leftChars="200"/>
        <w:rPr>
          <w:rFonts w:ascii="宋体" w:hAnsi="宋体"/>
          <w:b w:val="0"/>
          <w:sz w:val="21"/>
          <w:szCs w:val="21"/>
        </w:rPr>
      </w:pPr>
      <w:r>
        <w:rPr>
          <w:rFonts w:hint="eastAsia" w:ascii="宋体" w:hAnsi="宋体"/>
          <w:b w:val="0"/>
          <w:sz w:val="21"/>
          <w:szCs w:val="21"/>
        </w:rPr>
        <w:t>17.2</w:t>
      </w:r>
      <w:bookmarkStart w:id="157" w:name="_Toc254970540"/>
      <w:bookmarkStart w:id="158" w:name="_Toc254970681"/>
      <w:r>
        <w:rPr>
          <w:rFonts w:hint="eastAsia" w:ascii="宋体" w:hAnsi="宋体"/>
          <w:b w:val="0"/>
          <w:sz w:val="21"/>
          <w:szCs w:val="21"/>
        </w:rPr>
        <w:t xml:space="preserve"> 投标有效期应按招标文件规定的期限作出承诺，具体详见“投标人须知前附表”。</w:t>
      </w:r>
      <w:r>
        <w:rPr>
          <w:rFonts w:hint="eastAsia" w:ascii="宋体" w:hAnsi="宋体"/>
          <w:sz w:val="21"/>
          <w:szCs w:val="21"/>
        </w:rPr>
        <w:t>承诺的投标有效期低于招标文件规定期限的，按无效投标处理</w:t>
      </w:r>
      <w:r>
        <w:rPr>
          <w:rFonts w:hint="eastAsia" w:ascii="宋体" w:hAnsi="宋体"/>
          <w:b w:val="0"/>
          <w:sz w:val="21"/>
          <w:szCs w:val="21"/>
        </w:rPr>
        <w:t>。</w:t>
      </w:r>
    </w:p>
    <w:p>
      <w:pPr>
        <w:pStyle w:val="6"/>
        <w:keepNext w:val="0"/>
        <w:keepLines w:val="0"/>
        <w:spacing w:before="0" w:after="0" w:line="360" w:lineRule="auto"/>
        <w:ind w:left="420" w:leftChars="200"/>
        <w:rPr>
          <w:rFonts w:ascii="宋体" w:hAnsi="宋体"/>
          <w:b w:val="0"/>
          <w:sz w:val="21"/>
          <w:szCs w:val="21"/>
        </w:rPr>
      </w:pPr>
      <w:r>
        <w:rPr>
          <w:rFonts w:hint="eastAsia" w:ascii="宋体" w:hAnsi="宋体"/>
          <w:b w:val="0"/>
          <w:sz w:val="21"/>
          <w:szCs w:val="21"/>
        </w:rPr>
        <w:t>17.3投标人的投标文件在投标有效期内均保持有效。</w:t>
      </w:r>
      <w:bookmarkEnd w:id="157"/>
      <w:bookmarkEnd w:id="158"/>
    </w:p>
    <w:p>
      <w:pPr>
        <w:pStyle w:val="6"/>
        <w:keepNext w:val="0"/>
        <w:keepLines w:val="0"/>
        <w:spacing w:before="0" w:after="0" w:line="360" w:lineRule="auto"/>
        <w:ind w:left="420" w:leftChars="200"/>
        <w:rPr>
          <w:rFonts w:ascii="黑体" w:hAnsi="黑体" w:eastAsia="黑体"/>
          <w:sz w:val="24"/>
        </w:rPr>
      </w:pPr>
      <w:bookmarkStart w:id="159" w:name="_18.投标保证金"/>
      <w:bookmarkEnd w:id="159"/>
      <w:bookmarkStart w:id="160" w:name="_Toc254970682"/>
      <w:bookmarkStart w:id="161" w:name="_Toc254970541"/>
      <w:r>
        <w:rPr>
          <w:rFonts w:hint="eastAsia" w:ascii="黑体" w:hAnsi="黑体" w:eastAsia="黑体"/>
          <w:sz w:val="24"/>
        </w:rPr>
        <w:t>18.投标保证金</w:t>
      </w:r>
      <w:bookmarkEnd w:id="160"/>
      <w:bookmarkEnd w:id="161"/>
    </w:p>
    <w:p>
      <w:pPr>
        <w:pStyle w:val="6"/>
        <w:keepNext w:val="0"/>
        <w:keepLines w:val="0"/>
        <w:spacing w:before="0" w:after="0" w:line="360" w:lineRule="auto"/>
        <w:ind w:left="420" w:leftChars="200"/>
        <w:rPr>
          <w:rFonts w:ascii="宋体" w:hAnsi="宋体"/>
          <w:b w:val="0"/>
          <w:sz w:val="21"/>
          <w:szCs w:val="21"/>
        </w:rPr>
      </w:pPr>
      <w:r>
        <w:rPr>
          <w:rFonts w:hint="eastAsia" w:ascii="宋体" w:hAnsi="宋体"/>
          <w:b w:val="0"/>
          <w:sz w:val="21"/>
          <w:szCs w:val="21"/>
        </w:rPr>
        <w:t>18.1投标人须按“投标人须知前附表” 的规定提交投标保证金。</w:t>
      </w:r>
    </w:p>
    <w:p>
      <w:pPr>
        <w:pStyle w:val="6"/>
        <w:keepNext w:val="0"/>
        <w:keepLines w:val="0"/>
        <w:spacing w:before="0" w:after="0" w:line="360" w:lineRule="auto"/>
        <w:ind w:firstLine="420" w:firstLineChars="200"/>
        <w:rPr>
          <w:rFonts w:ascii="宋体" w:hAnsi="宋体"/>
          <w:b w:val="0"/>
          <w:sz w:val="21"/>
          <w:szCs w:val="21"/>
        </w:rPr>
      </w:pPr>
      <w:r>
        <w:rPr>
          <w:rFonts w:hint="eastAsia" w:ascii="宋体" w:hAnsi="宋体"/>
          <w:b w:val="0"/>
          <w:sz w:val="21"/>
          <w:szCs w:val="21"/>
        </w:rPr>
        <w:t>18.2投标保证金的退还</w:t>
      </w:r>
    </w:p>
    <w:p>
      <w:pPr>
        <w:pStyle w:val="6"/>
        <w:keepNext w:val="0"/>
        <w:keepLines w:val="0"/>
        <w:spacing w:before="0" w:after="0" w:line="360" w:lineRule="auto"/>
        <w:ind w:firstLine="420" w:firstLineChars="200"/>
        <w:rPr>
          <w:rFonts w:ascii="宋体" w:hAnsi="宋体"/>
          <w:b w:val="0"/>
          <w:sz w:val="21"/>
          <w:szCs w:val="21"/>
        </w:rPr>
      </w:pPr>
      <w:r>
        <w:rPr>
          <w:rFonts w:hint="eastAsia" w:ascii="宋体" w:hAnsi="宋体"/>
          <w:b w:val="0"/>
          <w:sz w:val="21"/>
          <w:szCs w:val="21"/>
        </w:rPr>
        <w:t>未中标人的投标保证金自中标通知书发出之日起</w:t>
      </w:r>
      <w:r>
        <w:rPr>
          <w:rFonts w:ascii="宋体" w:hAnsi="宋体"/>
          <w:b w:val="0"/>
          <w:sz w:val="21"/>
          <w:szCs w:val="21"/>
        </w:rPr>
        <w:t>5</w:t>
      </w:r>
      <w:r>
        <w:rPr>
          <w:rFonts w:hint="eastAsia" w:ascii="宋体" w:hAnsi="宋体"/>
          <w:b w:val="0"/>
          <w:sz w:val="21"/>
          <w:szCs w:val="21"/>
        </w:rPr>
        <w:t>个工作日内退还；中标人的投标保证金自政府采购合同签订之日起</w:t>
      </w:r>
      <w:r>
        <w:rPr>
          <w:rFonts w:ascii="宋体" w:hAnsi="宋体"/>
          <w:b w:val="0"/>
          <w:sz w:val="21"/>
          <w:szCs w:val="21"/>
        </w:rPr>
        <w:t>5</w:t>
      </w:r>
      <w:r>
        <w:rPr>
          <w:rFonts w:hint="eastAsia" w:ascii="宋体" w:hAnsi="宋体"/>
          <w:b w:val="0"/>
          <w:sz w:val="21"/>
          <w:szCs w:val="21"/>
        </w:rPr>
        <w:t xml:space="preserve">个工作日内退还。 </w:t>
      </w:r>
    </w:p>
    <w:p>
      <w:pPr>
        <w:pStyle w:val="6"/>
        <w:keepNext w:val="0"/>
        <w:keepLines w:val="0"/>
        <w:spacing w:before="0" w:after="0" w:line="360" w:lineRule="auto"/>
        <w:ind w:left="420" w:leftChars="200"/>
        <w:rPr>
          <w:rFonts w:ascii="宋体" w:hAnsi="宋体"/>
          <w:b w:val="0"/>
          <w:sz w:val="21"/>
          <w:szCs w:val="21"/>
        </w:rPr>
      </w:pPr>
      <w:r>
        <w:rPr>
          <w:rFonts w:hint="eastAsia" w:ascii="宋体" w:hAnsi="宋体"/>
          <w:b w:val="0"/>
          <w:sz w:val="21"/>
          <w:szCs w:val="21"/>
        </w:rPr>
        <w:t>18.3除逾期退还投标保证金和终止招标的情形以外，投标保证金不计息。</w:t>
      </w:r>
    </w:p>
    <w:p>
      <w:pPr>
        <w:pStyle w:val="6"/>
        <w:keepNext w:val="0"/>
        <w:keepLines w:val="0"/>
        <w:spacing w:before="0" w:after="0" w:line="360" w:lineRule="auto"/>
        <w:ind w:left="420" w:leftChars="200"/>
        <w:rPr>
          <w:rFonts w:ascii="宋体" w:hAnsi="宋体"/>
          <w:b w:val="0"/>
          <w:sz w:val="21"/>
          <w:szCs w:val="21"/>
        </w:rPr>
      </w:pPr>
      <w:r>
        <w:rPr>
          <w:rFonts w:hint="eastAsia" w:ascii="宋体" w:hAnsi="宋体"/>
          <w:b w:val="0"/>
          <w:sz w:val="21"/>
          <w:szCs w:val="21"/>
        </w:rPr>
        <w:t xml:space="preserve">18.4投标人有下列情形之一的，投标保证金将不予退还： </w:t>
      </w:r>
    </w:p>
    <w:p>
      <w:pPr>
        <w:snapToGrid w:val="0"/>
        <w:spacing w:line="360" w:lineRule="auto"/>
        <w:ind w:firstLine="411" w:firstLineChars="196"/>
        <w:jc w:val="left"/>
        <w:rPr>
          <w:rFonts w:ascii="宋体" w:hAnsi="宋体"/>
          <w:szCs w:val="21"/>
        </w:rPr>
      </w:pPr>
      <w:r>
        <w:rPr>
          <w:rFonts w:hint="eastAsia" w:ascii="宋体" w:hAnsi="宋体"/>
          <w:szCs w:val="21"/>
        </w:rPr>
        <w:t>（1）投标人在投标有效期内撤销投标文件的；</w:t>
      </w:r>
    </w:p>
    <w:p>
      <w:pPr>
        <w:snapToGrid w:val="0"/>
        <w:spacing w:line="360" w:lineRule="auto"/>
        <w:ind w:firstLine="411" w:firstLineChars="196"/>
        <w:jc w:val="left"/>
        <w:rPr>
          <w:rFonts w:ascii="宋体" w:hAnsi="宋体"/>
          <w:szCs w:val="21"/>
        </w:rPr>
      </w:pPr>
      <w:r>
        <w:rPr>
          <w:rFonts w:hint="eastAsia" w:ascii="宋体" w:hAnsi="宋体"/>
          <w:szCs w:val="21"/>
        </w:rPr>
        <w:t>（2）未按规定提交履约保证金的；</w:t>
      </w:r>
    </w:p>
    <w:p>
      <w:pPr>
        <w:snapToGrid w:val="0"/>
        <w:spacing w:line="360" w:lineRule="auto"/>
        <w:ind w:firstLine="411" w:firstLineChars="196"/>
        <w:jc w:val="left"/>
        <w:rPr>
          <w:rFonts w:ascii="宋体" w:hAnsi="宋体"/>
          <w:szCs w:val="21"/>
        </w:rPr>
      </w:pPr>
      <w:r>
        <w:rPr>
          <w:rFonts w:hint="eastAsia" w:ascii="宋体" w:hAnsi="宋体"/>
          <w:szCs w:val="21"/>
        </w:rPr>
        <w:t>（3）投标人在投标过程中弄虚作假，提供虚假材料的；</w:t>
      </w:r>
    </w:p>
    <w:p>
      <w:pPr>
        <w:snapToGrid w:val="0"/>
        <w:spacing w:line="360" w:lineRule="auto"/>
        <w:ind w:firstLine="411" w:firstLineChars="196"/>
        <w:rPr>
          <w:rFonts w:ascii="宋体" w:hAnsi="宋体"/>
          <w:szCs w:val="21"/>
        </w:rPr>
      </w:pPr>
      <w:r>
        <w:rPr>
          <w:rFonts w:hint="eastAsia" w:ascii="宋体" w:hAnsi="宋体"/>
          <w:szCs w:val="21"/>
        </w:rPr>
        <w:t>（4）中标人无正当理由不与采购人签订合同的；</w:t>
      </w:r>
    </w:p>
    <w:p>
      <w:pPr>
        <w:snapToGrid w:val="0"/>
        <w:spacing w:line="360" w:lineRule="auto"/>
        <w:ind w:firstLine="420" w:firstLineChars="200"/>
        <w:rPr>
          <w:rFonts w:ascii="宋体" w:hAnsi="宋体"/>
          <w:szCs w:val="21"/>
        </w:rPr>
      </w:pPr>
      <w:r>
        <w:rPr>
          <w:rFonts w:hint="eastAsia" w:ascii="宋体" w:hAnsi="宋体"/>
          <w:szCs w:val="21"/>
        </w:rPr>
        <w:t>（5）投标人出现本章第9.2、9.3情形的；</w:t>
      </w:r>
    </w:p>
    <w:p>
      <w:pPr>
        <w:snapToGrid w:val="0"/>
        <w:spacing w:line="360" w:lineRule="auto"/>
        <w:ind w:firstLine="420" w:firstLineChars="200"/>
        <w:rPr>
          <w:rFonts w:ascii="宋体" w:hAnsi="宋体"/>
          <w:szCs w:val="21"/>
        </w:rPr>
      </w:pPr>
      <w:r>
        <w:rPr>
          <w:rFonts w:hint="eastAsia" w:ascii="宋体" w:hAnsi="宋体"/>
          <w:szCs w:val="21"/>
        </w:rPr>
        <w:t>（6）</w:t>
      </w:r>
      <w:r>
        <w:rPr>
          <w:rFonts w:hint="eastAsia" w:ascii="宋体" w:hAnsi="宋体" w:cs="宋体"/>
          <w:szCs w:val="21"/>
        </w:rPr>
        <w:t>法律法规规定的其他情形</w:t>
      </w:r>
      <w:r>
        <w:rPr>
          <w:rFonts w:hint="eastAsia" w:ascii="宋体" w:hAnsi="宋体"/>
          <w:szCs w:val="21"/>
        </w:rPr>
        <w:t>。</w:t>
      </w:r>
    </w:p>
    <w:p>
      <w:pPr>
        <w:pStyle w:val="6"/>
        <w:keepNext w:val="0"/>
        <w:keepLines w:val="0"/>
        <w:spacing w:before="0" w:after="0" w:line="360" w:lineRule="auto"/>
        <w:ind w:left="420" w:leftChars="200"/>
        <w:rPr>
          <w:rFonts w:ascii="黑体" w:hAnsi="黑体" w:eastAsia="黑体"/>
          <w:sz w:val="24"/>
        </w:rPr>
      </w:pPr>
      <w:bookmarkStart w:id="162" w:name="_Toc254970542"/>
      <w:bookmarkStart w:id="163" w:name="_Toc254970683"/>
      <w:r>
        <w:rPr>
          <w:rFonts w:hint="eastAsia" w:ascii="黑体" w:hAnsi="黑体" w:eastAsia="黑体"/>
          <w:sz w:val="24"/>
        </w:rPr>
        <w:t>19.投标文件的</w:t>
      </w:r>
      <w:bookmarkEnd w:id="162"/>
      <w:bookmarkEnd w:id="163"/>
      <w:r>
        <w:rPr>
          <w:rFonts w:hint="eastAsia" w:ascii="黑体" w:hAnsi="黑体" w:eastAsia="黑体"/>
          <w:sz w:val="24"/>
        </w:rPr>
        <w:t>编制</w:t>
      </w:r>
    </w:p>
    <w:p>
      <w:pPr>
        <w:pStyle w:val="6"/>
        <w:keepNext w:val="0"/>
        <w:keepLines w:val="0"/>
        <w:spacing w:before="0" w:after="0" w:line="360" w:lineRule="auto"/>
        <w:ind w:firstLine="315" w:firstLineChars="150"/>
        <w:rPr>
          <w:rFonts w:ascii="宋体" w:hAnsi="宋体"/>
          <w:b w:val="0"/>
          <w:sz w:val="21"/>
          <w:szCs w:val="21"/>
        </w:rPr>
      </w:pPr>
      <w:r>
        <w:rPr>
          <w:rFonts w:hint="eastAsia" w:ascii="宋体" w:hAnsi="宋体"/>
          <w:b w:val="0"/>
          <w:sz w:val="21"/>
          <w:szCs w:val="21"/>
        </w:rPr>
        <w:t xml:space="preserve"> 19.1投标人应先安装“广西政府采购云平台电子投标客户端”（请自行前往广西政府采购云平台进行下载），并按照本项目招标文件规定的格式和顺序和广西政府采购云平台的要求编制投标文件并加密。投标文件内容不完整、编排混乱导致投标文件被误读、漏读或者查找不到相关内容的，由此引发的后果由投标人承担。</w:t>
      </w:r>
    </w:p>
    <w:p>
      <w:pPr>
        <w:pStyle w:val="6"/>
        <w:keepNext w:val="0"/>
        <w:keepLines w:val="0"/>
        <w:spacing w:before="0" w:after="0" w:line="360" w:lineRule="auto"/>
        <w:ind w:firstLine="315" w:firstLineChars="150"/>
        <w:rPr>
          <w:rFonts w:ascii="宋体" w:hAnsi="宋体"/>
          <w:b w:val="0"/>
          <w:sz w:val="21"/>
          <w:szCs w:val="21"/>
        </w:rPr>
      </w:pPr>
      <w:bookmarkStart w:id="164" w:name="_19.2投标文件应按报价文件、资格证明文件、商务文件、技术文件分别编制"/>
      <w:bookmarkEnd w:id="164"/>
      <w:r>
        <w:rPr>
          <w:rFonts w:hint="eastAsia" w:ascii="宋体" w:hAnsi="宋体"/>
          <w:b w:val="0"/>
          <w:sz w:val="21"/>
          <w:szCs w:val="21"/>
        </w:rPr>
        <w:t>19.2为确保网上操作合法、有效和安全，投标人应当在投标截止时间前完成在广西政府采购云平台的身份认证，确保在电子投标过程中能够对相关数据电文进行加密和使用电子签章。</w:t>
      </w:r>
    </w:p>
    <w:p>
      <w:pPr>
        <w:pStyle w:val="6"/>
        <w:keepNext w:val="0"/>
        <w:keepLines w:val="0"/>
        <w:spacing w:before="0" w:after="0" w:line="360" w:lineRule="auto"/>
        <w:ind w:firstLine="315" w:firstLineChars="150"/>
        <w:rPr>
          <w:rFonts w:ascii="宋体" w:hAnsi="宋体"/>
          <w:b w:val="0"/>
          <w:sz w:val="21"/>
          <w:szCs w:val="21"/>
        </w:rPr>
      </w:pPr>
      <w:r>
        <w:rPr>
          <w:rFonts w:hint="eastAsia" w:ascii="宋体" w:hAnsi="宋体"/>
          <w:b w:val="0"/>
          <w:sz w:val="21"/>
          <w:szCs w:val="21"/>
        </w:rPr>
        <w:t>19.3投标文件须由投标人在规定位置签字（或者电子签名）、盖章（具体以投标人须知前附表或投标文件格式规定为准），</w:t>
      </w:r>
      <w:r>
        <w:rPr>
          <w:rFonts w:hint="eastAsia" w:ascii="宋体" w:hAnsi="宋体"/>
          <w:bCs/>
          <w:sz w:val="21"/>
          <w:szCs w:val="21"/>
        </w:rPr>
        <w:t>否则按无效投标处理</w:t>
      </w:r>
      <w:r>
        <w:rPr>
          <w:rFonts w:hint="eastAsia" w:ascii="宋体" w:hAnsi="宋体"/>
          <w:b w:val="0"/>
          <w:sz w:val="21"/>
          <w:szCs w:val="21"/>
        </w:rPr>
        <w:t>。</w:t>
      </w:r>
    </w:p>
    <w:p>
      <w:pPr>
        <w:pStyle w:val="6"/>
        <w:keepNext w:val="0"/>
        <w:keepLines w:val="0"/>
        <w:spacing w:before="0" w:after="0" w:line="360" w:lineRule="auto"/>
        <w:ind w:firstLine="315" w:firstLineChars="150"/>
        <w:rPr>
          <w:rFonts w:ascii="宋体" w:hAnsi="宋体"/>
          <w:b w:val="0"/>
          <w:sz w:val="21"/>
          <w:szCs w:val="21"/>
        </w:rPr>
      </w:pPr>
      <w:r>
        <w:rPr>
          <w:rFonts w:hint="eastAsia" w:ascii="宋体" w:hAnsi="宋体"/>
          <w:b w:val="0"/>
          <w:sz w:val="21"/>
          <w:szCs w:val="21"/>
        </w:rPr>
        <w:t>19.4投标文件中标注的投标人名称应与主体资格证明（如营业执照或者事业单位法人证书或者执业许可证或者登记证书等）及公章一致，并与“广西政府采购云平台”中获取招标文件的投标人名称一致，投标人为自然人的，标注的投标人名称应与身份证姓名及签名一致，</w:t>
      </w:r>
      <w:r>
        <w:rPr>
          <w:rFonts w:hint="eastAsia" w:ascii="宋体" w:hAnsi="宋体"/>
          <w:sz w:val="21"/>
          <w:szCs w:val="21"/>
        </w:rPr>
        <w:t>否则按无效投标处理</w:t>
      </w:r>
      <w:r>
        <w:rPr>
          <w:rFonts w:hint="eastAsia" w:ascii="宋体" w:hAnsi="宋体"/>
          <w:b w:val="0"/>
          <w:sz w:val="21"/>
          <w:szCs w:val="21"/>
        </w:rPr>
        <w:t>。</w:t>
      </w:r>
    </w:p>
    <w:p>
      <w:pPr>
        <w:pStyle w:val="6"/>
        <w:keepNext w:val="0"/>
        <w:keepLines w:val="0"/>
        <w:spacing w:before="0" w:after="0" w:line="360" w:lineRule="auto"/>
        <w:ind w:firstLine="420" w:firstLineChars="200"/>
        <w:rPr>
          <w:rFonts w:ascii="黑体" w:hAnsi="黑体" w:eastAsia="黑体"/>
          <w:sz w:val="24"/>
        </w:rPr>
      </w:pPr>
      <w:r>
        <w:rPr>
          <w:rFonts w:hint="eastAsia" w:ascii="宋体" w:hAnsi="宋体"/>
          <w:b w:val="0"/>
          <w:sz w:val="21"/>
          <w:szCs w:val="21"/>
        </w:rPr>
        <w:t>19.5投标文件应尽量避免涂改、行间插字或者删除。如果出现上述情况，改动之处应由投标人的法定代表人或者其委托代理人签字（或者电子签名）或者加盖公章或者加盖电子签章。投标文件因字迹潦草或者表达不清所引起的后果由投标人承担。</w:t>
      </w:r>
    </w:p>
    <w:p>
      <w:pPr>
        <w:pStyle w:val="6"/>
        <w:keepNext w:val="0"/>
        <w:keepLines w:val="0"/>
        <w:spacing w:before="0" w:after="0" w:line="360" w:lineRule="auto"/>
        <w:ind w:firstLine="482" w:firstLineChars="200"/>
        <w:rPr>
          <w:rFonts w:ascii="黑体" w:hAnsi="黑体" w:eastAsia="黑体"/>
          <w:sz w:val="24"/>
        </w:rPr>
      </w:pPr>
      <w:r>
        <w:rPr>
          <w:rFonts w:hint="eastAsia" w:ascii="黑体" w:hAnsi="黑体" w:eastAsia="黑体"/>
          <w:sz w:val="24"/>
        </w:rPr>
        <w:t>20.电子备份投标文件</w:t>
      </w:r>
    </w:p>
    <w:p>
      <w:pPr>
        <w:spacing w:line="360" w:lineRule="auto"/>
        <w:ind w:firstLine="420" w:firstLineChars="200"/>
        <w:rPr>
          <w:rFonts w:ascii="黑体" w:hAnsi="黑体" w:eastAsia="黑体"/>
          <w:sz w:val="24"/>
        </w:rPr>
      </w:pPr>
      <w:r>
        <w:rPr>
          <w:rFonts w:hint="eastAsia"/>
        </w:rPr>
        <w:t>电子备份投标文件是指通过“广西政府采购云平台电子投标客户端”在线编制生成且后缀名为“</w:t>
      </w:r>
      <w:r>
        <w:t>bfbs</w:t>
      </w:r>
      <w:r>
        <w:rPr>
          <w:rFonts w:hint="eastAsia"/>
        </w:rPr>
        <w:t>”的文件，是否接受电子备份投标文件</w:t>
      </w:r>
      <w:r>
        <w:rPr>
          <w:rFonts w:hint="eastAsia" w:hAnsi="宋体"/>
          <w:bCs/>
          <w:szCs w:val="21"/>
        </w:rPr>
        <w:t>详见“投标人须知前附表”。</w:t>
      </w:r>
    </w:p>
    <w:p>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21.投标文件的提交</w:t>
      </w:r>
    </w:p>
    <w:p>
      <w:pPr>
        <w:spacing w:line="360" w:lineRule="auto"/>
        <w:ind w:firstLine="420" w:firstLineChars="200"/>
        <w:rPr>
          <w:rFonts w:hAnsi="宋体"/>
          <w:b/>
        </w:rPr>
      </w:pPr>
      <w:bookmarkStart w:id="165" w:name="_21.1投标人必须在“投标人须知中的前附表”规定的投标文件接收时间和投"/>
      <w:bookmarkEnd w:id="165"/>
      <w:r>
        <w:rPr>
          <w:rFonts w:hint="eastAsia" w:hAnsi="宋体"/>
          <w:bCs/>
          <w:szCs w:val="21"/>
        </w:rPr>
        <w:t>21.1投标人必须在“投标人须知前附表”规定的</w:t>
      </w:r>
      <w:r>
        <w:rPr>
          <w:rFonts w:hint="eastAsia" w:ascii="宋体" w:hAnsi="宋体"/>
          <w:szCs w:val="21"/>
        </w:rPr>
        <w:t>提交投标文件截止时间前将</w:t>
      </w:r>
      <w:r>
        <w:rPr>
          <w:rFonts w:hint="eastAsia" w:hAnsi="宋体"/>
          <w:bCs/>
          <w:szCs w:val="21"/>
        </w:rPr>
        <w:t>电子投标文件提交至投标地点。电子投标文件应在制作完成后，</w:t>
      </w:r>
      <w:r>
        <w:rPr>
          <w:rFonts w:hAnsi="宋体"/>
          <w:bCs/>
          <w:szCs w:val="21"/>
        </w:rPr>
        <w:t>在投标截止时间前</w:t>
      </w:r>
      <w:r>
        <w:rPr>
          <w:rFonts w:hint="eastAsia" w:hAnsi="宋体"/>
          <w:bCs/>
          <w:szCs w:val="21"/>
        </w:rPr>
        <w:t>通过有效数字证书（CA认证锁）进行电子签章、加密，然后通过网络将加密的电子投标文件递交至</w:t>
      </w:r>
      <w:r>
        <w:rPr>
          <w:rFonts w:hint="eastAsia" w:ascii="宋体" w:hAnsi="宋体"/>
          <w:szCs w:val="21"/>
        </w:rPr>
        <w:t>广西政府采购云平台</w:t>
      </w:r>
      <w:r>
        <w:rPr>
          <w:rFonts w:hint="eastAsia" w:hAnsi="宋体"/>
          <w:bCs/>
          <w:szCs w:val="21"/>
        </w:rPr>
        <w:t xml:space="preserve">。 </w:t>
      </w:r>
      <w:r>
        <w:rPr>
          <w:rFonts w:hint="eastAsia" w:hAnsi="宋体"/>
          <w:b/>
        </w:rPr>
        <w:t xml:space="preserve"> </w:t>
      </w:r>
    </w:p>
    <w:p>
      <w:pPr>
        <w:spacing w:line="360" w:lineRule="auto"/>
        <w:ind w:firstLine="422" w:firstLineChars="200"/>
        <w:rPr>
          <w:rFonts w:ascii="宋体" w:hAnsi="宋体"/>
          <w:b/>
          <w:szCs w:val="20"/>
        </w:rPr>
      </w:pPr>
      <w:r>
        <w:rPr>
          <w:rFonts w:hint="eastAsia" w:ascii="宋体" w:hAnsi="宋体"/>
          <w:b/>
          <w:szCs w:val="21"/>
        </w:rPr>
        <w:t>21.</w:t>
      </w:r>
      <w:r>
        <w:rPr>
          <w:rFonts w:ascii="宋体" w:hAnsi="宋体"/>
          <w:b/>
          <w:szCs w:val="21"/>
        </w:rPr>
        <w:t>2</w:t>
      </w:r>
      <w:r>
        <w:rPr>
          <w:rFonts w:hint="eastAsia" w:ascii="宋体" w:hAnsi="宋体"/>
          <w:b/>
          <w:szCs w:val="21"/>
        </w:rPr>
        <w:t>未在规定时间内提交或者未按照招标文件要求加密的电子投标文件，广西政府采购云平台将拒收。</w:t>
      </w:r>
    </w:p>
    <w:p>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22. 投标文件的补充、修改、撤回与退回</w:t>
      </w:r>
    </w:p>
    <w:p>
      <w:pPr>
        <w:snapToGrid w:val="0"/>
        <w:spacing w:line="360" w:lineRule="auto"/>
        <w:ind w:firstLine="420"/>
        <w:jc w:val="left"/>
        <w:rPr>
          <w:rFonts w:ascii="宋体" w:hAnsi="宋体"/>
          <w:szCs w:val="21"/>
        </w:rPr>
      </w:pPr>
      <w:bookmarkStart w:id="166" w:name="_Toc254970684"/>
      <w:bookmarkStart w:id="167" w:name="_Toc254970543"/>
      <w:r>
        <w:rPr>
          <w:rFonts w:ascii="宋体" w:hAnsi="宋体" w:cs="宋体"/>
          <w:szCs w:val="21"/>
        </w:rPr>
        <w:t>22</w:t>
      </w:r>
      <w:r>
        <w:rPr>
          <w:rFonts w:hint="eastAsia" w:ascii="宋体" w:hAnsi="宋体" w:cs="宋体"/>
          <w:szCs w:val="21"/>
        </w:rPr>
        <w:t>.1</w:t>
      </w:r>
      <w:r>
        <w:rPr>
          <w:rFonts w:hint="eastAsia" w:ascii="宋体" w:hAnsi="宋体"/>
          <w:bCs/>
          <w:szCs w:val="21"/>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广西政府采购云平台将予以拒收。</w:t>
      </w:r>
      <w:r>
        <w:rPr>
          <w:rFonts w:hint="eastAsia" w:ascii="宋体" w:hAnsi="宋体" w:cs="宋体"/>
          <w:szCs w:val="21"/>
        </w:rPr>
        <w:t>（补充、修改或者撤回方式可</w:t>
      </w:r>
      <w:r>
        <w:rPr>
          <w:rFonts w:hint="eastAsia" w:ascii="宋体" w:hAnsi="宋体"/>
          <w:szCs w:val="21"/>
        </w:rPr>
        <w:t>登录</w:t>
      </w:r>
      <w:r>
        <w:rPr>
          <w:rFonts w:hint="eastAsia" w:ascii="宋体" w:hAnsi="宋体" w:cs="宋体"/>
          <w:kern w:val="0"/>
          <w:szCs w:val="21"/>
        </w:rPr>
        <w:t>广西政府采购云平台，</w:t>
      </w:r>
      <w:r>
        <w:rPr>
          <w:rFonts w:hint="eastAsia" w:ascii="宋体" w:hAnsi="宋体"/>
          <w:szCs w:val="21"/>
        </w:rPr>
        <w:t>进入“服务中心”中查看</w:t>
      </w:r>
      <w:r>
        <w:rPr>
          <w:rFonts w:hint="eastAsia" w:ascii="宋体" w:hAnsi="宋体" w:cs="宋体"/>
          <w:szCs w:val="21"/>
        </w:rPr>
        <w:t xml:space="preserve"> “电子投标文件制作与投送教程”）</w:t>
      </w:r>
    </w:p>
    <w:bookmarkEnd w:id="166"/>
    <w:bookmarkEnd w:id="167"/>
    <w:p>
      <w:pPr>
        <w:pStyle w:val="128"/>
        <w:spacing w:before="0"/>
        <w:ind w:firstLine="420"/>
        <w:rPr>
          <w:rFonts w:ascii="宋体" w:hAnsi="宋体" w:cs="宋体"/>
          <w:sz w:val="21"/>
          <w:szCs w:val="21"/>
        </w:rPr>
      </w:pPr>
      <w:r>
        <w:rPr>
          <w:rFonts w:ascii="宋体" w:hAnsi="宋体" w:cs="宋体"/>
          <w:sz w:val="21"/>
          <w:szCs w:val="21"/>
        </w:rPr>
        <w:t>22.</w:t>
      </w:r>
      <w:r>
        <w:rPr>
          <w:rFonts w:hint="eastAsia" w:ascii="宋体" w:hAnsi="宋体" w:cs="宋体"/>
          <w:sz w:val="21"/>
          <w:szCs w:val="21"/>
        </w:rPr>
        <w:t>2广西政府采购云平台收到投标文件后向供应商发出确认回执通知。在投标截止时间前，除供应商补充、修改或者撤回投标文件外，任何单位和个人不得解密或提取投标文件。</w:t>
      </w:r>
    </w:p>
    <w:p>
      <w:pPr>
        <w:spacing w:line="360" w:lineRule="auto"/>
        <w:ind w:firstLine="420" w:firstLineChars="200"/>
        <w:rPr>
          <w:rFonts w:ascii="宋体" w:hAnsi="宋体" w:cs="宋体"/>
          <w:szCs w:val="21"/>
        </w:rPr>
      </w:pPr>
      <w:r>
        <w:rPr>
          <w:rFonts w:hint="eastAsia" w:ascii="宋体" w:hAnsi="宋体" w:cs="宋体"/>
          <w:szCs w:val="21"/>
        </w:rPr>
        <w:t>22.</w:t>
      </w:r>
      <w:r>
        <w:rPr>
          <w:rFonts w:ascii="宋体" w:hAnsi="宋体" w:cs="宋体"/>
          <w:szCs w:val="21"/>
        </w:rPr>
        <w:t>3</w:t>
      </w:r>
      <w:r>
        <w:rPr>
          <w:rFonts w:hint="eastAsia" w:ascii="宋体" w:hAnsi="宋体" w:cs="宋体"/>
          <w:szCs w:val="21"/>
        </w:rPr>
        <w:t>在投标截止时间后，采购人和采购代理机构对已提交的投标文件概不退回。</w:t>
      </w:r>
    </w:p>
    <w:p>
      <w:pPr>
        <w:pStyle w:val="4"/>
        <w:keepNext w:val="0"/>
        <w:keepLines w:val="0"/>
        <w:jc w:val="center"/>
      </w:pPr>
      <w:bookmarkStart w:id="168" w:name="_Toc254970685"/>
      <w:bookmarkStart w:id="169" w:name="_Toc254970544"/>
      <w:r>
        <w:rPr>
          <w:rFonts w:hint="eastAsia"/>
        </w:rPr>
        <w:t>四、开    标</w:t>
      </w:r>
      <w:bookmarkEnd w:id="168"/>
      <w:bookmarkEnd w:id="169"/>
    </w:p>
    <w:p>
      <w:pPr>
        <w:pStyle w:val="6"/>
        <w:keepNext w:val="0"/>
        <w:keepLines w:val="0"/>
        <w:spacing w:before="0" w:after="0" w:line="360" w:lineRule="auto"/>
        <w:ind w:left="420" w:leftChars="200"/>
        <w:rPr>
          <w:rFonts w:ascii="黑体" w:hAnsi="黑体" w:eastAsia="黑体"/>
          <w:sz w:val="24"/>
        </w:rPr>
      </w:pPr>
      <w:bookmarkStart w:id="170" w:name="_23.开标时间和地点"/>
      <w:bookmarkEnd w:id="170"/>
      <w:r>
        <w:rPr>
          <w:rFonts w:hint="eastAsia" w:ascii="黑体" w:hAnsi="黑体" w:eastAsia="黑体"/>
          <w:sz w:val="24"/>
        </w:rPr>
        <w:t>23.开标时间和地点</w:t>
      </w:r>
    </w:p>
    <w:p>
      <w:pPr>
        <w:spacing w:line="360" w:lineRule="auto"/>
        <w:ind w:firstLine="420" w:firstLineChars="200"/>
        <w:rPr>
          <w:rFonts w:hAnsi="宋体"/>
          <w:bCs/>
        </w:rPr>
      </w:pPr>
      <w:r>
        <w:rPr>
          <w:rFonts w:hint="eastAsia" w:hAnsi="宋体"/>
          <w:bCs/>
        </w:rPr>
        <w:t>开标时间及地点详见“投标人须知前附表”</w:t>
      </w:r>
    </w:p>
    <w:p>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24.开标程序</w:t>
      </w:r>
    </w:p>
    <w:p>
      <w:pPr>
        <w:pStyle w:val="7"/>
        <w:spacing w:line="360" w:lineRule="auto"/>
      </w:pPr>
      <w:r>
        <w:rPr>
          <w:rFonts w:hint="eastAsia"/>
        </w:rPr>
        <w:t>2</w:t>
      </w:r>
      <w:r>
        <w:t>4.1</w:t>
      </w:r>
      <w:r>
        <w:rPr>
          <w:rFonts w:hint="eastAsia"/>
        </w:rPr>
        <w:t>提交投标文件截止时间止，投标人不足3家的，不得开标。</w:t>
      </w:r>
    </w:p>
    <w:p>
      <w:pPr>
        <w:pStyle w:val="7"/>
        <w:spacing w:line="360" w:lineRule="auto"/>
      </w:pPr>
      <w:r>
        <w:rPr>
          <w:rFonts w:hint="eastAsia"/>
        </w:rPr>
        <w:t>24.</w:t>
      </w:r>
      <w:r>
        <w:t>2</w:t>
      </w:r>
      <w:r>
        <w:rPr>
          <w:rFonts w:hint="eastAsia"/>
        </w:rPr>
        <w:t>采购代理机构将按照招标文件规定的时间通过广西政府采购云平台组织线上开标活动，所有供应商均应当准时在线参加，投标人因未在线参加开标而导致投标文件无法按时解密等一切后果由投标人自己承担。</w:t>
      </w:r>
    </w:p>
    <w:p>
      <w:pPr>
        <w:pStyle w:val="7"/>
        <w:spacing w:line="360" w:lineRule="auto"/>
      </w:pPr>
      <w:r>
        <w:rPr>
          <w:rFonts w:hint="eastAsia"/>
        </w:rPr>
        <w:t>24.</w:t>
      </w:r>
      <w:r>
        <w:t>3</w:t>
      </w:r>
      <w:r>
        <w:rPr>
          <w:rFonts w:hint="eastAsia"/>
        </w:rPr>
        <w:t>开标程序</w:t>
      </w:r>
    </w:p>
    <w:p>
      <w:pPr>
        <w:pStyle w:val="7"/>
        <w:spacing w:line="360" w:lineRule="auto"/>
      </w:pPr>
      <w:r>
        <w:rPr>
          <w:rFonts w:hint="eastAsia"/>
        </w:rPr>
        <w:t>（1）解密电子投标文件。广西政府采购云平台按开标时间自动提取所有投标文件。采购代理机构依托广西政府采购云平台向各投标人发出电子加密投标文件【开始解密】通知，由投标人按</w:t>
      </w:r>
      <w:r>
        <w:rPr>
          <w:rFonts w:hint="eastAsia" w:hAnsi="宋体"/>
          <w:bCs/>
          <w:szCs w:val="21"/>
        </w:rPr>
        <w:t>“投标人须知前附表”</w:t>
      </w:r>
      <w:r>
        <w:rPr>
          <w:rFonts w:hint="eastAsia"/>
        </w:rPr>
        <w:t>规定的时间内自行进行投标文件解密。投标人的法定代表人或其委托代理人须凭加密时所用的CA锁准时登录到广西政府采购云平台电子开标大厅签到并对电子投标文件解密。</w:t>
      </w:r>
      <w:r>
        <w:rPr>
          <w:b/>
        </w:rPr>
        <w:t>投标人</w:t>
      </w:r>
      <w:r>
        <w:rPr>
          <w:rFonts w:hint="eastAsia"/>
          <w:b/>
        </w:rPr>
        <w:t>未在</w:t>
      </w:r>
      <w:r>
        <w:rPr>
          <w:b/>
        </w:rPr>
        <w:t>规定的时间内解密</w:t>
      </w:r>
      <w:r>
        <w:rPr>
          <w:rFonts w:hint="eastAsia"/>
          <w:b/>
        </w:rPr>
        <w:t>投标文件</w:t>
      </w:r>
      <w:r>
        <w:rPr>
          <w:b/>
        </w:rPr>
        <w:t>或</w:t>
      </w:r>
      <w:r>
        <w:rPr>
          <w:rFonts w:hint="eastAsia"/>
          <w:b/>
        </w:rPr>
        <w:t>者</w:t>
      </w:r>
      <w:r>
        <w:rPr>
          <w:b/>
        </w:rPr>
        <w:t>解密失败的</w:t>
      </w:r>
      <w:r>
        <w:rPr>
          <w:rFonts w:hint="eastAsia"/>
          <w:b/>
        </w:rPr>
        <w:t>，</w:t>
      </w:r>
      <w:r>
        <w:rPr>
          <w:rFonts w:hint="eastAsia" w:ascii="宋体" w:hAnsi="宋体"/>
          <w:b/>
          <w:szCs w:val="21"/>
        </w:rPr>
        <w:t>投标人的投标文件作无效处理。</w:t>
      </w:r>
    </w:p>
    <w:p>
      <w:pPr>
        <w:pStyle w:val="7"/>
        <w:spacing w:line="360" w:lineRule="auto"/>
      </w:pPr>
      <w:r>
        <w:rPr>
          <w:rFonts w:hint="eastAsia"/>
        </w:rPr>
        <w:t>（2）电子唱标。投标文件解密结束，宣布的内容均在广西政府采购云平台远程开标大厅展示，具体详见</w:t>
      </w:r>
      <w:r>
        <w:rPr>
          <w:rFonts w:hint="eastAsia" w:hAnsi="宋体"/>
          <w:bCs/>
        </w:rPr>
        <w:t>“投标人须知前附表”</w:t>
      </w:r>
      <w:r>
        <w:rPr>
          <w:rFonts w:hint="eastAsia"/>
        </w:rPr>
        <w:t>；</w:t>
      </w:r>
    </w:p>
    <w:p>
      <w:pPr>
        <w:pStyle w:val="7"/>
        <w:spacing w:line="360" w:lineRule="auto"/>
        <w:rPr>
          <w:szCs w:val="21"/>
        </w:rPr>
      </w:pPr>
      <w:r>
        <w:rPr>
          <w:rFonts w:hint="eastAsia"/>
        </w:rPr>
        <w:t>（3）开标过程由采购代理机构如实记录，并电子留痕，由参加电子开标的各投标人代表对电子开标记录在开标记录公布后15分钟内进行当</w:t>
      </w:r>
      <w:r>
        <w:rPr>
          <w:rFonts w:hint="eastAsia"/>
          <w:szCs w:val="21"/>
        </w:rPr>
        <w:t>场校核及勘误，并线上确认是否有异议，未确认的视同认可开标结果。</w:t>
      </w:r>
    </w:p>
    <w:p>
      <w:pPr>
        <w:pStyle w:val="7"/>
        <w:spacing w:line="360" w:lineRule="auto"/>
        <w:rPr>
          <w:szCs w:val="21"/>
        </w:rPr>
      </w:pPr>
      <w:r>
        <w:rPr>
          <w:rFonts w:hint="eastAsia"/>
          <w:szCs w:val="21"/>
        </w:rPr>
        <w:t>（4）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pPr>
        <w:pStyle w:val="7"/>
        <w:spacing w:line="360" w:lineRule="auto"/>
        <w:rPr>
          <w:szCs w:val="21"/>
        </w:rPr>
      </w:pPr>
      <w:r>
        <w:rPr>
          <w:rFonts w:hint="eastAsia"/>
          <w:szCs w:val="21"/>
        </w:rPr>
        <w:t>（5）开标结束。</w:t>
      </w:r>
    </w:p>
    <w:p>
      <w:pPr>
        <w:pStyle w:val="24"/>
        <w:snapToGrid w:val="0"/>
        <w:spacing w:line="360" w:lineRule="auto"/>
        <w:ind w:firstLine="420" w:firstLineChars="200"/>
        <w:rPr>
          <w:rFonts w:hAnsi="宋体"/>
          <w:sz w:val="21"/>
        </w:rPr>
      </w:pPr>
      <w:r>
        <w:rPr>
          <w:rFonts w:hint="eastAsia"/>
          <w:sz w:val="21"/>
        </w:rPr>
        <w:t>特别说明：如遇广西政府采购云平台电子化开标或评审程序调整的，按调整后执行。</w:t>
      </w:r>
    </w:p>
    <w:p>
      <w:pPr>
        <w:pStyle w:val="24"/>
        <w:snapToGrid w:val="0"/>
        <w:spacing w:line="360" w:lineRule="auto"/>
        <w:ind w:left="689" w:leftChars="228" w:hanging="210" w:hangingChars="100"/>
        <w:rPr>
          <w:rFonts w:hAnsi="宋体"/>
          <w:sz w:val="21"/>
        </w:rPr>
      </w:pPr>
    </w:p>
    <w:p>
      <w:pPr>
        <w:pStyle w:val="4"/>
        <w:keepNext w:val="0"/>
        <w:keepLines w:val="0"/>
        <w:jc w:val="center"/>
      </w:pPr>
      <w:r>
        <w:rPr>
          <w:rFonts w:hint="eastAsia"/>
        </w:rPr>
        <w:t>五、资格审查</w:t>
      </w:r>
    </w:p>
    <w:p>
      <w:pPr>
        <w:pStyle w:val="6"/>
        <w:keepNext w:val="0"/>
        <w:keepLines w:val="0"/>
        <w:spacing w:before="0" w:after="0" w:line="400" w:lineRule="exact"/>
        <w:ind w:left="420" w:leftChars="200"/>
        <w:rPr>
          <w:rFonts w:ascii="黑体" w:hAnsi="黑体" w:eastAsia="黑体"/>
          <w:sz w:val="24"/>
        </w:rPr>
      </w:pPr>
      <w:r>
        <w:rPr>
          <w:rFonts w:hint="eastAsia" w:ascii="黑体" w:hAnsi="黑体" w:eastAsia="黑体"/>
          <w:sz w:val="24"/>
        </w:rPr>
        <w:t>25.资格审查</w:t>
      </w:r>
    </w:p>
    <w:p>
      <w:pPr>
        <w:pStyle w:val="6"/>
        <w:keepNext w:val="0"/>
        <w:keepLines w:val="0"/>
        <w:spacing w:before="0" w:after="0" w:line="400" w:lineRule="exact"/>
        <w:ind w:firstLine="315" w:firstLineChars="150"/>
        <w:rPr>
          <w:rFonts w:ascii="宋体" w:hAnsi="宋体"/>
          <w:b w:val="0"/>
          <w:sz w:val="21"/>
          <w:szCs w:val="21"/>
        </w:rPr>
      </w:pPr>
      <w:r>
        <w:rPr>
          <w:rFonts w:hint="eastAsia" w:ascii="宋体" w:hAnsi="宋体"/>
          <w:b w:val="0"/>
          <w:sz w:val="21"/>
          <w:szCs w:val="21"/>
        </w:rPr>
        <w:t xml:space="preserve"> 25.1</w:t>
      </w:r>
      <w:r>
        <w:rPr>
          <w:rFonts w:ascii="宋体" w:hAnsi="宋体"/>
          <w:b w:val="0"/>
          <w:sz w:val="21"/>
          <w:szCs w:val="21"/>
        </w:rPr>
        <w:t>开标结束后，</w:t>
      </w:r>
      <w:r>
        <w:rPr>
          <w:rFonts w:hint="eastAsia" w:ascii="宋体" w:hAnsi="宋体"/>
          <w:b w:val="0"/>
          <w:sz w:val="21"/>
          <w:szCs w:val="21"/>
        </w:rPr>
        <w:t>采购人或者采购代理机构通过电子开评标系统依据招标文件对电子投标文件进行线上资格审查</w:t>
      </w:r>
      <w:r>
        <w:rPr>
          <w:rFonts w:ascii="宋体" w:hAnsi="宋体"/>
          <w:b w:val="0"/>
          <w:sz w:val="21"/>
          <w:szCs w:val="21"/>
        </w:rPr>
        <w:t>。</w:t>
      </w:r>
    </w:p>
    <w:p>
      <w:pPr>
        <w:pStyle w:val="6"/>
        <w:keepNext w:val="0"/>
        <w:keepLines w:val="0"/>
        <w:spacing w:before="0" w:after="0" w:line="400" w:lineRule="exact"/>
        <w:ind w:firstLine="315" w:firstLineChars="150"/>
        <w:rPr>
          <w:rFonts w:ascii="宋体" w:hAnsi="宋体"/>
          <w:b w:val="0"/>
          <w:sz w:val="21"/>
          <w:szCs w:val="21"/>
        </w:rPr>
      </w:pPr>
      <w:r>
        <w:rPr>
          <w:rFonts w:hint="eastAsia" w:ascii="宋体" w:hAnsi="宋体"/>
          <w:b w:val="0"/>
          <w:sz w:val="21"/>
          <w:szCs w:val="21"/>
        </w:rPr>
        <w:t xml:space="preserve"> 25.2资格审查标准为本招标文件中载明对投标人资格要求的条件。本项目资格审查采用合格制，凡符合招标文件规定的投标人资格要求的投标人均通过资格审查。</w:t>
      </w:r>
    </w:p>
    <w:p>
      <w:pPr>
        <w:pStyle w:val="6"/>
        <w:keepNext w:val="0"/>
        <w:keepLines w:val="0"/>
        <w:numPr>
          <w:ilvl w:val="0"/>
          <w:numId w:val="0"/>
        </w:numPr>
        <w:spacing w:before="0" w:after="0" w:line="400" w:lineRule="exact"/>
        <w:ind w:firstLine="422" w:firstLineChars="200"/>
        <w:rPr>
          <w:rFonts w:ascii="宋体" w:hAnsi="宋体"/>
          <w:sz w:val="21"/>
          <w:szCs w:val="21"/>
        </w:rPr>
      </w:pPr>
      <w:bookmarkStart w:id="171" w:name="_25.3_投标人有下列情形之一的，资格审查不通过而导致其投标无效："/>
      <w:bookmarkEnd w:id="171"/>
      <w:r>
        <w:rPr>
          <w:rFonts w:hint="eastAsia" w:ascii="宋体" w:hAnsi="宋体"/>
          <w:sz w:val="21"/>
          <w:szCs w:val="21"/>
        </w:rPr>
        <w:t>25.3 投标人有下列情形之一的，资格审查不通过，作无效投标处理：</w:t>
      </w:r>
    </w:p>
    <w:p>
      <w:pPr>
        <w:pStyle w:val="24"/>
        <w:snapToGrid w:val="0"/>
        <w:spacing w:line="400" w:lineRule="exact"/>
        <w:ind w:firstLine="422" w:firstLineChars="200"/>
        <w:rPr>
          <w:rFonts w:hAnsi="宋体"/>
          <w:b/>
          <w:sz w:val="21"/>
        </w:rPr>
      </w:pPr>
      <w:r>
        <w:rPr>
          <w:rFonts w:hint="eastAsia" w:hAnsi="宋体"/>
          <w:b/>
          <w:sz w:val="21"/>
        </w:rPr>
        <w:t>（1）不具备招标文件中规定的资格要求的；</w:t>
      </w:r>
    </w:p>
    <w:p>
      <w:pPr>
        <w:pStyle w:val="24"/>
        <w:snapToGrid w:val="0"/>
        <w:spacing w:line="400" w:lineRule="exact"/>
        <w:ind w:firstLine="422" w:firstLineChars="200"/>
        <w:rPr>
          <w:rFonts w:hAnsi="宋体"/>
          <w:b/>
          <w:sz w:val="21"/>
        </w:rPr>
      </w:pPr>
      <w:r>
        <w:rPr>
          <w:rFonts w:hint="eastAsia" w:hAnsi="宋体"/>
          <w:b/>
          <w:sz w:val="21"/>
        </w:rPr>
        <w:t>（2）在“信用中国”网站（www.creditchina.gov.cn）、中国政府采购网（www.ccgp.gov.cn）被列入失信被执行人、重大税收违法失信主体、政府采购严重违法失信行为记录名单及其他不符合《中华人民共和国政府采购法》第二十二条规定条件的；（注：其中信用查询规则见“投标人须知前附表”）</w:t>
      </w:r>
    </w:p>
    <w:p>
      <w:pPr>
        <w:pStyle w:val="24"/>
        <w:snapToGrid w:val="0"/>
        <w:spacing w:line="400" w:lineRule="exact"/>
        <w:ind w:firstLine="422" w:firstLineChars="200"/>
        <w:rPr>
          <w:rFonts w:hAnsi="宋体"/>
          <w:b/>
          <w:sz w:val="21"/>
        </w:rPr>
      </w:pPr>
      <w:r>
        <w:rPr>
          <w:rFonts w:hint="eastAsia" w:hAnsi="宋体"/>
          <w:b/>
          <w:sz w:val="21"/>
        </w:rPr>
        <w:t>（3）同一合同项下的不同投标人，单位负责人为同一人或者存在直接控股、管理关系的；为本项目提供过整体设计、规范编制或者项目管理、监理、检测等服务的供应商，再参加该采购项目的其他采购活动的；</w:t>
      </w:r>
    </w:p>
    <w:p>
      <w:pPr>
        <w:pStyle w:val="24"/>
        <w:snapToGrid w:val="0"/>
        <w:spacing w:line="400" w:lineRule="exact"/>
        <w:ind w:firstLine="422" w:firstLineChars="200"/>
        <w:rPr>
          <w:rFonts w:hAnsi="宋体"/>
          <w:b/>
          <w:sz w:val="21"/>
        </w:rPr>
      </w:pPr>
      <w:r>
        <w:rPr>
          <w:rFonts w:hint="eastAsia" w:hAnsi="宋体"/>
          <w:b/>
          <w:sz w:val="21"/>
        </w:rPr>
        <w:t>（4）投标文件中的资格证明文件缺少任一项“投标人须知前附表”资格证明文件规定“必须提供”的文件资料的；</w:t>
      </w:r>
    </w:p>
    <w:p>
      <w:pPr>
        <w:pStyle w:val="24"/>
        <w:snapToGrid w:val="0"/>
        <w:spacing w:line="400" w:lineRule="exact"/>
        <w:ind w:firstLine="422" w:firstLineChars="200"/>
        <w:rPr>
          <w:rFonts w:hAnsi="宋体"/>
          <w:b/>
          <w:sz w:val="21"/>
        </w:rPr>
      </w:pPr>
      <w:r>
        <w:rPr>
          <w:rFonts w:hint="eastAsia" w:hAnsi="宋体"/>
          <w:b/>
          <w:sz w:val="21"/>
        </w:rPr>
        <w:t>（5）投标文件中的资格证明文件出现任一项不符合“投标人须知前附表”资格证明文件规定“必须提供”的文件资料要求或者无效的。</w:t>
      </w:r>
    </w:p>
    <w:p>
      <w:pPr>
        <w:pStyle w:val="6"/>
        <w:keepNext w:val="0"/>
        <w:keepLines w:val="0"/>
        <w:snapToGrid w:val="0"/>
        <w:spacing w:before="0" w:after="0" w:line="400" w:lineRule="exact"/>
        <w:ind w:left="690" w:leftChars="228" w:hanging="211" w:hangingChars="100"/>
        <w:rPr>
          <w:rFonts w:ascii="宋体" w:hAnsi="宋体"/>
          <w:sz w:val="21"/>
          <w:szCs w:val="21"/>
        </w:rPr>
      </w:pPr>
      <w:r>
        <w:rPr>
          <w:rFonts w:hint="eastAsia" w:ascii="宋体" w:hAnsi="宋体"/>
          <w:sz w:val="21"/>
          <w:szCs w:val="21"/>
        </w:rPr>
        <w:t>25.4</w:t>
      </w:r>
      <w:r>
        <w:rPr>
          <w:rFonts w:ascii="宋体" w:hAnsi="宋体"/>
          <w:sz w:val="21"/>
          <w:szCs w:val="21"/>
        </w:rPr>
        <w:t>合格投标人不足3家的，不得评标。</w:t>
      </w:r>
    </w:p>
    <w:p>
      <w:pPr>
        <w:pStyle w:val="7"/>
      </w:pPr>
    </w:p>
    <w:p>
      <w:pPr>
        <w:pStyle w:val="4"/>
        <w:keepNext w:val="0"/>
        <w:keepLines w:val="0"/>
        <w:jc w:val="center"/>
      </w:pPr>
      <w:r>
        <w:rPr>
          <w:rFonts w:hint="eastAsia"/>
        </w:rPr>
        <w:t>六、评   标</w:t>
      </w:r>
    </w:p>
    <w:p>
      <w:pPr>
        <w:pStyle w:val="6"/>
        <w:keepNext w:val="0"/>
        <w:keepLines w:val="0"/>
        <w:spacing w:before="0" w:after="0" w:line="400" w:lineRule="exact"/>
        <w:ind w:left="420" w:leftChars="200"/>
        <w:rPr>
          <w:rFonts w:ascii="黑体" w:hAnsi="黑体" w:eastAsia="黑体"/>
          <w:sz w:val="24"/>
        </w:rPr>
      </w:pPr>
      <w:bookmarkStart w:id="172" w:name="_26.组建评标委员会"/>
      <w:bookmarkEnd w:id="172"/>
      <w:r>
        <w:rPr>
          <w:rFonts w:hint="eastAsia" w:ascii="黑体" w:hAnsi="黑体" w:eastAsia="黑体"/>
          <w:sz w:val="24"/>
        </w:rPr>
        <w:t>26.组建评标委员会</w:t>
      </w:r>
    </w:p>
    <w:p>
      <w:pPr>
        <w:pStyle w:val="24"/>
        <w:snapToGrid w:val="0"/>
        <w:spacing w:line="400" w:lineRule="exact"/>
        <w:ind w:firstLine="420" w:firstLineChars="200"/>
        <w:rPr>
          <w:rFonts w:hAnsi="宋体"/>
          <w:sz w:val="21"/>
        </w:rPr>
      </w:pPr>
      <w:r>
        <w:rPr>
          <w:rFonts w:hint="eastAsia" w:hAnsi="宋体"/>
          <w:sz w:val="21"/>
        </w:rPr>
        <w:t>26.1评标委员会由采购人代表和评审专家组成，具体人数详见“投标人须知前附表”，其中评审专家不得少于成员总数的三分之二。</w:t>
      </w:r>
    </w:p>
    <w:p>
      <w:pPr>
        <w:pStyle w:val="24"/>
        <w:snapToGrid w:val="0"/>
        <w:spacing w:line="400" w:lineRule="exact"/>
        <w:ind w:left="2" w:leftChars="1" w:firstLine="420" w:firstLineChars="200"/>
        <w:rPr>
          <w:rFonts w:hAnsi="宋体"/>
          <w:sz w:val="21"/>
        </w:rPr>
      </w:pPr>
      <w:r>
        <w:rPr>
          <w:rFonts w:hint="eastAsia" w:hAnsi="宋体"/>
          <w:sz w:val="21"/>
        </w:rPr>
        <w:t>26.2参加过采购项目前期咨询论证的专家，不得参加该采购项目的评审活动。</w:t>
      </w:r>
    </w:p>
    <w:p>
      <w:pPr>
        <w:pStyle w:val="24"/>
        <w:snapToGrid w:val="0"/>
        <w:spacing w:line="400" w:lineRule="exact"/>
        <w:ind w:left="2" w:leftChars="1" w:firstLine="420" w:firstLineChars="200"/>
        <w:rPr>
          <w:rFonts w:hAnsi="宋体"/>
          <w:sz w:val="21"/>
        </w:rPr>
      </w:pPr>
      <w:r>
        <w:rPr>
          <w:rFonts w:hint="eastAsia" w:hAnsi="宋体"/>
          <w:sz w:val="21"/>
        </w:rPr>
        <w:t>26.3</w:t>
      </w:r>
      <w:r>
        <w:rPr>
          <w:rFonts w:hint="eastAsia" w:hAnsi="宋体"/>
          <w:bCs/>
          <w:sz w:val="21"/>
        </w:rPr>
        <w:t>采购代理机构应当基于广西政府采购云平台抽（选）取评审专家。</w:t>
      </w:r>
    </w:p>
    <w:p>
      <w:pPr>
        <w:pStyle w:val="6"/>
        <w:keepNext w:val="0"/>
        <w:keepLines w:val="0"/>
        <w:spacing w:before="0" w:after="0" w:line="400" w:lineRule="exact"/>
        <w:ind w:left="420" w:leftChars="200"/>
        <w:rPr>
          <w:rFonts w:ascii="黑体" w:hAnsi="黑体" w:eastAsia="黑体"/>
          <w:sz w:val="24"/>
        </w:rPr>
      </w:pPr>
      <w:r>
        <w:rPr>
          <w:rFonts w:hint="eastAsia" w:ascii="黑体" w:hAnsi="黑体" w:eastAsia="黑体"/>
          <w:sz w:val="24"/>
        </w:rPr>
        <w:t>27.评标的依据</w:t>
      </w:r>
    </w:p>
    <w:p>
      <w:pPr>
        <w:pStyle w:val="24"/>
        <w:snapToGrid w:val="0"/>
        <w:spacing w:line="400" w:lineRule="exact"/>
        <w:ind w:firstLine="420" w:firstLineChars="200"/>
        <w:rPr>
          <w:rFonts w:hAnsi="宋体"/>
          <w:sz w:val="21"/>
        </w:rPr>
      </w:pPr>
      <w:r>
        <w:rPr>
          <w:rFonts w:hint="eastAsia" w:hAnsi="宋体"/>
          <w:sz w:val="21"/>
        </w:rPr>
        <w:t>评标委员会以</w:t>
      </w:r>
      <w:r>
        <w:rPr>
          <w:rFonts w:hint="eastAsia" w:hAnsi="宋体" w:cs="宋体"/>
          <w:sz w:val="21"/>
        </w:rPr>
        <w:t>“第四章 评标方法和评标标准”</w:t>
      </w:r>
      <w:r>
        <w:rPr>
          <w:rFonts w:hint="eastAsia" w:hAnsi="宋体"/>
          <w:sz w:val="21"/>
        </w:rPr>
        <w:t>为依据对投标文件进行评审，</w:t>
      </w:r>
      <w:r>
        <w:rPr>
          <w:rFonts w:hAnsi="宋体"/>
          <w:sz w:val="21"/>
        </w:rPr>
        <w:t>没有规定的方法、评审因素和标准，不作为评标依据。</w:t>
      </w:r>
    </w:p>
    <w:p>
      <w:pPr>
        <w:pStyle w:val="6"/>
        <w:keepNext w:val="0"/>
        <w:keepLines w:val="0"/>
        <w:spacing w:before="0" w:after="0" w:line="400" w:lineRule="exact"/>
        <w:ind w:left="420" w:leftChars="200"/>
        <w:rPr>
          <w:rFonts w:ascii="黑体" w:hAnsi="黑体" w:eastAsia="黑体"/>
          <w:sz w:val="24"/>
        </w:rPr>
      </w:pPr>
      <w:r>
        <w:rPr>
          <w:rFonts w:hint="eastAsia" w:ascii="黑体" w:hAnsi="黑体" w:eastAsia="黑体"/>
          <w:sz w:val="24"/>
        </w:rPr>
        <w:t>28.评标原则</w:t>
      </w:r>
    </w:p>
    <w:p>
      <w:pPr>
        <w:pStyle w:val="24"/>
        <w:snapToGrid w:val="0"/>
        <w:spacing w:line="400" w:lineRule="exact"/>
        <w:ind w:firstLine="420" w:firstLineChars="200"/>
        <w:rPr>
          <w:rFonts w:hAnsi="宋体"/>
          <w:sz w:val="21"/>
        </w:rPr>
      </w:pPr>
      <w:r>
        <w:rPr>
          <w:rFonts w:hint="eastAsia" w:hAnsi="宋体"/>
          <w:sz w:val="21"/>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pPr>
        <w:pStyle w:val="24"/>
        <w:snapToGrid w:val="0"/>
        <w:spacing w:line="400" w:lineRule="exact"/>
        <w:ind w:firstLine="420" w:firstLineChars="200"/>
        <w:rPr>
          <w:rFonts w:hAnsi="宋体"/>
          <w:sz w:val="21"/>
        </w:rPr>
      </w:pPr>
      <w:r>
        <w:rPr>
          <w:rFonts w:hint="eastAsia" w:hAnsi="宋体"/>
          <w:sz w:val="21"/>
        </w:rPr>
        <w:t>28.2</w:t>
      </w:r>
      <w:bookmarkStart w:id="173" w:name="_28.3评标方法。本项目将按须知前附表规定的评标办法进行评标，具体评标"/>
      <w:bookmarkEnd w:id="173"/>
      <w:r>
        <w:rPr>
          <w:rFonts w:hint="eastAsia" w:hAnsi="宋体"/>
          <w:sz w:val="21"/>
        </w:rPr>
        <w:t>评委表决。评标委员会成员对需要共同认定的事项存在争议的，应当按照少数服从多数的原则作出结论。</w:t>
      </w:r>
    </w:p>
    <w:p>
      <w:pPr>
        <w:pStyle w:val="24"/>
        <w:snapToGrid w:val="0"/>
        <w:spacing w:line="400" w:lineRule="exact"/>
        <w:ind w:firstLine="420" w:firstLineChars="200"/>
        <w:rPr>
          <w:rFonts w:hAnsi="宋体"/>
          <w:sz w:val="21"/>
        </w:rPr>
      </w:pPr>
      <w:r>
        <w:rPr>
          <w:rFonts w:hint="eastAsia" w:hAnsi="宋体"/>
          <w:sz w:val="21"/>
        </w:rPr>
        <w:t>28.</w:t>
      </w:r>
      <w:r>
        <w:rPr>
          <w:rFonts w:hAnsi="宋体"/>
          <w:sz w:val="21"/>
        </w:rPr>
        <w:t>3</w:t>
      </w:r>
      <w:r>
        <w:rPr>
          <w:rFonts w:hint="eastAsia" w:hAnsi="宋体"/>
          <w:sz w:val="21"/>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pPr>
        <w:pStyle w:val="24"/>
        <w:snapToGrid w:val="0"/>
        <w:spacing w:line="400" w:lineRule="exact"/>
        <w:ind w:firstLine="420" w:firstLineChars="200"/>
        <w:rPr>
          <w:rFonts w:hAnsi="宋体"/>
          <w:sz w:val="21"/>
        </w:rPr>
      </w:pPr>
      <w:r>
        <w:rPr>
          <w:rFonts w:hint="eastAsia" w:hAnsi="宋体"/>
          <w:sz w:val="21"/>
        </w:rPr>
        <w:t>2</w:t>
      </w:r>
      <w:r>
        <w:rPr>
          <w:rFonts w:hAnsi="宋体"/>
          <w:sz w:val="21"/>
        </w:rPr>
        <w:t>8.4</w:t>
      </w:r>
      <w:r>
        <w:rPr>
          <w:rFonts w:hint="eastAsia" w:hAnsi="宋体"/>
          <w:sz w:val="21"/>
        </w:rPr>
        <w:t>评标过程的监控。本项目电子评标过程实行网上留痕、全程录音、录像监控，</w:t>
      </w:r>
      <w:r>
        <w:rPr>
          <w:rFonts w:hint="eastAsia" w:hAnsi="宋体"/>
          <w:b/>
          <w:sz w:val="21"/>
        </w:rPr>
        <w:t>投标人在评标过程中所进行的试图影响评标结果的不公正活动，可能导致其投标按无效处理。</w:t>
      </w:r>
    </w:p>
    <w:p>
      <w:pPr>
        <w:pStyle w:val="6"/>
        <w:keepNext w:val="0"/>
        <w:keepLines w:val="0"/>
        <w:spacing w:before="0" w:after="0" w:line="400" w:lineRule="exact"/>
        <w:ind w:left="420" w:leftChars="200"/>
        <w:rPr>
          <w:rFonts w:ascii="黑体" w:hAnsi="黑体" w:eastAsia="黑体"/>
          <w:sz w:val="21"/>
          <w:szCs w:val="21"/>
        </w:rPr>
      </w:pPr>
      <w:r>
        <w:rPr>
          <w:rFonts w:hint="eastAsia" w:ascii="黑体" w:hAnsi="黑体" w:eastAsia="黑体"/>
          <w:sz w:val="21"/>
          <w:szCs w:val="21"/>
        </w:rPr>
        <w:t>29.评标方法及中标候选人推荐</w:t>
      </w:r>
    </w:p>
    <w:p>
      <w:pPr>
        <w:pStyle w:val="24"/>
        <w:snapToGrid w:val="0"/>
        <w:spacing w:line="400" w:lineRule="exact"/>
        <w:ind w:firstLine="420" w:firstLineChars="200"/>
        <w:rPr>
          <w:rFonts w:hAnsi="宋体"/>
          <w:sz w:val="21"/>
        </w:rPr>
      </w:pPr>
      <w:r>
        <w:rPr>
          <w:rFonts w:hint="eastAsia" w:hAnsi="宋体"/>
          <w:sz w:val="21"/>
        </w:rPr>
        <w:t>2</w:t>
      </w:r>
      <w:r>
        <w:rPr>
          <w:rFonts w:hAnsi="宋体"/>
          <w:sz w:val="21"/>
        </w:rPr>
        <w:t>9.1</w:t>
      </w:r>
      <w:r>
        <w:rPr>
          <w:rFonts w:hint="eastAsia" w:hAnsi="宋体"/>
          <w:sz w:val="21"/>
        </w:rPr>
        <w:t>本项目的评标方法详见“投标人须知前附表”。</w:t>
      </w:r>
    </w:p>
    <w:p>
      <w:pPr>
        <w:pStyle w:val="24"/>
        <w:snapToGrid w:val="0"/>
        <w:spacing w:line="400" w:lineRule="exact"/>
        <w:ind w:firstLine="420" w:firstLineChars="200"/>
        <w:rPr>
          <w:rFonts w:hAnsi="宋体"/>
          <w:sz w:val="21"/>
        </w:rPr>
      </w:pPr>
      <w:r>
        <w:rPr>
          <w:rFonts w:hint="eastAsia" w:hAnsi="宋体"/>
          <w:sz w:val="21"/>
        </w:rPr>
        <w:t>2</w:t>
      </w:r>
      <w:r>
        <w:rPr>
          <w:rFonts w:hAnsi="宋体"/>
          <w:sz w:val="21"/>
        </w:rPr>
        <w:t>9.2</w:t>
      </w:r>
      <w:r>
        <w:rPr>
          <w:rFonts w:hAnsi="宋体" w:cs="宋体"/>
          <w:sz w:val="21"/>
        </w:rPr>
        <w:t xml:space="preserve"> </w:t>
      </w:r>
      <w:r>
        <w:rPr>
          <w:rFonts w:hint="eastAsia" w:hAnsi="宋体" w:cs="宋体"/>
          <w:sz w:val="21"/>
        </w:rPr>
        <w:t>商务/技术要求</w:t>
      </w:r>
      <w:r>
        <w:rPr>
          <w:rFonts w:hint="eastAsia" w:hAnsi="宋体"/>
          <w:sz w:val="21"/>
        </w:rPr>
        <w:t>允许负偏离的条款数</w:t>
      </w:r>
      <w:r>
        <w:rPr>
          <w:rFonts w:hAnsi="宋体"/>
          <w:sz w:val="21"/>
        </w:rPr>
        <w:t>详见</w:t>
      </w:r>
      <w:r>
        <w:rPr>
          <w:rFonts w:hint="eastAsia" w:hAnsi="宋体"/>
          <w:sz w:val="21"/>
        </w:rPr>
        <w:t>“投标人须知前附表”。</w:t>
      </w:r>
    </w:p>
    <w:p>
      <w:pPr>
        <w:pStyle w:val="24"/>
        <w:snapToGrid w:val="0"/>
        <w:spacing w:line="400" w:lineRule="exact"/>
        <w:ind w:firstLine="420" w:firstLineChars="200"/>
        <w:rPr>
          <w:rFonts w:hAnsi="宋体" w:cs="宋体"/>
          <w:sz w:val="21"/>
        </w:rPr>
      </w:pPr>
      <w:r>
        <w:rPr>
          <w:rFonts w:hint="eastAsia" w:hAnsi="宋体"/>
          <w:sz w:val="21"/>
        </w:rPr>
        <w:t>2</w:t>
      </w:r>
      <w:r>
        <w:rPr>
          <w:rFonts w:hAnsi="宋体"/>
          <w:sz w:val="21"/>
        </w:rPr>
        <w:t>9.3</w:t>
      </w:r>
      <w:r>
        <w:rPr>
          <w:rFonts w:hAnsi="宋体" w:cs="宋体"/>
          <w:sz w:val="21"/>
        </w:rPr>
        <w:t xml:space="preserve"> </w:t>
      </w:r>
      <w:r>
        <w:rPr>
          <w:rFonts w:hAnsi="宋体"/>
          <w:sz w:val="21"/>
        </w:rPr>
        <w:t>中标候选人推荐数量详见</w:t>
      </w:r>
      <w:r>
        <w:rPr>
          <w:rFonts w:hint="eastAsia" w:hAnsi="宋体"/>
          <w:sz w:val="21"/>
        </w:rPr>
        <w:t>“投标人须知前附表”。</w:t>
      </w:r>
    </w:p>
    <w:p>
      <w:pPr>
        <w:spacing w:line="400" w:lineRule="exact"/>
        <w:ind w:firstLine="420" w:firstLineChars="200"/>
        <w:rPr>
          <w:rFonts w:hAnsi="宋体"/>
          <w:szCs w:val="21"/>
        </w:rPr>
      </w:pPr>
      <w:r>
        <w:rPr>
          <w:rFonts w:hint="eastAsia" w:hAnsi="宋体"/>
          <w:szCs w:val="21"/>
        </w:rPr>
        <w:t>29.</w:t>
      </w:r>
      <w:r>
        <w:rPr>
          <w:rFonts w:hAnsi="宋体"/>
          <w:szCs w:val="21"/>
        </w:rPr>
        <w:t>4</w:t>
      </w:r>
      <w:r>
        <w:rPr>
          <w:rFonts w:hint="eastAsia" w:hAnsi="宋体"/>
          <w:szCs w:val="21"/>
        </w:rPr>
        <w:t xml:space="preserve"> 电子交易活动的中止。采购过程中出现以下情形，导致电子交易平台无法正常运行，或者无法保证电子交易的公平、公正和安全时，采购代理机构可以中止电子交易活动：</w:t>
      </w:r>
    </w:p>
    <w:p>
      <w:pPr>
        <w:spacing w:line="400" w:lineRule="exact"/>
        <w:ind w:firstLine="420" w:firstLineChars="200"/>
        <w:rPr>
          <w:rFonts w:hAnsi="宋体"/>
          <w:szCs w:val="21"/>
        </w:rPr>
      </w:pPr>
      <w:r>
        <w:rPr>
          <w:rFonts w:hint="eastAsia" w:hAnsi="宋体"/>
          <w:szCs w:val="21"/>
        </w:rPr>
        <w:t xml:space="preserve">（1）电子交易平台发生故障而无法登录访问的； </w:t>
      </w:r>
    </w:p>
    <w:p>
      <w:pPr>
        <w:spacing w:line="400" w:lineRule="exact"/>
        <w:ind w:firstLine="420" w:firstLineChars="200"/>
        <w:rPr>
          <w:rFonts w:hAnsi="宋体"/>
          <w:szCs w:val="21"/>
        </w:rPr>
      </w:pPr>
      <w:r>
        <w:rPr>
          <w:rFonts w:hint="eastAsia" w:hAnsi="宋体"/>
          <w:szCs w:val="21"/>
        </w:rPr>
        <w:t>（2）电子交易平台应用或数据库出现错误，不能进行正常操作的；</w:t>
      </w:r>
    </w:p>
    <w:p>
      <w:pPr>
        <w:spacing w:line="400" w:lineRule="exact"/>
        <w:ind w:firstLine="420" w:firstLineChars="200"/>
        <w:rPr>
          <w:rFonts w:hAnsi="宋体"/>
          <w:szCs w:val="21"/>
        </w:rPr>
      </w:pPr>
      <w:r>
        <w:rPr>
          <w:rFonts w:hint="eastAsia" w:hAnsi="宋体"/>
          <w:szCs w:val="21"/>
        </w:rPr>
        <w:t>（3）电子交易平台发现严重安全漏洞，有潜在泄密危险的；</w:t>
      </w:r>
    </w:p>
    <w:p>
      <w:pPr>
        <w:spacing w:line="400" w:lineRule="exact"/>
        <w:ind w:firstLine="420" w:firstLineChars="200"/>
        <w:rPr>
          <w:rFonts w:hAnsi="宋体"/>
          <w:szCs w:val="21"/>
        </w:rPr>
      </w:pPr>
      <w:r>
        <w:rPr>
          <w:rFonts w:hint="eastAsia" w:hAnsi="宋体"/>
          <w:szCs w:val="21"/>
        </w:rPr>
        <w:t xml:space="preserve">（4）病毒发作导致不能进行正常操作的； </w:t>
      </w:r>
    </w:p>
    <w:p>
      <w:pPr>
        <w:spacing w:line="400" w:lineRule="exact"/>
        <w:ind w:firstLine="420" w:firstLineChars="200"/>
        <w:rPr>
          <w:rFonts w:hAnsi="宋体"/>
          <w:szCs w:val="21"/>
        </w:rPr>
      </w:pPr>
      <w:r>
        <w:rPr>
          <w:rFonts w:hint="eastAsia" w:hAnsi="宋体"/>
          <w:szCs w:val="21"/>
        </w:rPr>
        <w:t>（5）其他无法保证电子交易的公平、公正和安全的情况。</w:t>
      </w:r>
    </w:p>
    <w:p>
      <w:pPr>
        <w:spacing w:line="400" w:lineRule="exact"/>
        <w:ind w:firstLine="420" w:firstLineChars="200"/>
        <w:rPr>
          <w:rFonts w:hAnsi="宋体"/>
          <w:szCs w:val="21"/>
        </w:rPr>
      </w:pPr>
      <w:r>
        <w:rPr>
          <w:rFonts w:hint="eastAsia" w:hAnsi="宋体"/>
          <w:szCs w:val="21"/>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p>
    <w:p>
      <w:pPr>
        <w:spacing w:line="400" w:lineRule="exact"/>
        <w:ind w:firstLine="420" w:firstLineChars="200"/>
        <w:rPr>
          <w:rFonts w:hAnsi="宋体"/>
        </w:rPr>
      </w:pPr>
      <w:r>
        <w:rPr>
          <w:rFonts w:hint="eastAsia" w:hAnsi="宋体"/>
        </w:rPr>
        <w:t>29.5出现下列情形之一的，应予废标：</w:t>
      </w:r>
    </w:p>
    <w:p>
      <w:pPr>
        <w:spacing w:line="400" w:lineRule="exact"/>
        <w:ind w:firstLine="420" w:firstLineChars="200"/>
        <w:rPr>
          <w:rFonts w:hAnsi="宋体"/>
        </w:rPr>
      </w:pPr>
      <w:r>
        <w:rPr>
          <w:rFonts w:hint="eastAsia" w:hAnsi="宋体"/>
        </w:rPr>
        <w:t>（1）符合专业条件的供应商或者对招标文件作实质响应的供应商不足三家的；</w:t>
      </w:r>
    </w:p>
    <w:p>
      <w:pPr>
        <w:spacing w:line="400" w:lineRule="exact"/>
        <w:ind w:firstLine="420" w:firstLineChars="200"/>
        <w:rPr>
          <w:rFonts w:hAnsi="宋体"/>
        </w:rPr>
      </w:pPr>
      <w:r>
        <w:rPr>
          <w:rFonts w:hint="eastAsia" w:hAnsi="宋体"/>
        </w:rPr>
        <w:t>（2）出现影响采购公正的违法、违规行为的；</w:t>
      </w:r>
    </w:p>
    <w:p>
      <w:pPr>
        <w:spacing w:line="400" w:lineRule="exact"/>
        <w:ind w:firstLine="420" w:firstLineChars="200"/>
        <w:rPr>
          <w:rFonts w:hAnsi="宋体"/>
        </w:rPr>
      </w:pPr>
      <w:r>
        <w:rPr>
          <w:rFonts w:hint="eastAsia" w:hAnsi="宋体"/>
        </w:rPr>
        <w:t>（3）投标人的报价均超过了采购预算，采购人不能支付的；</w:t>
      </w:r>
    </w:p>
    <w:p>
      <w:pPr>
        <w:spacing w:line="400" w:lineRule="exact"/>
        <w:ind w:firstLine="420" w:firstLineChars="200"/>
        <w:rPr>
          <w:rFonts w:hAnsi="宋体"/>
        </w:rPr>
      </w:pPr>
      <w:r>
        <w:rPr>
          <w:rFonts w:hint="eastAsia" w:hAnsi="宋体"/>
        </w:rPr>
        <w:t>（4）因重大变故，采购任务取消的。</w:t>
      </w:r>
    </w:p>
    <w:p>
      <w:pPr>
        <w:spacing w:line="400" w:lineRule="exact"/>
        <w:ind w:firstLine="420" w:firstLineChars="200"/>
        <w:rPr>
          <w:rFonts w:hAnsi="宋体"/>
        </w:rPr>
      </w:pPr>
      <w:r>
        <w:rPr>
          <w:rFonts w:hint="eastAsia" w:hAnsi="宋体"/>
        </w:rPr>
        <w:t>废标后，采购人应当将废标理由通知所有投标人。</w:t>
      </w:r>
    </w:p>
    <w:p>
      <w:pPr>
        <w:pStyle w:val="4"/>
        <w:keepNext w:val="0"/>
        <w:keepLines w:val="0"/>
        <w:jc w:val="center"/>
      </w:pPr>
      <w:bookmarkStart w:id="174" w:name="_Toc254970546"/>
      <w:bookmarkStart w:id="175" w:name="_Toc254970687"/>
    </w:p>
    <w:p>
      <w:pPr>
        <w:pStyle w:val="4"/>
        <w:keepNext w:val="0"/>
        <w:keepLines w:val="0"/>
        <w:jc w:val="center"/>
      </w:pPr>
      <w:r>
        <w:rPr>
          <w:rFonts w:hint="eastAsia"/>
        </w:rPr>
        <w:t>七、</w:t>
      </w:r>
      <w:bookmarkEnd w:id="174"/>
      <w:bookmarkEnd w:id="175"/>
      <w:r>
        <w:rPr>
          <w:rFonts w:hint="eastAsia"/>
        </w:rPr>
        <w:t>中标和合同</w:t>
      </w:r>
    </w:p>
    <w:p>
      <w:pPr>
        <w:pStyle w:val="6"/>
        <w:keepNext w:val="0"/>
        <w:keepLines w:val="0"/>
        <w:spacing w:before="0" w:after="0" w:line="400" w:lineRule="exact"/>
        <w:ind w:left="420" w:leftChars="200"/>
        <w:rPr>
          <w:rFonts w:ascii="黑体" w:hAnsi="黑体" w:eastAsia="黑体"/>
          <w:sz w:val="24"/>
        </w:rPr>
      </w:pPr>
      <w:r>
        <w:rPr>
          <w:rFonts w:hint="eastAsia" w:ascii="黑体" w:hAnsi="黑体" w:eastAsia="黑体"/>
          <w:sz w:val="24"/>
        </w:rPr>
        <w:t>30</w:t>
      </w:r>
      <w:r>
        <w:rPr>
          <w:rFonts w:ascii="黑体" w:hAnsi="黑体" w:eastAsia="黑体"/>
          <w:sz w:val="24"/>
        </w:rPr>
        <w:t xml:space="preserve">. </w:t>
      </w:r>
      <w:r>
        <w:rPr>
          <w:rFonts w:hint="eastAsia" w:ascii="黑体" w:hAnsi="黑体" w:eastAsia="黑体"/>
          <w:sz w:val="24"/>
        </w:rPr>
        <w:t>确定中标人</w:t>
      </w:r>
    </w:p>
    <w:p>
      <w:pPr>
        <w:pStyle w:val="6"/>
        <w:keepNext w:val="0"/>
        <w:keepLines w:val="0"/>
        <w:spacing w:before="0" w:after="0" w:line="400" w:lineRule="exact"/>
        <w:ind w:firstLine="420" w:firstLineChars="200"/>
        <w:rPr>
          <w:rFonts w:ascii="宋体" w:hAnsi="宋体"/>
          <w:b w:val="0"/>
          <w:sz w:val="21"/>
          <w:szCs w:val="21"/>
        </w:rPr>
      </w:pPr>
      <w:r>
        <w:rPr>
          <w:rFonts w:ascii="宋体" w:hAnsi="宋体"/>
          <w:b w:val="0"/>
          <w:sz w:val="21"/>
          <w:szCs w:val="21"/>
        </w:rPr>
        <w:t>30.1</w:t>
      </w:r>
      <w:r>
        <w:rPr>
          <w:rFonts w:hint="eastAsia" w:ascii="宋体" w:hAnsi="宋体"/>
          <w:b w:val="0"/>
          <w:sz w:val="21"/>
          <w:szCs w:val="21"/>
        </w:rPr>
        <w:t>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pPr>
        <w:snapToGrid w:val="0"/>
        <w:spacing w:line="400" w:lineRule="exact"/>
        <w:ind w:firstLine="420" w:firstLineChars="200"/>
        <w:rPr>
          <w:rFonts w:ascii="宋体" w:hAnsi="宋体" w:cs="Courier New"/>
          <w:szCs w:val="21"/>
        </w:rPr>
      </w:pPr>
      <w:r>
        <w:rPr>
          <w:rFonts w:ascii="宋体" w:hAnsi="宋体" w:cs="Courier New"/>
          <w:szCs w:val="21"/>
        </w:rPr>
        <w:t>30.2</w:t>
      </w:r>
      <w:r>
        <w:rPr>
          <w:rFonts w:hint="eastAsia" w:ascii="宋体" w:hAnsi="宋体" w:cs="Courier New"/>
          <w:szCs w:val="21"/>
        </w:rPr>
        <w:t>采购人在收到评标报告5个工作日内未按评标报告推荐的中标候选人顺序确定中标人，又不能说明合法理由的，视同按评标报告推荐的顺序确定排名第一的中标候选人为中标人。</w:t>
      </w:r>
    </w:p>
    <w:p>
      <w:pPr>
        <w:pStyle w:val="6"/>
        <w:keepNext w:val="0"/>
        <w:keepLines w:val="0"/>
        <w:spacing w:before="0" w:after="0" w:line="400" w:lineRule="exact"/>
        <w:ind w:left="420" w:leftChars="200"/>
        <w:rPr>
          <w:rFonts w:ascii="黑体" w:hAnsi="黑体" w:eastAsia="黑体"/>
          <w:sz w:val="24"/>
        </w:rPr>
      </w:pPr>
      <w:r>
        <w:rPr>
          <w:rFonts w:hint="eastAsia" w:ascii="黑体" w:hAnsi="黑体" w:eastAsia="黑体"/>
          <w:sz w:val="24"/>
        </w:rPr>
        <w:t>31. 结果公告</w:t>
      </w:r>
    </w:p>
    <w:p>
      <w:pPr>
        <w:pStyle w:val="6"/>
        <w:keepNext w:val="0"/>
        <w:keepLines w:val="0"/>
        <w:spacing w:before="0" w:after="0" w:line="400" w:lineRule="exact"/>
        <w:ind w:firstLine="420" w:firstLineChars="200"/>
        <w:rPr>
          <w:rFonts w:ascii="宋体" w:hAnsi="宋体"/>
          <w:b w:val="0"/>
          <w:sz w:val="21"/>
          <w:szCs w:val="21"/>
        </w:rPr>
      </w:pPr>
      <w:r>
        <w:rPr>
          <w:rFonts w:hint="eastAsia" w:ascii="宋体" w:hAnsi="宋体"/>
          <w:b w:val="0"/>
          <w:sz w:val="21"/>
          <w:szCs w:val="21"/>
        </w:rPr>
        <w:t>3</w:t>
      </w:r>
      <w:r>
        <w:rPr>
          <w:rFonts w:ascii="宋体" w:hAnsi="宋体"/>
          <w:b w:val="0"/>
          <w:sz w:val="21"/>
          <w:szCs w:val="21"/>
        </w:rPr>
        <w:t>1.1</w:t>
      </w:r>
      <w:r>
        <w:rPr>
          <w:rFonts w:hint="eastAsia" w:ascii="宋体" w:hAnsi="宋体"/>
          <w:b w:val="0"/>
          <w:sz w:val="21"/>
          <w:szCs w:val="21"/>
        </w:rPr>
        <w:t>采购人或者采购代理机构应当自中标人确定之日起2个工作日内，在省级以上财政部门指定的媒体上公告中标结果，招标文件应当随中标结果同时公告。采购人或者采购代理发出中标通知书前，应当对中标人信用进行查询，对列入失信被执行人、重大税收违法失信主体、政府采购严重违法失信行为记录名单及其他不符合《中华人民共和国政府采购法》第二十二条规定条件的投标人，取消其中标资格，并确定排名第二的中标候选人为中标人。排名第二的中标候选人因前款规定的同样原因被取消中标资格的，采购人可以确定排名第三的中标候选人为中标人，以此类推。</w:t>
      </w:r>
    </w:p>
    <w:p>
      <w:pPr>
        <w:snapToGrid w:val="0"/>
        <w:spacing w:line="400" w:lineRule="exact"/>
        <w:ind w:firstLine="420" w:firstLineChars="200"/>
        <w:rPr>
          <w:rFonts w:ascii="宋体" w:hAnsi="宋体"/>
          <w:szCs w:val="21"/>
        </w:rPr>
      </w:pPr>
      <w:r>
        <w:rPr>
          <w:rFonts w:hint="eastAsia" w:ascii="宋体" w:hAnsi="宋体"/>
          <w:szCs w:val="21"/>
        </w:rPr>
        <w:t>以上信息查询记录及相关证据与招标文件一并保存。</w:t>
      </w:r>
    </w:p>
    <w:p>
      <w:pPr>
        <w:pStyle w:val="6"/>
        <w:keepNext w:val="0"/>
        <w:keepLines w:val="0"/>
        <w:spacing w:before="0" w:after="0" w:line="360" w:lineRule="exact"/>
        <w:ind w:firstLine="420" w:firstLineChars="200"/>
        <w:rPr>
          <w:rFonts w:ascii="宋体" w:hAnsi="宋体"/>
          <w:b w:val="0"/>
          <w:sz w:val="21"/>
          <w:szCs w:val="21"/>
        </w:rPr>
      </w:pPr>
      <w:r>
        <w:rPr>
          <w:rFonts w:hint="eastAsia" w:ascii="宋体" w:hAnsi="宋体"/>
          <w:b w:val="0"/>
          <w:sz w:val="21"/>
          <w:szCs w:val="21"/>
        </w:rPr>
        <w:t>31.2中标供应商享受《政府采购促进中小企业发展管理办法》（财库〔2020〕46号）规定的中小企业扶持政策的，采购人、采购代理机构应当随中标结果公开中标供应商的《中小企业声明函》。</w:t>
      </w:r>
    </w:p>
    <w:p>
      <w:pPr>
        <w:pStyle w:val="6"/>
        <w:keepNext w:val="0"/>
        <w:keepLines w:val="0"/>
        <w:spacing w:before="0" w:after="0" w:line="360" w:lineRule="exact"/>
        <w:ind w:firstLine="420" w:firstLineChars="200"/>
        <w:rPr>
          <w:rFonts w:ascii="宋体" w:hAnsi="宋体"/>
          <w:b w:val="0"/>
          <w:sz w:val="21"/>
          <w:szCs w:val="21"/>
        </w:rPr>
      </w:pPr>
      <w:r>
        <w:rPr>
          <w:rFonts w:hint="eastAsia" w:ascii="宋体" w:hAnsi="宋体"/>
          <w:b w:val="0"/>
          <w:sz w:val="21"/>
          <w:szCs w:val="21"/>
        </w:rPr>
        <w:t>31.3 采购人、采购代理机构应当随中标结果公开中标供应商的《关于符合本国产品标准的声明函》或有关证明文件。</w:t>
      </w:r>
    </w:p>
    <w:p>
      <w:pPr>
        <w:pStyle w:val="6"/>
        <w:keepNext w:val="0"/>
        <w:keepLines w:val="0"/>
        <w:spacing w:before="0" w:after="0" w:line="400" w:lineRule="exact"/>
        <w:ind w:left="420" w:leftChars="200"/>
        <w:rPr>
          <w:rFonts w:ascii="黑体" w:hAnsi="黑体" w:eastAsia="黑体"/>
          <w:sz w:val="24"/>
        </w:rPr>
      </w:pPr>
      <w:r>
        <w:rPr>
          <w:rFonts w:hint="eastAsia" w:ascii="黑体" w:hAnsi="黑体" w:eastAsia="黑体"/>
          <w:sz w:val="24"/>
        </w:rPr>
        <w:t>32.发出中标通知书</w:t>
      </w:r>
    </w:p>
    <w:p>
      <w:pPr>
        <w:pStyle w:val="6"/>
        <w:keepNext w:val="0"/>
        <w:keepLines w:val="0"/>
        <w:spacing w:before="0" w:after="0" w:line="400" w:lineRule="exact"/>
        <w:rPr>
          <w:rFonts w:ascii="宋体" w:hAnsi="宋体"/>
          <w:b w:val="0"/>
          <w:sz w:val="21"/>
          <w:szCs w:val="21"/>
        </w:rPr>
      </w:pPr>
      <w:r>
        <w:rPr>
          <w:rFonts w:hint="eastAsia" w:ascii="宋体" w:hAnsi="宋体"/>
          <w:b w:val="0"/>
          <w:sz w:val="21"/>
          <w:szCs w:val="21"/>
        </w:rPr>
        <w:t xml:space="preserve"> </w:t>
      </w:r>
      <w:r>
        <w:rPr>
          <w:rFonts w:ascii="宋体" w:hAnsi="宋体"/>
          <w:b w:val="0"/>
          <w:sz w:val="21"/>
          <w:szCs w:val="21"/>
        </w:rPr>
        <w:t xml:space="preserve">   </w:t>
      </w:r>
      <w:r>
        <w:rPr>
          <w:rFonts w:hint="eastAsia" w:ascii="宋体" w:hAnsi="宋体"/>
          <w:b w:val="0"/>
          <w:sz w:val="21"/>
          <w:szCs w:val="21"/>
        </w:rPr>
        <w:t>在发布中标公告的同时，采购代理机构向中标人通过广西政府采购云平台发出电子中标通知书。对未通过资格审查的投标人，应当告知其未通过的原因；采用综合评分办法评审的，还应当告知未中标人本人的评审得分与排序。</w:t>
      </w:r>
    </w:p>
    <w:p>
      <w:pPr>
        <w:pStyle w:val="6"/>
        <w:keepNext w:val="0"/>
        <w:keepLines w:val="0"/>
        <w:spacing w:before="0" w:after="0" w:line="400" w:lineRule="exact"/>
        <w:ind w:left="420" w:leftChars="200"/>
        <w:rPr>
          <w:rFonts w:ascii="黑体" w:hAnsi="黑体" w:eastAsia="黑体"/>
          <w:sz w:val="24"/>
        </w:rPr>
      </w:pPr>
      <w:r>
        <w:rPr>
          <w:rFonts w:hint="eastAsia" w:ascii="黑体" w:hAnsi="黑体" w:eastAsia="黑体"/>
          <w:sz w:val="24"/>
        </w:rPr>
        <w:t>33. 无义务解释未中标原因</w:t>
      </w:r>
    </w:p>
    <w:p>
      <w:pPr>
        <w:pStyle w:val="6"/>
        <w:keepNext w:val="0"/>
        <w:keepLines w:val="0"/>
        <w:spacing w:before="0" w:after="0" w:line="400" w:lineRule="exact"/>
        <w:ind w:left="420" w:leftChars="200"/>
        <w:rPr>
          <w:rFonts w:ascii="宋体" w:hAnsi="宋体"/>
          <w:b w:val="0"/>
          <w:sz w:val="21"/>
          <w:szCs w:val="21"/>
        </w:rPr>
      </w:pPr>
      <w:r>
        <w:rPr>
          <w:rFonts w:hint="eastAsia" w:ascii="宋体" w:hAnsi="宋体"/>
          <w:b w:val="0"/>
          <w:sz w:val="21"/>
          <w:szCs w:val="21"/>
        </w:rPr>
        <w:t>采购代理机构无义务向未中标的投标人解释未中标原因。</w:t>
      </w:r>
    </w:p>
    <w:p>
      <w:pPr>
        <w:pStyle w:val="6"/>
        <w:keepNext w:val="0"/>
        <w:keepLines w:val="0"/>
        <w:spacing w:before="0" w:after="0" w:line="400" w:lineRule="exact"/>
        <w:ind w:left="420" w:leftChars="200"/>
        <w:rPr>
          <w:rFonts w:ascii="黑体" w:hAnsi="黑体" w:eastAsia="黑体"/>
          <w:sz w:val="24"/>
        </w:rPr>
      </w:pPr>
      <w:r>
        <w:rPr>
          <w:rFonts w:hint="eastAsia" w:ascii="黑体" w:hAnsi="黑体" w:eastAsia="黑体"/>
          <w:sz w:val="24"/>
        </w:rPr>
        <w:t>34.合同授予标准</w:t>
      </w:r>
    </w:p>
    <w:p>
      <w:pPr>
        <w:snapToGrid w:val="0"/>
        <w:spacing w:line="400" w:lineRule="exact"/>
        <w:ind w:firstLine="420" w:firstLineChars="200"/>
        <w:rPr>
          <w:rFonts w:ascii="宋体" w:hAnsi="宋体"/>
          <w:szCs w:val="21"/>
        </w:rPr>
      </w:pPr>
      <w:r>
        <w:rPr>
          <w:rFonts w:hint="eastAsia" w:ascii="宋体" w:hAnsi="宋体" w:cs="Courier New"/>
          <w:szCs w:val="21"/>
        </w:rPr>
        <w:t>合同将授予被确定实质上响应招标文件要求，具备履行合同能力的中标人。</w:t>
      </w:r>
    </w:p>
    <w:p>
      <w:pPr>
        <w:pStyle w:val="6"/>
        <w:keepNext w:val="0"/>
        <w:keepLines w:val="0"/>
        <w:spacing w:before="0" w:after="0" w:line="400" w:lineRule="exact"/>
        <w:ind w:left="420" w:leftChars="200"/>
        <w:rPr>
          <w:rFonts w:ascii="黑体" w:hAnsi="黑体" w:eastAsia="黑体"/>
          <w:sz w:val="24"/>
        </w:rPr>
      </w:pPr>
      <w:r>
        <w:rPr>
          <w:rFonts w:hint="eastAsia" w:ascii="黑体" w:hAnsi="黑体" w:eastAsia="黑体"/>
          <w:sz w:val="24"/>
        </w:rPr>
        <w:t>35.履约保证金</w:t>
      </w:r>
    </w:p>
    <w:p>
      <w:pPr>
        <w:pStyle w:val="6"/>
        <w:keepNext w:val="0"/>
        <w:keepLines w:val="0"/>
        <w:spacing w:before="0" w:after="0" w:line="400" w:lineRule="exact"/>
        <w:ind w:firstLine="315" w:firstLineChars="150"/>
        <w:rPr>
          <w:rFonts w:ascii="宋体" w:hAnsi="宋体"/>
          <w:b w:val="0"/>
          <w:sz w:val="21"/>
          <w:szCs w:val="21"/>
        </w:rPr>
      </w:pPr>
      <w:bookmarkStart w:id="176" w:name="_39.1中标人须于签订合同前按本须知前附表规定的金额转账或电汇到指定账"/>
      <w:bookmarkEnd w:id="176"/>
      <w:r>
        <w:rPr>
          <w:rFonts w:ascii="宋体" w:hAnsi="宋体"/>
          <w:b w:val="0"/>
          <w:sz w:val="21"/>
          <w:szCs w:val="21"/>
        </w:rPr>
        <w:t xml:space="preserve"> </w:t>
      </w:r>
      <w:r>
        <w:rPr>
          <w:rFonts w:hint="eastAsia" w:ascii="宋体" w:hAnsi="宋体"/>
          <w:b w:val="0"/>
          <w:sz w:val="21"/>
          <w:szCs w:val="21"/>
        </w:rPr>
        <w:t>3</w:t>
      </w:r>
      <w:r>
        <w:rPr>
          <w:rFonts w:ascii="宋体" w:hAnsi="宋体"/>
          <w:b w:val="0"/>
          <w:sz w:val="21"/>
          <w:szCs w:val="21"/>
        </w:rPr>
        <w:t>5</w:t>
      </w:r>
      <w:r>
        <w:rPr>
          <w:rFonts w:hint="eastAsia" w:ascii="宋体" w:hAnsi="宋体"/>
          <w:b w:val="0"/>
          <w:sz w:val="21"/>
          <w:szCs w:val="21"/>
        </w:rPr>
        <w:t>.1 履约保证金的金额、提交方式、缴纳期限、退付的时间和条件详见 “投标人须知前附表”。中标人未按规定提交履约保证金的，视为拒绝与采购人签订合同。</w:t>
      </w:r>
    </w:p>
    <w:p>
      <w:pPr>
        <w:pStyle w:val="6"/>
        <w:keepNext w:val="0"/>
        <w:keepLines w:val="0"/>
        <w:spacing w:before="0" w:after="0" w:line="400" w:lineRule="exact"/>
        <w:ind w:firstLine="316" w:firstLineChars="150"/>
        <w:rPr>
          <w:rFonts w:ascii="宋体" w:hAnsi="宋体"/>
          <w:sz w:val="21"/>
          <w:szCs w:val="21"/>
        </w:rPr>
      </w:pPr>
      <w:r>
        <w:rPr>
          <w:rFonts w:hint="eastAsia" w:ascii="宋体" w:hAnsi="宋体"/>
          <w:sz w:val="21"/>
          <w:szCs w:val="21"/>
        </w:rPr>
        <w:t xml:space="preserve"> </w:t>
      </w:r>
      <w:r>
        <w:rPr>
          <w:rFonts w:hint="eastAsia" w:ascii="宋体" w:hAnsi="宋体"/>
          <w:b w:val="0"/>
          <w:bCs/>
          <w:sz w:val="21"/>
          <w:szCs w:val="21"/>
        </w:rPr>
        <w:t>35.2在履约保证金退还日期前，若中标人的开户名称、开户银行、账号有变动的，请以书面形式通知履约保证金收取单位，否则由此产生的后果由中标人自行承担。</w:t>
      </w:r>
    </w:p>
    <w:p>
      <w:pPr>
        <w:pStyle w:val="6"/>
        <w:keepNext w:val="0"/>
        <w:keepLines w:val="0"/>
        <w:spacing w:before="0" w:after="0" w:line="400" w:lineRule="exact"/>
        <w:ind w:left="420" w:leftChars="200"/>
        <w:rPr>
          <w:rFonts w:ascii="黑体" w:hAnsi="黑体" w:eastAsia="黑体"/>
          <w:sz w:val="24"/>
        </w:rPr>
      </w:pPr>
      <w:r>
        <w:rPr>
          <w:rFonts w:hint="eastAsia" w:ascii="黑体" w:hAnsi="黑体" w:eastAsia="黑体"/>
          <w:sz w:val="24"/>
        </w:rPr>
        <w:t>36.签订合同</w:t>
      </w:r>
    </w:p>
    <w:p>
      <w:pPr>
        <w:pStyle w:val="6"/>
        <w:keepNext w:val="0"/>
        <w:keepLines w:val="0"/>
        <w:spacing w:before="0" w:after="0" w:line="400" w:lineRule="exact"/>
        <w:ind w:firstLine="315" w:firstLineChars="150"/>
        <w:rPr>
          <w:rFonts w:ascii="宋体" w:hAnsi="宋体"/>
          <w:b w:val="0"/>
          <w:sz w:val="21"/>
          <w:szCs w:val="21"/>
        </w:rPr>
      </w:pPr>
      <w:bookmarkStart w:id="177" w:name="_40.1投标人接到中标通知书后，按须知前附表规定向采购人出示相关资格证"/>
      <w:bookmarkEnd w:id="177"/>
      <w:r>
        <w:rPr>
          <w:rFonts w:hint="eastAsia" w:ascii="宋体" w:hAnsi="宋体"/>
          <w:b w:val="0"/>
          <w:sz w:val="21"/>
          <w:szCs w:val="21"/>
        </w:rPr>
        <w:t xml:space="preserve"> </w:t>
      </w:r>
      <w:r>
        <w:rPr>
          <w:rFonts w:hint="eastAsia" w:ascii="宋体" w:hAnsi="宋体"/>
          <w:sz w:val="21"/>
          <w:szCs w:val="21"/>
        </w:rPr>
        <w:t>36.1签订电子采购合同：中标人领取电子中标通知书后，</w:t>
      </w:r>
      <w:r>
        <w:rPr>
          <w:rFonts w:hint="eastAsia" w:ascii="宋体" w:hAnsi="宋体"/>
          <w:kern w:val="0"/>
          <w:sz w:val="21"/>
          <w:szCs w:val="21"/>
        </w:rPr>
        <w:t>在</w:t>
      </w:r>
      <w:r>
        <w:rPr>
          <w:rFonts w:hint="eastAsia" w:ascii="宋体" w:hAnsi="宋体"/>
          <w:kern w:val="0"/>
          <w:sz w:val="21"/>
          <w:szCs w:val="21"/>
          <w:lang w:val="zh-CN"/>
        </w:rPr>
        <w:t>规定的日期、时间、地点，由法定代表人或其授权代表与采购人代表签订电子采购合同。如中标人为联合体的，由联合体成员各方法定代表人或其授权代表与采购人代表签订合同。</w:t>
      </w:r>
    </w:p>
    <w:p>
      <w:pPr>
        <w:pStyle w:val="6"/>
        <w:keepNext w:val="0"/>
        <w:keepLines w:val="0"/>
        <w:spacing w:before="0" w:after="0" w:line="400" w:lineRule="exact"/>
        <w:ind w:firstLine="315" w:firstLineChars="150"/>
        <w:rPr>
          <w:rFonts w:ascii="宋体" w:hAnsi="宋体"/>
          <w:b w:val="0"/>
          <w:sz w:val="21"/>
          <w:szCs w:val="21"/>
        </w:rPr>
      </w:pPr>
      <w:r>
        <w:rPr>
          <w:rFonts w:hint="eastAsia" w:ascii="宋体" w:hAnsi="宋体"/>
          <w:b w:val="0"/>
          <w:sz w:val="21"/>
          <w:szCs w:val="21"/>
        </w:rPr>
        <w:t xml:space="preserve"> 线下签订纸质合同：投标人领取中标通知书后，按“投标人须知前附表”规定向采购人出示相关证明材料，经采购人核验合格后方可签订合同。</w:t>
      </w:r>
    </w:p>
    <w:p>
      <w:pPr>
        <w:pStyle w:val="6"/>
        <w:keepNext w:val="0"/>
        <w:keepLines w:val="0"/>
        <w:numPr>
          <w:ilvl w:val="0"/>
          <w:numId w:val="0"/>
        </w:numPr>
        <w:spacing w:before="0" w:after="0" w:line="400" w:lineRule="exact"/>
        <w:ind w:firstLine="420" w:firstLineChars="200"/>
        <w:rPr>
          <w:rFonts w:ascii="宋体" w:hAnsi="宋体"/>
          <w:b w:val="0"/>
          <w:sz w:val="21"/>
          <w:szCs w:val="21"/>
        </w:rPr>
      </w:pPr>
      <w:r>
        <w:rPr>
          <w:rFonts w:hint="eastAsia" w:ascii="宋体" w:hAnsi="宋体"/>
          <w:b w:val="0"/>
          <w:sz w:val="21"/>
          <w:szCs w:val="21"/>
        </w:rPr>
        <w:t>36.2签订合同时间：按中标通知书规定的时间与采购人签订合同。</w:t>
      </w:r>
    </w:p>
    <w:p>
      <w:pPr>
        <w:pStyle w:val="6"/>
        <w:keepNext w:val="0"/>
        <w:keepLines w:val="0"/>
        <w:spacing w:before="0" w:after="0" w:line="400" w:lineRule="exact"/>
        <w:rPr>
          <w:rFonts w:ascii="宋体" w:hAnsi="宋体"/>
          <w:b w:val="0"/>
          <w:sz w:val="21"/>
          <w:szCs w:val="21"/>
        </w:rPr>
      </w:pPr>
      <w:r>
        <w:rPr>
          <w:rFonts w:hint="eastAsia" w:ascii="宋体" w:hAnsi="宋体"/>
          <w:b w:val="0"/>
          <w:sz w:val="21"/>
          <w:szCs w:val="21"/>
        </w:rPr>
        <w:t xml:space="preserve">    36.</w:t>
      </w:r>
      <w:r>
        <w:rPr>
          <w:rFonts w:ascii="宋体" w:hAnsi="宋体"/>
          <w:b w:val="0"/>
          <w:sz w:val="21"/>
          <w:szCs w:val="21"/>
        </w:rPr>
        <w:t>3</w:t>
      </w:r>
      <w:r>
        <w:rPr>
          <w:rFonts w:hint="eastAsia" w:ascii="宋体" w:hAnsi="宋体"/>
          <w:b w:val="0"/>
          <w:sz w:val="21"/>
          <w:szCs w:val="21"/>
        </w:rPr>
        <w:t>中标人拒绝签订政府采购合同（包括但不限于放弃中标、因不可抗力不能履行合同而放弃签订合同），采购人可以按照评审报告推荐的中标候选人名单排序，确定下一候选人为中标供应商，也可以重新开展政府采购活动。如采购人无正当理由拒签合同的，给中标供应商造成损失的，中标供应商可追究采购人承担相应的法律责任。</w:t>
      </w:r>
    </w:p>
    <w:p>
      <w:pPr>
        <w:spacing w:line="400" w:lineRule="exact"/>
        <w:ind w:firstLine="420" w:firstLineChars="200"/>
        <w:rPr>
          <w:rFonts w:ascii="宋体" w:hAnsi="宋体"/>
          <w:szCs w:val="21"/>
        </w:rPr>
      </w:pPr>
      <w:r>
        <w:rPr>
          <w:rFonts w:hint="eastAsia" w:ascii="宋体" w:hAnsi="宋体"/>
          <w:szCs w:val="21"/>
        </w:rPr>
        <w:t>36.4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pPr>
        <w:spacing w:line="400" w:lineRule="exact"/>
        <w:ind w:firstLine="420" w:firstLineChars="200"/>
        <w:rPr>
          <w:rFonts w:ascii="宋体" w:hAnsi="宋体"/>
          <w:szCs w:val="21"/>
        </w:rPr>
      </w:pPr>
      <w:r>
        <w:rPr>
          <w:rFonts w:hint="eastAsia" w:ascii="宋体" w:hAnsi="宋体"/>
          <w:szCs w:val="21"/>
        </w:rPr>
        <w:t>36.5采购人或中标供应商不得单方面向合同另一方提出任何招标文件没有约定的条件或不合理的要求，作为签订合同的条件；也不得协商另行订立背离招标文件和合同实质性内容的协议。</w:t>
      </w:r>
    </w:p>
    <w:p>
      <w:pPr>
        <w:spacing w:line="400" w:lineRule="exact"/>
        <w:ind w:firstLine="420" w:firstLineChars="200"/>
        <w:rPr>
          <w:rFonts w:ascii="宋体" w:hAnsi="宋体"/>
          <w:szCs w:val="21"/>
        </w:rPr>
      </w:pPr>
      <w:r>
        <w:rPr>
          <w:rFonts w:hint="eastAsia" w:ascii="宋体" w:hAnsi="宋体"/>
          <w:szCs w:val="21"/>
        </w:rPr>
        <w:t>36.6</w:t>
      </w:r>
      <w:r>
        <w:rPr>
          <w:rFonts w:hint="eastAsia" w:ascii="宋体" w:hAnsi="宋体" w:cs="仿宋_GB2312"/>
          <w:szCs w:val="21"/>
        </w:rPr>
        <w:t>如签订合同并生效后，供应商无故拒绝或延期，除按照合同条款处理外，将承担相应的法律责任。</w:t>
      </w:r>
    </w:p>
    <w:p>
      <w:pPr>
        <w:spacing w:line="400" w:lineRule="exact"/>
        <w:ind w:firstLine="420" w:firstLineChars="200"/>
        <w:rPr>
          <w:rFonts w:ascii="宋体" w:hAnsi="宋体"/>
          <w:szCs w:val="21"/>
        </w:rPr>
      </w:pPr>
      <w:r>
        <w:rPr>
          <w:rFonts w:hint="eastAsia" w:ascii="宋体" w:hAnsi="宋体"/>
          <w:szCs w:val="21"/>
        </w:rPr>
        <w:t>36.7</w:t>
      </w:r>
      <w:r>
        <w:rPr>
          <w:rFonts w:hint="eastAsia" w:ascii="宋体" w:hAnsi="宋体" w:cs="宋体"/>
          <w:szCs w:val="21"/>
        </w:rPr>
        <w:t>政府采购合同履行中，采购人需追加与合同标的相同的货物、工程或者服务的，在不改变合同其他条款的前提下，可以与供应商协商签订补充合同，但所有补充合同的采购金额不得超过原合同采购金额的10%。</w:t>
      </w:r>
    </w:p>
    <w:p>
      <w:pPr>
        <w:pStyle w:val="6"/>
        <w:keepNext w:val="0"/>
        <w:keepLines w:val="0"/>
        <w:spacing w:before="0" w:after="0" w:line="400" w:lineRule="exact"/>
        <w:ind w:left="420" w:leftChars="200"/>
        <w:rPr>
          <w:rFonts w:ascii="黑体" w:hAnsi="黑体" w:eastAsia="黑体"/>
          <w:sz w:val="24"/>
        </w:rPr>
      </w:pPr>
      <w:bookmarkStart w:id="178" w:name="_41.政府采购合同公告"/>
      <w:bookmarkEnd w:id="178"/>
      <w:r>
        <w:rPr>
          <w:rFonts w:hint="eastAsia" w:ascii="黑体" w:hAnsi="黑体" w:eastAsia="黑体"/>
          <w:sz w:val="24"/>
        </w:rPr>
        <w:t>37.政府采购合同公告</w:t>
      </w:r>
    </w:p>
    <w:p>
      <w:pPr>
        <w:pStyle w:val="24"/>
        <w:snapToGrid w:val="0"/>
        <w:spacing w:line="400" w:lineRule="exact"/>
        <w:ind w:firstLine="420" w:firstLineChars="200"/>
        <w:rPr>
          <w:rFonts w:hAnsi="宋体"/>
          <w:sz w:val="21"/>
        </w:rPr>
      </w:pPr>
      <w:r>
        <w:rPr>
          <w:rFonts w:hint="eastAsia" w:hAnsi="宋体"/>
          <w:sz w:val="21"/>
        </w:rPr>
        <w:t>采购人或者受托采购代理机构应当自政府采购合同签订之日起2个工作日内，将政府采购合同在省级以上人民政府财政部门指定的媒体上公告，</w:t>
      </w:r>
      <w:r>
        <w:rPr>
          <w:rFonts w:hAnsi="宋体"/>
          <w:sz w:val="21"/>
        </w:rPr>
        <w:t>但政府采购合同中涉及国家秘密、商业秘密的内容除外。</w:t>
      </w:r>
    </w:p>
    <w:p>
      <w:pPr>
        <w:pStyle w:val="6"/>
        <w:keepNext w:val="0"/>
        <w:keepLines w:val="0"/>
        <w:spacing w:before="0" w:after="0" w:line="400" w:lineRule="exact"/>
        <w:ind w:left="420" w:leftChars="200"/>
        <w:rPr>
          <w:rFonts w:ascii="黑体" w:hAnsi="黑体" w:eastAsia="黑体"/>
          <w:sz w:val="24"/>
        </w:rPr>
      </w:pPr>
      <w:r>
        <w:rPr>
          <w:rFonts w:hint="eastAsia" w:ascii="黑体" w:hAnsi="黑体" w:eastAsia="黑体"/>
          <w:sz w:val="24"/>
        </w:rPr>
        <w:t>3</w:t>
      </w:r>
      <w:r>
        <w:rPr>
          <w:rFonts w:ascii="黑体" w:hAnsi="黑体" w:eastAsia="黑体"/>
          <w:sz w:val="24"/>
        </w:rPr>
        <w:t>8.</w:t>
      </w:r>
      <w:r>
        <w:rPr>
          <w:rFonts w:hint="eastAsia" w:ascii="黑体" w:hAnsi="黑体" w:eastAsia="黑体"/>
          <w:sz w:val="24"/>
        </w:rPr>
        <w:t xml:space="preserve"> 询问、质疑和投诉</w:t>
      </w:r>
    </w:p>
    <w:p>
      <w:pPr>
        <w:pStyle w:val="7"/>
        <w:spacing w:line="400" w:lineRule="exact"/>
        <w:rPr>
          <w:rFonts w:ascii="宋体" w:hAnsi="宋体"/>
          <w:szCs w:val="21"/>
        </w:rPr>
      </w:pPr>
      <w:r>
        <w:rPr>
          <w:rFonts w:ascii="宋体" w:hAnsi="宋体"/>
          <w:szCs w:val="21"/>
        </w:rPr>
        <w:t>38.1</w:t>
      </w:r>
      <w:r>
        <w:rPr>
          <w:rFonts w:hint="eastAsia" w:ascii="宋体" w:hAnsi="宋体"/>
          <w:szCs w:val="21"/>
        </w:rPr>
        <w:t>供应商对政府采购活动事项有疑问的，可以向采购人提出询问，采购人或者采购代理机构应当在3个工作日内对供应商依法提出的询问作出答复，但答复的内容不得涉及商业秘密。</w:t>
      </w:r>
    </w:p>
    <w:p>
      <w:pPr>
        <w:pStyle w:val="6"/>
        <w:keepNext w:val="0"/>
        <w:keepLines w:val="0"/>
        <w:spacing w:before="0" w:after="0" w:line="400" w:lineRule="exact"/>
        <w:ind w:firstLine="315" w:firstLineChars="150"/>
        <w:rPr>
          <w:rFonts w:ascii="宋体" w:hAnsi="宋体"/>
          <w:b w:val="0"/>
          <w:sz w:val="21"/>
          <w:szCs w:val="21"/>
        </w:rPr>
      </w:pPr>
      <w:r>
        <w:rPr>
          <w:rFonts w:hint="eastAsia" w:ascii="宋体" w:hAnsi="宋体"/>
          <w:b w:val="0"/>
          <w:sz w:val="21"/>
          <w:szCs w:val="21"/>
        </w:rPr>
        <w:t xml:space="preserve"> </w:t>
      </w:r>
      <w:r>
        <w:rPr>
          <w:rFonts w:ascii="宋体" w:hAnsi="宋体"/>
          <w:b w:val="0"/>
          <w:sz w:val="21"/>
          <w:szCs w:val="21"/>
        </w:rPr>
        <w:t>38</w:t>
      </w:r>
      <w:r>
        <w:rPr>
          <w:rFonts w:hint="eastAsia" w:ascii="宋体" w:hAnsi="宋体"/>
          <w:b w:val="0"/>
          <w:sz w:val="21"/>
          <w:szCs w:val="21"/>
        </w:rPr>
        <w:t>.</w:t>
      </w:r>
      <w:r>
        <w:rPr>
          <w:rFonts w:ascii="宋体" w:hAnsi="宋体"/>
          <w:b w:val="0"/>
          <w:sz w:val="21"/>
          <w:szCs w:val="21"/>
        </w:rPr>
        <w:t>2</w:t>
      </w:r>
      <w:r>
        <w:rPr>
          <w:rFonts w:hint="eastAsia" w:ascii="宋体" w:hAnsi="宋体"/>
          <w:b w:val="0"/>
          <w:sz w:val="21"/>
          <w:szCs w:val="21"/>
        </w:rPr>
        <w:t xml:space="preserve">供应商认为招标文件、采购过程或者中标结果使自己的合法权益受到损害的，必须在知道或者应知其权益受到损害之日起7个工作日内，以书面形式向采购人、采购代理机构提出质疑。采购人、采购代理机构接收质疑函的方式、联系部门、联系电话和通讯地址等信息详见“投标人须知前附表”。具体质疑起算时间如下： </w:t>
      </w:r>
    </w:p>
    <w:p>
      <w:pPr>
        <w:pStyle w:val="24"/>
        <w:snapToGrid w:val="0"/>
        <w:spacing w:line="400" w:lineRule="exact"/>
        <w:ind w:firstLine="420" w:firstLineChars="200"/>
        <w:rPr>
          <w:rFonts w:hAnsi="宋体"/>
          <w:sz w:val="21"/>
        </w:rPr>
      </w:pPr>
      <w:r>
        <w:rPr>
          <w:rFonts w:hAnsi="宋体"/>
          <w:sz w:val="21"/>
        </w:rPr>
        <w:t>（</w:t>
      </w:r>
      <w:r>
        <w:rPr>
          <w:rFonts w:hint="eastAsia" w:hAnsi="宋体"/>
          <w:sz w:val="21"/>
        </w:rPr>
        <w:t>1</w:t>
      </w:r>
      <w:r>
        <w:rPr>
          <w:rFonts w:hAnsi="宋体"/>
          <w:sz w:val="21"/>
        </w:rPr>
        <w:t>）对可以质疑的</w:t>
      </w:r>
      <w:r>
        <w:rPr>
          <w:rFonts w:hint="eastAsia" w:hAnsi="宋体"/>
          <w:sz w:val="21"/>
        </w:rPr>
        <w:t>招标</w:t>
      </w:r>
      <w:r>
        <w:rPr>
          <w:rFonts w:hAnsi="宋体"/>
          <w:sz w:val="21"/>
        </w:rPr>
        <w:t>文件提出质疑的，为收到</w:t>
      </w:r>
      <w:r>
        <w:rPr>
          <w:rFonts w:hint="eastAsia" w:hAnsi="宋体"/>
          <w:sz w:val="21"/>
        </w:rPr>
        <w:t>招标</w:t>
      </w:r>
      <w:r>
        <w:rPr>
          <w:rFonts w:hAnsi="宋体"/>
          <w:sz w:val="21"/>
        </w:rPr>
        <w:t>文件之日</w:t>
      </w:r>
      <w:r>
        <w:rPr>
          <w:rFonts w:hint="eastAsia" w:hAnsi="宋体"/>
          <w:sz w:val="21"/>
        </w:rPr>
        <w:t>或者招标文件公告期限届满之日</w:t>
      </w:r>
      <w:r>
        <w:rPr>
          <w:rFonts w:hAnsi="宋体"/>
          <w:sz w:val="21"/>
        </w:rPr>
        <w:t>；</w:t>
      </w:r>
    </w:p>
    <w:p>
      <w:pPr>
        <w:pStyle w:val="24"/>
        <w:snapToGrid w:val="0"/>
        <w:spacing w:line="400" w:lineRule="exact"/>
        <w:ind w:firstLine="420" w:firstLineChars="200"/>
        <w:rPr>
          <w:rFonts w:hAnsi="宋体"/>
          <w:sz w:val="21"/>
        </w:rPr>
      </w:pPr>
      <w:r>
        <w:rPr>
          <w:rFonts w:hAnsi="宋体"/>
          <w:sz w:val="21"/>
        </w:rPr>
        <w:t>（</w:t>
      </w:r>
      <w:r>
        <w:rPr>
          <w:rFonts w:hint="eastAsia" w:hAnsi="宋体"/>
          <w:sz w:val="21"/>
        </w:rPr>
        <w:t>2</w:t>
      </w:r>
      <w:r>
        <w:rPr>
          <w:rFonts w:hAnsi="宋体"/>
          <w:sz w:val="21"/>
        </w:rPr>
        <w:t>）对</w:t>
      </w:r>
      <w:r>
        <w:rPr>
          <w:rFonts w:hint="eastAsia" w:hAnsi="宋体"/>
          <w:sz w:val="21"/>
        </w:rPr>
        <w:t>采购</w:t>
      </w:r>
      <w:r>
        <w:rPr>
          <w:rFonts w:hAnsi="宋体"/>
          <w:sz w:val="21"/>
        </w:rPr>
        <w:t>过程提出质疑的，为各采购程序环节结束之日；</w:t>
      </w:r>
    </w:p>
    <w:p>
      <w:pPr>
        <w:pStyle w:val="24"/>
        <w:snapToGrid w:val="0"/>
        <w:spacing w:line="400" w:lineRule="exact"/>
        <w:ind w:firstLine="420" w:firstLineChars="200"/>
        <w:rPr>
          <w:rFonts w:hAnsi="宋体"/>
          <w:bCs/>
          <w:sz w:val="21"/>
        </w:rPr>
      </w:pPr>
      <w:r>
        <w:rPr>
          <w:rFonts w:hAnsi="宋体"/>
          <w:sz w:val="21"/>
        </w:rPr>
        <w:t>（</w:t>
      </w:r>
      <w:r>
        <w:rPr>
          <w:rFonts w:hint="eastAsia" w:hAnsi="宋体"/>
          <w:sz w:val="21"/>
        </w:rPr>
        <w:t>3</w:t>
      </w:r>
      <w:r>
        <w:rPr>
          <w:rFonts w:hAnsi="宋体"/>
          <w:sz w:val="21"/>
        </w:rPr>
        <w:t>）对中标结果提出质疑的，为中标结果公告期限届满之日。</w:t>
      </w:r>
    </w:p>
    <w:p>
      <w:pPr>
        <w:pStyle w:val="6"/>
        <w:keepNext w:val="0"/>
        <w:keepLines w:val="0"/>
        <w:spacing w:before="0" w:after="0" w:line="400" w:lineRule="exact"/>
        <w:ind w:firstLine="315" w:firstLineChars="150"/>
        <w:rPr>
          <w:rFonts w:ascii="宋体" w:hAnsi="宋体"/>
          <w:b w:val="0"/>
          <w:sz w:val="21"/>
          <w:szCs w:val="21"/>
        </w:rPr>
      </w:pPr>
      <w:r>
        <w:rPr>
          <w:rFonts w:ascii="宋体" w:hAnsi="宋体"/>
          <w:b w:val="0"/>
          <w:sz w:val="21"/>
          <w:szCs w:val="21"/>
        </w:rPr>
        <w:t>38</w:t>
      </w:r>
      <w:r>
        <w:rPr>
          <w:rFonts w:hint="eastAsia" w:ascii="宋体" w:hAnsi="宋体"/>
          <w:b w:val="0"/>
          <w:sz w:val="21"/>
          <w:szCs w:val="21"/>
        </w:rPr>
        <w:t>.</w:t>
      </w:r>
      <w:r>
        <w:rPr>
          <w:rFonts w:ascii="宋体" w:hAnsi="宋体"/>
          <w:b w:val="0"/>
          <w:sz w:val="21"/>
          <w:szCs w:val="21"/>
        </w:rPr>
        <w:t>3</w:t>
      </w:r>
      <w:r>
        <w:rPr>
          <w:rFonts w:hint="eastAsia" w:ascii="宋体" w:hAnsi="宋体"/>
          <w:b w:val="0"/>
          <w:sz w:val="21"/>
          <w:szCs w:val="21"/>
        </w:rPr>
        <w:t xml:space="preserve"> </w:t>
      </w:r>
      <w:r>
        <w:rPr>
          <w:rFonts w:hAnsi="宋体"/>
          <w:b w:val="0"/>
          <w:bCs/>
          <w:sz w:val="21"/>
        </w:rPr>
        <w:t>供应商提出质疑应当提交质疑函和必要的证明材料</w:t>
      </w:r>
      <w:r>
        <w:rPr>
          <w:rFonts w:hint="eastAsia" w:hAnsi="宋体"/>
          <w:b w:val="0"/>
          <w:bCs/>
          <w:sz w:val="21"/>
        </w:rPr>
        <w:t>，</w:t>
      </w:r>
      <w:r>
        <w:rPr>
          <w:rFonts w:hAnsi="宋体"/>
          <w:b w:val="0"/>
          <w:bCs/>
          <w:sz w:val="21"/>
        </w:rPr>
        <w:t>针对同一采购程序环节的质疑</w:t>
      </w:r>
      <w:r>
        <w:rPr>
          <w:rFonts w:hint="eastAsia" w:hAnsi="宋体"/>
          <w:b w:val="0"/>
          <w:bCs/>
          <w:sz w:val="21"/>
        </w:rPr>
        <w:t>必须</w:t>
      </w:r>
      <w:r>
        <w:rPr>
          <w:rFonts w:hAnsi="宋体"/>
          <w:b w:val="0"/>
          <w:bCs/>
          <w:sz w:val="21"/>
        </w:rPr>
        <w:t>在法定质疑期内一次性提出。质疑函应当包括下列内容</w:t>
      </w:r>
      <w:r>
        <w:rPr>
          <w:rFonts w:hint="eastAsia" w:hAnsi="宋体"/>
          <w:b w:val="0"/>
          <w:bCs/>
          <w:sz w:val="21"/>
        </w:rPr>
        <w:t>（质疑函格式见第六章）</w:t>
      </w:r>
      <w:r>
        <w:rPr>
          <w:rFonts w:hAnsi="宋体"/>
          <w:b w:val="0"/>
          <w:bCs/>
          <w:sz w:val="21"/>
        </w:rPr>
        <w:t>：</w:t>
      </w:r>
    </w:p>
    <w:p>
      <w:pPr>
        <w:pStyle w:val="24"/>
        <w:snapToGrid w:val="0"/>
        <w:spacing w:line="400" w:lineRule="exact"/>
        <w:ind w:firstLine="420" w:firstLineChars="200"/>
        <w:rPr>
          <w:rFonts w:hAnsi="宋体"/>
          <w:bCs/>
          <w:sz w:val="21"/>
        </w:rPr>
      </w:pPr>
      <w:r>
        <w:rPr>
          <w:rFonts w:hAnsi="宋体"/>
          <w:bCs/>
          <w:sz w:val="21"/>
        </w:rPr>
        <w:t>（</w:t>
      </w:r>
      <w:r>
        <w:rPr>
          <w:rFonts w:hint="eastAsia" w:hAnsi="宋体"/>
          <w:bCs/>
          <w:sz w:val="21"/>
        </w:rPr>
        <w:t>1</w:t>
      </w:r>
      <w:r>
        <w:rPr>
          <w:rFonts w:hAnsi="宋体"/>
          <w:bCs/>
          <w:sz w:val="21"/>
        </w:rPr>
        <w:t>）供应商的姓名或者名称、地址、邮编、联系人及联系电话；</w:t>
      </w:r>
    </w:p>
    <w:p>
      <w:pPr>
        <w:pStyle w:val="24"/>
        <w:snapToGrid w:val="0"/>
        <w:spacing w:line="400" w:lineRule="exact"/>
        <w:ind w:firstLine="420" w:firstLineChars="200"/>
        <w:rPr>
          <w:rFonts w:hAnsi="宋体"/>
          <w:bCs/>
          <w:sz w:val="21"/>
        </w:rPr>
      </w:pPr>
      <w:r>
        <w:rPr>
          <w:rFonts w:hAnsi="宋体"/>
          <w:bCs/>
          <w:sz w:val="21"/>
        </w:rPr>
        <w:t>（</w:t>
      </w:r>
      <w:r>
        <w:rPr>
          <w:rFonts w:hint="eastAsia" w:hAnsi="宋体"/>
          <w:bCs/>
          <w:sz w:val="21"/>
        </w:rPr>
        <w:t>2</w:t>
      </w:r>
      <w:r>
        <w:rPr>
          <w:rFonts w:hAnsi="宋体"/>
          <w:bCs/>
          <w:sz w:val="21"/>
        </w:rPr>
        <w:t>）质疑项目的名称、编号；</w:t>
      </w:r>
    </w:p>
    <w:p>
      <w:pPr>
        <w:pStyle w:val="24"/>
        <w:snapToGrid w:val="0"/>
        <w:spacing w:line="400" w:lineRule="exact"/>
        <w:ind w:firstLine="420" w:firstLineChars="200"/>
        <w:rPr>
          <w:rFonts w:hAnsi="宋体"/>
          <w:bCs/>
          <w:sz w:val="21"/>
        </w:rPr>
      </w:pPr>
      <w:r>
        <w:rPr>
          <w:rFonts w:hAnsi="宋体"/>
          <w:bCs/>
          <w:sz w:val="21"/>
        </w:rPr>
        <w:t>（</w:t>
      </w:r>
      <w:r>
        <w:rPr>
          <w:rFonts w:hint="eastAsia" w:hAnsi="宋体"/>
          <w:bCs/>
          <w:sz w:val="21"/>
        </w:rPr>
        <w:t>3</w:t>
      </w:r>
      <w:r>
        <w:rPr>
          <w:rFonts w:hAnsi="宋体"/>
          <w:bCs/>
          <w:sz w:val="21"/>
        </w:rPr>
        <w:t>）具体、明确的质疑事项和与质疑事项相关的请求；</w:t>
      </w:r>
    </w:p>
    <w:p>
      <w:pPr>
        <w:pStyle w:val="24"/>
        <w:snapToGrid w:val="0"/>
        <w:spacing w:line="400" w:lineRule="exact"/>
        <w:ind w:firstLine="420" w:firstLineChars="200"/>
        <w:rPr>
          <w:rFonts w:hAnsi="宋体"/>
          <w:bCs/>
          <w:sz w:val="21"/>
        </w:rPr>
      </w:pPr>
      <w:r>
        <w:rPr>
          <w:rFonts w:hAnsi="宋体"/>
          <w:bCs/>
          <w:sz w:val="21"/>
        </w:rPr>
        <w:t>（</w:t>
      </w:r>
      <w:r>
        <w:rPr>
          <w:rFonts w:hint="eastAsia" w:hAnsi="宋体"/>
          <w:bCs/>
          <w:sz w:val="21"/>
        </w:rPr>
        <w:t>4</w:t>
      </w:r>
      <w:r>
        <w:rPr>
          <w:rFonts w:hAnsi="宋体"/>
          <w:bCs/>
          <w:sz w:val="21"/>
        </w:rPr>
        <w:t>）事实依据；</w:t>
      </w:r>
    </w:p>
    <w:p>
      <w:pPr>
        <w:pStyle w:val="24"/>
        <w:snapToGrid w:val="0"/>
        <w:spacing w:line="400" w:lineRule="exact"/>
        <w:ind w:firstLine="420" w:firstLineChars="200"/>
        <w:rPr>
          <w:rFonts w:hAnsi="宋体"/>
          <w:bCs/>
          <w:sz w:val="21"/>
        </w:rPr>
      </w:pPr>
      <w:r>
        <w:rPr>
          <w:rFonts w:hAnsi="宋体"/>
          <w:bCs/>
          <w:sz w:val="21"/>
        </w:rPr>
        <w:t>（</w:t>
      </w:r>
      <w:r>
        <w:rPr>
          <w:rFonts w:hint="eastAsia" w:hAnsi="宋体"/>
          <w:bCs/>
          <w:sz w:val="21"/>
        </w:rPr>
        <w:t>5</w:t>
      </w:r>
      <w:r>
        <w:rPr>
          <w:rFonts w:hAnsi="宋体"/>
          <w:bCs/>
          <w:sz w:val="21"/>
        </w:rPr>
        <w:t>）必要的法律依据；</w:t>
      </w:r>
    </w:p>
    <w:p>
      <w:pPr>
        <w:pStyle w:val="24"/>
        <w:snapToGrid w:val="0"/>
        <w:spacing w:line="400" w:lineRule="exact"/>
        <w:ind w:firstLine="420" w:firstLineChars="200"/>
        <w:rPr>
          <w:rFonts w:hAnsi="宋体"/>
          <w:bCs/>
          <w:sz w:val="21"/>
        </w:rPr>
      </w:pPr>
      <w:r>
        <w:rPr>
          <w:rFonts w:hAnsi="宋体"/>
          <w:bCs/>
          <w:sz w:val="21"/>
        </w:rPr>
        <w:t>（</w:t>
      </w:r>
      <w:r>
        <w:rPr>
          <w:rFonts w:hint="eastAsia" w:hAnsi="宋体"/>
          <w:bCs/>
          <w:sz w:val="21"/>
        </w:rPr>
        <w:t>6</w:t>
      </w:r>
      <w:r>
        <w:rPr>
          <w:rFonts w:hAnsi="宋体"/>
          <w:bCs/>
          <w:sz w:val="21"/>
        </w:rPr>
        <w:t>）提出质疑的日期。</w:t>
      </w:r>
    </w:p>
    <w:p>
      <w:pPr>
        <w:pStyle w:val="24"/>
        <w:snapToGrid w:val="0"/>
        <w:spacing w:line="400" w:lineRule="exact"/>
        <w:ind w:firstLine="420" w:firstLineChars="200"/>
        <w:rPr>
          <w:rFonts w:hAnsi="宋体"/>
          <w:bCs/>
          <w:sz w:val="21"/>
        </w:rPr>
      </w:pPr>
      <w:r>
        <w:rPr>
          <w:rFonts w:hAnsi="宋体"/>
          <w:bCs/>
          <w:sz w:val="21"/>
        </w:rPr>
        <w:t>供应商为自然人的，应当由本人签字；供应商为法人或者其他组织的，应当由法定代表人、主要负责人，或者其委托代理人签字或者盖章，并加盖公章</w:t>
      </w:r>
      <w:r>
        <w:rPr>
          <w:rFonts w:hint="eastAsia" w:hAnsi="宋体"/>
          <w:bCs/>
          <w:sz w:val="21"/>
        </w:rPr>
        <w:t>。</w:t>
      </w:r>
    </w:p>
    <w:p>
      <w:pPr>
        <w:pStyle w:val="6"/>
        <w:keepNext w:val="0"/>
        <w:keepLines w:val="0"/>
        <w:snapToGrid w:val="0"/>
        <w:spacing w:before="0" w:after="0" w:line="400" w:lineRule="exact"/>
        <w:ind w:firstLine="420" w:firstLineChars="200"/>
        <w:rPr>
          <w:rFonts w:ascii="宋体" w:hAnsi="宋体"/>
          <w:b w:val="0"/>
          <w:bCs/>
          <w:sz w:val="21"/>
          <w:szCs w:val="21"/>
        </w:rPr>
      </w:pPr>
      <w:r>
        <w:rPr>
          <w:rFonts w:ascii="宋体" w:hAnsi="宋体"/>
          <w:b w:val="0"/>
          <w:sz w:val="21"/>
          <w:szCs w:val="21"/>
        </w:rPr>
        <w:t>3</w:t>
      </w:r>
      <w:r>
        <w:rPr>
          <w:rFonts w:ascii="宋体" w:hAnsi="宋体"/>
          <w:b w:val="0"/>
          <w:bCs/>
          <w:sz w:val="21"/>
          <w:szCs w:val="21"/>
        </w:rPr>
        <w:t>8.4</w:t>
      </w:r>
      <w:r>
        <w:rPr>
          <w:rFonts w:hint="eastAsia" w:ascii="宋体" w:hAnsi="宋体"/>
          <w:b w:val="0"/>
          <w:bCs/>
          <w:sz w:val="21"/>
          <w:szCs w:val="21"/>
        </w:rPr>
        <w:t>采购人、采购代理机构认为供应商质疑不成立，或者成立但未对中标结果构成影响的，继续开展采购活动；认为供应商质疑成立且影响或者可能影响中标结果的，按照下列情况处理：</w:t>
      </w:r>
    </w:p>
    <w:p>
      <w:pPr>
        <w:pStyle w:val="24"/>
        <w:snapToGrid w:val="0"/>
        <w:spacing w:line="400" w:lineRule="exact"/>
        <w:rPr>
          <w:rFonts w:hAnsi="宋体"/>
          <w:bCs/>
          <w:sz w:val="21"/>
        </w:rPr>
      </w:pPr>
      <w:r>
        <w:rPr>
          <w:rFonts w:hint="eastAsia" w:hAnsi="宋体"/>
          <w:bCs/>
          <w:sz w:val="21"/>
        </w:rPr>
        <w:t>　　（一）对招标文件提出的质疑，依法通过澄清或者修改可以继续开展采购活动的，澄清或者修改招标文件后继续开展采购活动；否则应当修改招标文件后重新开展采购活动。</w:t>
      </w:r>
    </w:p>
    <w:p>
      <w:pPr>
        <w:pStyle w:val="24"/>
        <w:snapToGrid w:val="0"/>
        <w:spacing w:line="400" w:lineRule="exact"/>
        <w:rPr>
          <w:rFonts w:hAnsi="宋体"/>
          <w:bCs/>
          <w:sz w:val="21"/>
        </w:rPr>
      </w:pPr>
      <w:r>
        <w:rPr>
          <w:rFonts w:hint="eastAsia" w:hAnsi="宋体"/>
          <w:bCs/>
          <w:sz w:val="21"/>
        </w:rPr>
        <w:t>　　（二）对采购过程、中标结果提出的质疑，合格供应商符合法定数量时，可以从合格的中标候选人中另行确定中标供应商的，应当依法另行确定中标供应商；否则应当重新开展采购活动。</w:t>
      </w:r>
    </w:p>
    <w:p>
      <w:pPr>
        <w:pStyle w:val="24"/>
        <w:snapToGrid w:val="0"/>
        <w:spacing w:line="400" w:lineRule="exact"/>
        <w:ind w:firstLine="420"/>
        <w:rPr>
          <w:rFonts w:hAnsi="宋体"/>
          <w:bCs/>
          <w:sz w:val="21"/>
        </w:rPr>
      </w:pPr>
      <w:r>
        <w:rPr>
          <w:rFonts w:hint="eastAsia" w:hAnsi="宋体"/>
          <w:bCs/>
          <w:sz w:val="21"/>
        </w:rPr>
        <w:t>质疑答复导致中标结果改变的，采购人或者采购代理机构应当将有关情况书面报告本级财政部门。</w:t>
      </w:r>
    </w:p>
    <w:p>
      <w:pPr>
        <w:pStyle w:val="24"/>
        <w:snapToGrid w:val="0"/>
        <w:spacing w:line="400" w:lineRule="exact"/>
        <w:ind w:firstLine="420" w:firstLineChars="200"/>
        <w:rPr>
          <w:rFonts w:hAnsi="宋体"/>
          <w:sz w:val="21"/>
        </w:rPr>
      </w:pPr>
      <w:r>
        <w:rPr>
          <w:rFonts w:hAnsi="宋体"/>
          <w:sz w:val="21"/>
        </w:rPr>
        <w:t>38</w:t>
      </w:r>
      <w:r>
        <w:rPr>
          <w:rFonts w:hint="eastAsia" w:hAnsi="宋体"/>
          <w:sz w:val="21"/>
        </w:rPr>
        <w:t>.</w:t>
      </w:r>
      <w:r>
        <w:rPr>
          <w:rFonts w:hAnsi="宋体"/>
          <w:sz w:val="21"/>
        </w:rPr>
        <w:t>5</w:t>
      </w:r>
      <w:r>
        <w:rPr>
          <w:rFonts w:hint="eastAsia" w:hAnsi="宋体"/>
          <w:sz w:val="21"/>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见第六章）。</w:t>
      </w:r>
    </w:p>
    <w:p>
      <w:pPr>
        <w:pStyle w:val="4"/>
        <w:keepNext w:val="0"/>
        <w:keepLines w:val="0"/>
        <w:jc w:val="center"/>
      </w:pPr>
      <w:r>
        <w:rPr>
          <w:rFonts w:hint="eastAsia"/>
        </w:rPr>
        <w:t>八、其他事项</w:t>
      </w:r>
    </w:p>
    <w:p>
      <w:pPr>
        <w:pStyle w:val="6"/>
        <w:keepNext w:val="0"/>
        <w:keepLines w:val="0"/>
        <w:spacing w:before="0" w:after="0" w:line="400" w:lineRule="exact"/>
        <w:ind w:left="420" w:leftChars="200"/>
        <w:rPr>
          <w:rFonts w:ascii="黑体" w:hAnsi="黑体" w:eastAsia="黑体"/>
          <w:sz w:val="24"/>
        </w:rPr>
      </w:pPr>
      <w:bookmarkStart w:id="179" w:name="_42.代理服务费"/>
      <w:bookmarkEnd w:id="179"/>
      <w:r>
        <w:rPr>
          <w:rFonts w:hint="eastAsia" w:ascii="黑体" w:hAnsi="黑体" w:eastAsia="黑体"/>
          <w:sz w:val="24"/>
        </w:rPr>
        <w:t>3</w:t>
      </w:r>
      <w:r>
        <w:rPr>
          <w:rFonts w:ascii="黑体" w:hAnsi="黑体" w:eastAsia="黑体"/>
          <w:sz w:val="24"/>
        </w:rPr>
        <w:t>9</w:t>
      </w:r>
      <w:r>
        <w:rPr>
          <w:rFonts w:hint="eastAsia" w:ascii="黑体" w:hAnsi="黑体" w:eastAsia="黑体"/>
          <w:sz w:val="24"/>
        </w:rPr>
        <w:t>.代理服务费</w:t>
      </w:r>
    </w:p>
    <w:p>
      <w:pPr>
        <w:pStyle w:val="6"/>
        <w:keepNext w:val="0"/>
        <w:keepLines w:val="0"/>
        <w:spacing w:before="0" w:after="0" w:line="400" w:lineRule="exact"/>
        <w:ind w:left="420" w:leftChars="200"/>
        <w:rPr>
          <w:rFonts w:ascii="宋体" w:hAnsi="宋体"/>
          <w:b w:val="0"/>
          <w:sz w:val="21"/>
          <w:szCs w:val="21"/>
        </w:rPr>
      </w:pPr>
      <w:r>
        <w:rPr>
          <w:rFonts w:hint="eastAsia" w:ascii="宋体" w:hAnsi="宋体"/>
          <w:b w:val="0"/>
          <w:sz w:val="21"/>
          <w:szCs w:val="21"/>
        </w:rPr>
        <w:t>3</w:t>
      </w:r>
      <w:r>
        <w:rPr>
          <w:rFonts w:ascii="宋体" w:hAnsi="宋体"/>
          <w:b w:val="0"/>
          <w:sz w:val="21"/>
          <w:szCs w:val="21"/>
        </w:rPr>
        <w:t>9</w:t>
      </w:r>
      <w:r>
        <w:rPr>
          <w:rFonts w:hint="eastAsia" w:ascii="宋体" w:hAnsi="宋体"/>
          <w:b w:val="0"/>
          <w:sz w:val="21"/>
          <w:szCs w:val="21"/>
        </w:rPr>
        <w:t>.1代理服务费收取标准及缴费账户详见“投标人须知前附表”，投标人为联合体的，可以由联合体中的一方或者多方共同交纳代理服务费。</w:t>
      </w:r>
    </w:p>
    <w:p>
      <w:pPr>
        <w:pStyle w:val="6"/>
        <w:keepNext w:val="0"/>
        <w:keepLines w:val="0"/>
        <w:spacing w:before="0" w:after="0" w:line="400" w:lineRule="exact"/>
        <w:ind w:left="420" w:leftChars="200"/>
        <w:rPr>
          <w:rFonts w:ascii="宋体" w:hAnsi="宋体"/>
          <w:szCs w:val="21"/>
        </w:rPr>
      </w:pPr>
      <w:r>
        <w:rPr>
          <w:rFonts w:hint="eastAsia" w:ascii="宋体" w:hAnsi="宋体"/>
          <w:sz w:val="21"/>
          <w:szCs w:val="21"/>
        </w:rPr>
        <w:t>3</w:t>
      </w:r>
      <w:r>
        <w:rPr>
          <w:rFonts w:ascii="宋体" w:hAnsi="宋体"/>
          <w:sz w:val="21"/>
          <w:szCs w:val="21"/>
        </w:rPr>
        <w:t>9</w:t>
      </w:r>
      <w:r>
        <w:rPr>
          <w:rFonts w:hint="eastAsia" w:ascii="宋体" w:hAnsi="宋体"/>
          <w:sz w:val="21"/>
          <w:szCs w:val="21"/>
        </w:rPr>
        <w:t>.2代理服务收费标准：</w:t>
      </w:r>
    </w:p>
    <w:tbl>
      <w:tblPr>
        <w:tblStyle w:val="4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93"/>
        <w:gridCol w:w="1670"/>
        <w:gridCol w:w="1697"/>
        <w:gridCol w:w="1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8" w:type="pct"/>
            <w:tcBorders>
              <w:tl2br w:val="single" w:color="auto" w:sz="4" w:space="0"/>
            </w:tcBorders>
          </w:tcPr>
          <w:p>
            <w:pPr>
              <w:spacing w:line="400" w:lineRule="exact"/>
              <w:rPr>
                <w:rFonts w:ascii="宋体" w:hAnsi="宋体"/>
                <w:szCs w:val="21"/>
              </w:rPr>
            </w:pPr>
            <w:r>
              <w:rPr>
                <w:rFonts w:hint="eastAsia" w:ascii="宋体" w:hAnsi="宋体"/>
                <w:szCs w:val="21"/>
              </w:rPr>
              <w:t xml:space="preserve">               费率</w:t>
            </w:r>
          </w:p>
          <w:p>
            <w:pPr>
              <w:spacing w:line="400" w:lineRule="exact"/>
              <w:rPr>
                <w:rFonts w:ascii="宋体" w:hAnsi="宋体"/>
                <w:szCs w:val="21"/>
              </w:rPr>
            </w:pPr>
            <w:r>
              <w:rPr>
                <w:rFonts w:hint="eastAsia" w:ascii="宋体" w:hAnsi="宋体"/>
                <w:szCs w:val="21"/>
              </w:rPr>
              <w:t>金额</w:t>
            </w:r>
          </w:p>
        </w:tc>
        <w:tc>
          <w:tcPr>
            <w:tcW w:w="979" w:type="pct"/>
            <w:vAlign w:val="center"/>
          </w:tcPr>
          <w:p>
            <w:pPr>
              <w:spacing w:line="400" w:lineRule="exact"/>
              <w:ind w:firstLine="105" w:firstLineChars="50"/>
              <w:jc w:val="center"/>
              <w:rPr>
                <w:rFonts w:ascii="宋体" w:hAnsi="宋体"/>
                <w:szCs w:val="21"/>
              </w:rPr>
            </w:pPr>
            <w:r>
              <w:rPr>
                <w:rFonts w:hint="eastAsia" w:ascii="宋体" w:hAnsi="宋体"/>
                <w:szCs w:val="21"/>
              </w:rPr>
              <w:t>货物招标</w:t>
            </w:r>
          </w:p>
        </w:tc>
        <w:tc>
          <w:tcPr>
            <w:tcW w:w="995" w:type="pct"/>
            <w:vAlign w:val="center"/>
          </w:tcPr>
          <w:p>
            <w:pPr>
              <w:spacing w:line="400" w:lineRule="exact"/>
              <w:jc w:val="center"/>
              <w:rPr>
                <w:rFonts w:ascii="宋体" w:hAnsi="宋体"/>
                <w:szCs w:val="21"/>
              </w:rPr>
            </w:pPr>
            <w:r>
              <w:rPr>
                <w:rFonts w:hint="eastAsia" w:ascii="宋体" w:hAnsi="宋体"/>
                <w:szCs w:val="21"/>
              </w:rPr>
              <w:t>服务招标</w:t>
            </w:r>
          </w:p>
        </w:tc>
        <w:tc>
          <w:tcPr>
            <w:tcW w:w="978" w:type="pct"/>
            <w:vAlign w:val="center"/>
          </w:tcPr>
          <w:p>
            <w:pPr>
              <w:spacing w:line="400" w:lineRule="exact"/>
              <w:jc w:val="center"/>
              <w:rPr>
                <w:rFonts w:ascii="宋体" w:hAnsi="宋体"/>
                <w:szCs w:val="21"/>
              </w:rPr>
            </w:pPr>
            <w:r>
              <w:rPr>
                <w:rFonts w:hint="eastAsia" w:ascii="宋体" w:hAnsi="宋体"/>
                <w:szCs w:val="21"/>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8" w:type="pct"/>
          </w:tcPr>
          <w:p>
            <w:pPr>
              <w:spacing w:line="360" w:lineRule="auto"/>
              <w:rPr>
                <w:rFonts w:ascii="宋体" w:hAnsi="宋体"/>
                <w:szCs w:val="21"/>
              </w:rPr>
            </w:pPr>
            <w:r>
              <w:rPr>
                <w:rFonts w:hint="eastAsia" w:ascii="宋体" w:hAnsi="宋体"/>
                <w:szCs w:val="21"/>
              </w:rPr>
              <w:t>100万元以下</w:t>
            </w:r>
          </w:p>
        </w:tc>
        <w:tc>
          <w:tcPr>
            <w:tcW w:w="979" w:type="pct"/>
          </w:tcPr>
          <w:p>
            <w:pPr>
              <w:spacing w:line="360" w:lineRule="auto"/>
              <w:rPr>
                <w:rFonts w:ascii="宋体" w:hAnsi="宋体"/>
                <w:szCs w:val="21"/>
              </w:rPr>
            </w:pPr>
            <w:r>
              <w:rPr>
                <w:rFonts w:hint="eastAsia" w:ascii="宋体" w:hAnsi="宋体" w:cs="宋体"/>
                <w:kern w:val="0"/>
                <w:szCs w:val="21"/>
              </w:rPr>
              <w:t xml:space="preserve">  1.5%                </w:t>
            </w:r>
          </w:p>
        </w:tc>
        <w:tc>
          <w:tcPr>
            <w:tcW w:w="995" w:type="pct"/>
          </w:tcPr>
          <w:p>
            <w:pPr>
              <w:spacing w:line="360" w:lineRule="auto"/>
              <w:ind w:firstLine="210" w:firstLineChars="100"/>
              <w:rPr>
                <w:rFonts w:ascii="宋体" w:hAnsi="宋体"/>
                <w:szCs w:val="21"/>
              </w:rPr>
            </w:pPr>
            <w:r>
              <w:rPr>
                <w:rFonts w:hint="eastAsia" w:ascii="宋体" w:hAnsi="宋体" w:cs="宋体"/>
                <w:kern w:val="0"/>
                <w:szCs w:val="21"/>
              </w:rPr>
              <w:t>1.5%</w:t>
            </w:r>
          </w:p>
        </w:tc>
        <w:tc>
          <w:tcPr>
            <w:tcW w:w="978" w:type="pct"/>
          </w:tcPr>
          <w:p>
            <w:pPr>
              <w:spacing w:line="360" w:lineRule="auto"/>
              <w:ind w:firstLine="210" w:firstLineChars="100"/>
              <w:rPr>
                <w:rFonts w:ascii="宋体" w:hAnsi="宋体"/>
                <w:szCs w:val="21"/>
              </w:rPr>
            </w:pPr>
            <w:r>
              <w:rPr>
                <w:rFonts w:hint="eastAsia" w:ascii="宋体" w:hAnsi="宋体" w:cs="宋体"/>
                <w:kern w:val="0"/>
                <w:szCs w:val="21"/>
              </w:rPr>
              <w:t xml:space="preserve">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8" w:type="pct"/>
          </w:tcPr>
          <w:p>
            <w:pPr>
              <w:spacing w:line="360" w:lineRule="auto"/>
              <w:rPr>
                <w:rFonts w:ascii="宋体" w:hAnsi="宋体"/>
                <w:szCs w:val="21"/>
              </w:rPr>
            </w:pPr>
            <w:r>
              <w:rPr>
                <w:rFonts w:hint="eastAsia" w:ascii="宋体" w:hAnsi="宋体"/>
                <w:szCs w:val="21"/>
              </w:rPr>
              <w:t>100万元～500万元</w:t>
            </w:r>
          </w:p>
        </w:tc>
        <w:tc>
          <w:tcPr>
            <w:tcW w:w="979" w:type="pct"/>
          </w:tcPr>
          <w:p>
            <w:pPr>
              <w:spacing w:line="360" w:lineRule="auto"/>
              <w:ind w:firstLine="210" w:firstLineChars="100"/>
              <w:rPr>
                <w:rFonts w:ascii="宋体" w:hAnsi="宋体"/>
                <w:szCs w:val="21"/>
              </w:rPr>
            </w:pPr>
            <w:r>
              <w:rPr>
                <w:rFonts w:hint="eastAsia" w:ascii="宋体" w:hAnsi="宋体" w:cs="宋体"/>
                <w:kern w:val="0"/>
                <w:szCs w:val="21"/>
              </w:rPr>
              <w:t xml:space="preserve">1.1%                 </w:t>
            </w:r>
          </w:p>
        </w:tc>
        <w:tc>
          <w:tcPr>
            <w:tcW w:w="995" w:type="pct"/>
          </w:tcPr>
          <w:p>
            <w:pPr>
              <w:spacing w:line="360" w:lineRule="auto"/>
              <w:ind w:firstLine="210" w:firstLineChars="100"/>
              <w:rPr>
                <w:rFonts w:ascii="宋体" w:hAnsi="宋体"/>
                <w:szCs w:val="21"/>
              </w:rPr>
            </w:pPr>
            <w:r>
              <w:rPr>
                <w:rFonts w:hint="eastAsia" w:ascii="宋体" w:hAnsi="宋体" w:cs="宋体"/>
                <w:kern w:val="0"/>
                <w:szCs w:val="21"/>
              </w:rPr>
              <w:t>0.8%</w:t>
            </w:r>
          </w:p>
        </w:tc>
        <w:tc>
          <w:tcPr>
            <w:tcW w:w="978" w:type="pct"/>
          </w:tcPr>
          <w:p>
            <w:pPr>
              <w:spacing w:line="360" w:lineRule="auto"/>
              <w:ind w:firstLine="210" w:firstLineChars="100"/>
              <w:rPr>
                <w:rFonts w:ascii="宋体" w:hAnsi="宋体"/>
                <w:szCs w:val="21"/>
              </w:rPr>
            </w:pPr>
            <w:r>
              <w:rPr>
                <w:rFonts w:hint="eastAsia" w:ascii="宋体" w:hAnsi="宋体" w:cs="宋体"/>
                <w:kern w:val="0"/>
                <w:szCs w:val="21"/>
              </w:rPr>
              <w:t xml:space="preserve">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8" w:type="pct"/>
          </w:tcPr>
          <w:p>
            <w:pPr>
              <w:spacing w:line="360" w:lineRule="auto"/>
              <w:rPr>
                <w:rFonts w:ascii="宋体" w:hAnsi="宋体"/>
                <w:szCs w:val="21"/>
              </w:rPr>
            </w:pPr>
            <w:r>
              <w:rPr>
                <w:rFonts w:hint="eastAsia" w:ascii="宋体" w:hAnsi="宋体"/>
                <w:szCs w:val="21"/>
              </w:rPr>
              <w:t>500万元～1000万元</w:t>
            </w:r>
          </w:p>
        </w:tc>
        <w:tc>
          <w:tcPr>
            <w:tcW w:w="979" w:type="pct"/>
          </w:tcPr>
          <w:p>
            <w:pPr>
              <w:spacing w:line="360" w:lineRule="auto"/>
              <w:rPr>
                <w:rFonts w:ascii="宋体" w:hAnsi="宋体"/>
                <w:szCs w:val="21"/>
              </w:rPr>
            </w:pPr>
            <w:r>
              <w:rPr>
                <w:rFonts w:hint="eastAsia" w:ascii="宋体" w:hAnsi="宋体" w:cs="宋体"/>
                <w:kern w:val="0"/>
                <w:szCs w:val="21"/>
              </w:rPr>
              <w:t xml:space="preserve">  0.8%                </w:t>
            </w:r>
          </w:p>
        </w:tc>
        <w:tc>
          <w:tcPr>
            <w:tcW w:w="995" w:type="pct"/>
          </w:tcPr>
          <w:p>
            <w:pPr>
              <w:spacing w:line="360" w:lineRule="auto"/>
              <w:ind w:firstLine="210" w:firstLineChars="100"/>
              <w:rPr>
                <w:rFonts w:ascii="宋体" w:hAnsi="宋体"/>
                <w:szCs w:val="21"/>
              </w:rPr>
            </w:pPr>
            <w:r>
              <w:rPr>
                <w:rFonts w:hint="eastAsia" w:ascii="宋体" w:hAnsi="宋体" w:cs="宋体"/>
                <w:kern w:val="0"/>
                <w:szCs w:val="21"/>
              </w:rPr>
              <w:t>0.45%</w:t>
            </w:r>
          </w:p>
        </w:tc>
        <w:tc>
          <w:tcPr>
            <w:tcW w:w="978" w:type="pct"/>
          </w:tcPr>
          <w:p>
            <w:pPr>
              <w:spacing w:line="360" w:lineRule="auto"/>
              <w:ind w:firstLine="210" w:firstLineChars="100"/>
              <w:rPr>
                <w:rFonts w:ascii="宋体" w:hAnsi="宋体"/>
                <w:szCs w:val="21"/>
              </w:rPr>
            </w:pPr>
            <w:r>
              <w:rPr>
                <w:rFonts w:hint="eastAsia" w:ascii="宋体" w:hAnsi="宋体" w:cs="宋体"/>
                <w:kern w:val="0"/>
                <w:szCs w:val="21"/>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8" w:type="pct"/>
          </w:tcPr>
          <w:p>
            <w:pPr>
              <w:spacing w:line="360" w:lineRule="auto"/>
              <w:rPr>
                <w:rFonts w:ascii="宋体" w:hAnsi="宋体"/>
                <w:szCs w:val="21"/>
              </w:rPr>
            </w:pPr>
            <w:r>
              <w:rPr>
                <w:rFonts w:hint="eastAsia" w:ascii="宋体" w:hAnsi="宋体"/>
                <w:szCs w:val="21"/>
              </w:rPr>
              <w:t>1000万元～5000万元</w:t>
            </w:r>
          </w:p>
        </w:tc>
        <w:tc>
          <w:tcPr>
            <w:tcW w:w="979" w:type="pct"/>
          </w:tcPr>
          <w:p>
            <w:pPr>
              <w:spacing w:line="360" w:lineRule="auto"/>
              <w:ind w:firstLine="210" w:firstLineChars="100"/>
              <w:rPr>
                <w:rFonts w:ascii="宋体" w:hAnsi="宋体"/>
                <w:szCs w:val="21"/>
              </w:rPr>
            </w:pPr>
            <w:r>
              <w:rPr>
                <w:rFonts w:hint="eastAsia" w:ascii="宋体" w:hAnsi="宋体" w:cs="宋体"/>
                <w:kern w:val="0"/>
                <w:szCs w:val="21"/>
              </w:rPr>
              <w:t xml:space="preserve">0.5%                </w:t>
            </w:r>
          </w:p>
        </w:tc>
        <w:tc>
          <w:tcPr>
            <w:tcW w:w="995" w:type="pct"/>
          </w:tcPr>
          <w:p>
            <w:pPr>
              <w:spacing w:line="360" w:lineRule="auto"/>
              <w:ind w:firstLine="210" w:firstLineChars="100"/>
              <w:rPr>
                <w:rFonts w:ascii="宋体" w:hAnsi="宋体"/>
                <w:szCs w:val="21"/>
              </w:rPr>
            </w:pPr>
            <w:r>
              <w:rPr>
                <w:rFonts w:hint="eastAsia" w:ascii="宋体" w:hAnsi="宋体" w:cs="宋体"/>
                <w:kern w:val="0"/>
                <w:szCs w:val="21"/>
              </w:rPr>
              <w:t>0.25%</w:t>
            </w:r>
          </w:p>
        </w:tc>
        <w:tc>
          <w:tcPr>
            <w:tcW w:w="978" w:type="pct"/>
          </w:tcPr>
          <w:p>
            <w:pPr>
              <w:spacing w:line="360" w:lineRule="auto"/>
              <w:ind w:firstLine="210" w:firstLineChars="100"/>
              <w:rPr>
                <w:rFonts w:ascii="宋体" w:hAnsi="宋体"/>
                <w:szCs w:val="21"/>
              </w:rPr>
            </w:pPr>
            <w:r>
              <w:rPr>
                <w:rFonts w:hint="eastAsia" w:ascii="宋体" w:hAnsi="宋体" w:cs="宋体"/>
                <w:kern w:val="0"/>
                <w:szCs w:val="21"/>
              </w:rPr>
              <w:t xml:space="preserve">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8" w:type="pct"/>
          </w:tcPr>
          <w:p>
            <w:pPr>
              <w:spacing w:line="360" w:lineRule="auto"/>
              <w:rPr>
                <w:rFonts w:ascii="宋体" w:hAnsi="宋体"/>
                <w:szCs w:val="21"/>
              </w:rPr>
            </w:pPr>
            <w:r>
              <w:rPr>
                <w:rFonts w:hint="eastAsia" w:ascii="宋体" w:hAnsi="宋体"/>
                <w:szCs w:val="21"/>
              </w:rPr>
              <w:t>5000万元～1亿元</w:t>
            </w:r>
          </w:p>
        </w:tc>
        <w:tc>
          <w:tcPr>
            <w:tcW w:w="979" w:type="pct"/>
          </w:tcPr>
          <w:p>
            <w:pPr>
              <w:spacing w:line="360" w:lineRule="auto"/>
              <w:ind w:firstLine="210" w:firstLineChars="100"/>
              <w:rPr>
                <w:rFonts w:ascii="宋体" w:hAnsi="宋体"/>
                <w:szCs w:val="21"/>
              </w:rPr>
            </w:pPr>
            <w:r>
              <w:rPr>
                <w:rFonts w:hint="eastAsia" w:ascii="宋体" w:hAnsi="宋体" w:cs="宋体"/>
                <w:kern w:val="0"/>
                <w:szCs w:val="21"/>
              </w:rPr>
              <w:t xml:space="preserve">0.25%                 </w:t>
            </w:r>
          </w:p>
        </w:tc>
        <w:tc>
          <w:tcPr>
            <w:tcW w:w="995" w:type="pct"/>
          </w:tcPr>
          <w:p>
            <w:pPr>
              <w:spacing w:line="360" w:lineRule="auto"/>
              <w:ind w:firstLine="210" w:firstLineChars="100"/>
              <w:rPr>
                <w:rFonts w:ascii="宋体" w:hAnsi="宋体"/>
                <w:szCs w:val="21"/>
              </w:rPr>
            </w:pPr>
            <w:r>
              <w:rPr>
                <w:rFonts w:hint="eastAsia" w:ascii="宋体" w:hAnsi="宋体" w:cs="宋体"/>
                <w:kern w:val="0"/>
                <w:szCs w:val="21"/>
              </w:rPr>
              <w:t>0.1%</w:t>
            </w:r>
          </w:p>
        </w:tc>
        <w:tc>
          <w:tcPr>
            <w:tcW w:w="978" w:type="pct"/>
          </w:tcPr>
          <w:p>
            <w:pPr>
              <w:spacing w:line="360" w:lineRule="auto"/>
              <w:ind w:firstLine="210" w:firstLineChars="100"/>
              <w:rPr>
                <w:rFonts w:ascii="宋体" w:hAnsi="宋体"/>
                <w:szCs w:val="21"/>
              </w:rPr>
            </w:pPr>
            <w:r>
              <w:rPr>
                <w:rFonts w:hint="eastAsia" w:ascii="宋体" w:hAnsi="宋体" w:cs="宋体"/>
                <w:kern w:val="0"/>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8" w:type="pct"/>
          </w:tcPr>
          <w:p>
            <w:pPr>
              <w:spacing w:line="360" w:lineRule="auto"/>
              <w:rPr>
                <w:rFonts w:ascii="宋体" w:hAnsi="宋体"/>
                <w:szCs w:val="21"/>
              </w:rPr>
            </w:pPr>
            <w:r>
              <w:rPr>
                <w:rFonts w:hint="eastAsia" w:ascii="宋体" w:hAnsi="宋体"/>
                <w:szCs w:val="21"/>
              </w:rPr>
              <w:t>1亿元～5亿元</w:t>
            </w:r>
          </w:p>
        </w:tc>
        <w:tc>
          <w:tcPr>
            <w:tcW w:w="979" w:type="pct"/>
          </w:tcPr>
          <w:p>
            <w:pPr>
              <w:spacing w:line="360" w:lineRule="auto"/>
              <w:ind w:firstLine="210" w:firstLineChars="100"/>
              <w:rPr>
                <w:rFonts w:ascii="宋体" w:hAnsi="宋体"/>
                <w:szCs w:val="21"/>
              </w:rPr>
            </w:pPr>
            <w:r>
              <w:rPr>
                <w:rFonts w:hint="eastAsia" w:ascii="宋体" w:hAnsi="宋体"/>
                <w:szCs w:val="21"/>
              </w:rPr>
              <w:t>0.05%</w:t>
            </w:r>
          </w:p>
        </w:tc>
        <w:tc>
          <w:tcPr>
            <w:tcW w:w="995" w:type="pct"/>
          </w:tcPr>
          <w:p>
            <w:pPr>
              <w:spacing w:line="360" w:lineRule="auto"/>
              <w:rPr>
                <w:rFonts w:ascii="宋体" w:hAnsi="宋体"/>
                <w:szCs w:val="21"/>
              </w:rPr>
            </w:pPr>
            <w:r>
              <w:rPr>
                <w:rFonts w:hint="eastAsia" w:ascii="宋体" w:hAnsi="宋体"/>
                <w:szCs w:val="21"/>
              </w:rPr>
              <w:t xml:space="preserve">  0.05%</w:t>
            </w:r>
          </w:p>
        </w:tc>
        <w:tc>
          <w:tcPr>
            <w:tcW w:w="978" w:type="pct"/>
          </w:tcPr>
          <w:p>
            <w:pPr>
              <w:spacing w:line="360" w:lineRule="auto"/>
              <w:rPr>
                <w:rFonts w:ascii="宋体" w:hAnsi="宋体"/>
                <w:szCs w:val="21"/>
              </w:rPr>
            </w:pPr>
            <w:r>
              <w:rPr>
                <w:rFonts w:hint="eastAsia" w:ascii="宋体" w:hAnsi="宋体"/>
                <w:szCs w:val="21"/>
              </w:rPr>
              <w:t xml:space="preserve">  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8" w:type="pct"/>
          </w:tcPr>
          <w:p>
            <w:pPr>
              <w:spacing w:line="360" w:lineRule="auto"/>
              <w:rPr>
                <w:rFonts w:ascii="宋体" w:hAnsi="宋体"/>
                <w:szCs w:val="21"/>
              </w:rPr>
            </w:pPr>
            <w:r>
              <w:rPr>
                <w:rFonts w:hint="eastAsia" w:ascii="宋体" w:hAnsi="宋体"/>
                <w:szCs w:val="21"/>
              </w:rPr>
              <w:t>5亿元～10亿元</w:t>
            </w:r>
          </w:p>
        </w:tc>
        <w:tc>
          <w:tcPr>
            <w:tcW w:w="979" w:type="pct"/>
          </w:tcPr>
          <w:p>
            <w:pPr>
              <w:spacing w:line="360" w:lineRule="auto"/>
              <w:ind w:firstLine="105" w:firstLineChars="50"/>
              <w:rPr>
                <w:rFonts w:ascii="宋体" w:hAnsi="宋体"/>
                <w:szCs w:val="21"/>
              </w:rPr>
            </w:pPr>
            <w:r>
              <w:rPr>
                <w:rFonts w:hint="eastAsia" w:ascii="宋体" w:hAnsi="宋体"/>
                <w:szCs w:val="21"/>
              </w:rPr>
              <w:t>0.035%</w:t>
            </w:r>
          </w:p>
        </w:tc>
        <w:tc>
          <w:tcPr>
            <w:tcW w:w="995" w:type="pct"/>
          </w:tcPr>
          <w:p>
            <w:pPr>
              <w:spacing w:line="360" w:lineRule="auto"/>
              <w:rPr>
                <w:rFonts w:ascii="宋体" w:hAnsi="宋体"/>
                <w:szCs w:val="21"/>
              </w:rPr>
            </w:pPr>
            <w:r>
              <w:rPr>
                <w:rFonts w:hint="eastAsia" w:ascii="宋体" w:hAnsi="宋体"/>
                <w:szCs w:val="21"/>
              </w:rPr>
              <w:t xml:space="preserve">  0.035%</w:t>
            </w:r>
          </w:p>
        </w:tc>
        <w:tc>
          <w:tcPr>
            <w:tcW w:w="978" w:type="pct"/>
          </w:tcPr>
          <w:p>
            <w:pPr>
              <w:spacing w:line="360" w:lineRule="auto"/>
              <w:ind w:firstLine="105" w:firstLineChars="50"/>
              <w:rPr>
                <w:rFonts w:ascii="宋体" w:hAnsi="宋体"/>
                <w:szCs w:val="21"/>
              </w:rPr>
            </w:pPr>
            <w:r>
              <w:rPr>
                <w:rFonts w:hint="eastAsia" w:ascii="宋体" w:hAnsi="宋体"/>
                <w:szCs w:val="21"/>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8" w:type="pct"/>
          </w:tcPr>
          <w:p>
            <w:pPr>
              <w:spacing w:line="360" w:lineRule="auto"/>
              <w:rPr>
                <w:rFonts w:ascii="宋体" w:hAnsi="宋体"/>
                <w:szCs w:val="21"/>
              </w:rPr>
            </w:pPr>
            <w:r>
              <w:rPr>
                <w:rFonts w:hint="eastAsia" w:ascii="宋体" w:hAnsi="宋体"/>
                <w:szCs w:val="21"/>
              </w:rPr>
              <w:t>10亿元～50亿元</w:t>
            </w:r>
          </w:p>
        </w:tc>
        <w:tc>
          <w:tcPr>
            <w:tcW w:w="979" w:type="pct"/>
          </w:tcPr>
          <w:p>
            <w:pPr>
              <w:spacing w:line="360" w:lineRule="auto"/>
              <w:ind w:firstLine="105" w:firstLineChars="50"/>
              <w:rPr>
                <w:rFonts w:ascii="宋体" w:hAnsi="宋体"/>
                <w:szCs w:val="21"/>
              </w:rPr>
            </w:pPr>
            <w:r>
              <w:rPr>
                <w:rFonts w:hint="eastAsia" w:ascii="宋体" w:hAnsi="宋体"/>
                <w:szCs w:val="21"/>
              </w:rPr>
              <w:t>0.008%</w:t>
            </w:r>
          </w:p>
        </w:tc>
        <w:tc>
          <w:tcPr>
            <w:tcW w:w="995" w:type="pct"/>
          </w:tcPr>
          <w:p>
            <w:pPr>
              <w:spacing w:line="360" w:lineRule="auto"/>
              <w:ind w:firstLine="210" w:firstLineChars="100"/>
              <w:rPr>
                <w:rFonts w:ascii="宋体" w:hAnsi="宋体"/>
                <w:szCs w:val="21"/>
              </w:rPr>
            </w:pPr>
            <w:r>
              <w:rPr>
                <w:rFonts w:hint="eastAsia" w:ascii="宋体" w:hAnsi="宋体"/>
                <w:szCs w:val="21"/>
              </w:rPr>
              <w:t>0.008%</w:t>
            </w:r>
          </w:p>
        </w:tc>
        <w:tc>
          <w:tcPr>
            <w:tcW w:w="978" w:type="pct"/>
          </w:tcPr>
          <w:p>
            <w:pPr>
              <w:spacing w:line="360" w:lineRule="auto"/>
              <w:ind w:firstLine="105" w:firstLineChars="50"/>
              <w:rPr>
                <w:rFonts w:ascii="宋体" w:hAnsi="宋体"/>
                <w:szCs w:val="21"/>
              </w:rPr>
            </w:pPr>
            <w:r>
              <w:rPr>
                <w:rFonts w:hint="eastAsia" w:ascii="宋体" w:hAnsi="宋体"/>
                <w:szCs w:val="21"/>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8" w:type="pct"/>
          </w:tcPr>
          <w:p>
            <w:pPr>
              <w:spacing w:line="360" w:lineRule="auto"/>
              <w:rPr>
                <w:rFonts w:ascii="宋体" w:hAnsi="宋体"/>
                <w:szCs w:val="21"/>
              </w:rPr>
            </w:pPr>
            <w:r>
              <w:rPr>
                <w:rFonts w:hint="eastAsia" w:ascii="宋体" w:hAnsi="宋体"/>
                <w:szCs w:val="21"/>
              </w:rPr>
              <w:t>50亿元～100亿元</w:t>
            </w:r>
          </w:p>
        </w:tc>
        <w:tc>
          <w:tcPr>
            <w:tcW w:w="979" w:type="pct"/>
          </w:tcPr>
          <w:p>
            <w:pPr>
              <w:spacing w:line="360" w:lineRule="auto"/>
              <w:rPr>
                <w:rFonts w:ascii="宋体" w:hAnsi="宋体"/>
                <w:szCs w:val="21"/>
              </w:rPr>
            </w:pPr>
            <w:r>
              <w:rPr>
                <w:rFonts w:hint="eastAsia" w:ascii="宋体" w:hAnsi="宋体"/>
                <w:szCs w:val="21"/>
              </w:rPr>
              <w:t xml:space="preserve"> 0.006%</w:t>
            </w:r>
          </w:p>
        </w:tc>
        <w:tc>
          <w:tcPr>
            <w:tcW w:w="995" w:type="pct"/>
          </w:tcPr>
          <w:p>
            <w:pPr>
              <w:spacing w:line="360" w:lineRule="auto"/>
              <w:ind w:firstLine="210" w:firstLineChars="100"/>
              <w:rPr>
                <w:rFonts w:ascii="宋体" w:hAnsi="宋体"/>
                <w:szCs w:val="21"/>
              </w:rPr>
            </w:pPr>
            <w:r>
              <w:rPr>
                <w:rFonts w:hint="eastAsia" w:ascii="宋体" w:hAnsi="宋体"/>
                <w:szCs w:val="21"/>
              </w:rPr>
              <w:t>0.006%</w:t>
            </w:r>
          </w:p>
        </w:tc>
        <w:tc>
          <w:tcPr>
            <w:tcW w:w="978" w:type="pct"/>
          </w:tcPr>
          <w:p>
            <w:pPr>
              <w:spacing w:line="360" w:lineRule="auto"/>
              <w:ind w:firstLine="105" w:firstLineChars="50"/>
              <w:rPr>
                <w:rFonts w:ascii="宋体" w:hAnsi="宋体"/>
                <w:szCs w:val="21"/>
              </w:rPr>
            </w:pPr>
            <w:r>
              <w:rPr>
                <w:rFonts w:hint="eastAsia" w:ascii="宋体" w:hAnsi="宋体"/>
                <w:szCs w:val="21"/>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8" w:type="pct"/>
          </w:tcPr>
          <w:p>
            <w:pPr>
              <w:spacing w:line="360" w:lineRule="auto"/>
              <w:rPr>
                <w:rFonts w:ascii="宋体" w:hAnsi="宋体"/>
                <w:szCs w:val="21"/>
              </w:rPr>
            </w:pPr>
            <w:r>
              <w:rPr>
                <w:rFonts w:hint="eastAsia" w:ascii="宋体" w:hAnsi="宋体"/>
                <w:szCs w:val="21"/>
              </w:rPr>
              <w:t>100亿元以上</w:t>
            </w:r>
          </w:p>
        </w:tc>
        <w:tc>
          <w:tcPr>
            <w:tcW w:w="979" w:type="pct"/>
          </w:tcPr>
          <w:p>
            <w:pPr>
              <w:spacing w:line="360" w:lineRule="auto"/>
              <w:rPr>
                <w:rFonts w:ascii="宋体" w:hAnsi="宋体"/>
                <w:szCs w:val="21"/>
              </w:rPr>
            </w:pPr>
            <w:r>
              <w:rPr>
                <w:rFonts w:hint="eastAsia" w:ascii="宋体" w:hAnsi="宋体"/>
                <w:szCs w:val="21"/>
              </w:rPr>
              <w:t xml:space="preserve"> 0.004%</w:t>
            </w:r>
          </w:p>
        </w:tc>
        <w:tc>
          <w:tcPr>
            <w:tcW w:w="995" w:type="pct"/>
          </w:tcPr>
          <w:p>
            <w:pPr>
              <w:spacing w:line="360" w:lineRule="auto"/>
              <w:ind w:firstLine="210" w:firstLineChars="100"/>
              <w:rPr>
                <w:rFonts w:ascii="宋体" w:hAnsi="宋体"/>
                <w:szCs w:val="21"/>
              </w:rPr>
            </w:pPr>
            <w:r>
              <w:rPr>
                <w:rFonts w:hint="eastAsia" w:ascii="宋体" w:hAnsi="宋体"/>
                <w:szCs w:val="21"/>
              </w:rPr>
              <w:t>0.004%</w:t>
            </w:r>
          </w:p>
        </w:tc>
        <w:tc>
          <w:tcPr>
            <w:tcW w:w="978" w:type="pct"/>
          </w:tcPr>
          <w:p>
            <w:pPr>
              <w:spacing w:line="360" w:lineRule="auto"/>
              <w:ind w:firstLine="105" w:firstLineChars="50"/>
              <w:rPr>
                <w:rFonts w:ascii="宋体" w:hAnsi="宋体"/>
                <w:szCs w:val="21"/>
              </w:rPr>
            </w:pPr>
            <w:r>
              <w:rPr>
                <w:rFonts w:hint="eastAsia" w:ascii="宋体" w:hAnsi="宋体"/>
                <w:szCs w:val="21"/>
              </w:rPr>
              <w:t>0.004%</w:t>
            </w:r>
          </w:p>
        </w:tc>
      </w:tr>
    </w:tbl>
    <w:p>
      <w:pPr>
        <w:pStyle w:val="24"/>
        <w:spacing w:before="120" w:after="120" w:line="400" w:lineRule="exact"/>
        <w:ind w:firstLine="420" w:firstLineChars="200"/>
        <w:contextualSpacing/>
        <w:rPr>
          <w:rFonts w:hAnsi="宋体" w:cs="宋体"/>
          <w:sz w:val="21"/>
        </w:rPr>
      </w:pPr>
      <w:r>
        <w:rPr>
          <w:rFonts w:hint="eastAsia" w:hAnsi="宋体" w:cs="宋体"/>
          <w:sz w:val="21"/>
        </w:rPr>
        <w:t>注：</w:t>
      </w:r>
      <w:r>
        <w:rPr>
          <w:rFonts w:hAnsi="宋体" w:cs="宋体"/>
          <w:sz w:val="21"/>
        </w:rPr>
        <w:t xml:space="preserve"> </w:t>
      </w:r>
    </w:p>
    <w:p>
      <w:pPr>
        <w:pStyle w:val="24"/>
        <w:spacing w:before="120" w:after="120" w:line="400" w:lineRule="exact"/>
        <w:ind w:firstLine="420" w:firstLineChars="200"/>
        <w:contextualSpacing/>
        <w:rPr>
          <w:rFonts w:hAnsi="宋体" w:cs="宋体"/>
          <w:sz w:val="21"/>
        </w:rPr>
      </w:pPr>
      <w:r>
        <w:rPr>
          <w:rFonts w:hint="eastAsia" w:hAnsi="宋体" w:cs="宋体"/>
          <w:sz w:val="21"/>
        </w:rPr>
        <w:t>（1）</w:t>
      </w:r>
      <w:r>
        <w:rPr>
          <w:rFonts w:hAnsi="宋体" w:cs="宋体"/>
          <w:sz w:val="21"/>
        </w:rPr>
        <w:t>按本表费率计算的收费为</w:t>
      </w:r>
      <w:r>
        <w:rPr>
          <w:rFonts w:hint="eastAsia" w:hAnsi="宋体" w:cs="宋体"/>
          <w:sz w:val="21"/>
        </w:rPr>
        <w:t>采购</w:t>
      </w:r>
      <w:r>
        <w:rPr>
          <w:rFonts w:hAnsi="宋体" w:cs="宋体"/>
          <w:sz w:val="21"/>
        </w:rPr>
        <w:t>代理的收费基准价格</w:t>
      </w:r>
      <w:r>
        <w:rPr>
          <w:rFonts w:hint="eastAsia" w:hAnsi="宋体" w:cs="宋体"/>
          <w:sz w:val="21"/>
        </w:rPr>
        <w:t>；</w:t>
      </w:r>
    </w:p>
    <w:p>
      <w:pPr>
        <w:pStyle w:val="24"/>
        <w:spacing w:before="120" w:after="120" w:line="400" w:lineRule="exact"/>
        <w:ind w:firstLine="420" w:firstLineChars="200"/>
        <w:contextualSpacing/>
        <w:rPr>
          <w:rFonts w:hAnsi="宋体" w:cs="宋体"/>
          <w:sz w:val="21"/>
        </w:rPr>
      </w:pPr>
      <w:r>
        <w:rPr>
          <w:rFonts w:hint="eastAsia" w:hAnsi="宋体" w:cs="宋体"/>
          <w:sz w:val="21"/>
        </w:rPr>
        <w:t>（2）采购</w:t>
      </w:r>
      <w:r>
        <w:rPr>
          <w:rFonts w:hAnsi="宋体" w:cs="宋体"/>
          <w:sz w:val="21"/>
        </w:rPr>
        <w:t>代理收费按差额定率累进法计算。</w:t>
      </w:r>
    </w:p>
    <w:p>
      <w:pPr>
        <w:pStyle w:val="24"/>
        <w:spacing w:before="120" w:after="120" w:line="400" w:lineRule="exact"/>
        <w:ind w:firstLine="420" w:firstLineChars="200"/>
        <w:contextualSpacing/>
        <w:rPr>
          <w:rFonts w:hAnsi="宋体" w:cs="宋体"/>
          <w:sz w:val="21"/>
        </w:rPr>
      </w:pPr>
      <w:r>
        <w:rPr>
          <w:rFonts w:hint="eastAsia" w:hAnsi="宋体" w:cs="宋体"/>
          <w:sz w:val="21"/>
        </w:rPr>
        <w:t>例如：某服务采购代理业务中标金额或者暂定价为200万元，计算采购代理收费额如下：</w:t>
      </w:r>
    </w:p>
    <w:p>
      <w:pPr>
        <w:pStyle w:val="24"/>
        <w:spacing w:before="120" w:after="120" w:line="400" w:lineRule="exact"/>
        <w:ind w:firstLine="420" w:firstLineChars="200"/>
        <w:contextualSpacing/>
        <w:rPr>
          <w:rFonts w:hAnsi="宋体" w:cs="宋体"/>
          <w:sz w:val="21"/>
        </w:rPr>
      </w:pPr>
      <w:r>
        <w:rPr>
          <w:rFonts w:hint="eastAsia" w:hAnsi="宋体" w:cs="宋体"/>
          <w:sz w:val="21"/>
        </w:rPr>
        <w:t>100 万元×l.5 %＝ 1.5 万元</w:t>
      </w:r>
    </w:p>
    <w:p>
      <w:pPr>
        <w:pStyle w:val="24"/>
        <w:spacing w:before="120" w:after="120" w:line="400" w:lineRule="exact"/>
        <w:ind w:firstLine="420" w:firstLineChars="200"/>
        <w:contextualSpacing/>
        <w:rPr>
          <w:rFonts w:hAnsi="宋体" w:cs="宋体"/>
          <w:sz w:val="21"/>
        </w:rPr>
      </w:pPr>
      <w:r>
        <w:rPr>
          <w:rFonts w:hint="eastAsia" w:hAnsi="宋体" w:cs="宋体"/>
          <w:sz w:val="21"/>
        </w:rPr>
        <w:t>（ 200 － 100 ）万元 ×0.8%＝0.8万元</w:t>
      </w:r>
    </w:p>
    <w:p>
      <w:pPr>
        <w:pStyle w:val="24"/>
        <w:spacing w:before="120" w:after="120" w:line="400" w:lineRule="exact"/>
        <w:ind w:firstLine="420" w:firstLineChars="200"/>
        <w:contextualSpacing/>
        <w:rPr>
          <w:rFonts w:hAnsi="宋体" w:cs="宋体"/>
          <w:sz w:val="21"/>
        </w:rPr>
      </w:pPr>
      <w:r>
        <w:rPr>
          <w:rFonts w:hint="eastAsia" w:hAnsi="宋体" w:cs="宋体"/>
          <w:sz w:val="21"/>
        </w:rPr>
        <w:t>合计收费＝ 1.5+0.8＝ 2.3（万元）</w:t>
      </w:r>
    </w:p>
    <w:p>
      <w:pPr>
        <w:pStyle w:val="6"/>
        <w:keepNext w:val="0"/>
        <w:keepLines w:val="0"/>
        <w:spacing w:before="0" w:after="0" w:line="400" w:lineRule="exact"/>
        <w:ind w:left="420" w:leftChars="200"/>
        <w:rPr>
          <w:rFonts w:ascii="黑体" w:hAnsi="黑体" w:eastAsia="黑体"/>
          <w:sz w:val="24"/>
        </w:rPr>
      </w:pPr>
      <w:r>
        <w:rPr>
          <w:rFonts w:ascii="黑体" w:hAnsi="黑体" w:eastAsia="黑体"/>
          <w:sz w:val="24"/>
        </w:rPr>
        <w:t>40. 需要补充的其他内容</w:t>
      </w:r>
    </w:p>
    <w:p>
      <w:pPr>
        <w:pStyle w:val="24"/>
        <w:spacing w:before="120" w:after="120" w:line="400" w:lineRule="exact"/>
        <w:ind w:firstLine="420" w:firstLineChars="200"/>
        <w:contextualSpacing/>
        <w:rPr>
          <w:rFonts w:hAnsi="宋体" w:cs="宋体"/>
          <w:sz w:val="21"/>
        </w:rPr>
      </w:pPr>
      <w:r>
        <w:rPr>
          <w:rFonts w:hint="eastAsia" w:hAnsi="宋体" w:cs="宋体"/>
          <w:sz w:val="21"/>
        </w:rPr>
        <w:t>40.1本招标文件解释规则详见“投标人须知前附表”。</w:t>
      </w:r>
    </w:p>
    <w:p>
      <w:pPr>
        <w:pStyle w:val="24"/>
        <w:spacing w:before="120" w:after="120" w:line="400" w:lineRule="exact"/>
        <w:ind w:firstLine="420" w:firstLineChars="200"/>
        <w:contextualSpacing/>
        <w:rPr>
          <w:rFonts w:hAnsi="宋体" w:cs="宋体"/>
          <w:sz w:val="21"/>
        </w:rPr>
      </w:pPr>
      <w:r>
        <w:rPr>
          <w:rFonts w:hint="eastAsia" w:hAnsi="宋体" w:cs="宋体"/>
          <w:sz w:val="21"/>
        </w:rPr>
        <w:t>40.2 其他事项详见“投标人须知前附表”。</w:t>
      </w:r>
    </w:p>
    <w:p>
      <w:pPr>
        <w:pStyle w:val="24"/>
        <w:spacing w:before="120" w:after="120" w:line="400" w:lineRule="exact"/>
        <w:ind w:firstLine="420" w:firstLineChars="200"/>
        <w:contextualSpacing/>
        <w:rPr>
          <w:rFonts w:hAnsi="宋体" w:cs="宋体"/>
          <w:sz w:val="21"/>
        </w:rPr>
      </w:pPr>
      <w:r>
        <w:rPr>
          <w:rFonts w:hint="eastAsia" w:hAnsi="宋体" w:cs="宋体"/>
          <w:sz w:val="21"/>
        </w:rPr>
        <w:t>40.3</w:t>
      </w:r>
      <w:bookmarkStart w:id="180" w:name="_Hlk65857140"/>
      <w:r>
        <w:rPr>
          <w:rFonts w:hint="eastAsia" w:hAnsi="宋体" w:cs="宋体"/>
          <w:sz w:val="21"/>
        </w:rPr>
        <w:t>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pPr>
        <w:pStyle w:val="24"/>
        <w:spacing w:before="120" w:after="120" w:line="400" w:lineRule="exact"/>
        <w:ind w:firstLine="420" w:firstLineChars="200"/>
        <w:contextualSpacing/>
        <w:rPr>
          <w:rFonts w:hAnsi="宋体" w:cs="宋体"/>
          <w:sz w:val="21"/>
        </w:rPr>
      </w:pPr>
      <w:r>
        <w:rPr>
          <w:rFonts w:hint="eastAsia" w:hAnsi="宋体" w:cs="宋体"/>
          <w:sz w:val="21"/>
        </w:rPr>
        <w:t>（1）在货物采购项目中，货物由中小企业制造，即货物由中小企业生产且使用该中小企业商号或者注册商标，不对其中涉及的工程承建商和服务的承接商作出要求；</w:t>
      </w:r>
    </w:p>
    <w:p>
      <w:pPr>
        <w:pStyle w:val="24"/>
        <w:spacing w:before="120" w:after="120" w:line="400" w:lineRule="exact"/>
        <w:ind w:firstLine="420" w:firstLineChars="200"/>
        <w:contextualSpacing/>
        <w:rPr>
          <w:rFonts w:hAnsi="宋体" w:cs="宋体"/>
          <w:sz w:val="21"/>
        </w:rPr>
      </w:pPr>
      <w:r>
        <w:rPr>
          <w:rFonts w:hint="eastAsia" w:hAnsi="宋体" w:cs="宋体"/>
          <w:sz w:val="21"/>
        </w:rPr>
        <w:t>（2）在工程采购项目中，工程由中小企业承建，即工程施工单位为中小企业，不对其中涉及的货物的制造商和服务的承接商作出要求；</w:t>
      </w:r>
    </w:p>
    <w:p>
      <w:pPr>
        <w:pStyle w:val="24"/>
        <w:spacing w:before="120" w:after="120" w:line="400" w:lineRule="exact"/>
        <w:ind w:firstLine="420" w:firstLineChars="200"/>
        <w:contextualSpacing/>
        <w:rPr>
          <w:rFonts w:hAnsi="宋体" w:cs="宋体"/>
          <w:sz w:val="21"/>
        </w:rPr>
      </w:pPr>
      <w:r>
        <w:rPr>
          <w:rFonts w:hint="eastAsia" w:hAnsi="宋体" w:cs="宋体"/>
          <w:sz w:val="21"/>
        </w:rPr>
        <w:t>（3）在服务采购项目中，服务由中小企业承接，即提供服务的人员为中小企业依照《中华人民共和国劳动合同法》订立劳动合同的从业人员，不对其中涉及的货物的制造商和工程承建商作出要求。</w:t>
      </w:r>
    </w:p>
    <w:p>
      <w:pPr>
        <w:pStyle w:val="24"/>
        <w:spacing w:before="120" w:after="120" w:line="400" w:lineRule="exact"/>
        <w:ind w:firstLine="420" w:firstLineChars="200"/>
        <w:contextualSpacing/>
        <w:rPr>
          <w:rFonts w:hAnsi="宋体" w:cs="宋体"/>
          <w:sz w:val="21"/>
        </w:rPr>
      </w:pPr>
      <w:r>
        <w:rPr>
          <w:rFonts w:hint="eastAsia" w:hAnsi="宋体" w:cs="宋体"/>
          <w:sz w:val="21"/>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pPr>
        <w:pStyle w:val="24"/>
        <w:spacing w:before="120" w:after="120" w:line="400" w:lineRule="exact"/>
        <w:ind w:firstLine="420" w:firstLineChars="200"/>
        <w:contextualSpacing/>
        <w:rPr>
          <w:rFonts w:hAnsi="宋体" w:cs="宋体"/>
          <w:sz w:val="21"/>
        </w:rPr>
      </w:pPr>
      <w:r>
        <w:rPr>
          <w:rFonts w:hint="eastAsia" w:hAnsi="宋体" w:cs="宋体"/>
          <w:sz w:val="21"/>
        </w:rPr>
        <w:t>依据本招标文件规定享受扶持政策获得政府采购合同的，小微企业不得将合同分包给大中型企业，中型企业不得将合同分包给大型企业。</w:t>
      </w:r>
      <w:bookmarkEnd w:id="180"/>
    </w:p>
    <w:p>
      <w:pPr>
        <w:pStyle w:val="24"/>
        <w:spacing w:line="360" w:lineRule="auto"/>
        <w:ind w:firstLine="420" w:firstLineChars="200"/>
        <w:rPr>
          <w:rFonts w:hAnsi="宋体"/>
          <w:sz w:val="21"/>
        </w:rPr>
      </w:pPr>
    </w:p>
    <w:p>
      <w:pPr>
        <w:pStyle w:val="24"/>
        <w:spacing w:line="360" w:lineRule="auto"/>
        <w:ind w:firstLine="420" w:firstLineChars="200"/>
        <w:rPr>
          <w:rFonts w:hAnsi="宋体"/>
          <w:sz w:val="21"/>
        </w:rPr>
      </w:pPr>
    </w:p>
    <w:p>
      <w:pPr>
        <w:pStyle w:val="24"/>
        <w:snapToGrid w:val="0"/>
        <w:spacing w:line="360" w:lineRule="auto"/>
        <w:rPr>
          <w:rFonts w:hAnsi="宋体"/>
        </w:rPr>
      </w:pPr>
      <w:r>
        <w:rPr>
          <w:rFonts w:hAnsi="宋体"/>
          <w:sz w:val="21"/>
        </w:rPr>
        <w:br w:type="page"/>
      </w:r>
      <w:r>
        <w:rPr>
          <w:rFonts w:hint="eastAsia" w:ascii="黑体" w:hAnsi="黑体" w:eastAsia="黑体" w:cs="黑体"/>
          <w:bCs/>
          <w:sz w:val="32"/>
          <w:szCs w:val="32"/>
        </w:rPr>
        <w:t>附件1：</w:t>
      </w:r>
    </w:p>
    <w:p>
      <w:pPr>
        <w:widowControl/>
        <w:shd w:val="clear" w:color="auto" w:fill="FFFFFF"/>
        <w:spacing w:line="480" w:lineRule="atLeast"/>
        <w:jc w:val="center"/>
        <w:rPr>
          <w:rFonts w:ascii="仿宋" w:hAnsi="仿宋" w:eastAsia="仿宋" w:cs="宋体"/>
          <w:kern w:val="0"/>
          <w:sz w:val="32"/>
          <w:szCs w:val="32"/>
        </w:rPr>
      </w:pPr>
      <w:r>
        <w:rPr>
          <w:rFonts w:hint="eastAsia" w:ascii="宋体" w:hAnsi="宋体" w:cs="宋体"/>
          <w:b/>
          <w:bCs/>
          <w:kern w:val="0"/>
          <w:sz w:val="32"/>
          <w:szCs w:val="32"/>
        </w:rPr>
        <w:t>广西壮族自治区政府采购项目合同验收书（格式）</w:t>
      </w:r>
    </w:p>
    <w:p>
      <w:pPr>
        <w:widowControl/>
        <w:shd w:val="clear" w:color="auto" w:fill="FFFFFF"/>
        <w:spacing w:line="480" w:lineRule="atLeast"/>
        <w:jc w:val="center"/>
        <w:rPr>
          <w:rFonts w:ascii="仿宋" w:hAnsi="仿宋" w:eastAsia="仿宋" w:cs="宋体"/>
          <w:kern w:val="0"/>
          <w:sz w:val="32"/>
          <w:szCs w:val="32"/>
        </w:rPr>
      </w:pPr>
    </w:p>
    <w:p>
      <w:pPr>
        <w:widowControl/>
        <w:shd w:val="clear" w:color="auto" w:fill="FFFFFF"/>
        <w:snapToGrid w:val="0"/>
        <w:spacing w:line="320" w:lineRule="atLeast"/>
        <w:ind w:firstLine="480"/>
        <w:jc w:val="left"/>
        <w:rPr>
          <w:rFonts w:ascii="宋体" w:hAnsi="宋体" w:cs="宋体"/>
          <w:kern w:val="0"/>
          <w:szCs w:val="21"/>
        </w:rPr>
      </w:pPr>
      <w:r>
        <w:rPr>
          <w:rFonts w:hint="eastAsia" w:ascii="宋体" w:hAnsi="宋体" w:cs="宋体"/>
          <w:kern w:val="0"/>
          <w:szCs w:val="21"/>
        </w:rPr>
        <w:t>根据政府采购项目（</w:t>
      </w:r>
      <w:r>
        <w:rPr>
          <w:rFonts w:hint="eastAsia" w:ascii="宋体" w:hAnsi="宋体" w:cs="宋体"/>
          <w:kern w:val="0"/>
          <w:szCs w:val="21"/>
          <w:u w:val="single"/>
        </w:rPr>
        <w:t>采购合同编号：</w:t>
      </w:r>
      <w:r>
        <w:rPr>
          <w:rFonts w:hint="eastAsia" w:ascii="宋体" w:hAnsi="宋体" w:cs="宋体"/>
          <w:kern w:val="0"/>
          <w:szCs w:val="21"/>
          <w:u w:val="single"/>
        </w:rPr>
        <w:softHyphen/>
      </w:r>
      <w:r>
        <w:rPr>
          <w:rFonts w:hint="eastAsia" w:ascii="宋体" w:hAnsi="宋体" w:cs="宋体"/>
          <w:kern w:val="0"/>
          <w:szCs w:val="21"/>
          <w:u w:val="single"/>
        </w:rPr>
        <w:t xml:space="preserve"> </w:t>
      </w:r>
      <w:r>
        <w:rPr>
          <w:rFonts w:hint="eastAsia" w:ascii="宋体" w:hAnsi="宋体" w:cs="宋体"/>
          <w:kern w:val="0"/>
          <w:szCs w:val="21"/>
        </w:rPr>
        <w:t>）的约定，我单位对（</w:t>
      </w:r>
      <w:r>
        <w:rPr>
          <w:rFonts w:hint="eastAsia" w:ascii="宋体" w:hAnsi="宋体" w:cs="宋体"/>
          <w:kern w:val="0"/>
          <w:szCs w:val="21"/>
          <w:u w:val="single"/>
        </w:rPr>
        <w:t xml:space="preserve"> 项目名称 </w:t>
      </w:r>
      <w:r>
        <w:rPr>
          <w:rFonts w:hint="eastAsia" w:ascii="宋体" w:hAnsi="宋体" w:cs="宋体"/>
          <w:kern w:val="0"/>
          <w:szCs w:val="21"/>
        </w:rPr>
        <w:t>） 政府采购项目中标（或成交）供应商</w:t>
      </w:r>
      <w:r>
        <w:rPr>
          <w:rFonts w:hint="eastAsia" w:ascii="宋体" w:hAnsi="宋体" w:cs="宋体"/>
          <w:kern w:val="0"/>
          <w:szCs w:val="21"/>
          <w:u w:val="single"/>
        </w:rPr>
        <w:t xml:space="preserve"> </w:t>
      </w:r>
      <w:r>
        <w:rPr>
          <w:rFonts w:ascii="宋体" w:hAnsi="宋体" w:cs="宋体"/>
          <w:kern w:val="0"/>
          <w:szCs w:val="21"/>
          <w:u w:val="single"/>
        </w:rPr>
        <w:t xml:space="preserve">  </w:t>
      </w:r>
      <w:r>
        <w:rPr>
          <w:rFonts w:hint="eastAsia" w:ascii="宋体" w:hAnsi="宋体" w:cs="宋体"/>
          <w:kern w:val="0"/>
          <w:szCs w:val="21"/>
          <w:u w:val="single"/>
        </w:rPr>
        <w:t xml:space="preserve">（ 公司名称 </w:t>
      </w:r>
      <w:r>
        <w:rPr>
          <w:rFonts w:hint="eastAsia" w:ascii="宋体" w:hAnsi="宋体" w:cs="宋体"/>
          <w:kern w:val="0"/>
          <w:szCs w:val="21"/>
        </w:rPr>
        <w:t>）提供的货物（或者工程、服务）进行了验收，验收情况如下：</w:t>
      </w:r>
    </w:p>
    <w:tbl>
      <w:tblPr>
        <w:tblStyle w:val="49"/>
        <w:tblW w:w="5000" w:type="pct"/>
        <w:jc w:val="center"/>
        <w:tblLayout w:type="autofit"/>
        <w:tblCellMar>
          <w:top w:w="0" w:type="dxa"/>
          <w:left w:w="0" w:type="dxa"/>
          <w:bottom w:w="0" w:type="dxa"/>
          <w:right w:w="0" w:type="dxa"/>
        </w:tblCellMar>
      </w:tblPr>
      <w:tblGrid>
        <w:gridCol w:w="793"/>
        <w:gridCol w:w="813"/>
        <w:gridCol w:w="1601"/>
        <w:gridCol w:w="787"/>
        <w:gridCol w:w="102"/>
        <w:gridCol w:w="1976"/>
        <w:gridCol w:w="173"/>
        <w:gridCol w:w="678"/>
        <w:gridCol w:w="1409"/>
      </w:tblGrid>
      <w:tr>
        <w:tblPrEx>
          <w:tblCellMar>
            <w:top w:w="0" w:type="dxa"/>
            <w:left w:w="0" w:type="dxa"/>
            <w:bottom w:w="0" w:type="dxa"/>
            <w:right w:w="0" w:type="dxa"/>
          </w:tblCellMar>
        </w:tblPrEx>
        <w:trPr>
          <w:trHeight w:val="497" w:hRule="atLeast"/>
          <w:jc w:val="center"/>
        </w:trPr>
        <w:tc>
          <w:tcPr>
            <w:tcW w:w="1925" w:type="pct"/>
            <w:gridSpan w:val="3"/>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atLeast"/>
              <w:ind w:firstLine="5"/>
              <w:jc w:val="center"/>
              <w:rPr>
                <w:rFonts w:ascii="宋体" w:hAnsi="宋体" w:cs="宋体"/>
                <w:kern w:val="0"/>
                <w:szCs w:val="21"/>
              </w:rPr>
            </w:pPr>
            <w:r>
              <w:rPr>
                <w:rFonts w:ascii="宋体" w:hAnsi="宋体" w:cs="宋体"/>
                <w:kern w:val="0"/>
                <w:szCs w:val="21"/>
              </w:rPr>
              <w:t>验收方式：</w:t>
            </w:r>
          </w:p>
        </w:tc>
        <w:tc>
          <w:tcPr>
            <w:tcW w:w="3075" w:type="pct"/>
            <w:gridSpan w:val="6"/>
            <w:tcBorders>
              <w:top w:val="single" w:color="auto" w:sz="8" w:space="0"/>
              <w:left w:val="nil"/>
              <w:bottom w:val="single" w:color="auto" w:sz="8" w:space="0"/>
              <w:right w:val="single" w:color="auto" w:sz="8" w:space="0"/>
            </w:tcBorders>
            <w:vAlign w:val="center"/>
          </w:tcPr>
          <w:p>
            <w:pPr>
              <w:widowControl/>
              <w:snapToGrid w:val="0"/>
              <w:spacing w:before="100" w:beforeAutospacing="1" w:after="100" w:afterAutospacing="1" w:line="320" w:lineRule="atLeast"/>
              <w:jc w:val="center"/>
              <w:rPr>
                <w:rFonts w:ascii="宋体" w:hAnsi="宋体" w:cs="宋体"/>
                <w:kern w:val="0"/>
                <w:szCs w:val="21"/>
              </w:rPr>
            </w:pPr>
            <w:r>
              <w:rPr>
                <w:rFonts w:ascii="宋体" w:hAnsi="宋体" w:cs="宋体"/>
                <w:kern w:val="0"/>
                <w:szCs w:val="21"/>
              </w:rPr>
              <w:t>□自行验收     □委托验收</w:t>
            </w:r>
          </w:p>
        </w:tc>
      </w:tr>
      <w:tr>
        <w:tblPrEx>
          <w:tblCellMar>
            <w:top w:w="0" w:type="dxa"/>
            <w:left w:w="0" w:type="dxa"/>
            <w:bottom w:w="0" w:type="dxa"/>
            <w:right w:w="0" w:type="dxa"/>
          </w:tblCellMar>
        </w:tblPrEx>
        <w:trPr>
          <w:trHeight w:val="622" w:hRule="atLeast"/>
          <w:jc w:val="center"/>
        </w:trPr>
        <w:tc>
          <w:tcPr>
            <w:tcW w:w="476" w:type="pct"/>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atLeast"/>
              <w:ind w:firstLine="2"/>
              <w:jc w:val="center"/>
              <w:rPr>
                <w:rFonts w:ascii="宋体" w:hAnsi="宋体" w:cs="宋体"/>
                <w:kern w:val="0"/>
                <w:szCs w:val="21"/>
              </w:rPr>
            </w:pPr>
            <w:r>
              <w:rPr>
                <w:rFonts w:ascii="宋体" w:hAnsi="宋体" w:cs="宋体"/>
                <w:kern w:val="0"/>
                <w:szCs w:val="21"/>
              </w:rPr>
              <w:t>序号</w:t>
            </w:r>
          </w:p>
        </w:tc>
        <w:tc>
          <w:tcPr>
            <w:tcW w:w="1449" w:type="pct"/>
            <w:gridSpan w:val="2"/>
            <w:tcBorders>
              <w:top w:val="nil"/>
              <w:left w:val="nil"/>
              <w:bottom w:val="single" w:color="auto" w:sz="8" w:space="0"/>
              <w:right w:val="single" w:color="auto" w:sz="8" w:space="0"/>
            </w:tcBorders>
            <w:vAlign w:val="center"/>
          </w:tcPr>
          <w:p>
            <w:pPr>
              <w:widowControl/>
              <w:snapToGrid w:val="0"/>
              <w:spacing w:before="100" w:beforeAutospacing="1" w:after="100" w:afterAutospacing="1" w:line="320" w:lineRule="atLeast"/>
              <w:ind w:firstLine="2"/>
              <w:jc w:val="center"/>
              <w:rPr>
                <w:rFonts w:ascii="宋体" w:hAnsi="宋体" w:cs="宋体"/>
                <w:kern w:val="0"/>
                <w:szCs w:val="21"/>
              </w:rPr>
            </w:pPr>
            <w:r>
              <w:rPr>
                <w:rFonts w:ascii="宋体" w:hAnsi="宋体" w:cs="宋体"/>
                <w:kern w:val="0"/>
                <w:szCs w:val="21"/>
              </w:rPr>
              <w:t>名称</w:t>
            </w:r>
          </w:p>
        </w:tc>
        <w:tc>
          <w:tcPr>
            <w:tcW w:w="1718" w:type="pct"/>
            <w:gridSpan w:val="3"/>
            <w:tcBorders>
              <w:top w:val="nil"/>
              <w:left w:val="nil"/>
              <w:bottom w:val="single" w:color="auto" w:sz="8" w:space="0"/>
              <w:right w:val="single" w:color="auto" w:sz="8" w:space="0"/>
            </w:tcBorders>
            <w:vAlign w:val="center"/>
          </w:tcPr>
          <w:p>
            <w:pPr>
              <w:widowControl/>
              <w:snapToGrid w:val="0"/>
              <w:spacing w:before="100" w:beforeAutospacing="1" w:after="100" w:afterAutospacing="1" w:line="320" w:lineRule="atLeast"/>
              <w:ind w:firstLine="2"/>
              <w:jc w:val="center"/>
              <w:rPr>
                <w:rFonts w:ascii="宋体" w:hAnsi="宋体" w:cs="宋体"/>
                <w:kern w:val="0"/>
                <w:szCs w:val="21"/>
              </w:rPr>
            </w:pPr>
            <w:r>
              <w:rPr>
                <w:rFonts w:ascii="宋体" w:hAnsi="宋体" w:cs="宋体"/>
                <w:kern w:val="0"/>
                <w:szCs w:val="21"/>
              </w:rPr>
              <w:t>货物型号规格、标准及配置等（或者服务内容、标准）</w:t>
            </w:r>
          </w:p>
        </w:tc>
        <w:tc>
          <w:tcPr>
            <w:tcW w:w="511" w:type="pct"/>
            <w:gridSpan w:val="2"/>
            <w:tcBorders>
              <w:top w:val="nil"/>
              <w:left w:val="nil"/>
              <w:bottom w:val="single" w:color="auto" w:sz="8" w:space="0"/>
              <w:right w:val="single" w:color="auto" w:sz="8" w:space="0"/>
            </w:tcBorders>
            <w:vAlign w:val="center"/>
          </w:tcPr>
          <w:p>
            <w:pPr>
              <w:widowControl/>
              <w:snapToGrid w:val="0"/>
              <w:spacing w:before="100" w:beforeAutospacing="1" w:after="100" w:afterAutospacing="1" w:line="320" w:lineRule="atLeast"/>
              <w:jc w:val="center"/>
              <w:rPr>
                <w:rFonts w:ascii="宋体" w:hAnsi="宋体" w:cs="宋体"/>
                <w:kern w:val="0"/>
                <w:szCs w:val="21"/>
              </w:rPr>
            </w:pPr>
            <w:r>
              <w:rPr>
                <w:rFonts w:ascii="宋体" w:hAnsi="宋体" w:cs="宋体"/>
                <w:kern w:val="0"/>
                <w:szCs w:val="21"/>
              </w:rPr>
              <w:t>数量</w:t>
            </w:r>
          </w:p>
        </w:tc>
        <w:tc>
          <w:tcPr>
            <w:tcW w:w="845" w:type="pct"/>
            <w:tcBorders>
              <w:top w:val="nil"/>
              <w:left w:val="nil"/>
              <w:bottom w:val="single" w:color="auto" w:sz="8" w:space="0"/>
              <w:right w:val="single" w:color="auto" w:sz="8" w:space="0"/>
            </w:tcBorders>
            <w:vAlign w:val="center"/>
          </w:tcPr>
          <w:p>
            <w:pPr>
              <w:widowControl/>
              <w:snapToGrid w:val="0"/>
              <w:spacing w:before="100" w:beforeAutospacing="1" w:after="100" w:afterAutospacing="1" w:line="320" w:lineRule="atLeast"/>
              <w:ind w:firstLine="2"/>
              <w:jc w:val="center"/>
              <w:rPr>
                <w:rFonts w:ascii="宋体" w:hAnsi="宋体" w:cs="宋体"/>
                <w:kern w:val="0"/>
                <w:szCs w:val="21"/>
              </w:rPr>
            </w:pPr>
            <w:r>
              <w:rPr>
                <w:rFonts w:ascii="宋体" w:hAnsi="宋体" w:cs="宋体"/>
                <w:kern w:val="0"/>
                <w:szCs w:val="21"/>
              </w:rPr>
              <w:t>金额</w:t>
            </w:r>
          </w:p>
        </w:tc>
      </w:tr>
      <w:tr>
        <w:tblPrEx>
          <w:tblCellMar>
            <w:top w:w="0" w:type="dxa"/>
            <w:left w:w="0" w:type="dxa"/>
            <w:bottom w:w="0" w:type="dxa"/>
            <w:right w:w="0" w:type="dxa"/>
          </w:tblCellMar>
        </w:tblPrEx>
        <w:trPr>
          <w:trHeight w:val="487" w:hRule="atLeast"/>
          <w:jc w:val="center"/>
        </w:trPr>
        <w:tc>
          <w:tcPr>
            <w:tcW w:w="476" w:type="pct"/>
            <w:tcBorders>
              <w:top w:val="nil"/>
              <w:left w:val="single" w:color="auto" w:sz="8" w:space="0"/>
              <w:bottom w:val="single" w:color="auto" w:sz="8" w:space="0"/>
              <w:right w:val="single" w:color="auto" w:sz="8" w:space="0"/>
            </w:tcBorders>
            <w:vAlign w:val="center"/>
          </w:tcPr>
          <w:p>
            <w:pPr>
              <w:widowControl/>
              <w:spacing w:before="100" w:beforeAutospacing="1" w:after="100" w:afterAutospacing="1" w:line="240" w:lineRule="atLeast"/>
              <w:jc w:val="center"/>
              <w:rPr>
                <w:rFonts w:ascii="宋体" w:hAnsi="宋体" w:cs="宋体"/>
                <w:kern w:val="0"/>
                <w:szCs w:val="21"/>
              </w:rPr>
            </w:pPr>
          </w:p>
        </w:tc>
        <w:tc>
          <w:tcPr>
            <w:tcW w:w="1449" w:type="pct"/>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宋体" w:hAnsi="宋体" w:cs="宋体"/>
                <w:kern w:val="0"/>
                <w:szCs w:val="21"/>
              </w:rPr>
            </w:pPr>
          </w:p>
        </w:tc>
        <w:tc>
          <w:tcPr>
            <w:tcW w:w="1718" w:type="pct"/>
            <w:gridSpan w:val="3"/>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宋体" w:hAnsi="宋体" w:cs="宋体"/>
                <w:kern w:val="0"/>
                <w:szCs w:val="21"/>
              </w:rPr>
            </w:pPr>
          </w:p>
        </w:tc>
        <w:tc>
          <w:tcPr>
            <w:tcW w:w="511" w:type="pct"/>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宋体" w:hAnsi="宋体" w:cs="宋体"/>
                <w:kern w:val="0"/>
                <w:szCs w:val="21"/>
              </w:rPr>
            </w:pPr>
          </w:p>
        </w:tc>
        <w:tc>
          <w:tcPr>
            <w:tcW w:w="845" w:type="pct"/>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宋体" w:hAnsi="宋体" w:cs="宋体"/>
                <w:kern w:val="0"/>
                <w:szCs w:val="21"/>
              </w:rPr>
            </w:pPr>
          </w:p>
        </w:tc>
      </w:tr>
      <w:tr>
        <w:tblPrEx>
          <w:tblCellMar>
            <w:top w:w="0" w:type="dxa"/>
            <w:left w:w="0" w:type="dxa"/>
            <w:bottom w:w="0" w:type="dxa"/>
            <w:right w:w="0" w:type="dxa"/>
          </w:tblCellMar>
        </w:tblPrEx>
        <w:trPr>
          <w:trHeight w:val="487" w:hRule="atLeast"/>
          <w:jc w:val="center"/>
        </w:trPr>
        <w:tc>
          <w:tcPr>
            <w:tcW w:w="476" w:type="pct"/>
            <w:tcBorders>
              <w:top w:val="nil"/>
              <w:left w:val="single" w:color="auto" w:sz="8" w:space="0"/>
              <w:bottom w:val="single" w:color="auto" w:sz="8" w:space="0"/>
              <w:right w:val="single" w:color="auto" w:sz="8" w:space="0"/>
            </w:tcBorders>
            <w:vAlign w:val="center"/>
          </w:tcPr>
          <w:p>
            <w:pPr>
              <w:widowControl/>
              <w:spacing w:before="100" w:beforeAutospacing="1" w:after="100" w:afterAutospacing="1" w:line="240" w:lineRule="atLeast"/>
              <w:jc w:val="center"/>
              <w:rPr>
                <w:rFonts w:ascii="宋体" w:hAnsi="宋体" w:cs="宋体"/>
                <w:kern w:val="0"/>
                <w:szCs w:val="21"/>
              </w:rPr>
            </w:pPr>
          </w:p>
        </w:tc>
        <w:tc>
          <w:tcPr>
            <w:tcW w:w="1449" w:type="pct"/>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宋体" w:hAnsi="宋体" w:cs="宋体"/>
                <w:kern w:val="0"/>
                <w:szCs w:val="21"/>
              </w:rPr>
            </w:pPr>
          </w:p>
        </w:tc>
        <w:tc>
          <w:tcPr>
            <w:tcW w:w="1718" w:type="pct"/>
            <w:gridSpan w:val="3"/>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宋体" w:hAnsi="宋体" w:cs="宋体"/>
                <w:kern w:val="0"/>
                <w:szCs w:val="21"/>
              </w:rPr>
            </w:pPr>
          </w:p>
        </w:tc>
        <w:tc>
          <w:tcPr>
            <w:tcW w:w="511" w:type="pct"/>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宋体" w:hAnsi="宋体" w:cs="宋体"/>
                <w:kern w:val="0"/>
                <w:szCs w:val="21"/>
              </w:rPr>
            </w:pPr>
          </w:p>
        </w:tc>
        <w:tc>
          <w:tcPr>
            <w:tcW w:w="845" w:type="pct"/>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宋体" w:hAnsi="宋体" w:cs="宋体"/>
                <w:kern w:val="0"/>
                <w:szCs w:val="21"/>
              </w:rPr>
            </w:pPr>
          </w:p>
        </w:tc>
      </w:tr>
      <w:tr>
        <w:tblPrEx>
          <w:tblCellMar>
            <w:top w:w="0" w:type="dxa"/>
            <w:left w:w="0" w:type="dxa"/>
            <w:bottom w:w="0" w:type="dxa"/>
            <w:right w:w="0" w:type="dxa"/>
          </w:tblCellMar>
        </w:tblPrEx>
        <w:trPr>
          <w:trHeight w:val="487" w:hRule="atLeast"/>
          <w:jc w:val="center"/>
        </w:trPr>
        <w:tc>
          <w:tcPr>
            <w:tcW w:w="476" w:type="pct"/>
            <w:tcBorders>
              <w:top w:val="nil"/>
              <w:left w:val="single" w:color="auto" w:sz="8" w:space="0"/>
              <w:bottom w:val="single" w:color="auto" w:sz="8" w:space="0"/>
              <w:right w:val="single" w:color="auto" w:sz="8" w:space="0"/>
            </w:tcBorders>
            <w:vAlign w:val="center"/>
          </w:tcPr>
          <w:p>
            <w:pPr>
              <w:widowControl/>
              <w:spacing w:before="100" w:beforeAutospacing="1" w:after="100" w:afterAutospacing="1" w:line="240" w:lineRule="atLeast"/>
              <w:jc w:val="center"/>
              <w:rPr>
                <w:rFonts w:ascii="宋体" w:hAnsi="宋体" w:cs="宋体"/>
                <w:kern w:val="0"/>
                <w:szCs w:val="21"/>
              </w:rPr>
            </w:pPr>
          </w:p>
        </w:tc>
        <w:tc>
          <w:tcPr>
            <w:tcW w:w="1449" w:type="pct"/>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宋体" w:hAnsi="宋体" w:cs="宋体"/>
                <w:kern w:val="0"/>
                <w:szCs w:val="21"/>
              </w:rPr>
            </w:pPr>
          </w:p>
        </w:tc>
        <w:tc>
          <w:tcPr>
            <w:tcW w:w="1718" w:type="pct"/>
            <w:gridSpan w:val="3"/>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宋体" w:hAnsi="宋体" w:cs="宋体"/>
                <w:kern w:val="0"/>
                <w:szCs w:val="21"/>
              </w:rPr>
            </w:pPr>
          </w:p>
        </w:tc>
        <w:tc>
          <w:tcPr>
            <w:tcW w:w="511" w:type="pct"/>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宋体" w:hAnsi="宋体" w:cs="宋体"/>
                <w:kern w:val="0"/>
                <w:szCs w:val="21"/>
              </w:rPr>
            </w:pPr>
          </w:p>
        </w:tc>
        <w:tc>
          <w:tcPr>
            <w:tcW w:w="845" w:type="pct"/>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宋体" w:hAnsi="宋体" w:cs="宋体"/>
                <w:kern w:val="0"/>
                <w:szCs w:val="21"/>
              </w:rPr>
            </w:pPr>
          </w:p>
        </w:tc>
      </w:tr>
      <w:tr>
        <w:tblPrEx>
          <w:tblCellMar>
            <w:top w:w="0" w:type="dxa"/>
            <w:left w:w="0" w:type="dxa"/>
            <w:bottom w:w="0" w:type="dxa"/>
            <w:right w:w="0" w:type="dxa"/>
          </w:tblCellMar>
        </w:tblPrEx>
        <w:trPr>
          <w:trHeight w:val="487" w:hRule="atLeast"/>
          <w:jc w:val="center"/>
        </w:trPr>
        <w:tc>
          <w:tcPr>
            <w:tcW w:w="3644" w:type="pct"/>
            <w:gridSpan w:val="6"/>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atLeast"/>
              <w:ind w:firstLine="5"/>
              <w:jc w:val="center"/>
              <w:rPr>
                <w:rFonts w:ascii="宋体" w:hAnsi="宋体" w:cs="宋体"/>
                <w:kern w:val="0"/>
                <w:szCs w:val="21"/>
              </w:rPr>
            </w:pPr>
            <w:r>
              <w:rPr>
                <w:rFonts w:ascii="宋体" w:hAnsi="宋体" w:cs="宋体"/>
                <w:kern w:val="0"/>
                <w:szCs w:val="21"/>
              </w:rPr>
              <w:t>合 计</w:t>
            </w:r>
          </w:p>
        </w:tc>
        <w:tc>
          <w:tcPr>
            <w:tcW w:w="511" w:type="pct"/>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宋体" w:hAnsi="宋体" w:cs="宋体"/>
                <w:kern w:val="0"/>
                <w:szCs w:val="21"/>
              </w:rPr>
            </w:pPr>
          </w:p>
        </w:tc>
        <w:tc>
          <w:tcPr>
            <w:tcW w:w="845" w:type="pct"/>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宋体" w:hAnsi="宋体" w:cs="宋体"/>
                <w:kern w:val="0"/>
                <w:szCs w:val="21"/>
              </w:rPr>
            </w:pPr>
          </w:p>
        </w:tc>
      </w:tr>
      <w:tr>
        <w:tblPrEx>
          <w:tblCellMar>
            <w:top w:w="0" w:type="dxa"/>
            <w:left w:w="0" w:type="dxa"/>
            <w:bottom w:w="0" w:type="dxa"/>
            <w:right w:w="0" w:type="dxa"/>
          </w:tblCellMar>
        </w:tblPrEx>
        <w:trPr>
          <w:trHeight w:val="641" w:hRule="atLeast"/>
          <w:jc w:val="center"/>
        </w:trPr>
        <w:tc>
          <w:tcPr>
            <w:tcW w:w="5000" w:type="pct"/>
            <w:gridSpan w:val="9"/>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atLeast"/>
              <w:ind w:firstLine="210" w:firstLineChars="100"/>
              <w:jc w:val="left"/>
              <w:rPr>
                <w:rFonts w:ascii="宋体" w:hAnsi="宋体" w:cs="宋体"/>
                <w:kern w:val="0"/>
                <w:szCs w:val="21"/>
              </w:rPr>
            </w:pPr>
            <w:r>
              <w:rPr>
                <w:rFonts w:ascii="宋体" w:hAnsi="宋体" w:cs="宋体"/>
                <w:kern w:val="0"/>
                <w:szCs w:val="21"/>
              </w:rPr>
              <w:t xml:space="preserve">合计大写金额： </w:t>
            </w:r>
            <w:r>
              <w:rPr>
                <w:rFonts w:hint="eastAsia" w:ascii="宋体" w:hAnsi="宋体" w:cs="宋体"/>
                <w:kern w:val="0"/>
                <w:szCs w:val="21"/>
              </w:rPr>
              <w:t xml:space="preserve"> </w:t>
            </w:r>
            <w:r>
              <w:rPr>
                <w:rFonts w:ascii="宋体" w:hAnsi="宋体" w:cs="宋体"/>
                <w:kern w:val="0"/>
                <w:szCs w:val="21"/>
              </w:rPr>
              <w:t xml:space="preserve">仟 </w:t>
            </w:r>
            <w:r>
              <w:rPr>
                <w:rFonts w:hint="eastAsia" w:ascii="宋体" w:hAnsi="宋体" w:cs="宋体"/>
                <w:kern w:val="0"/>
                <w:szCs w:val="21"/>
              </w:rPr>
              <w:t xml:space="preserve"> </w:t>
            </w:r>
            <w:r>
              <w:rPr>
                <w:rFonts w:ascii="宋体" w:hAnsi="宋体" w:cs="宋体"/>
                <w:kern w:val="0"/>
                <w:szCs w:val="21"/>
              </w:rPr>
              <w:t xml:space="preserve">佰 </w:t>
            </w:r>
            <w:r>
              <w:rPr>
                <w:rFonts w:hint="eastAsia" w:ascii="宋体" w:hAnsi="宋体" w:cs="宋体"/>
                <w:kern w:val="0"/>
                <w:szCs w:val="21"/>
              </w:rPr>
              <w:t xml:space="preserve"> </w:t>
            </w:r>
            <w:r>
              <w:rPr>
                <w:rFonts w:ascii="宋体" w:hAnsi="宋体" w:cs="宋体"/>
                <w:kern w:val="0"/>
                <w:szCs w:val="21"/>
              </w:rPr>
              <w:t xml:space="preserve">拾 </w:t>
            </w:r>
            <w:r>
              <w:rPr>
                <w:rFonts w:hint="eastAsia" w:ascii="宋体" w:hAnsi="宋体" w:cs="宋体"/>
                <w:kern w:val="0"/>
                <w:szCs w:val="21"/>
              </w:rPr>
              <w:t xml:space="preserve"> </w:t>
            </w:r>
            <w:r>
              <w:rPr>
                <w:rFonts w:ascii="宋体" w:hAnsi="宋体" w:cs="宋体"/>
                <w:kern w:val="0"/>
                <w:szCs w:val="21"/>
              </w:rPr>
              <w:t xml:space="preserve">万 </w:t>
            </w:r>
            <w:r>
              <w:rPr>
                <w:rFonts w:hint="eastAsia" w:ascii="宋体" w:hAnsi="宋体" w:cs="宋体"/>
                <w:kern w:val="0"/>
                <w:szCs w:val="21"/>
              </w:rPr>
              <w:t xml:space="preserve"> </w:t>
            </w:r>
            <w:r>
              <w:rPr>
                <w:rFonts w:ascii="宋体" w:hAnsi="宋体" w:cs="宋体"/>
                <w:kern w:val="0"/>
                <w:szCs w:val="21"/>
              </w:rPr>
              <w:t xml:space="preserve">仟 </w:t>
            </w:r>
            <w:r>
              <w:rPr>
                <w:rFonts w:hint="eastAsia" w:ascii="宋体" w:hAnsi="宋体" w:cs="宋体"/>
                <w:kern w:val="0"/>
                <w:szCs w:val="21"/>
              </w:rPr>
              <w:t xml:space="preserve"> </w:t>
            </w:r>
            <w:r>
              <w:rPr>
                <w:rFonts w:ascii="宋体" w:hAnsi="宋体" w:cs="宋体"/>
                <w:kern w:val="0"/>
                <w:szCs w:val="21"/>
              </w:rPr>
              <w:t xml:space="preserve">佰 </w:t>
            </w:r>
            <w:r>
              <w:rPr>
                <w:rFonts w:hint="eastAsia" w:ascii="宋体" w:hAnsi="宋体" w:cs="宋体"/>
                <w:kern w:val="0"/>
                <w:szCs w:val="21"/>
              </w:rPr>
              <w:t xml:space="preserve"> </w:t>
            </w:r>
            <w:r>
              <w:rPr>
                <w:rFonts w:ascii="宋体" w:hAnsi="宋体" w:cs="宋体"/>
                <w:kern w:val="0"/>
                <w:szCs w:val="21"/>
              </w:rPr>
              <w:t xml:space="preserve">拾 </w:t>
            </w:r>
            <w:r>
              <w:rPr>
                <w:rFonts w:hint="eastAsia" w:ascii="宋体" w:hAnsi="宋体" w:cs="宋体"/>
                <w:kern w:val="0"/>
                <w:szCs w:val="21"/>
              </w:rPr>
              <w:t xml:space="preserve"> </w:t>
            </w:r>
            <w:r>
              <w:rPr>
                <w:rFonts w:ascii="宋体" w:hAnsi="宋体" w:cs="宋体"/>
                <w:kern w:val="0"/>
                <w:szCs w:val="21"/>
              </w:rPr>
              <w:t>元</w:t>
            </w:r>
          </w:p>
        </w:tc>
      </w:tr>
      <w:tr>
        <w:tblPrEx>
          <w:tblCellMar>
            <w:top w:w="0" w:type="dxa"/>
            <w:left w:w="0" w:type="dxa"/>
            <w:bottom w:w="0" w:type="dxa"/>
            <w:right w:w="0" w:type="dxa"/>
          </w:tblCellMar>
        </w:tblPrEx>
        <w:trPr>
          <w:trHeight w:val="641" w:hRule="atLeast"/>
          <w:jc w:val="center"/>
        </w:trPr>
        <w:tc>
          <w:tcPr>
            <w:tcW w:w="964" w:type="pct"/>
            <w:gridSpan w:val="2"/>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atLeast"/>
              <w:ind w:firstLine="2"/>
              <w:jc w:val="center"/>
              <w:rPr>
                <w:rFonts w:ascii="宋体" w:hAnsi="宋体" w:cs="宋体"/>
                <w:kern w:val="0"/>
                <w:szCs w:val="21"/>
              </w:rPr>
            </w:pPr>
            <w:r>
              <w:rPr>
                <w:rFonts w:ascii="宋体" w:hAnsi="宋体" w:cs="宋体"/>
                <w:kern w:val="0"/>
                <w:szCs w:val="21"/>
              </w:rPr>
              <w:t>实际供货日期</w:t>
            </w:r>
          </w:p>
        </w:tc>
        <w:tc>
          <w:tcPr>
            <w:tcW w:w="1433" w:type="pct"/>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宋体" w:hAnsi="宋体" w:cs="宋体"/>
                <w:kern w:val="0"/>
                <w:szCs w:val="21"/>
              </w:rPr>
            </w:pPr>
          </w:p>
        </w:tc>
        <w:tc>
          <w:tcPr>
            <w:tcW w:w="1351" w:type="pct"/>
            <w:gridSpan w:val="3"/>
            <w:tcBorders>
              <w:top w:val="nil"/>
              <w:left w:val="nil"/>
              <w:bottom w:val="single" w:color="auto" w:sz="8" w:space="0"/>
              <w:right w:val="single" w:color="auto" w:sz="8" w:space="0"/>
            </w:tcBorders>
            <w:vAlign w:val="center"/>
          </w:tcPr>
          <w:p>
            <w:pPr>
              <w:widowControl/>
              <w:snapToGrid w:val="0"/>
              <w:spacing w:before="100" w:beforeAutospacing="1" w:after="100" w:afterAutospacing="1" w:line="320" w:lineRule="atLeast"/>
              <w:ind w:firstLine="46"/>
              <w:jc w:val="center"/>
              <w:rPr>
                <w:rFonts w:ascii="宋体" w:hAnsi="宋体" w:cs="宋体"/>
                <w:kern w:val="0"/>
                <w:szCs w:val="21"/>
              </w:rPr>
            </w:pPr>
            <w:r>
              <w:rPr>
                <w:rFonts w:ascii="宋体" w:hAnsi="宋体" w:cs="宋体"/>
                <w:kern w:val="0"/>
                <w:szCs w:val="21"/>
              </w:rPr>
              <w:t>合同交货验收日期</w:t>
            </w:r>
          </w:p>
        </w:tc>
        <w:tc>
          <w:tcPr>
            <w:tcW w:w="1251" w:type="pct"/>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宋体" w:hAnsi="宋体" w:cs="宋体"/>
                <w:kern w:val="0"/>
                <w:szCs w:val="21"/>
              </w:rPr>
            </w:pPr>
          </w:p>
        </w:tc>
      </w:tr>
      <w:tr>
        <w:tblPrEx>
          <w:tblCellMar>
            <w:top w:w="0" w:type="dxa"/>
            <w:left w:w="0" w:type="dxa"/>
            <w:bottom w:w="0" w:type="dxa"/>
            <w:right w:w="0" w:type="dxa"/>
          </w:tblCellMar>
        </w:tblPrEx>
        <w:trPr>
          <w:trHeight w:val="394" w:hRule="atLeast"/>
          <w:jc w:val="center"/>
        </w:trPr>
        <w:tc>
          <w:tcPr>
            <w:tcW w:w="964" w:type="pct"/>
            <w:gridSpan w:val="2"/>
            <w:tcBorders>
              <w:top w:val="nil"/>
              <w:left w:val="single" w:color="auto" w:sz="8" w:space="0"/>
              <w:bottom w:val="single" w:color="auto" w:sz="8" w:space="0"/>
              <w:right w:val="single" w:color="auto" w:sz="8" w:space="0"/>
            </w:tcBorders>
            <w:vAlign w:val="center"/>
          </w:tcPr>
          <w:p>
            <w:pPr>
              <w:widowControl/>
              <w:spacing w:before="100" w:beforeAutospacing="1" w:after="100" w:afterAutospacing="1" w:line="240" w:lineRule="atLeast"/>
              <w:jc w:val="center"/>
              <w:rPr>
                <w:rFonts w:ascii="宋体" w:hAnsi="宋体" w:cs="宋体"/>
                <w:kern w:val="0"/>
                <w:szCs w:val="21"/>
              </w:rPr>
            </w:pPr>
          </w:p>
        </w:tc>
        <w:tc>
          <w:tcPr>
            <w:tcW w:w="1433" w:type="pct"/>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宋体" w:hAnsi="宋体" w:cs="宋体"/>
                <w:kern w:val="0"/>
                <w:szCs w:val="21"/>
              </w:rPr>
            </w:pPr>
          </w:p>
        </w:tc>
        <w:tc>
          <w:tcPr>
            <w:tcW w:w="1351" w:type="pct"/>
            <w:gridSpan w:val="3"/>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宋体" w:hAnsi="宋体" w:cs="宋体"/>
                <w:kern w:val="0"/>
                <w:szCs w:val="21"/>
              </w:rPr>
            </w:pPr>
          </w:p>
        </w:tc>
        <w:tc>
          <w:tcPr>
            <w:tcW w:w="1251" w:type="pct"/>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宋体" w:hAnsi="宋体" w:cs="宋体"/>
                <w:kern w:val="0"/>
                <w:szCs w:val="21"/>
              </w:rPr>
            </w:pPr>
          </w:p>
        </w:tc>
      </w:tr>
      <w:tr>
        <w:tblPrEx>
          <w:tblCellMar>
            <w:top w:w="0" w:type="dxa"/>
            <w:left w:w="0" w:type="dxa"/>
            <w:bottom w:w="0" w:type="dxa"/>
            <w:right w:w="0" w:type="dxa"/>
          </w:tblCellMar>
        </w:tblPrEx>
        <w:trPr>
          <w:trHeight w:val="693" w:hRule="atLeast"/>
          <w:jc w:val="center"/>
        </w:trPr>
        <w:tc>
          <w:tcPr>
            <w:tcW w:w="964" w:type="pct"/>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spacing w:before="100" w:beforeAutospacing="1" w:after="100" w:afterAutospacing="1" w:line="320" w:lineRule="atLeast"/>
              <w:jc w:val="left"/>
              <w:rPr>
                <w:rFonts w:ascii="宋体" w:hAnsi="宋体" w:cs="宋体"/>
                <w:kern w:val="0"/>
                <w:szCs w:val="21"/>
              </w:rPr>
            </w:pPr>
            <w:r>
              <w:rPr>
                <w:rFonts w:ascii="宋体" w:hAnsi="宋体" w:cs="宋体"/>
                <w:kern w:val="0"/>
                <w:szCs w:val="21"/>
              </w:rPr>
              <w:t>验收具体内容</w:t>
            </w:r>
          </w:p>
        </w:tc>
        <w:tc>
          <w:tcPr>
            <w:tcW w:w="4036" w:type="pct"/>
            <w:gridSpan w:val="7"/>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napToGrid w:val="0"/>
              <w:spacing w:before="100" w:beforeAutospacing="1" w:after="100" w:afterAutospacing="1" w:line="320" w:lineRule="atLeast"/>
              <w:jc w:val="left"/>
              <w:rPr>
                <w:rFonts w:ascii="宋体" w:hAnsi="宋体" w:cs="宋体"/>
                <w:kern w:val="0"/>
                <w:szCs w:val="21"/>
              </w:rPr>
            </w:pPr>
            <w:r>
              <w:rPr>
                <w:rFonts w:ascii="宋体" w:hAnsi="宋体" w:cs="宋体"/>
                <w:kern w:val="0"/>
                <w:szCs w:val="21"/>
              </w:rPr>
              <w:t>（应按采购合同、</w:t>
            </w:r>
            <w:r>
              <w:rPr>
                <w:rFonts w:hint="eastAsia" w:ascii="宋体" w:hAnsi="宋体" w:cs="宋体"/>
                <w:kern w:val="0"/>
                <w:szCs w:val="21"/>
              </w:rPr>
              <w:t>采购文件、投标</w:t>
            </w:r>
            <w:r>
              <w:rPr>
                <w:rFonts w:ascii="宋体" w:hAnsi="宋体" w:cs="宋体"/>
                <w:kern w:val="0"/>
                <w:szCs w:val="21"/>
              </w:rPr>
              <w:t>响应文件及验收方案等进行验收；并核对中标</w:t>
            </w:r>
            <w:r>
              <w:rPr>
                <w:rFonts w:hint="eastAsia" w:ascii="宋体" w:hAnsi="宋体" w:cs="宋体"/>
                <w:kern w:val="0"/>
                <w:szCs w:val="21"/>
              </w:rPr>
              <w:t>或者成交供应商</w:t>
            </w:r>
            <w:r>
              <w:rPr>
                <w:rFonts w:ascii="宋体" w:hAnsi="宋体" w:cs="宋体"/>
                <w:kern w:val="0"/>
                <w:szCs w:val="21"/>
              </w:rPr>
              <w:t>在安装调试等方面是否违反合同约定或者服务规范要求、提供的质量保证证明材料是否齐全、应有的配件及附件是否达到合同约定等。可附件）</w:t>
            </w:r>
          </w:p>
        </w:tc>
      </w:tr>
      <w:tr>
        <w:tblPrEx>
          <w:tblCellMar>
            <w:top w:w="0" w:type="dxa"/>
            <w:left w:w="0" w:type="dxa"/>
            <w:bottom w:w="0" w:type="dxa"/>
            <w:right w:w="0" w:type="dxa"/>
          </w:tblCellMar>
        </w:tblPrEx>
        <w:trPr>
          <w:trHeight w:val="870" w:hRule="atLeast"/>
          <w:jc w:val="center"/>
        </w:trPr>
        <w:tc>
          <w:tcPr>
            <w:tcW w:w="964" w:type="pct"/>
            <w:gridSpan w:val="2"/>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20" w:lineRule="atLeast"/>
              <w:jc w:val="left"/>
              <w:rPr>
                <w:rFonts w:ascii="宋体" w:hAnsi="宋体" w:cs="宋体"/>
                <w:kern w:val="0"/>
                <w:szCs w:val="21"/>
              </w:rPr>
            </w:pPr>
            <w:r>
              <w:rPr>
                <w:rFonts w:ascii="宋体" w:hAnsi="宋体" w:cs="宋体"/>
                <w:kern w:val="0"/>
                <w:szCs w:val="21"/>
              </w:rPr>
              <w:t>验收小组意见</w:t>
            </w:r>
          </w:p>
        </w:tc>
        <w:tc>
          <w:tcPr>
            <w:tcW w:w="4036" w:type="pct"/>
            <w:gridSpan w:val="7"/>
            <w:tcBorders>
              <w:top w:val="nil"/>
              <w:left w:val="nil"/>
              <w:bottom w:val="single" w:color="auto" w:sz="8" w:space="0"/>
              <w:right w:val="single" w:color="auto" w:sz="8" w:space="0"/>
            </w:tcBorders>
            <w:vAlign w:val="center"/>
          </w:tcPr>
          <w:p>
            <w:pPr>
              <w:widowControl/>
              <w:spacing w:before="100" w:beforeAutospacing="1" w:after="100" w:afterAutospacing="1" w:line="320" w:lineRule="atLeast"/>
              <w:ind w:firstLine="210" w:firstLineChars="100"/>
              <w:jc w:val="left"/>
              <w:rPr>
                <w:rFonts w:ascii="宋体" w:hAnsi="宋体" w:cs="宋体"/>
                <w:kern w:val="0"/>
                <w:szCs w:val="21"/>
              </w:rPr>
            </w:pPr>
            <w:r>
              <w:rPr>
                <w:rFonts w:ascii="宋体" w:hAnsi="宋体" w:cs="宋体"/>
                <w:kern w:val="0"/>
                <w:szCs w:val="21"/>
              </w:rPr>
              <w:t>验收结论性意见：</w:t>
            </w:r>
          </w:p>
        </w:tc>
      </w:tr>
      <w:tr>
        <w:tblPrEx>
          <w:tblCellMar>
            <w:top w:w="0" w:type="dxa"/>
            <w:left w:w="0" w:type="dxa"/>
            <w:bottom w:w="0" w:type="dxa"/>
            <w:right w:w="0" w:type="dxa"/>
          </w:tblCellMar>
        </w:tblPrEx>
        <w:trPr>
          <w:trHeight w:val="607" w:hRule="atLeast"/>
          <w:jc w:val="center"/>
        </w:trPr>
        <w:tc>
          <w:tcPr>
            <w:tcW w:w="964" w:type="pct"/>
            <w:gridSpan w:val="2"/>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Cs w:val="21"/>
              </w:rPr>
            </w:pPr>
          </w:p>
        </w:tc>
        <w:tc>
          <w:tcPr>
            <w:tcW w:w="4036" w:type="pct"/>
            <w:gridSpan w:val="7"/>
            <w:tcBorders>
              <w:top w:val="nil"/>
              <w:left w:val="nil"/>
              <w:bottom w:val="single" w:color="auto" w:sz="8" w:space="0"/>
              <w:right w:val="single" w:color="auto" w:sz="8" w:space="0"/>
            </w:tcBorders>
            <w:vAlign w:val="center"/>
          </w:tcPr>
          <w:p>
            <w:pPr>
              <w:widowControl/>
              <w:spacing w:before="100" w:beforeAutospacing="1" w:after="100" w:afterAutospacing="1" w:line="320" w:lineRule="atLeast"/>
              <w:ind w:firstLine="210" w:firstLineChars="100"/>
              <w:jc w:val="left"/>
              <w:rPr>
                <w:rFonts w:ascii="宋体" w:hAnsi="宋体" w:cs="宋体"/>
                <w:kern w:val="0"/>
                <w:szCs w:val="21"/>
              </w:rPr>
            </w:pPr>
            <w:r>
              <w:rPr>
                <w:rFonts w:ascii="宋体" w:hAnsi="宋体" w:cs="宋体"/>
                <w:kern w:val="0"/>
                <w:szCs w:val="21"/>
              </w:rPr>
              <w:t>有异议的意见和说明理由：</w:t>
            </w:r>
          </w:p>
          <w:p>
            <w:pPr>
              <w:widowControl/>
              <w:spacing w:before="100" w:beforeAutospacing="1" w:after="100" w:afterAutospacing="1" w:line="320" w:lineRule="atLeast"/>
              <w:ind w:firstLine="210" w:firstLineChars="100"/>
              <w:jc w:val="left"/>
              <w:rPr>
                <w:rFonts w:ascii="宋体" w:hAnsi="宋体" w:cs="宋体"/>
                <w:kern w:val="0"/>
                <w:szCs w:val="21"/>
              </w:rPr>
            </w:pPr>
            <w:r>
              <w:rPr>
                <w:rFonts w:ascii="宋体" w:hAnsi="宋体" w:cs="宋体"/>
                <w:kern w:val="0"/>
                <w:szCs w:val="21"/>
              </w:rPr>
              <w:t>签字：</w:t>
            </w:r>
          </w:p>
        </w:tc>
      </w:tr>
      <w:tr>
        <w:tblPrEx>
          <w:tblCellMar>
            <w:top w:w="0" w:type="dxa"/>
            <w:left w:w="0" w:type="dxa"/>
            <w:bottom w:w="0" w:type="dxa"/>
            <w:right w:w="0" w:type="dxa"/>
          </w:tblCellMar>
        </w:tblPrEx>
        <w:trPr>
          <w:trHeight w:val="507" w:hRule="atLeast"/>
          <w:jc w:val="center"/>
        </w:trPr>
        <w:tc>
          <w:tcPr>
            <w:tcW w:w="5000" w:type="pct"/>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20" w:lineRule="atLeast"/>
              <w:jc w:val="left"/>
              <w:rPr>
                <w:rFonts w:ascii="宋体" w:hAnsi="宋体" w:cs="宋体"/>
                <w:kern w:val="0"/>
                <w:szCs w:val="21"/>
              </w:rPr>
            </w:pPr>
            <w:r>
              <w:rPr>
                <w:rFonts w:ascii="宋体" w:hAnsi="宋体" w:cs="宋体"/>
                <w:kern w:val="0"/>
                <w:szCs w:val="21"/>
              </w:rPr>
              <w:t>验收小组成员签字：</w:t>
            </w:r>
          </w:p>
        </w:tc>
      </w:tr>
      <w:tr>
        <w:tblPrEx>
          <w:tblCellMar>
            <w:top w:w="0" w:type="dxa"/>
            <w:left w:w="0" w:type="dxa"/>
            <w:bottom w:w="0" w:type="dxa"/>
            <w:right w:w="0" w:type="dxa"/>
          </w:tblCellMar>
        </w:tblPrEx>
        <w:trPr>
          <w:trHeight w:val="736" w:hRule="atLeast"/>
          <w:jc w:val="center"/>
        </w:trPr>
        <w:tc>
          <w:tcPr>
            <w:tcW w:w="5000" w:type="pct"/>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20" w:lineRule="atLeast"/>
              <w:jc w:val="left"/>
              <w:rPr>
                <w:rFonts w:ascii="宋体" w:hAnsi="宋体" w:cs="宋体"/>
                <w:kern w:val="0"/>
                <w:szCs w:val="21"/>
              </w:rPr>
            </w:pPr>
            <w:r>
              <w:rPr>
                <w:rFonts w:ascii="宋体" w:hAnsi="宋体" w:cs="宋体"/>
                <w:kern w:val="0"/>
                <w:szCs w:val="21"/>
              </w:rPr>
              <w:t>监督人员或者其他相关人员签字：</w:t>
            </w:r>
          </w:p>
          <w:p>
            <w:pPr>
              <w:widowControl/>
              <w:spacing w:before="100" w:beforeAutospacing="1" w:after="100" w:afterAutospacing="1" w:line="320" w:lineRule="atLeast"/>
              <w:ind w:firstLine="74"/>
              <w:jc w:val="left"/>
              <w:rPr>
                <w:rFonts w:ascii="宋体" w:hAnsi="宋体" w:cs="宋体"/>
                <w:kern w:val="0"/>
                <w:szCs w:val="21"/>
              </w:rPr>
            </w:pPr>
            <w:r>
              <w:rPr>
                <w:rFonts w:ascii="宋体" w:hAnsi="宋体" w:cs="宋体"/>
                <w:kern w:val="0"/>
                <w:szCs w:val="21"/>
              </w:rPr>
              <w:t>或者受邀机构的意见（盖章）：</w:t>
            </w:r>
          </w:p>
        </w:tc>
      </w:tr>
      <w:tr>
        <w:tblPrEx>
          <w:tblCellMar>
            <w:top w:w="0" w:type="dxa"/>
            <w:left w:w="0" w:type="dxa"/>
            <w:bottom w:w="0" w:type="dxa"/>
            <w:right w:w="0" w:type="dxa"/>
          </w:tblCellMar>
        </w:tblPrEx>
        <w:trPr>
          <w:trHeight w:val="264" w:hRule="atLeast"/>
          <w:jc w:val="center"/>
        </w:trPr>
        <w:tc>
          <w:tcPr>
            <w:tcW w:w="2458" w:type="pct"/>
            <w:gridSpan w:val="5"/>
            <w:tcBorders>
              <w:top w:val="nil"/>
              <w:left w:val="single" w:color="auto" w:sz="8" w:space="0"/>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line="320" w:lineRule="atLeast"/>
              <w:jc w:val="left"/>
              <w:rPr>
                <w:rFonts w:ascii="宋体" w:hAnsi="宋体" w:cs="宋体"/>
                <w:kern w:val="0"/>
                <w:szCs w:val="21"/>
              </w:rPr>
            </w:pPr>
            <w:r>
              <w:rPr>
                <w:rFonts w:ascii="宋体" w:hAnsi="宋体" w:cs="宋体"/>
                <w:kern w:val="0"/>
                <w:szCs w:val="21"/>
              </w:rPr>
              <w:t>中标</w:t>
            </w:r>
            <w:r>
              <w:rPr>
                <w:rFonts w:hint="eastAsia" w:ascii="宋体" w:hAnsi="宋体" w:cs="宋体"/>
                <w:kern w:val="0"/>
                <w:szCs w:val="21"/>
              </w:rPr>
              <w:t>或者成交供应商</w:t>
            </w:r>
            <w:r>
              <w:rPr>
                <w:rFonts w:ascii="宋体" w:hAnsi="宋体" w:cs="宋体"/>
                <w:kern w:val="0"/>
                <w:szCs w:val="21"/>
              </w:rPr>
              <w:t>负责人签字或盖章：</w:t>
            </w:r>
          </w:p>
          <w:p>
            <w:pPr>
              <w:widowControl/>
              <w:spacing w:before="100" w:beforeAutospacing="1" w:after="100" w:afterAutospacing="1" w:line="320" w:lineRule="atLeast"/>
              <w:jc w:val="left"/>
              <w:rPr>
                <w:rFonts w:ascii="宋体" w:hAnsi="宋体" w:cs="宋体"/>
                <w:kern w:val="0"/>
                <w:szCs w:val="21"/>
              </w:rPr>
            </w:pPr>
          </w:p>
          <w:p>
            <w:pPr>
              <w:widowControl/>
              <w:spacing w:before="100" w:beforeAutospacing="1" w:after="100" w:afterAutospacing="1" w:line="320" w:lineRule="atLeast"/>
              <w:jc w:val="left"/>
              <w:rPr>
                <w:rFonts w:ascii="宋体" w:hAnsi="宋体" w:cs="宋体"/>
                <w:kern w:val="0"/>
                <w:szCs w:val="21"/>
              </w:rPr>
            </w:pPr>
            <w:r>
              <w:rPr>
                <w:rFonts w:ascii="宋体" w:hAnsi="宋体" w:cs="宋体"/>
                <w:kern w:val="0"/>
                <w:szCs w:val="21"/>
              </w:rPr>
              <w:t>联系电话：</w:t>
            </w:r>
            <w:r>
              <w:rPr>
                <w:rFonts w:hint="eastAsia" w:ascii="宋体" w:hAnsi="宋体" w:cs="宋体"/>
                <w:kern w:val="0"/>
                <w:szCs w:val="21"/>
              </w:rPr>
              <w:t xml:space="preserve">               </w:t>
            </w:r>
            <w:r>
              <w:rPr>
                <w:rFonts w:ascii="宋体" w:hAnsi="宋体" w:cs="宋体"/>
                <w:kern w:val="0"/>
                <w:szCs w:val="21"/>
              </w:rPr>
              <w:t xml:space="preserve"> 年</w:t>
            </w:r>
            <w:r>
              <w:rPr>
                <w:rFonts w:hint="eastAsia" w:ascii="宋体" w:hAnsi="宋体" w:cs="宋体"/>
                <w:kern w:val="0"/>
                <w:szCs w:val="21"/>
              </w:rPr>
              <w:t xml:space="preserve"> </w:t>
            </w:r>
            <w:r>
              <w:rPr>
                <w:rFonts w:ascii="宋体" w:hAnsi="宋体" w:cs="宋体"/>
                <w:kern w:val="0"/>
                <w:szCs w:val="21"/>
              </w:rPr>
              <w:t xml:space="preserve"> 月 </w:t>
            </w:r>
            <w:r>
              <w:rPr>
                <w:rFonts w:hint="eastAsia" w:ascii="宋体" w:hAnsi="宋体" w:cs="宋体"/>
                <w:kern w:val="0"/>
                <w:szCs w:val="21"/>
              </w:rPr>
              <w:t xml:space="preserve"> </w:t>
            </w:r>
            <w:r>
              <w:rPr>
                <w:rFonts w:ascii="宋体" w:hAnsi="宋体" w:cs="宋体"/>
                <w:kern w:val="0"/>
                <w:szCs w:val="21"/>
              </w:rPr>
              <w:t>日</w:t>
            </w:r>
          </w:p>
        </w:tc>
        <w:tc>
          <w:tcPr>
            <w:tcW w:w="2542" w:type="pct"/>
            <w:gridSpan w:val="4"/>
            <w:tcBorders>
              <w:top w:val="nil"/>
              <w:left w:val="nil"/>
              <w:bottom w:val="single" w:color="auto" w:sz="8" w:space="0"/>
              <w:right w:val="single" w:color="auto" w:sz="8" w:space="0"/>
            </w:tcBorders>
            <w:vAlign w:val="center"/>
          </w:tcPr>
          <w:p>
            <w:pPr>
              <w:widowControl/>
              <w:spacing w:before="100" w:beforeAutospacing="1" w:after="100" w:afterAutospacing="1" w:line="320" w:lineRule="atLeast"/>
              <w:ind w:firstLine="210" w:firstLineChars="100"/>
              <w:jc w:val="left"/>
              <w:rPr>
                <w:rFonts w:ascii="宋体" w:hAnsi="宋体" w:cs="宋体"/>
                <w:kern w:val="0"/>
                <w:szCs w:val="21"/>
              </w:rPr>
            </w:pPr>
            <w:r>
              <w:rPr>
                <w:rFonts w:ascii="宋体" w:hAnsi="宋体" w:cs="宋体"/>
                <w:kern w:val="0"/>
                <w:szCs w:val="21"/>
              </w:rPr>
              <w:t>采购人或受托机构的意见（盖章）：</w:t>
            </w:r>
          </w:p>
          <w:p>
            <w:pPr>
              <w:widowControl/>
              <w:spacing w:before="100" w:beforeAutospacing="1" w:after="100" w:afterAutospacing="1" w:line="320" w:lineRule="atLeast"/>
              <w:ind w:firstLine="210" w:firstLineChars="100"/>
              <w:jc w:val="left"/>
              <w:rPr>
                <w:rFonts w:ascii="宋体" w:hAnsi="宋体" w:cs="宋体"/>
                <w:kern w:val="0"/>
                <w:szCs w:val="21"/>
              </w:rPr>
            </w:pPr>
          </w:p>
          <w:p>
            <w:pPr>
              <w:widowControl/>
              <w:spacing w:before="100" w:beforeAutospacing="1" w:after="100" w:afterAutospacing="1" w:line="320" w:lineRule="atLeast"/>
              <w:ind w:firstLine="210" w:firstLineChars="100"/>
              <w:jc w:val="left"/>
              <w:rPr>
                <w:rFonts w:ascii="宋体" w:hAnsi="宋体" w:cs="宋体"/>
                <w:kern w:val="0"/>
                <w:szCs w:val="21"/>
              </w:rPr>
            </w:pPr>
            <w:r>
              <w:rPr>
                <w:rFonts w:ascii="宋体" w:hAnsi="宋体" w:cs="宋体"/>
                <w:kern w:val="0"/>
                <w:szCs w:val="21"/>
              </w:rPr>
              <w:t>联系电话：</w:t>
            </w:r>
            <w:r>
              <w:rPr>
                <w:rFonts w:hint="eastAsia" w:ascii="宋体" w:hAnsi="宋体" w:cs="宋体"/>
                <w:kern w:val="0"/>
                <w:szCs w:val="21"/>
              </w:rPr>
              <w:t xml:space="preserve">                  </w:t>
            </w:r>
            <w:r>
              <w:rPr>
                <w:rFonts w:ascii="宋体" w:hAnsi="宋体" w:cs="宋体"/>
                <w:kern w:val="0"/>
                <w:szCs w:val="21"/>
              </w:rPr>
              <w:t>年</w:t>
            </w:r>
            <w:r>
              <w:rPr>
                <w:rFonts w:hint="eastAsia" w:ascii="宋体" w:hAnsi="宋体" w:cs="宋体"/>
                <w:kern w:val="0"/>
                <w:szCs w:val="21"/>
              </w:rPr>
              <w:t xml:space="preserve"> </w:t>
            </w:r>
            <w:r>
              <w:rPr>
                <w:rFonts w:ascii="宋体" w:hAnsi="宋体" w:cs="宋体"/>
                <w:kern w:val="0"/>
                <w:szCs w:val="21"/>
              </w:rPr>
              <w:t xml:space="preserve"> 月</w:t>
            </w:r>
            <w:r>
              <w:rPr>
                <w:rFonts w:hint="eastAsia" w:ascii="宋体" w:hAnsi="宋体" w:cs="宋体"/>
                <w:kern w:val="0"/>
                <w:szCs w:val="21"/>
              </w:rPr>
              <w:t xml:space="preserve"> </w:t>
            </w:r>
            <w:r>
              <w:rPr>
                <w:rFonts w:ascii="宋体" w:hAnsi="宋体" w:cs="宋体"/>
                <w:kern w:val="0"/>
                <w:szCs w:val="21"/>
              </w:rPr>
              <w:t xml:space="preserve"> 日</w:t>
            </w:r>
          </w:p>
        </w:tc>
      </w:tr>
    </w:tbl>
    <w:p>
      <w:pPr>
        <w:pStyle w:val="24"/>
        <w:snapToGrid w:val="0"/>
        <w:ind w:left="3360" w:hanging="420"/>
        <w:rPr>
          <w:rFonts w:hAnsi="宋体"/>
        </w:rPr>
      </w:pPr>
      <w:r>
        <w:rPr>
          <w:rFonts w:hAnsi="宋体"/>
        </w:rPr>
        <w:br w:type="page"/>
      </w:r>
    </w:p>
    <w:p>
      <w:pPr>
        <w:pStyle w:val="24"/>
        <w:snapToGrid w:val="0"/>
        <w:rPr>
          <w:rFonts w:ascii="黑体" w:hAnsi="黑体" w:eastAsia="黑体" w:cs="黑体"/>
          <w:sz w:val="32"/>
          <w:szCs w:val="32"/>
        </w:rPr>
      </w:pPr>
      <w:r>
        <w:rPr>
          <w:rFonts w:hint="eastAsia" w:ascii="黑体" w:hAnsi="黑体" w:eastAsia="黑体" w:cs="黑体"/>
          <w:sz w:val="32"/>
          <w:szCs w:val="32"/>
        </w:rPr>
        <w:t>附件2：</w:t>
      </w:r>
    </w:p>
    <w:p>
      <w:pPr>
        <w:jc w:val="center"/>
        <w:rPr>
          <w:rFonts w:ascii="宋体" w:hAnsi="宋体" w:cs="宋体"/>
          <w:b/>
          <w:bCs/>
          <w:sz w:val="32"/>
          <w:szCs w:val="32"/>
        </w:rPr>
      </w:pPr>
      <w:r>
        <w:rPr>
          <w:rFonts w:hint="eastAsia" w:ascii="宋体" w:hAnsi="宋体" w:cs="宋体"/>
          <w:b/>
          <w:bCs/>
          <w:sz w:val="32"/>
          <w:szCs w:val="32"/>
        </w:rPr>
        <w:t>政府采购项目履约保证金退付意见书</w:t>
      </w:r>
    </w:p>
    <w:p>
      <w:pPr>
        <w:jc w:val="center"/>
        <w:rPr>
          <w:rFonts w:ascii="黑体" w:hAnsi="黑体" w:eastAsia="黑体"/>
          <w:sz w:val="18"/>
          <w:szCs w:val="18"/>
        </w:rPr>
      </w:pPr>
      <w:r>
        <w:rPr>
          <w:rFonts w:hint="eastAsia" w:ascii="黑体" w:hAnsi="黑体" w:eastAsia="黑体"/>
          <w:sz w:val="18"/>
          <w:szCs w:val="18"/>
        </w:rPr>
        <w:t>（本项目如有，可以参考使用）</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817" w:type="dxa"/>
            <w:vMerge w:val="restart"/>
            <w:vAlign w:val="center"/>
          </w:tcPr>
          <w:p>
            <w:pPr>
              <w:jc w:val="center"/>
              <w:rPr>
                <w:sz w:val="24"/>
              </w:rPr>
            </w:pPr>
            <w:r>
              <w:rPr>
                <w:rFonts w:hint="eastAsia"/>
                <w:sz w:val="24"/>
              </w:rPr>
              <w:t>供</w:t>
            </w:r>
          </w:p>
          <w:p>
            <w:pPr>
              <w:jc w:val="center"/>
              <w:rPr>
                <w:sz w:val="24"/>
              </w:rPr>
            </w:pPr>
            <w:r>
              <w:rPr>
                <w:rFonts w:hint="eastAsia"/>
                <w:sz w:val="24"/>
              </w:rPr>
              <w:t>应</w:t>
            </w:r>
          </w:p>
          <w:p>
            <w:pPr>
              <w:jc w:val="center"/>
              <w:rPr>
                <w:sz w:val="24"/>
              </w:rPr>
            </w:pPr>
            <w:r>
              <w:rPr>
                <w:rFonts w:hint="eastAsia"/>
                <w:sz w:val="24"/>
              </w:rPr>
              <w:t>商</w:t>
            </w:r>
          </w:p>
          <w:p>
            <w:pPr>
              <w:jc w:val="center"/>
              <w:rPr>
                <w:sz w:val="24"/>
              </w:rPr>
            </w:pPr>
            <w:r>
              <w:rPr>
                <w:rFonts w:hint="eastAsia"/>
                <w:sz w:val="24"/>
              </w:rPr>
              <w:t>申</w:t>
            </w:r>
          </w:p>
          <w:p>
            <w:pPr>
              <w:jc w:val="center"/>
              <w:rPr>
                <w:sz w:val="24"/>
              </w:rPr>
            </w:pPr>
            <w:r>
              <w:rPr>
                <w:rFonts w:hint="eastAsia"/>
                <w:sz w:val="24"/>
              </w:rPr>
              <w:t>请</w:t>
            </w:r>
          </w:p>
        </w:tc>
        <w:tc>
          <w:tcPr>
            <w:tcW w:w="8009" w:type="dxa"/>
            <w:vAlign w:val="center"/>
          </w:tcPr>
          <w:p>
            <w:pPr>
              <w:rPr>
                <w:sz w:val="24"/>
              </w:rPr>
            </w:pPr>
            <w:r>
              <w:rPr>
                <w:rFonts w:hint="eastAsia"/>
                <w:sz w:val="24"/>
              </w:rPr>
              <w:t>项目编号：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817" w:type="dxa"/>
            <w:vMerge w:val="continue"/>
            <w:vAlign w:val="center"/>
          </w:tcPr>
          <w:p>
            <w:pPr>
              <w:rPr>
                <w:sz w:val="24"/>
              </w:rPr>
            </w:pPr>
          </w:p>
        </w:tc>
        <w:tc>
          <w:tcPr>
            <w:tcW w:w="8009" w:type="dxa"/>
            <w:vAlign w:val="center"/>
          </w:tcPr>
          <w:p>
            <w:pPr>
              <w:rPr>
                <w:sz w:val="24"/>
              </w:rPr>
            </w:pPr>
            <w:r>
              <w:rPr>
                <w:rFonts w:hint="eastAsia"/>
                <w:sz w:val="24"/>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17" w:type="dxa"/>
            <w:vMerge w:val="continue"/>
          </w:tcPr>
          <w:p>
            <w:pPr>
              <w:rPr>
                <w:sz w:val="24"/>
              </w:rPr>
            </w:pPr>
          </w:p>
        </w:tc>
        <w:tc>
          <w:tcPr>
            <w:tcW w:w="8009" w:type="dxa"/>
          </w:tcPr>
          <w:p>
            <w:pPr>
              <w:rPr>
                <w:sz w:val="24"/>
              </w:rPr>
            </w:pPr>
            <w:r>
              <w:rPr>
                <w:rFonts w:hint="eastAsia"/>
                <w:sz w:val="24"/>
              </w:rPr>
              <w:t xml:space="preserve">  </w:t>
            </w:r>
          </w:p>
          <w:p>
            <w:pPr>
              <w:ind w:firstLine="480" w:firstLineChars="200"/>
              <w:rPr>
                <w:sz w:val="24"/>
              </w:rPr>
            </w:pPr>
            <w:r>
              <w:rPr>
                <w:rFonts w:hint="eastAsia"/>
                <w:sz w:val="24"/>
              </w:rPr>
              <w:t>该项目已于</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日验收并交付使用。根据合同规定，该项目的履约保证金期限于</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日已满，请将履约保证金</w:t>
            </w:r>
          </w:p>
          <w:p>
            <w:pPr>
              <w:rPr>
                <w:sz w:val="24"/>
              </w:rPr>
            </w:pPr>
            <w:r>
              <w:rPr>
                <w:rFonts w:hint="eastAsia"/>
                <w:sz w:val="24"/>
                <w:u w:val="single"/>
              </w:rPr>
              <w:t xml:space="preserve">                                      </w:t>
            </w:r>
            <w:r>
              <w:rPr>
                <w:rFonts w:hint="eastAsia"/>
                <w:sz w:val="24"/>
              </w:rPr>
              <w:t>（大写）¥</w:t>
            </w:r>
            <w:r>
              <w:rPr>
                <w:rFonts w:hint="eastAsia"/>
                <w:sz w:val="24"/>
                <w:u w:val="single"/>
              </w:rPr>
              <w:t xml:space="preserve">          </w:t>
            </w:r>
            <w:r>
              <w:rPr>
                <w:rFonts w:hint="eastAsia"/>
                <w:sz w:val="24"/>
              </w:rPr>
              <w:t>（小写）退付到达以下账户。</w:t>
            </w:r>
          </w:p>
          <w:p>
            <w:pPr>
              <w:rPr>
                <w:sz w:val="24"/>
              </w:rPr>
            </w:pPr>
            <w:r>
              <w:rPr>
                <w:rFonts w:hint="eastAsia"/>
                <w:sz w:val="24"/>
              </w:rPr>
              <w:t>单位名称：</w:t>
            </w:r>
          </w:p>
          <w:p>
            <w:pPr>
              <w:rPr>
                <w:sz w:val="24"/>
              </w:rPr>
            </w:pPr>
            <w:r>
              <w:rPr>
                <w:rFonts w:hint="eastAsia"/>
                <w:sz w:val="24"/>
              </w:rPr>
              <w:t>开户银行：</w:t>
            </w:r>
          </w:p>
          <w:p>
            <w:pPr>
              <w:rPr>
                <w:sz w:val="24"/>
              </w:rPr>
            </w:pPr>
            <w:r>
              <w:rPr>
                <w:rFonts w:hint="eastAsia"/>
                <w:sz w:val="24"/>
              </w:rPr>
              <w:t>账    号：</w:t>
            </w:r>
          </w:p>
          <w:p>
            <w:pPr>
              <w:rPr>
                <w:sz w:val="24"/>
              </w:rPr>
            </w:pPr>
            <w:r>
              <w:rPr>
                <w:rFonts w:hint="eastAsia"/>
                <w:sz w:val="24"/>
              </w:rPr>
              <w:t>联系人及电话：</w:t>
            </w:r>
          </w:p>
          <w:p>
            <w:pPr>
              <w:rPr>
                <w:sz w:val="24"/>
              </w:rPr>
            </w:pPr>
          </w:p>
          <w:p>
            <w:pPr>
              <w:jc w:val="center"/>
              <w:rPr>
                <w:sz w:val="24"/>
              </w:rPr>
            </w:pPr>
            <w:r>
              <w:rPr>
                <w:rFonts w:hint="eastAsia"/>
                <w:sz w:val="24"/>
              </w:rPr>
              <w:t xml:space="preserve">                           供应商公章：</w:t>
            </w:r>
          </w:p>
          <w:p>
            <w:pPr>
              <w:jc w:val="center"/>
              <w:rPr>
                <w:sz w:val="24"/>
              </w:rPr>
            </w:pPr>
            <w:r>
              <w:rPr>
                <w:rFonts w:hint="eastAsia"/>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jc w:val="center"/>
        </w:trPr>
        <w:tc>
          <w:tcPr>
            <w:tcW w:w="817" w:type="dxa"/>
            <w:vAlign w:val="center"/>
          </w:tcPr>
          <w:p>
            <w:pPr>
              <w:jc w:val="center"/>
              <w:rPr>
                <w:sz w:val="24"/>
              </w:rPr>
            </w:pPr>
            <w:r>
              <w:rPr>
                <w:rFonts w:hint="eastAsia"/>
                <w:sz w:val="24"/>
              </w:rPr>
              <w:t>采</w:t>
            </w:r>
          </w:p>
          <w:p>
            <w:pPr>
              <w:jc w:val="center"/>
              <w:rPr>
                <w:sz w:val="24"/>
              </w:rPr>
            </w:pPr>
            <w:r>
              <w:rPr>
                <w:rFonts w:hint="eastAsia"/>
                <w:sz w:val="24"/>
              </w:rPr>
              <w:t>购</w:t>
            </w:r>
          </w:p>
          <w:p>
            <w:pPr>
              <w:jc w:val="center"/>
              <w:rPr>
                <w:sz w:val="24"/>
              </w:rPr>
            </w:pPr>
            <w:r>
              <w:rPr>
                <w:rFonts w:hint="eastAsia"/>
                <w:sz w:val="24"/>
              </w:rPr>
              <w:t>单</w:t>
            </w:r>
          </w:p>
          <w:p>
            <w:pPr>
              <w:jc w:val="center"/>
              <w:rPr>
                <w:sz w:val="24"/>
              </w:rPr>
            </w:pPr>
            <w:r>
              <w:rPr>
                <w:rFonts w:hint="eastAsia"/>
                <w:sz w:val="24"/>
              </w:rPr>
              <w:t>位</w:t>
            </w:r>
          </w:p>
          <w:p>
            <w:pPr>
              <w:jc w:val="center"/>
              <w:rPr>
                <w:sz w:val="24"/>
              </w:rPr>
            </w:pPr>
            <w:r>
              <w:rPr>
                <w:rFonts w:hint="eastAsia"/>
                <w:sz w:val="24"/>
              </w:rPr>
              <w:t>意</w:t>
            </w:r>
          </w:p>
          <w:p>
            <w:pPr>
              <w:jc w:val="center"/>
              <w:rPr>
                <w:sz w:val="24"/>
              </w:rPr>
            </w:pPr>
            <w:r>
              <w:rPr>
                <w:rFonts w:hint="eastAsia"/>
                <w:sz w:val="24"/>
              </w:rPr>
              <w:t>见</w:t>
            </w:r>
          </w:p>
        </w:tc>
        <w:tc>
          <w:tcPr>
            <w:tcW w:w="8009" w:type="dxa"/>
          </w:tcPr>
          <w:p>
            <w:pPr>
              <w:rPr>
                <w:sz w:val="24"/>
              </w:rPr>
            </w:pPr>
          </w:p>
          <w:p>
            <w:pPr>
              <w:rPr>
                <w:sz w:val="24"/>
              </w:rPr>
            </w:pPr>
            <w:r>
              <w:rPr>
                <w:rFonts w:hint="eastAsia"/>
                <w:sz w:val="24"/>
              </w:rPr>
              <w:t>退付意见：是否同意退付履约保证金及退付金额：</w:t>
            </w:r>
          </w:p>
          <w:p>
            <w:pPr>
              <w:rPr>
                <w:sz w:val="24"/>
              </w:rPr>
            </w:pPr>
          </w:p>
          <w:p>
            <w:pPr>
              <w:rPr>
                <w:sz w:val="24"/>
              </w:rPr>
            </w:pPr>
          </w:p>
          <w:p>
            <w:pPr>
              <w:rPr>
                <w:sz w:val="24"/>
              </w:rPr>
            </w:pPr>
            <w:r>
              <w:rPr>
                <w:rFonts w:hint="eastAsia"/>
                <w:sz w:val="24"/>
              </w:rPr>
              <w:t xml:space="preserve">联系人及电话：                                </w:t>
            </w:r>
          </w:p>
          <w:p>
            <w:pPr>
              <w:rPr>
                <w:sz w:val="24"/>
              </w:rPr>
            </w:pPr>
          </w:p>
          <w:p>
            <w:pPr>
              <w:ind w:firstLine="4560" w:firstLineChars="1900"/>
              <w:rPr>
                <w:sz w:val="24"/>
              </w:rPr>
            </w:pPr>
            <w:r>
              <w:rPr>
                <w:rFonts w:hint="eastAsia"/>
                <w:sz w:val="24"/>
              </w:rPr>
              <w:t xml:space="preserve"> 采购单位公章：</w:t>
            </w:r>
          </w:p>
          <w:p>
            <w:pPr>
              <w:jc w:val="center"/>
              <w:rPr>
                <w:sz w:val="24"/>
              </w:rPr>
            </w:pPr>
            <w:r>
              <w:rPr>
                <w:rFonts w:hint="eastAsia"/>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817" w:type="dxa"/>
            <w:vAlign w:val="center"/>
          </w:tcPr>
          <w:p>
            <w:pPr>
              <w:jc w:val="center"/>
              <w:rPr>
                <w:sz w:val="24"/>
              </w:rPr>
            </w:pPr>
            <w:r>
              <w:rPr>
                <w:rFonts w:hint="eastAsia"/>
                <w:sz w:val="24"/>
              </w:rPr>
              <w:t>财</w:t>
            </w:r>
          </w:p>
          <w:p>
            <w:pPr>
              <w:jc w:val="center"/>
              <w:rPr>
                <w:sz w:val="24"/>
              </w:rPr>
            </w:pPr>
            <w:r>
              <w:rPr>
                <w:rFonts w:hint="eastAsia"/>
                <w:sz w:val="24"/>
              </w:rPr>
              <w:t>务</w:t>
            </w:r>
          </w:p>
          <w:p>
            <w:pPr>
              <w:jc w:val="center"/>
              <w:rPr>
                <w:sz w:val="24"/>
              </w:rPr>
            </w:pPr>
            <w:r>
              <w:rPr>
                <w:rFonts w:hint="eastAsia"/>
                <w:sz w:val="24"/>
              </w:rPr>
              <w:t>部</w:t>
            </w:r>
          </w:p>
          <w:p>
            <w:pPr>
              <w:jc w:val="center"/>
              <w:rPr>
                <w:sz w:val="24"/>
              </w:rPr>
            </w:pPr>
            <w:r>
              <w:rPr>
                <w:rFonts w:hint="eastAsia"/>
                <w:sz w:val="24"/>
              </w:rPr>
              <w:t>门</w:t>
            </w:r>
          </w:p>
          <w:p>
            <w:pPr>
              <w:jc w:val="center"/>
              <w:rPr>
                <w:sz w:val="24"/>
              </w:rPr>
            </w:pPr>
            <w:r>
              <w:rPr>
                <w:rFonts w:hint="eastAsia"/>
                <w:sz w:val="24"/>
              </w:rPr>
              <w:t>意</w:t>
            </w:r>
          </w:p>
          <w:p>
            <w:pPr>
              <w:jc w:val="center"/>
              <w:rPr>
                <w:sz w:val="24"/>
              </w:rPr>
            </w:pPr>
            <w:r>
              <w:rPr>
                <w:rFonts w:hint="eastAsia"/>
                <w:sz w:val="24"/>
              </w:rPr>
              <w:t>见</w:t>
            </w:r>
          </w:p>
        </w:tc>
        <w:tc>
          <w:tcPr>
            <w:tcW w:w="8009" w:type="dxa"/>
          </w:tcPr>
          <w:p>
            <w:pPr>
              <w:rPr>
                <w:sz w:val="24"/>
              </w:rPr>
            </w:pPr>
            <w:r>
              <w:rPr>
                <w:rFonts w:hint="eastAsia"/>
                <w:sz w:val="24"/>
              </w:rPr>
              <w:t>此表于</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日收到。</w:t>
            </w:r>
          </w:p>
          <w:p>
            <w:pPr>
              <w:rPr>
                <w:sz w:val="24"/>
              </w:rPr>
            </w:pPr>
          </w:p>
          <w:p>
            <w:pPr>
              <w:rPr>
                <w:sz w:val="24"/>
              </w:rPr>
            </w:pPr>
            <w:r>
              <w:rPr>
                <w:rFonts w:hint="eastAsia"/>
                <w:sz w:val="24"/>
              </w:rPr>
              <w:t>会计审核：</w:t>
            </w:r>
          </w:p>
          <w:p>
            <w:pPr>
              <w:rPr>
                <w:sz w:val="24"/>
              </w:rPr>
            </w:pPr>
          </w:p>
          <w:p>
            <w:pPr>
              <w:rPr>
                <w:sz w:val="24"/>
              </w:rPr>
            </w:pPr>
            <w:r>
              <w:rPr>
                <w:rFonts w:hint="eastAsia"/>
                <w:sz w:val="24"/>
              </w:rPr>
              <w:t>财务负责人审核：</w:t>
            </w:r>
          </w:p>
          <w:p>
            <w:pPr>
              <w:rPr>
                <w:sz w:val="24"/>
              </w:rPr>
            </w:pPr>
          </w:p>
          <w:p>
            <w:pPr>
              <w:rPr>
                <w:sz w:val="24"/>
              </w:rPr>
            </w:pPr>
            <w:r>
              <w:rPr>
                <w:rFonts w:hint="eastAsia"/>
                <w:sz w:val="24"/>
              </w:rPr>
              <w:t>单位负责人签字：</w:t>
            </w:r>
          </w:p>
          <w:p>
            <w:pPr>
              <w:rPr>
                <w:sz w:val="24"/>
              </w:rPr>
            </w:pPr>
          </w:p>
          <w:p>
            <w:pPr>
              <w:rPr>
                <w:sz w:val="24"/>
              </w:rPr>
            </w:pPr>
            <w:r>
              <w:rPr>
                <w:rFonts w:hint="eastAsia"/>
                <w:sz w:val="24"/>
              </w:rPr>
              <w:t>出纳办理转账日期：</w:t>
            </w:r>
          </w:p>
        </w:tc>
      </w:tr>
    </w:tbl>
    <w:p>
      <w:pPr>
        <w:pStyle w:val="18"/>
        <w:ind w:left="420" w:leftChars="114" w:hanging="181" w:hangingChars="100"/>
        <w:rPr>
          <w:rFonts w:hAnsi="宋体"/>
        </w:rPr>
      </w:pPr>
      <w:r>
        <w:rPr>
          <w:rFonts w:hint="eastAsia" w:ascii="宋体"/>
          <w:b/>
          <w:bCs/>
          <w:sz w:val="18"/>
          <w:szCs w:val="18"/>
        </w:rPr>
        <w:t>注：供应商凭经采购单位审批的退付意见书到履约保证金收取单位财务部门办理履约保证金退付事宜。</w:t>
      </w:r>
    </w:p>
    <w:p>
      <w:pPr>
        <w:pStyle w:val="24"/>
        <w:spacing w:line="360" w:lineRule="auto"/>
        <w:ind w:firstLine="400" w:firstLineChars="200"/>
        <w:rPr>
          <w:rFonts w:hAnsi="宋体"/>
        </w:rPr>
      </w:pPr>
      <w:r>
        <w:rPr>
          <w:rFonts w:hAnsi="宋体"/>
        </w:rPr>
        <w:br w:type="page"/>
      </w:r>
    </w:p>
    <w:p>
      <w:pPr>
        <w:pStyle w:val="24"/>
        <w:snapToGrid w:val="0"/>
        <w:spacing w:before="120" w:after="120"/>
        <w:rPr>
          <w:rFonts w:hAnsi="宋体"/>
        </w:rPr>
      </w:pPr>
    </w:p>
    <w:p>
      <w:pPr>
        <w:pStyle w:val="24"/>
        <w:snapToGrid w:val="0"/>
        <w:spacing w:before="120" w:after="120"/>
        <w:rPr>
          <w:rFonts w:hAnsi="宋体"/>
        </w:rPr>
      </w:pPr>
    </w:p>
    <w:p>
      <w:pPr>
        <w:pStyle w:val="24"/>
        <w:snapToGrid w:val="0"/>
        <w:spacing w:before="120" w:after="120"/>
        <w:rPr>
          <w:rFonts w:hAnsi="宋体"/>
        </w:rPr>
      </w:pPr>
    </w:p>
    <w:p>
      <w:pPr>
        <w:pStyle w:val="24"/>
        <w:snapToGrid w:val="0"/>
        <w:spacing w:before="120" w:after="120"/>
        <w:rPr>
          <w:rFonts w:hAnsi="宋体"/>
        </w:rPr>
      </w:pPr>
    </w:p>
    <w:p>
      <w:pPr>
        <w:pStyle w:val="24"/>
        <w:snapToGrid w:val="0"/>
        <w:spacing w:before="120" w:after="120"/>
        <w:rPr>
          <w:rFonts w:hAnsi="宋体"/>
        </w:rPr>
      </w:pPr>
    </w:p>
    <w:p>
      <w:pPr>
        <w:pStyle w:val="24"/>
        <w:snapToGrid w:val="0"/>
        <w:spacing w:before="120" w:after="120"/>
        <w:rPr>
          <w:rFonts w:hAnsi="宋体"/>
        </w:rPr>
      </w:pPr>
    </w:p>
    <w:p>
      <w:pPr>
        <w:pStyle w:val="24"/>
        <w:snapToGrid w:val="0"/>
        <w:spacing w:before="120" w:after="120"/>
        <w:rPr>
          <w:rFonts w:hAnsi="宋体"/>
        </w:rPr>
      </w:pPr>
    </w:p>
    <w:p>
      <w:pPr>
        <w:pStyle w:val="24"/>
        <w:snapToGrid w:val="0"/>
        <w:spacing w:before="120" w:after="120"/>
        <w:rPr>
          <w:rFonts w:hAnsi="宋体"/>
        </w:rPr>
      </w:pPr>
    </w:p>
    <w:p>
      <w:pPr>
        <w:pStyle w:val="24"/>
        <w:snapToGrid w:val="0"/>
        <w:spacing w:before="120" w:after="120"/>
        <w:rPr>
          <w:rFonts w:hAnsi="宋体"/>
        </w:rPr>
      </w:pPr>
    </w:p>
    <w:p>
      <w:pPr>
        <w:pStyle w:val="24"/>
        <w:snapToGrid w:val="0"/>
        <w:spacing w:before="120" w:after="120"/>
        <w:rPr>
          <w:rFonts w:hAnsi="宋体"/>
        </w:rPr>
      </w:pPr>
    </w:p>
    <w:p>
      <w:pPr>
        <w:pStyle w:val="24"/>
        <w:snapToGrid w:val="0"/>
        <w:spacing w:before="120" w:after="120"/>
        <w:rPr>
          <w:rFonts w:hAnsi="宋体"/>
        </w:rPr>
      </w:pPr>
    </w:p>
    <w:p>
      <w:pPr>
        <w:pStyle w:val="24"/>
        <w:snapToGrid w:val="0"/>
        <w:spacing w:before="120" w:after="120"/>
        <w:rPr>
          <w:rFonts w:hAnsi="宋体"/>
        </w:rPr>
      </w:pPr>
    </w:p>
    <w:p>
      <w:pPr>
        <w:pStyle w:val="24"/>
        <w:snapToGrid w:val="0"/>
        <w:spacing w:before="120" w:after="120"/>
        <w:rPr>
          <w:rFonts w:hAnsi="宋体"/>
        </w:rPr>
      </w:pPr>
    </w:p>
    <w:p>
      <w:pPr>
        <w:pStyle w:val="2"/>
        <w:jc w:val="center"/>
      </w:pPr>
      <w:bookmarkStart w:id="181" w:name="_Toc254970689"/>
      <w:bookmarkStart w:id="182" w:name="_Toc15687"/>
      <w:bookmarkStart w:id="183" w:name="_Toc330456896"/>
      <w:bookmarkStart w:id="184" w:name="_Toc254970548"/>
      <w:r>
        <w:rPr>
          <w:rFonts w:hint="eastAsia"/>
        </w:rPr>
        <w:t>第四章  评标方法及评标标准</w:t>
      </w:r>
      <w:bookmarkEnd w:id="181"/>
      <w:bookmarkEnd w:id="182"/>
      <w:bookmarkEnd w:id="183"/>
      <w:bookmarkEnd w:id="184"/>
    </w:p>
    <w:p>
      <w:bookmarkStart w:id="185" w:name="_Toc254970690"/>
      <w:bookmarkStart w:id="186" w:name="_Toc254970549"/>
    </w:p>
    <w:bookmarkEnd w:id="185"/>
    <w:bookmarkEnd w:id="186"/>
    <w:p/>
    <w:p/>
    <w:p/>
    <w:p/>
    <w:p/>
    <w:p/>
    <w:p/>
    <w:p/>
    <w:p>
      <w:pPr>
        <w:spacing w:before="120" w:beforeLines="50" w:after="120" w:afterLines="50" w:line="400" w:lineRule="exact"/>
        <w:rPr>
          <w:rFonts w:ascii="宋体" w:hAnsi="宋体"/>
          <w:b/>
          <w:sz w:val="24"/>
        </w:rPr>
      </w:pPr>
    </w:p>
    <w:p>
      <w:pPr>
        <w:spacing w:before="120" w:beforeLines="50" w:after="120" w:afterLines="50" w:line="400" w:lineRule="exact"/>
        <w:rPr>
          <w:rFonts w:ascii="宋体" w:hAnsi="宋体"/>
          <w:b/>
          <w:sz w:val="24"/>
        </w:rPr>
      </w:pPr>
    </w:p>
    <w:p>
      <w:pPr>
        <w:pStyle w:val="24"/>
        <w:spacing w:line="360" w:lineRule="exact"/>
        <w:rPr>
          <w:rFonts w:hAnsi="宋体"/>
          <w:b/>
          <w:sz w:val="24"/>
        </w:rPr>
      </w:pPr>
    </w:p>
    <w:p>
      <w:pPr>
        <w:pStyle w:val="24"/>
        <w:spacing w:line="360" w:lineRule="exact"/>
        <w:rPr>
          <w:rFonts w:hAnsi="宋体"/>
          <w:b/>
          <w:sz w:val="24"/>
        </w:rPr>
      </w:pPr>
    </w:p>
    <w:p>
      <w:pPr>
        <w:pStyle w:val="24"/>
        <w:spacing w:line="360" w:lineRule="exact"/>
        <w:rPr>
          <w:rFonts w:hAnsi="宋体"/>
          <w:b/>
          <w:sz w:val="24"/>
        </w:rPr>
      </w:pPr>
    </w:p>
    <w:p>
      <w:pPr>
        <w:pStyle w:val="24"/>
        <w:spacing w:line="360" w:lineRule="exact"/>
        <w:rPr>
          <w:rFonts w:hAnsi="宋体"/>
          <w:b/>
          <w:sz w:val="24"/>
        </w:rPr>
      </w:pPr>
    </w:p>
    <w:p>
      <w:pPr>
        <w:pStyle w:val="24"/>
        <w:spacing w:line="360" w:lineRule="exact"/>
        <w:rPr>
          <w:rFonts w:hAnsi="宋体"/>
          <w:b/>
          <w:sz w:val="24"/>
        </w:rPr>
      </w:pPr>
    </w:p>
    <w:p>
      <w:pPr>
        <w:pStyle w:val="24"/>
        <w:spacing w:line="360" w:lineRule="exact"/>
        <w:rPr>
          <w:rFonts w:hAnsi="宋体"/>
          <w:b/>
          <w:sz w:val="24"/>
        </w:rPr>
      </w:pPr>
    </w:p>
    <w:p>
      <w:pPr>
        <w:pStyle w:val="24"/>
        <w:spacing w:line="360" w:lineRule="exact"/>
        <w:rPr>
          <w:rFonts w:hAnsi="宋体"/>
          <w:b/>
          <w:sz w:val="24"/>
        </w:rPr>
      </w:pPr>
    </w:p>
    <w:p>
      <w:pPr>
        <w:pStyle w:val="24"/>
        <w:spacing w:line="360" w:lineRule="exact"/>
        <w:rPr>
          <w:rFonts w:hAnsi="宋体"/>
          <w:bCs/>
        </w:rPr>
      </w:pPr>
      <w:r>
        <w:rPr>
          <w:rFonts w:hAnsi="宋体"/>
          <w:bCs/>
        </w:rPr>
        <w:t xml:space="preserve"> </w:t>
      </w:r>
    </w:p>
    <w:p>
      <w:pPr>
        <w:pStyle w:val="24"/>
        <w:spacing w:line="360" w:lineRule="exact"/>
        <w:rPr>
          <w:rFonts w:hAnsi="宋体"/>
          <w:bCs/>
        </w:rPr>
      </w:pPr>
    </w:p>
    <w:p>
      <w:pPr>
        <w:pStyle w:val="4"/>
        <w:keepNext w:val="0"/>
        <w:keepLines w:val="0"/>
        <w:jc w:val="center"/>
        <w:rPr>
          <w:sz w:val="30"/>
          <w:szCs w:val="30"/>
        </w:rPr>
      </w:pPr>
      <w:r>
        <w:rPr>
          <w:rFonts w:hint="eastAsia"/>
          <w:sz w:val="30"/>
          <w:szCs w:val="30"/>
        </w:rPr>
        <w:t>一、评标方法</w:t>
      </w:r>
    </w:p>
    <w:p>
      <w:pPr>
        <w:pStyle w:val="24"/>
        <w:spacing w:line="360" w:lineRule="auto"/>
        <w:ind w:firstLine="420"/>
        <w:rPr>
          <w:rFonts w:hAnsi="宋体"/>
          <w:sz w:val="21"/>
        </w:rPr>
      </w:pPr>
      <w:r>
        <w:rPr>
          <w:rFonts w:hint="eastAsia" w:hAnsi="宋体"/>
          <w:sz w:val="21"/>
        </w:rPr>
        <w:t>综合评分法，是指投标文件满足招标文件全部实质性要求，且按照评审因素的量化指标评审得分最高的投标人为中标候选人的评标方法。</w:t>
      </w:r>
    </w:p>
    <w:p>
      <w:pPr>
        <w:pStyle w:val="24"/>
        <w:spacing w:line="360" w:lineRule="auto"/>
        <w:ind w:firstLine="420"/>
        <w:rPr>
          <w:rFonts w:hAnsi="宋体"/>
          <w:sz w:val="21"/>
        </w:rPr>
      </w:pPr>
      <w:r>
        <w:rPr>
          <w:rFonts w:hint="eastAsia" w:hAnsi="宋体"/>
          <w:sz w:val="21"/>
        </w:rPr>
        <w:t>最低评标价法，是指投标文件满足招标文件全部实质性要求，且投标报价最低的投标人为中标候选人的评标方法。</w:t>
      </w:r>
    </w:p>
    <w:p>
      <w:pPr>
        <w:pStyle w:val="4"/>
        <w:keepNext w:val="0"/>
        <w:keepLines w:val="0"/>
        <w:jc w:val="center"/>
        <w:rPr>
          <w:sz w:val="30"/>
          <w:szCs w:val="30"/>
        </w:rPr>
      </w:pPr>
      <w:r>
        <w:rPr>
          <w:rFonts w:hint="eastAsia"/>
          <w:sz w:val="30"/>
          <w:szCs w:val="30"/>
        </w:rPr>
        <w:t>二、评标程序</w:t>
      </w:r>
    </w:p>
    <w:p>
      <w:pPr>
        <w:pStyle w:val="6"/>
        <w:keepNext w:val="0"/>
        <w:keepLines w:val="0"/>
        <w:spacing w:before="0" w:after="0" w:line="360" w:lineRule="auto"/>
        <w:ind w:left="420" w:leftChars="200"/>
        <w:rPr>
          <w:rFonts w:ascii="宋体" w:hAnsi="宋体"/>
          <w:sz w:val="21"/>
          <w:szCs w:val="21"/>
        </w:rPr>
      </w:pPr>
      <w:r>
        <w:rPr>
          <w:rFonts w:hint="eastAsia" w:ascii="宋体" w:hAnsi="宋体"/>
          <w:sz w:val="21"/>
          <w:szCs w:val="21"/>
        </w:rPr>
        <w:t>1.符合性审查</w:t>
      </w:r>
    </w:p>
    <w:p>
      <w:pPr>
        <w:pStyle w:val="24"/>
        <w:snapToGrid w:val="0"/>
        <w:spacing w:line="360" w:lineRule="auto"/>
        <w:ind w:left="1" w:firstLine="420"/>
        <w:rPr>
          <w:rFonts w:hAnsi="宋体"/>
          <w:b/>
          <w:kern w:val="2"/>
          <w:sz w:val="21"/>
        </w:rPr>
      </w:pPr>
      <w:r>
        <w:rPr>
          <w:rFonts w:hint="eastAsia" w:hAnsi="宋体"/>
          <w:b/>
          <w:kern w:val="2"/>
          <w:sz w:val="21"/>
        </w:rPr>
        <w:t>评标委员会应当对符合资格的投标人的投标文件进行投标报价、商务、技术等实质性内容符合性审查，以确定其是否满足招标文件的实质性要求。</w:t>
      </w:r>
    </w:p>
    <w:p>
      <w:pPr>
        <w:pStyle w:val="6"/>
        <w:keepNext w:val="0"/>
        <w:keepLines w:val="0"/>
        <w:spacing w:before="0" w:after="0" w:line="360" w:lineRule="auto"/>
        <w:ind w:left="420" w:leftChars="200"/>
        <w:rPr>
          <w:rFonts w:ascii="宋体" w:hAnsi="宋体"/>
          <w:sz w:val="21"/>
          <w:szCs w:val="21"/>
        </w:rPr>
      </w:pPr>
      <w:r>
        <w:rPr>
          <w:rFonts w:hint="eastAsia" w:ascii="宋体" w:hAnsi="宋体"/>
          <w:sz w:val="21"/>
          <w:szCs w:val="21"/>
        </w:rPr>
        <w:t>2</w:t>
      </w:r>
      <w:r>
        <w:rPr>
          <w:rFonts w:ascii="宋体" w:hAnsi="宋体"/>
          <w:sz w:val="21"/>
          <w:szCs w:val="21"/>
        </w:rPr>
        <w:t>.</w:t>
      </w:r>
      <w:r>
        <w:rPr>
          <w:rFonts w:hint="eastAsia" w:ascii="宋体" w:hAnsi="宋体"/>
          <w:sz w:val="21"/>
          <w:szCs w:val="21"/>
        </w:rPr>
        <w:t>符合性审查不通过而导致投标无效的情形</w:t>
      </w:r>
    </w:p>
    <w:p>
      <w:pPr>
        <w:snapToGrid w:val="0"/>
        <w:spacing w:line="360" w:lineRule="auto"/>
        <w:ind w:firstLine="422" w:firstLineChars="200"/>
        <w:rPr>
          <w:rFonts w:ascii="宋体" w:hAnsi="宋体"/>
          <w:b/>
          <w:szCs w:val="21"/>
        </w:rPr>
      </w:pPr>
      <w:r>
        <w:rPr>
          <w:rFonts w:hint="eastAsia" w:ascii="宋体" w:hAnsi="宋体"/>
          <w:b/>
          <w:szCs w:val="21"/>
        </w:rPr>
        <w:t>投标人的投标文件中存在对招标文件的任何实质性要求和条件的负偏离，将被视为投标无效。</w:t>
      </w:r>
    </w:p>
    <w:p>
      <w:pPr>
        <w:pStyle w:val="6"/>
        <w:keepNext w:val="0"/>
        <w:keepLines w:val="0"/>
        <w:spacing w:before="0" w:after="0" w:line="360" w:lineRule="auto"/>
        <w:ind w:left="420" w:leftChars="200"/>
        <w:rPr>
          <w:rFonts w:ascii="宋体" w:hAnsi="宋体"/>
          <w:sz w:val="21"/>
          <w:szCs w:val="21"/>
        </w:rPr>
      </w:pPr>
      <w:r>
        <w:rPr>
          <w:rFonts w:hint="eastAsia" w:ascii="宋体" w:hAnsi="宋体"/>
          <w:sz w:val="21"/>
          <w:szCs w:val="21"/>
        </w:rPr>
        <w:t>2.1在报价评审时，如发现下列情形之一的，将被视为投标无效：</w:t>
      </w:r>
    </w:p>
    <w:p>
      <w:pPr>
        <w:pStyle w:val="7"/>
        <w:numPr>
          <w:ilvl w:val="0"/>
          <w:numId w:val="12"/>
        </w:numPr>
        <w:spacing w:line="360" w:lineRule="auto"/>
        <w:ind w:left="-2" w:firstLine="422"/>
        <w:rPr>
          <w:rFonts w:ascii="宋体" w:hAnsi="宋体"/>
          <w:b/>
          <w:szCs w:val="21"/>
        </w:rPr>
      </w:pPr>
      <w:r>
        <w:rPr>
          <w:rFonts w:hint="eastAsia" w:ascii="宋体" w:hAnsi="宋体"/>
          <w:b/>
          <w:spacing w:val="-6"/>
          <w:szCs w:val="21"/>
        </w:rPr>
        <w:t>报价文件未提供“投标人须知前附表”第13条“报价文件”规定中“必须提供”的文件资料的</w:t>
      </w:r>
      <w:r>
        <w:rPr>
          <w:rFonts w:hint="eastAsia" w:ascii="宋体" w:hAnsi="宋体"/>
          <w:b/>
          <w:szCs w:val="21"/>
        </w:rPr>
        <w:t>；</w:t>
      </w:r>
    </w:p>
    <w:p>
      <w:pPr>
        <w:pStyle w:val="7"/>
        <w:numPr>
          <w:ilvl w:val="0"/>
          <w:numId w:val="12"/>
        </w:numPr>
        <w:spacing w:line="360" w:lineRule="auto"/>
        <w:ind w:left="-2" w:firstLine="422"/>
        <w:rPr>
          <w:rFonts w:ascii="宋体" w:hAnsi="宋体"/>
          <w:b/>
          <w:szCs w:val="21"/>
        </w:rPr>
      </w:pPr>
      <w:r>
        <w:rPr>
          <w:rFonts w:hint="eastAsia" w:ascii="宋体" w:hAnsi="宋体"/>
          <w:b/>
          <w:szCs w:val="21"/>
        </w:rPr>
        <w:t>未采用人民币报价或者未按照招标文件标明的币种报价的；</w:t>
      </w:r>
    </w:p>
    <w:p>
      <w:pPr>
        <w:pStyle w:val="7"/>
        <w:numPr>
          <w:ilvl w:val="0"/>
          <w:numId w:val="12"/>
        </w:numPr>
        <w:spacing w:line="360" w:lineRule="auto"/>
        <w:ind w:left="-2" w:firstLine="422"/>
        <w:rPr>
          <w:rFonts w:ascii="宋体" w:hAnsi="宋体"/>
          <w:b/>
          <w:szCs w:val="21"/>
        </w:rPr>
      </w:pPr>
      <w:r>
        <w:rPr>
          <w:rFonts w:hint="eastAsia" w:ascii="宋体" w:hAnsi="宋体"/>
          <w:b/>
          <w:szCs w:val="21"/>
        </w:rPr>
        <w:t>各分标报价超出招标文件相应分标规定最高限价，或者超出相应分标采购预算金额的；</w:t>
      </w:r>
    </w:p>
    <w:p>
      <w:pPr>
        <w:pStyle w:val="7"/>
        <w:numPr>
          <w:ilvl w:val="0"/>
          <w:numId w:val="12"/>
        </w:numPr>
        <w:spacing w:line="360" w:lineRule="auto"/>
        <w:ind w:left="-2" w:firstLine="422"/>
        <w:rPr>
          <w:rFonts w:ascii="宋体" w:hAnsi="宋体"/>
          <w:b/>
          <w:szCs w:val="21"/>
        </w:rPr>
      </w:pPr>
      <w:r>
        <w:rPr>
          <w:rFonts w:hint="eastAsia" w:ascii="宋体" w:hAnsi="宋体"/>
          <w:b/>
          <w:szCs w:val="21"/>
        </w:rPr>
        <w:t>投标人未就所投分标进行报价或者存在漏项报价；投标人未就所投分标的单项内容作唯一报价；投标人未就所投分标的全部内容作完整唯一总价报价；存在有选择、有条件报价的（招标文件允许有备选方案或者其他约定的除外）；</w:t>
      </w:r>
    </w:p>
    <w:p>
      <w:pPr>
        <w:pStyle w:val="7"/>
        <w:numPr>
          <w:ilvl w:val="0"/>
          <w:numId w:val="12"/>
        </w:numPr>
        <w:spacing w:line="360" w:lineRule="auto"/>
        <w:ind w:left="-2" w:firstLine="422"/>
        <w:rPr>
          <w:rFonts w:ascii="宋体" w:hAnsi="宋体"/>
          <w:b/>
          <w:szCs w:val="21"/>
        </w:rPr>
      </w:pPr>
      <w:r>
        <w:rPr>
          <w:rFonts w:hint="eastAsia" w:ascii="宋体" w:hAnsi="宋体"/>
          <w:b/>
          <w:szCs w:val="21"/>
        </w:rPr>
        <w:t>修正后的报价，投标人不确认的；</w:t>
      </w:r>
    </w:p>
    <w:p>
      <w:pPr>
        <w:pStyle w:val="7"/>
        <w:numPr>
          <w:ilvl w:val="0"/>
          <w:numId w:val="12"/>
        </w:numPr>
        <w:spacing w:line="360" w:lineRule="auto"/>
        <w:ind w:left="-2" w:firstLine="422"/>
        <w:rPr>
          <w:rFonts w:ascii="宋体" w:hAnsi="宋体"/>
          <w:b/>
          <w:szCs w:val="21"/>
        </w:rPr>
      </w:pPr>
      <w:r>
        <w:rPr>
          <w:rFonts w:hint="eastAsia" w:ascii="宋体" w:hAnsi="宋体"/>
          <w:b/>
          <w:szCs w:val="21"/>
        </w:rPr>
        <w:t>投标人属于本章第</w:t>
      </w:r>
      <w:r>
        <w:rPr>
          <w:rFonts w:ascii="宋体" w:hAnsi="宋体"/>
          <w:b/>
          <w:szCs w:val="21"/>
        </w:rPr>
        <w:t>5.1</w:t>
      </w:r>
      <w:r>
        <w:rPr>
          <w:rFonts w:hint="eastAsia" w:ascii="宋体" w:hAnsi="宋体"/>
          <w:b/>
          <w:szCs w:val="21"/>
        </w:rPr>
        <w:t>条（2）情形的；</w:t>
      </w:r>
    </w:p>
    <w:p>
      <w:pPr>
        <w:pStyle w:val="7"/>
        <w:numPr>
          <w:ilvl w:val="0"/>
          <w:numId w:val="12"/>
        </w:numPr>
        <w:spacing w:line="360" w:lineRule="auto"/>
        <w:ind w:left="-2" w:firstLine="422"/>
        <w:rPr>
          <w:rFonts w:ascii="宋体" w:hAnsi="宋体"/>
          <w:b/>
          <w:szCs w:val="21"/>
        </w:rPr>
      </w:pPr>
      <w:r>
        <w:rPr>
          <w:rFonts w:hint="eastAsia" w:ascii="宋体" w:hAnsi="宋体"/>
          <w:b/>
          <w:spacing w:val="-6"/>
          <w:szCs w:val="21"/>
        </w:rPr>
        <w:t>报价文件</w:t>
      </w:r>
      <w:r>
        <w:rPr>
          <w:rFonts w:hint="eastAsia" w:ascii="宋体" w:hAnsi="宋体"/>
          <w:b/>
          <w:szCs w:val="21"/>
        </w:rPr>
        <w:t>响应的标的数量及单位与招标文件要求实质性不一致的。</w:t>
      </w:r>
    </w:p>
    <w:p>
      <w:pPr>
        <w:pStyle w:val="6"/>
        <w:keepNext w:val="0"/>
        <w:keepLines w:val="0"/>
        <w:spacing w:before="0" w:after="0" w:line="360" w:lineRule="auto"/>
        <w:ind w:left="420" w:leftChars="200"/>
        <w:rPr>
          <w:rFonts w:ascii="宋体" w:hAnsi="宋体"/>
          <w:sz w:val="21"/>
          <w:szCs w:val="21"/>
        </w:rPr>
      </w:pPr>
      <w:r>
        <w:rPr>
          <w:rFonts w:hint="eastAsia" w:ascii="宋体" w:hAnsi="宋体"/>
          <w:sz w:val="21"/>
          <w:szCs w:val="21"/>
        </w:rPr>
        <w:t>2.2在商务及技术评审时，如发现下列情形之一的，将被视为投标无效：</w:t>
      </w:r>
    </w:p>
    <w:p>
      <w:pPr>
        <w:numPr>
          <w:ilvl w:val="0"/>
          <w:numId w:val="13"/>
        </w:numPr>
        <w:snapToGrid w:val="0"/>
        <w:spacing w:line="360" w:lineRule="auto"/>
        <w:ind w:firstLine="422" w:firstLineChars="200"/>
        <w:rPr>
          <w:rFonts w:ascii="宋体" w:hAnsi="宋体"/>
          <w:b/>
          <w:szCs w:val="21"/>
        </w:rPr>
      </w:pPr>
      <w:r>
        <w:rPr>
          <w:rFonts w:hint="eastAsia" w:ascii="宋体" w:hAnsi="宋体"/>
          <w:b/>
          <w:szCs w:val="21"/>
        </w:rPr>
        <w:t>投标文件未按招标文件要求签署、盖章的；</w:t>
      </w:r>
    </w:p>
    <w:p>
      <w:pPr>
        <w:numPr>
          <w:ilvl w:val="0"/>
          <w:numId w:val="13"/>
        </w:numPr>
        <w:snapToGrid w:val="0"/>
        <w:spacing w:line="360" w:lineRule="auto"/>
        <w:ind w:firstLine="422" w:firstLineChars="200"/>
        <w:rPr>
          <w:rFonts w:ascii="宋体" w:hAnsi="宋体"/>
          <w:b/>
          <w:szCs w:val="21"/>
        </w:rPr>
      </w:pPr>
      <w:r>
        <w:rPr>
          <w:rFonts w:hint="eastAsia" w:ascii="宋体" w:hAnsi="宋体"/>
          <w:b/>
          <w:szCs w:val="21"/>
        </w:rPr>
        <w:t>委托代理人未能出具有效身份证或者出具的身份证与授权委托书中的信息不符的；</w:t>
      </w:r>
    </w:p>
    <w:p>
      <w:pPr>
        <w:numPr>
          <w:ilvl w:val="0"/>
          <w:numId w:val="13"/>
        </w:numPr>
        <w:snapToGrid w:val="0"/>
        <w:spacing w:line="360" w:lineRule="auto"/>
        <w:ind w:firstLine="422" w:firstLineChars="200"/>
        <w:rPr>
          <w:rFonts w:ascii="宋体" w:hAnsi="宋体"/>
          <w:b/>
          <w:szCs w:val="21"/>
        </w:rPr>
      </w:pPr>
      <w:r>
        <w:rPr>
          <w:rFonts w:hint="eastAsia" w:ascii="宋体" w:hAnsi="宋体"/>
          <w:b/>
          <w:szCs w:val="21"/>
        </w:rPr>
        <w:t>为无效投标保证金的或者未按照招标文件的规定提交投标保证金的；</w:t>
      </w:r>
    </w:p>
    <w:p>
      <w:pPr>
        <w:numPr>
          <w:ilvl w:val="0"/>
          <w:numId w:val="13"/>
        </w:numPr>
        <w:snapToGrid w:val="0"/>
        <w:spacing w:line="360" w:lineRule="auto"/>
        <w:ind w:firstLine="422" w:firstLineChars="200"/>
        <w:rPr>
          <w:rFonts w:ascii="宋体" w:hAnsi="宋体"/>
          <w:b/>
          <w:szCs w:val="21"/>
        </w:rPr>
      </w:pPr>
      <w:r>
        <w:rPr>
          <w:rFonts w:hint="eastAsia" w:ascii="宋体" w:hAnsi="宋体"/>
          <w:b/>
          <w:szCs w:val="21"/>
        </w:rPr>
        <w:t>投标文件未提供“投标人须知前附表”第13条“商务及技术文件”规定中“必须提供”或者“委托时必须提供”的文件资料的；</w:t>
      </w:r>
    </w:p>
    <w:p>
      <w:pPr>
        <w:numPr>
          <w:ilvl w:val="0"/>
          <w:numId w:val="13"/>
        </w:numPr>
        <w:snapToGrid w:val="0"/>
        <w:spacing w:line="360" w:lineRule="auto"/>
        <w:ind w:firstLine="422" w:firstLineChars="200"/>
        <w:rPr>
          <w:rFonts w:ascii="宋体" w:hAnsi="宋体"/>
          <w:b/>
          <w:szCs w:val="21"/>
        </w:rPr>
      </w:pPr>
      <w:r>
        <w:rPr>
          <w:rFonts w:hint="eastAsia" w:ascii="宋体" w:hAnsi="宋体"/>
          <w:b/>
          <w:szCs w:val="21"/>
        </w:rPr>
        <w:t>允许负偏离的条款数超过“投标人须知前附表”规定项数的；</w:t>
      </w:r>
    </w:p>
    <w:p>
      <w:pPr>
        <w:numPr>
          <w:ilvl w:val="0"/>
          <w:numId w:val="13"/>
        </w:numPr>
        <w:snapToGrid w:val="0"/>
        <w:spacing w:line="360" w:lineRule="auto"/>
        <w:ind w:firstLine="422" w:firstLineChars="200"/>
        <w:rPr>
          <w:rFonts w:ascii="宋体" w:hAnsi="宋体"/>
          <w:b/>
          <w:szCs w:val="21"/>
        </w:rPr>
      </w:pPr>
      <w:r>
        <w:rPr>
          <w:rFonts w:hint="eastAsia" w:ascii="宋体" w:hAnsi="宋体"/>
          <w:b/>
          <w:szCs w:val="21"/>
        </w:rPr>
        <w:t>投标文件的实质性内容未使用中文表述、使用计量单位不符合招标文件要求的；</w:t>
      </w:r>
    </w:p>
    <w:p>
      <w:pPr>
        <w:numPr>
          <w:ilvl w:val="0"/>
          <w:numId w:val="13"/>
        </w:numPr>
        <w:snapToGrid w:val="0"/>
        <w:spacing w:line="360" w:lineRule="auto"/>
        <w:ind w:firstLine="422" w:firstLineChars="200"/>
        <w:rPr>
          <w:rFonts w:ascii="宋体" w:hAnsi="宋体"/>
          <w:b/>
          <w:szCs w:val="21"/>
        </w:rPr>
      </w:pPr>
      <w:r>
        <w:rPr>
          <w:rFonts w:hint="eastAsia" w:ascii="宋体" w:hAnsi="宋体"/>
          <w:b/>
          <w:szCs w:val="21"/>
        </w:rPr>
        <w:t>投标文件中的文件资料因填写不齐全或者内容虚假或者出现其他情形而导致被评标委员会认定无效的；</w:t>
      </w:r>
    </w:p>
    <w:p>
      <w:pPr>
        <w:numPr>
          <w:ilvl w:val="0"/>
          <w:numId w:val="13"/>
        </w:numPr>
        <w:snapToGrid w:val="0"/>
        <w:spacing w:line="360" w:lineRule="auto"/>
        <w:ind w:firstLine="422" w:firstLineChars="200"/>
        <w:rPr>
          <w:rFonts w:ascii="宋体" w:hAnsi="宋体"/>
          <w:b/>
          <w:szCs w:val="21"/>
        </w:rPr>
      </w:pPr>
      <w:r>
        <w:rPr>
          <w:rFonts w:hint="eastAsia" w:ascii="宋体" w:hAnsi="宋体"/>
          <w:b/>
          <w:szCs w:val="21"/>
        </w:rPr>
        <w:t>投标文件含有采购人不能接受的附加条件的；</w:t>
      </w:r>
    </w:p>
    <w:p>
      <w:pPr>
        <w:numPr>
          <w:ilvl w:val="0"/>
          <w:numId w:val="13"/>
        </w:numPr>
        <w:snapToGrid w:val="0"/>
        <w:spacing w:line="360" w:lineRule="auto"/>
        <w:ind w:firstLine="422" w:firstLineChars="200"/>
        <w:rPr>
          <w:rFonts w:ascii="宋体" w:hAnsi="宋体"/>
          <w:b/>
          <w:szCs w:val="21"/>
        </w:rPr>
      </w:pPr>
      <w:r>
        <w:rPr>
          <w:rFonts w:hint="eastAsia" w:ascii="宋体" w:hAnsi="宋体"/>
          <w:b/>
          <w:szCs w:val="21"/>
        </w:rPr>
        <w:t>属于投标人须知正文第</w:t>
      </w:r>
      <w:r>
        <w:rPr>
          <w:rFonts w:ascii="宋体" w:hAnsi="宋体"/>
          <w:b/>
          <w:szCs w:val="21"/>
        </w:rPr>
        <w:t>9.2</w:t>
      </w:r>
      <w:r>
        <w:rPr>
          <w:rFonts w:hint="eastAsia" w:ascii="宋体" w:hAnsi="宋体"/>
          <w:b/>
          <w:szCs w:val="21"/>
        </w:rPr>
        <w:t>条情形的；</w:t>
      </w:r>
    </w:p>
    <w:p>
      <w:pPr>
        <w:numPr>
          <w:ilvl w:val="0"/>
          <w:numId w:val="13"/>
        </w:numPr>
        <w:snapToGrid w:val="0"/>
        <w:spacing w:line="360" w:lineRule="auto"/>
        <w:ind w:firstLine="422" w:firstLineChars="200"/>
        <w:rPr>
          <w:rFonts w:ascii="宋体" w:hAnsi="宋体"/>
          <w:b/>
          <w:szCs w:val="21"/>
        </w:rPr>
      </w:pPr>
      <w:r>
        <w:rPr>
          <w:rFonts w:hint="eastAsia" w:ascii="宋体" w:hAnsi="宋体"/>
          <w:b/>
          <w:szCs w:val="21"/>
        </w:rPr>
        <w:t>投标文件标注的项目名称或者项目编号与招标文件标注的项目名称或者项目编号不一致的；</w:t>
      </w:r>
    </w:p>
    <w:p>
      <w:pPr>
        <w:numPr>
          <w:ilvl w:val="0"/>
          <w:numId w:val="13"/>
        </w:numPr>
        <w:snapToGrid w:val="0"/>
        <w:spacing w:line="360" w:lineRule="auto"/>
        <w:ind w:firstLine="422" w:firstLineChars="200"/>
        <w:rPr>
          <w:rFonts w:ascii="宋体" w:hAnsi="宋体"/>
          <w:b/>
          <w:szCs w:val="21"/>
        </w:rPr>
      </w:pPr>
      <w:r>
        <w:rPr>
          <w:rFonts w:hint="eastAsia" w:ascii="宋体" w:hAnsi="宋体"/>
          <w:b/>
          <w:szCs w:val="21"/>
        </w:rPr>
        <w:t>投标文件中承诺的投标有效期低于招标文件要求的期限的；</w:t>
      </w:r>
    </w:p>
    <w:p>
      <w:pPr>
        <w:numPr>
          <w:ilvl w:val="0"/>
          <w:numId w:val="13"/>
        </w:numPr>
        <w:snapToGrid w:val="0"/>
        <w:spacing w:line="360" w:lineRule="auto"/>
        <w:ind w:firstLine="422" w:firstLineChars="200"/>
        <w:rPr>
          <w:rFonts w:ascii="宋体" w:hAnsi="宋体"/>
          <w:b/>
          <w:szCs w:val="21"/>
        </w:rPr>
      </w:pPr>
      <w:r>
        <w:rPr>
          <w:rFonts w:hint="eastAsia" w:ascii="宋体" w:hAnsi="宋体"/>
          <w:b/>
          <w:szCs w:val="21"/>
        </w:rPr>
        <w:t>招标文件明确不允许分包，投标文件拟分包的；</w:t>
      </w:r>
    </w:p>
    <w:p>
      <w:pPr>
        <w:pStyle w:val="19"/>
        <w:numPr>
          <w:ilvl w:val="0"/>
          <w:numId w:val="13"/>
        </w:numPr>
        <w:snapToGrid w:val="0"/>
        <w:spacing w:line="360" w:lineRule="auto"/>
        <w:ind w:firstLine="413" w:firstLineChars="0"/>
        <w:rPr>
          <w:rFonts w:ascii="宋体" w:hAnsi="宋体" w:eastAsia="宋体"/>
          <w:b/>
          <w:kern w:val="2"/>
          <w:sz w:val="21"/>
          <w:szCs w:val="21"/>
        </w:rPr>
      </w:pPr>
      <w:r>
        <w:rPr>
          <w:rFonts w:hint="eastAsia" w:ascii="宋体" w:hAnsi="宋体" w:eastAsia="宋体"/>
          <w:b/>
          <w:kern w:val="2"/>
          <w:sz w:val="21"/>
          <w:szCs w:val="21"/>
        </w:rPr>
        <w:t>虚假投标，或者出现其他情形而导致被评标委员会认定无效的；</w:t>
      </w:r>
    </w:p>
    <w:p>
      <w:pPr>
        <w:pStyle w:val="19"/>
        <w:numPr>
          <w:ilvl w:val="0"/>
          <w:numId w:val="13"/>
        </w:numPr>
        <w:snapToGrid w:val="0"/>
        <w:spacing w:line="360" w:lineRule="auto"/>
        <w:ind w:firstLine="413" w:firstLineChars="0"/>
        <w:rPr>
          <w:rFonts w:ascii="宋体" w:hAnsi="宋体" w:eastAsia="宋体"/>
          <w:b/>
          <w:kern w:val="2"/>
          <w:sz w:val="21"/>
          <w:szCs w:val="21"/>
        </w:rPr>
      </w:pPr>
      <w:r>
        <w:rPr>
          <w:rFonts w:hint="eastAsia" w:ascii="宋体" w:hAnsi="宋体" w:eastAsia="宋体"/>
          <w:b/>
          <w:kern w:val="2"/>
          <w:sz w:val="21"/>
          <w:szCs w:val="21"/>
        </w:rPr>
        <w:t>招标文件未载明允许提供备选（替代）投标方案或明确不允许提供备选（替代）投标方案时，投标人提供了备选（替代）投标方案的；</w:t>
      </w:r>
    </w:p>
    <w:p>
      <w:pPr>
        <w:pStyle w:val="19"/>
        <w:numPr>
          <w:ilvl w:val="0"/>
          <w:numId w:val="13"/>
        </w:numPr>
        <w:snapToGrid w:val="0"/>
        <w:spacing w:line="360" w:lineRule="auto"/>
        <w:ind w:firstLine="413" w:firstLineChars="0"/>
        <w:rPr>
          <w:rFonts w:ascii="宋体" w:hAnsi="宋体" w:eastAsia="宋体"/>
          <w:b/>
          <w:kern w:val="2"/>
          <w:sz w:val="21"/>
          <w:szCs w:val="21"/>
        </w:rPr>
      </w:pPr>
      <w:r>
        <w:rPr>
          <w:rFonts w:hint="eastAsia" w:ascii="宋体" w:hAnsi="宋体" w:eastAsia="宋体"/>
          <w:b/>
          <w:kern w:val="2"/>
          <w:sz w:val="21"/>
          <w:szCs w:val="21"/>
        </w:rPr>
        <w:t>未响应招标文件实质性要求的。</w:t>
      </w:r>
    </w:p>
    <w:p>
      <w:pPr>
        <w:numPr>
          <w:ilvl w:val="0"/>
          <w:numId w:val="13"/>
        </w:numPr>
        <w:snapToGrid w:val="0"/>
        <w:spacing w:line="360" w:lineRule="auto"/>
        <w:ind w:firstLine="422" w:firstLineChars="200"/>
        <w:rPr>
          <w:rFonts w:ascii="宋体" w:hAnsi="宋体"/>
          <w:b/>
          <w:szCs w:val="21"/>
        </w:rPr>
      </w:pPr>
      <w:r>
        <w:rPr>
          <w:rFonts w:hint="eastAsia" w:ascii="宋体" w:hAnsi="宋体"/>
          <w:b/>
          <w:szCs w:val="21"/>
        </w:rPr>
        <w:t>法律、法规和招标文件规定的其他无效情形。</w:t>
      </w:r>
    </w:p>
    <w:p>
      <w:pPr>
        <w:pStyle w:val="6"/>
        <w:keepNext w:val="0"/>
        <w:keepLines w:val="0"/>
        <w:spacing w:before="0" w:after="0" w:line="360" w:lineRule="auto"/>
        <w:ind w:left="420" w:leftChars="200"/>
        <w:rPr>
          <w:rFonts w:ascii="宋体" w:hAnsi="宋体"/>
          <w:sz w:val="21"/>
          <w:szCs w:val="21"/>
        </w:rPr>
      </w:pPr>
      <w:r>
        <w:rPr>
          <w:rFonts w:hint="eastAsia" w:ascii="宋体" w:hAnsi="宋体"/>
          <w:sz w:val="21"/>
          <w:szCs w:val="21"/>
        </w:rPr>
        <w:t>2.3在技术评审时，如发现下列情形之一的，将被视为投标无效：</w:t>
      </w:r>
    </w:p>
    <w:p>
      <w:pPr>
        <w:pStyle w:val="19"/>
        <w:snapToGrid w:val="0"/>
        <w:spacing w:line="360" w:lineRule="auto"/>
        <w:ind w:firstLine="413" w:firstLineChars="196"/>
        <w:rPr>
          <w:rFonts w:ascii="宋体" w:hAnsi="宋体" w:eastAsia="宋体"/>
          <w:b/>
          <w:kern w:val="2"/>
          <w:sz w:val="21"/>
          <w:szCs w:val="21"/>
        </w:rPr>
      </w:pPr>
      <w:r>
        <w:rPr>
          <w:rFonts w:hint="eastAsia" w:ascii="宋体" w:hAnsi="宋体" w:eastAsia="宋体"/>
          <w:b/>
          <w:kern w:val="2"/>
          <w:sz w:val="21"/>
          <w:szCs w:val="21"/>
        </w:rPr>
        <w:t>（1）技术要求评审允许负偏离的条款数超过“投标人须知前附表”规定项数的；</w:t>
      </w:r>
    </w:p>
    <w:p>
      <w:pPr>
        <w:pStyle w:val="19"/>
        <w:snapToGrid w:val="0"/>
        <w:spacing w:line="360" w:lineRule="auto"/>
        <w:ind w:firstLine="413" w:firstLineChars="196"/>
        <w:rPr>
          <w:rFonts w:ascii="宋体" w:hAnsi="宋体" w:eastAsia="宋体"/>
          <w:b/>
          <w:kern w:val="2"/>
          <w:sz w:val="21"/>
          <w:szCs w:val="21"/>
        </w:rPr>
      </w:pPr>
      <w:r>
        <w:rPr>
          <w:rFonts w:hint="eastAsia" w:ascii="宋体" w:hAnsi="宋体" w:eastAsia="宋体"/>
          <w:b/>
          <w:kern w:val="2"/>
          <w:sz w:val="21"/>
          <w:szCs w:val="21"/>
        </w:rPr>
        <w:t>（2）投标文件未提供“投标人须知前附表”第13.</w:t>
      </w:r>
      <w:r>
        <w:rPr>
          <w:rFonts w:ascii="宋体" w:hAnsi="宋体" w:eastAsia="宋体"/>
          <w:b/>
          <w:kern w:val="2"/>
          <w:sz w:val="21"/>
          <w:szCs w:val="21"/>
        </w:rPr>
        <w:t>1</w:t>
      </w:r>
      <w:r>
        <w:rPr>
          <w:rFonts w:hint="eastAsia" w:ascii="宋体" w:hAnsi="宋体" w:eastAsia="宋体"/>
          <w:b/>
          <w:kern w:val="2"/>
          <w:sz w:val="21"/>
          <w:szCs w:val="21"/>
        </w:rPr>
        <w:t>条规定中“必须提供”的文件资料的；</w:t>
      </w:r>
    </w:p>
    <w:p>
      <w:pPr>
        <w:pStyle w:val="19"/>
        <w:snapToGrid w:val="0"/>
        <w:spacing w:line="360" w:lineRule="auto"/>
        <w:ind w:firstLine="413" w:firstLineChars="196"/>
        <w:rPr>
          <w:rFonts w:ascii="宋体" w:hAnsi="宋体" w:eastAsia="宋体"/>
          <w:b/>
          <w:kern w:val="2"/>
          <w:sz w:val="21"/>
          <w:szCs w:val="21"/>
        </w:rPr>
      </w:pPr>
      <w:r>
        <w:rPr>
          <w:rFonts w:hint="eastAsia" w:ascii="宋体" w:hAnsi="宋体" w:eastAsia="宋体"/>
          <w:b/>
          <w:kern w:val="2"/>
          <w:sz w:val="21"/>
          <w:szCs w:val="21"/>
        </w:rPr>
        <w:t>（3）虚假投标，或者出现其他情形而导致被评标委员会认定无效的；</w:t>
      </w:r>
    </w:p>
    <w:p>
      <w:pPr>
        <w:pStyle w:val="19"/>
        <w:snapToGrid w:val="0"/>
        <w:spacing w:line="360" w:lineRule="auto"/>
        <w:ind w:firstLine="413" w:firstLineChars="196"/>
        <w:rPr>
          <w:rFonts w:ascii="宋体" w:hAnsi="宋体" w:eastAsia="宋体"/>
          <w:b/>
          <w:kern w:val="2"/>
          <w:sz w:val="21"/>
          <w:szCs w:val="21"/>
        </w:rPr>
      </w:pPr>
      <w:r>
        <w:rPr>
          <w:rFonts w:hint="eastAsia" w:ascii="宋体" w:hAnsi="宋体" w:eastAsia="宋体"/>
          <w:b/>
          <w:kern w:val="2"/>
          <w:sz w:val="21"/>
          <w:szCs w:val="21"/>
        </w:rPr>
        <w:t>（4）</w:t>
      </w:r>
      <w:bookmarkStart w:id="187" w:name="_Hlk71706244"/>
      <w:r>
        <w:rPr>
          <w:rFonts w:hint="eastAsia" w:ascii="宋体" w:hAnsi="宋体" w:eastAsia="宋体"/>
          <w:b/>
          <w:kern w:val="2"/>
          <w:sz w:val="21"/>
          <w:szCs w:val="21"/>
        </w:rPr>
        <w:t>招标文件未载明允许提供备选（替代）投标方案或明确不允许提供备选（替代）投标方案时，投标人提供了备选（替代）投标方案的；</w:t>
      </w:r>
      <w:bookmarkEnd w:id="187"/>
    </w:p>
    <w:p>
      <w:pPr>
        <w:pStyle w:val="19"/>
        <w:snapToGrid w:val="0"/>
        <w:spacing w:line="360" w:lineRule="auto"/>
        <w:ind w:firstLine="413" w:firstLineChars="196"/>
        <w:rPr>
          <w:rFonts w:ascii="宋体" w:hAnsi="宋体" w:eastAsia="宋体"/>
          <w:b/>
          <w:kern w:val="2"/>
          <w:sz w:val="21"/>
          <w:szCs w:val="21"/>
        </w:rPr>
      </w:pPr>
      <w:r>
        <w:rPr>
          <w:rFonts w:hint="eastAsia" w:ascii="宋体" w:hAnsi="宋体" w:eastAsia="宋体"/>
          <w:b/>
          <w:kern w:val="2"/>
          <w:sz w:val="21"/>
          <w:szCs w:val="21"/>
        </w:rPr>
        <w:t>（5）未响应招标文件实质性要求的。</w:t>
      </w:r>
    </w:p>
    <w:p>
      <w:pPr>
        <w:pStyle w:val="6"/>
        <w:keepNext w:val="0"/>
        <w:keepLines w:val="0"/>
        <w:spacing w:before="0" w:after="0" w:line="360" w:lineRule="auto"/>
        <w:ind w:left="420" w:leftChars="200"/>
        <w:rPr>
          <w:rFonts w:ascii="宋体" w:hAnsi="宋体"/>
          <w:sz w:val="21"/>
          <w:szCs w:val="21"/>
        </w:rPr>
      </w:pPr>
      <w:r>
        <w:rPr>
          <w:rFonts w:hint="eastAsia" w:ascii="宋体" w:hAnsi="宋体"/>
          <w:sz w:val="21"/>
          <w:szCs w:val="21"/>
        </w:rPr>
        <w:t>3</w:t>
      </w:r>
      <w:r>
        <w:rPr>
          <w:rFonts w:ascii="宋体" w:hAnsi="宋体"/>
          <w:sz w:val="21"/>
          <w:szCs w:val="21"/>
        </w:rPr>
        <w:t>.</w:t>
      </w:r>
      <w:r>
        <w:rPr>
          <w:rFonts w:hint="eastAsia" w:ascii="宋体" w:hAnsi="宋体"/>
          <w:sz w:val="21"/>
          <w:szCs w:val="21"/>
        </w:rPr>
        <w:t>澄清补正</w:t>
      </w:r>
    </w:p>
    <w:p>
      <w:pPr>
        <w:spacing w:line="360" w:lineRule="auto"/>
        <w:ind w:firstLine="420" w:firstLineChars="200"/>
        <w:rPr>
          <w:rFonts w:ascii="宋体" w:hAnsi="宋体" w:cs="Courier New"/>
          <w:b/>
          <w:szCs w:val="21"/>
        </w:rPr>
      </w:pPr>
      <w:r>
        <w:rPr>
          <w:rFonts w:hint="eastAsia" w:ascii="宋体" w:hAnsi="宋体" w:cs="Courier New"/>
          <w:szCs w:val="21"/>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投标人电子签章后在线上传至评标委员会。投标人的澄清、说明或者补正不得超出投标文件的范围或者改变投标文件的实质性内容。</w:t>
      </w:r>
    </w:p>
    <w:p>
      <w:pPr>
        <w:spacing w:line="360" w:lineRule="auto"/>
        <w:ind w:firstLine="420" w:firstLineChars="200"/>
        <w:rPr>
          <w:rFonts w:ascii="宋体" w:hAnsi="宋体" w:cs="Courier New"/>
          <w:szCs w:val="21"/>
        </w:rPr>
      </w:pPr>
      <w:r>
        <w:rPr>
          <w:rFonts w:hint="eastAsia" w:ascii="宋体" w:hAnsi="宋体" w:cs="Courier New"/>
          <w:szCs w:val="21"/>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pPr>
        <w:spacing w:line="360" w:lineRule="auto"/>
        <w:ind w:firstLine="420" w:firstLineChars="200"/>
        <w:rPr>
          <w:rFonts w:ascii="宋体" w:hAnsi="宋体" w:cs="Courier New"/>
          <w:szCs w:val="21"/>
        </w:rPr>
      </w:pPr>
      <w:r>
        <w:rPr>
          <w:rFonts w:hint="eastAsia" w:ascii="宋体" w:hAnsi="宋体" w:cs="Courier New"/>
          <w:szCs w:val="21"/>
        </w:rPr>
        <w:t>未按评标委员会的要求作出明确澄清、说明或者更正的投标人的投标文件将按照有利于采购人的原则由评标委员会进行判定。</w:t>
      </w:r>
    </w:p>
    <w:p>
      <w:pPr>
        <w:pStyle w:val="6"/>
        <w:keepNext w:val="0"/>
        <w:keepLines w:val="0"/>
        <w:spacing w:before="0" w:after="0" w:line="360" w:lineRule="auto"/>
        <w:ind w:left="420" w:leftChars="200"/>
        <w:rPr>
          <w:rFonts w:ascii="宋体" w:hAnsi="宋体"/>
          <w:sz w:val="21"/>
          <w:szCs w:val="21"/>
        </w:rPr>
      </w:pPr>
      <w:r>
        <w:rPr>
          <w:rFonts w:ascii="宋体" w:hAnsi="宋体"/>
          <w:sz w:val="21"/>
          <w:szCs w:val="21"/>
        </w:rPr>
        <w:t>4.</w:t>
      </w:r>
      <w:r>
        <w:rPr>
          <w:rFonts w:hint="eastAsia" w:ascii="宋体" w:hAnsi="宋体"/>
          <w:sz w:val="21"/>
          <w:szCs w:val="21"/>
        </w:rPr>
        <w:t>投标文件修正</w:t>
      </w:r>
    </w:p>
    <w:p>
      <w:pPr>
        <w:pStyle w:val="6"/>
        <w:keepNext w:val="0"/>
        <w:keepLines w:val="0"/>
        <w:spacing w:before="0" w:after="0" w:line="360" w:lineRule="auto"/>
        <w:ind w:left="420" w:leftChars="200"/>
        <w:rPr>
          <w:rFonts w:ascii="宋体" w:hAnsi="宋体"/>
          <w:b w:val="0"/>
          <w:sz w:val="21"/>
          <w:szCs w:val="21"/>
        </w:rPr>
      </w:pPr>
      <w:r>
        <w:rPr>
          <w:rFonts w:ascii="宋体" w:hAnsi="宋体"/>
          <w:b w:val="0"/>
          <w:sz w:val="21"/>
          <w:szCs w:val="21"/>
        </w:rPr>
        <w:t>4</w:t>
      </w:r>
      <w:r>
        <w:rPr>
          <w:rFonts w:hint="eastAsia" w:ascii="宋体" w:hAnsi="宋体"/>
          <w:b w:val="0"/>
          <w:sz w:val="21"/>
          <w:szCs w:val="21"/>
        </w:rPr>
        <w:t xml:space="preserve">.1投标文件报价出现前后不一致的，除“投标文件前附表”另有规定的情形，按照下列规定修正： </w:t>
      </w:r>
    </w:p>
    <w:p>
      <w:pPr>
        <w:pStyle w:val="24"/>
        <w:snapToGrid w:val="0"/>
        <w:spacing w:line="360" w:lineRule="auto"/>
        <w:ind w:firstLine="420" w:firstLineChars="200"/>
        <w:rPr>
          <w:rFonts w:hAnsi="宋体"/>
          <w:sz w:val="21"/>
        </w:rPr>
      </w:pPr>
      <w:r>
        <w:rPr>
          <w:rFonts w:hint="eastAsia" w:hAnsi="宋体"/>
          <w:sz w:val="21"/>
        </w:rPr>
        <w:t>（1）投标文件中开标一览表（报价表）内容与投标文件中相应内容不一致的，以开标一览表（报价表）为准；</w:t>
      </w:r>
    </w:p>
    <w:p>
      <w:pPr>
        <w:pStyle w:val="24"/>
        <w:snapToGrid w:val="0"/>
        <w:spacing w:line="360" w:lineRule="auto"/>
        <w:ind w:firstLine="420" w:firstLineChars="200"/>
        <w:rPr>
          <w:rFonts w:hAnsi="宋体"/>
          <w:sz w:val="21"/>
        </w:rPr>
      </w:pPr>
      <w:r>
        <w:rPr>
          <w:rFonts w:hint="eastAsia" w:hAnsi="宋体"/>
          <w:sz w:val="21"/>
        </w:rPr>
        <w:t>（2）大写金额和小写金额不一致的，以大写金额为准；</w:t>
      </w:r>
    </w:p>
    <w:p>
      <w:pPr>
        <w:pStyle w:val="24"/>
        <w:snapToGrid w:val="0"/>
        <w:spacing w:line="360" w:lineRule="auto"/>
        <w:ind w:firstLine="420" w:firstLineChars="200"/>
        <w:rPr>
          <w:rFonts w:hAnsi="宋体"/>
          <w:sz w:val="21"/>
        </w:rPr>
      </w:pPr>
      <w:r>
        <w:rPr>
          <w:rFonts w:hint="eastAsia" w:hAnsi="宋体"/>
          <w:sz w:val="21"/>
        </w:rPr>
        <w:t>（3）单价金额小数点或者百分比有明显错位的，以开标一览表的总价为准，并修改单价；</w:t>
      </w:r>
    </w:p>
    <w:p>
      <w:pPr>
        <w:pStyle w:val="24"/>
        <w:snapToGrid w:val="0"/>
        <w:spacing w:line="360" w:lineRule="auto"/>
        <w:ind w:firstLine="420" w:firstLineChars="200"/>
        <w:rPr>
          <w:rFonts w:hAnsi="宋体"/>
          <w:sz w:val="21"/>
        </w:rPr>
      </w:pPr>
      <w:r>
        <w:rPr>
          <w:rFonts w:hint="eastAsia" w:hAnsi="宋体"/>
          <w:sz w:val="21"/>
        </w:rPr>
        <w:t>（4）总价金额与按单价汇总金额不一致的，以单价金额计算结果为准。</w:t>
      </w:r>
    </w:p>
    <w:p>
      <w:pPr>
        <w:pStyle w:val="24"/>
        <w:snapToGrid w:val="0"/>
        <w:spacing w:line="360" w:lineRule="auto"/>
        <w:ind w:firstLine="420" w:firstLineChars="200"/>
        <w:rPr>
          <w:rFonts w:hAnsi="宋体"/>
          <w:sz w:val="21"/>
        </w:rPr>
      </w:pPr>
      <w:r>
        <w:rPr>
          <w:rFonts w:hint="eastAsia" w:hAnsi="宋体"/>
          <w:sz w:val="21"/>
        </w:rPr>
        <w:t>同时出现两种以上不一致的，按照以上（1）-（4）规定的顺序修正。修正后的报价经投标人确认后产生约束力，投标人不确认的，</w:t>
      </w:r>
      <w:r>
        <w:rPr>
          <w:rFonts w:hint="eastAsia" w:hAnsi="宋体"/>
          <w:b/>
          <w:kern w:val="2"/>
          <w:sz w:val="21"/>
        </w:rPr>
        <w:t>其投标无效</w:t>
      </w:r>
      <w:r>
        <w:rPr>
          <w:rFonts w:hint="eastAsia" w:hAnsi="宋体"/>
          <w:sz w:val="21"/>
        </w:rPr>
        <w:t>。</w:t>
      </w:r>
    </w:p>
    <w:p>
      <w:pPr>
        <w:pStyle w:val="6"/>
        <w:keepNext w:val="0"/>
        <w:keepLines w:val="0"/>
        <w:spacing w:before="0" w:after="0" w:line="360" w:lineRule="auto"/>
        <w:rPr>
          <w:rFonts w:ascii="宋体" w:hAnsi="宋体"/>
          <w:b w:val="0"/>
          <w:sz w:val="21"/>
          <w:szCs w:val="21"/>
        </w:rPr>
      </w:pPr>
      <w:r>
        <w:rPr>
          <w:rFonts w:ascii="宋体" w:hAnsi="宋体"/>
          <w:b w:val="0"/>
          <w:sz w:val="21"/>
          <w:szCs w:val="21"/>
        </w:rPr>
        <w:t xml:space="preserve">    4</w:t>
      </w:r>
      <w:r>
        <w:rPr>
          <w:rFonts w:hint="eastAsia" w:ascii="宋体" w:hAnsi="宋体"/>
          <w:b w:val="0"/>
          <w:sz w:val="21"/>
          <w:szCs w:val="21"/>
        </w:rPr>
        <w:t>.2经投标人确认修正后的报价若超过采购预算金额或者最高限价，</w:t>
      </w:r>
      <w:r>
        <w:rPr>
          <w:rFonts w:hint="eastAsia" w:ascii="宋体" w:hAnsi="宋体"/>
          <w:sz w:val="21"/>
          <w:szCs w:val="21"/>
        </w:rPr>
        <w:t>投标人的投标文件作无效投标处理</w:t>
      </w:r>
      <w:r>
        <w:rPr>
          <w:rFonts w:hint="eastAsia" w:ascii="宋体" w:hAnsi="宋体"/>
          <w:b w:val="0"/>
          <w:sz w:val="21"/>
          <w:szCs w:val="21"/>
        </w:rPr>
        <w:t>。</w:t>
      </w:r>
    </w:p>
    <w:p>
      <w:pPr>
        <w:snapToGrid w:val="0"/>
        <w:spacing w:line="360" w:lineRule="auto"/>
        <w:ind w:firstLine="420" w:firstLineChars="200"/>
        <w:rPr>
          <w:rFonts w:ascii="宋体" w:hAnsi="宋体"/>
          <w:szCs w:val="21"/>
        </w:rPr>
      </w:pPr>
      <w:r>
        <w:rPr>
          <w:rFonts w:ascii="宋体" w:hAnsi="宋体"/>
          <w:szCs w:val="21"/>
        </w:rPr>
        <w:t>4</w:t>
      </w:r>
      <w:r>
        <w:rPr>
          <w:rFonts w:hint="eastAsia" w:ascii="宋体" w:hAnsi="宋体"/>
          <w:szCs w:val="21"/>
        </w:rPr>
        <w:t>.3经投标人确认修正后的报价作为签订合同的依据，并以此报价计算价格分。</w:t>
      </w:r>
    </w:p>
    <w:p>
      <w:pPr>
        <w:pStyle w:val="6"/>
        <w:keepNext w:val="0"/>
        <w:keepLines w:val="0"/>
        <w:spacing w:before="0" w:after="0" w:line="360" w:lineRule="auto"/>
        <w:ind w:left="420" w:leftChars="200"/>
        <w:rPr>
          <w:rFonts w:ascii="宋体" w:hAnsi="宋体"/>
          <w:sz w:val="21"/>
          <w:szCs w:val="21"/>
        </w:rPr>
      </w:pPr>
      <w:r>
        <w:rPr>
          <w:rFonts w:ascii="宋体" w:hAnsi="宋体"/>
          <w:sz w:val="21"/>
          <w:szCs w:val="21"/>
        </w:rPr>
        <w:t>5.</w:t>
      </w:r>
      <w:r>
        <w:rPr>
          <w:rFonts w:hint="eastAsia" w:ascii="宋体" w:hAnsi="宋体"/>
          <w:sz w:val="21"/>
          <w:szCs w:val="21"/>
        </w:rPr>
        <w:t>比较与评价</w:t>
      </w:r>
    </w:p>
    <w:p>
      <w:pPr>
        <w:snapToGrid w:val="0"/>
        <w:spacing w:line="360" w:lineRule="auto"/>
        <w:ind w:firstLine="420" w:firstLineChars="200"/>
        <w:rPr>
          <w:rFonts w:ascii="宋体" w:hAnsi="宋体"/>
          <w:szCs w:val="21"/>
        </w:rPr>
      </w:pPr>
      <w:r>
        <w:rPr>
          <w:rFonts w:hint="eastAsia" w:ascii="宋体" w:hAnsi="宋体"/>
          <w:szCs w:val="21"/>
        </w:rPr>
        <w:t>5.1采用综合评分法的</w:t>
      </w:r>
    </w:p>
    <w:p>
      <w:pPr>
        <w:snapToGrid w:val="0"/>
        <w:spacing w:line="360" w:lineRule="auto"/>
        <w:ind w:firstLine="420" w:firstLineChars="200"/>
        <w:rPr>
          <w:rFonts w:ascii="宋体" w:hAnsi="宋体"/>
          <w:szCs w:val="21"/>
        </w:rPr>
      </w:pPr>
      <w:r>
        <w:rPr>
          <w:rFonts w:hint="eastAsia" w:ascii="宋体" w:hAnsi="宋体"/>
          <w:szCs w:val="21"/>
        </w:rPr>
        <w:t>（1）评标委员会按照招标文件中规定的评标方法及评标标准，对符合性审查合格的投标文件进行商务和技术评估，综合比较与评价。</w:t>
      </w:r>
    </w:p>
    <w:p>
      <w:pPr>
        <w:snapToGrid w:val="0"/>
        <w:spacing w:line="360" w:lineRule="auto"/>
        <w:ind w:firstLine="420" w:firstLineChars="200"/>
        <w:rPr>
          <w:rFonts w:ascii="宋体" w:hAnsi="宋体"/>
          <w:szCs w:val="21"/>
        </w:rPr>
      </w:pPr>
      <w:r>
        <w:rPr>
          <w:rFonts w:hint="eastAsia" w:ascii="宋体" w:hAnsi="宋体"/>
          <w:szCs w:val="21"/>
        </w:rPr>
        <w:t>（2）评标委员会独立对每个投标人的投标文件进行评价，并汇总每个投标人的得分。</w:t>
      </w:r>
    </w:p>
    <w:p>
      <w:pPr>
        <w:snapToGrid w:val="0"/>
        <w:spacing w:line="360" w:lineRule="auto"/>
        <w:ind w:firstLine="420" w:firstLineChars="200"/>
        <w:rPr>
          <w:rFonts w:ascii="宋体" w:hAnsi="宋体"/>
          <w:color w:val="auto"/>
          <w:szCs w:val="21"/>
        </w:rPr>
      </w:pPr>
      <w:r>
        <w:rPr>
          <w:rFonts w:hint="eastAsia" w:ascii="宋体" w:hAnsi="宋体"/>
          <w:szCs w:val="21"/>
        </w:rPr>
        <w:t>1）评标委员会在评审中发现下列情形之</w:t>
      </w:r>
      <w:r>
        <w:rPr>
          <w:rFonts w:hint="eastAsia" w:ascii="宋体" w:hAnsi="宋体"/>
          <w:color w:val="auto"/>
          <w:szCs w:val="21"/>
        </w:rPr>
        <w:t>一的，应当启动异常低价投标审查程序：</w:t>
      </w:r>
    </w:p>
    <w:p>
      <w:pPr>
        <w:snapToGrid w:val="0"/>
        <w:spacing w:line="360" w:lineRule="auto"/>
        <w:ind w:firstLine="420" w:firstLineChars="200"/>
        <w:rPr>
          <w:rFonts w:ascii="宋体" w:hAnsi="宋体"/>
          <w:color w:val="auto"/>
          <w:szCs w:val="21"/>
        </w:rPr>
      </w:pPr>
      <w:r>
        <w:rPr>
          <w:rFonts w:hint="eastAsia" w:ascii="宋体" w:hAnsi="宋体"/>
          <w:color w:val="auto"/>
          <w:szCs w:val="21"/>
        </w:rPr>
        <w:t>①投标报价低于全部通过符合性审查供应商投标报价平均值</w:t>
      </w:r>
      <w:r>
        <w:rPr>
          <w:rFonts w:ascii="宋体" w:hAnsi="宋体"/>
          <w:color w:val="auto"/>
          <w:szCs w:val="21"/>
          <w:u w:val="single"/>
        </w:rPr>
        <w:t xml:space="preserve"> </w:t>
      </w:r>
      <w:r>
        <w:rPr>
          <w:rFonts w:hint="eastAsia" w:ascii="宋体" w:hAnsi="宋体"/>
          <w:color w:val="auto"/>
          <w:szCs w:val="21"/>
          <w:u w:val="single"/>
        </w:rPr>
        <w:t>65%</w:t>
      </w:r>
      <w:r>
        <w:rPr>
          <w:rFonts w:ascii="宋体" w:hAnsi="宋体"/>
          <w:color w:val="auto"/>
          <w:szCs w:val="21"/>
          <w:u w:val="single"/>
        </w:rPr>
        <w:t xml:space="preserve"> </w:t>
      </w:r>
      <w:r>
        <w:rPr>
          <w:rFonts w:hint="eastAsia" w:ascii="宋体" w:hAnsi="宋体"/>
          <w:color w:val="auto"/>
          <w:szCs w:val="21"/>
        </w:rPr>
        <w:t>的，即投标报价＜全部通过符合性审查供应商投标报价平均值×</w:t>
      </w:r>
      <w:r>
        <w:rPr>
          <w:rFonts w:ascii="宋体" w:hAnsi="宋体"/>
          <w:color w:val="auto"/>
          <w:szCs w:val="21"/>
          <w:u w:val="single"/>
        </w:rPr>
        <w:t xml:space="preserve">  </w:t>
      </w:r>
      <w:r>
        <w:rPr>
          <w:rFonts w:hint="eastAsia" w:ascii="宋体" w:hAnsi="宋体"/>
          <w:color w:val="auto"/>
          <w:szCs w:val="21"/>
          <w:u w:val="single"/>
        </w:rPr>
        <w:t>65%</w:t>
      </w:r>
      <w:r>
        <w:rPr>
          <w:rFonts w:ascii="宋体" w:hAnsi="宋体"/>
          <w:color w:val="auto"/>
          <w:szCs w:val="21"/>
          <w:u w:val="single"/>
        </w:rPr>
        <w:t xml:space="preserve">  </w:t>
      </w:r>
      <w:r>
        <w:rPr>
          <w:rFonts w:hint="eastAsia" w:ascii="宋体" w:hAnsi="宋体"/>
          <w:color w:val="auto"/>
          <w:szCs w:val="21"/>
        </w:rPr>
        <w:t>；</w:t>
      </w:r>
    </w:p>
    <w:p>
      <w:pPr>
        <w:snapToGrid w:val="0"/>
        <w:spacing w:line="360" w:lineRule="auto"/>
        <w:ind w:firstLine="420" w:firstLineChars="200"/>
        <w:rPr>
          <w:rFonts w:ascii="宋体" w:hAnsi="宋体"/>
          <w:color w:val="auto"/>
          <w:szCs w:val="21"/>
        </w:rPr>
      </w:pPr>
      <w:r>
        <w:rPr>
          <w:rFonts w:hint="eastAsia" w:ascii="宋体" w:hAnsi="宋体"/>
          <w:color w:val="auto"/>
          <w:szCs w:val="21"/>
        </w:rPr>
        <w:t>②投标报价低于通过符合性审查的次低报价供应商投标报价</w:t>
      </w:r>
      <w:r>
        <w:rPr>
          <w:rFonts w:ascii="宋体" w:hAnsi="宋体"/>
          <w:color w:val="auto"/>
          <w:szCs w:val="21"/>
          <w:u w:val="single"/>
        </w:rPr>
        <w:t xml:space="preserve"> </w:t>
      </w:r>
      <w:r>
        <w:rPr>
          <w:rFonts w:hint="eastAsia" w:ascii="宋体" w:hAnsi="宋体"/>
          <w:color w:val="auto"/>
          <w:szCs w:val="21"/>
          <w:u w:val="single"/>
        </w:rPr>
        <w:t>65%</w:t>
      </w:r>
      <w:r>
        <w:rPr>
          <w:rFonts w:ascii="宋体" w:hAnsi="宋体"/>
          <w:color w:val="auto"/>
          <w:szCs w:val="21"/>
          <w:u w:val="single"/>
        </w:rPr>
        <w:t xml:space="preserve"> </w:t>
      </w:r>
      <w:r>
        <w:rPr>
          <w:rFonts w:hint="eastAsia" w:ascii="宋体" w:hAnsi="宋体"/>
          <w:color w:val="auto"/>
          <w:szCs w:val="21"/>
        </w:rPr>
        <w:t>的，即投标报价＜通过符合性审查的次低报价供应商投标报价×</w:t>
      </w:r>
      <w:r>
        <w:rPr>
          <w:rFonts w:ascii="宋体" w:hAnsi="宋体"/>
          <w:color w:val="auto"/>
          <w:szCs w:val="21"/>
          <w:u w:val="single"/>
        </w:rPr>
        <w:t xml:space="preserve"> </w:t>
      </w:r>
      <w:r>
        <w:rPr>
          <w:rFonts w:hint="eastAsia" w:ascii="宋体" w:hAnsi="宋体"/>
          <w:color w:val="auto"/>
          <w:szCs w:val="21"/>
          <w:u w:val="single"/>
        </w:rPr>
        <w:t>65%</w:t>
      </w:r>
      <w:r>
        <w:rPr>
          <w:rFonts w:ascii="宋体" w:hAnsi="宋体"/>
          <w:color w:val="auto"/>
          <w:szCs w:val="21"/>
          <w:u w:val="single"/>
        </w:rPr>
        <w:t xml:space="preserve">  </w:t>
      </w:r>
      <w:r>
        <w:rPr>
          <w:rFonts w:hint="eastAsia" w:ascii="宋体" w:hAnsi="宋体"/>
          <w:color w:val="auto"/>
          <w:szCs w:val="21"/>
        </w:rPr>
        <w:t>；</w:t>
      </w:r>
    </w:p>
    <w:p>
      <w:pPr>
        <w:snapToGrid w:val="0"/>
        <w:spacing w:line="360" w:lineRule="auto"/>
        <w:ind w:firstLine="420" w:firstLineChars="200"/>
        <w:rPr>
          <w:rFonts w:ascii="宋体" w:hAnsi="宋体"/>
          <w:color w:val="auto"/>
          <w:szCs w:val="21"/>
        </w:rPr>
      </w:pPr>
      <w:r>
        <w:rPr>
          <w:rFonts w:hint="eastAsia" w:ascii="宋体" w:hAnsi="宋体"/>
          <w:color w:val="auto"/>
          <w:szCs w:val="21"/>
        </w:rPr>
        <w:t>③投标报价低于采购项目最高限价</w:t>
      </w:r>
      <w:r>
        <w:rPr>
          <w:rFonts w:ascii="宋体" w:hAnsi="宋体"/>
          <w:color w:val="auto"/>
          <w:szCs w:val="21"/>
          <w:u w:val="single"/>
        </w:rPr>
        <w:t xml:space="preserve"> </w:t>
      </w:r>
      <w:r>
        <w:rPr>
          <w:rFonts w:hint="eastAsia" w:ascii="宋体" w:hAnsi="宋体"/>
          <w:color w:val="auto"/>
          <w:szCs w:val="21"/>
          <w:u w:val="single"/>
        </w:rPr>
        <w:t>65%</w:t>
      </w:r>
      <w:r>
        <w:rPr>
          <w:rFonts w:ascii="宋体" w:hAnsi="宋体"/>
          <w:color w:val="auto"/>
          <w:szCs w:val="21"/>
          <w:u w:val="single"/>
        </w:rPr>
        <w:t xml:space="preserve">  </w:t>
      </w:r>
      <w:r>
        <w:rPr>
          <w:rFonts w:hint="eastAsia" w:ascii="宋体" w:hAnsi="宋体"/>
          <w:color w:val="auto"/>
          <w:szCs w:val="21"/>
        </w:rPr>
        <w:t>的，即投标报价＜采购项目最高限价×</w:t>
      </w:r>
      <w:r>
        <w:rPr>
          <w:rFonts w:ascii="宋体" w:hAnsi="宋体"/>
          <w:color w:val="auto"/>
          <w:szCs w:val="21"/>
          <w:u w:val="single"/>
        </w:rPr>
        <w:t xml:space="preserve"> </w:t>
      </w:r>
      <w:r>
        <w:rPr>
          <w:rFonts w:hint="eastAsia" w:ascii="宋体" w:hAnsi="宋体"/>
          <w:color w:val="auto"/>
          <w:szCs w:val="21"/>
          <w:u w:val="single"/>
        </w:rPr>
        <w:t>65%</w:t>
      </w:r>
      <w:r>
        <w:rPr>
          <w:rFonts w:ascii="宋体" w:hAnsi="宋体"/>
          <w:color w:val="auto"/>
          <w:szCs w:val="21"/>
          <w:u w:val="single"/>
        </w:rPr>
        <w:t xml:space="preserve"> </w:t>
      </w:r>
      <w:r>
        <w:rPr>
          <w:rFonts w:hint="eastAsia" w:ascii="宋体" w:hAnsi="宋体"/>
          <w:color w:val="auto"/>
          <w:szCs w:val="21"/>
        </w:rPr>
        <w:t>；</w:t>
      </w:r>
    </w:p>
    <w:p>
      <w:pPr>
        <w:snapToGrid w:val="0"/>
        <w:spacing w:line="360" w:lineRule="auto"/>
        <w:ind w:firstLine="420" w:firstLineChars="200"/>
        <w:rPr>
          <w:rFonts w:ascii="宋体" w:hAnsi="宋体"/>
          <w:color w:val="auto"/>
          <w:szCs w:val="21"/>
        </w:rPr>
      </w:pPr>
      <w:r>
        <w:rPr>
          <w:rFonts w:hint="eastAsia" w:ascii="宋体" w:hAnsi="宋体"/>
          <w:color w:val="auto"/>
          <w:szCs w:val="21"/>
        </w:rPr>
        <w:t>④评标委员会基于专业判断，认为供应商报价过低，有可能影响产品质量或者不能诚信履约的其他情形。</w:t>
      </w:r>
    </w:p>
    <w:p>
      <w:pPr>
        <w:snapToGrid w:val="0"/>
        <w:spacing w:line="360" w:lineRule="auto"/>
        <w:ind w:firstLine="420" w:firstLineChars="200"/>
        <w:rPr>
          <w:rFonts w:ascii="宋体" w:hAnsi="宋体"/>
          <w:szCs w:val="21"/>
        </w:rPr>
      </w:pPr>
      <w:r>
        <w:rPr>
          <w:rFonts w:ascii="宋体" w:hAnsi="宋体"/>
          <w:color w:val="auto"/>
          <w:szCs w:val="21"/>
        </w:rPr>
        <w:t>2</w:t>
      </w:r>
      <w:r>
        <w:rPr>
          <w:rFonts w:hint="eastAsia" w:ascii="宋体" w:hAnsi="宋体"/>
          <w:color w:val="auto"/>
          <w:szCs w:val="21"/>
        </w:rPr>
        <w:t>）评标委员会启动异常低价投标审查后，属于前述第1项至第4项情形的</w:t>
      </w:r>
      <w:r>
        <w:rPr>
          <w:rFonts w:hint="eastAsia" w:ascii="宋体" w:hAnsi="宋体"/>
          <w:szCs w:val="21"/>
        </w:rPr>
        <w:t>，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③项情形，供应商已随投标文件一并提交相关书面说明及必要的证明材料的，可不再重复提交。</w:t>
      </w:r>
    </w:p>
    <w:p>
      <w:pPr>
        <w:snapToGrid w:val="0"/>
        <w:spacing w:line="360" w:lineRule="auto"/>
        <w:ind w:firstLine="420" w:firstLineChars="200"/>
        <w:rPr>
          <w:rFonts w:ascii="宋体" w:hAnsi="宋体"/>
          <w:szCs w:val="21"/>
        </w:rPr>
      </w:pPr>
      <w:r>
        <w:rPr>
          <w:rFonts w:hint="eastAsia" w:ascii="宋体" w:hAnsi="宋体"/>
          <w:szCs w:val="21"/>
        </w:rPr>
        <w:t>评标委员会依据专业经验，参考同类项目中标（成交）价格、类似产品市场价格水平、行业人工费用标准、国家有关部门指导行业协会发布的行业平均成本等情况，对报价合理性进行判断。</w:t>
      </w:r>
      <w:r>
        <w:rPr>
          <w:rFonts w:hint="eastAsia" w:ascii="宋体" w:hAnsi="宋体"/>
          <w:b/>
          <w:szCs w:val="21"/>
        </w:rPr>
        <w:t>投标供应商不能提供书面说明、证明材料，或者提供的书面说明、证明材料不能证明其报价合理性的，评标委员会应当将其作为无效投标处理。</w:t>
      </w:r>
    </w:p>
    <w:p>
      <w:pPr>
        <w:snapToGrid w:val="0"/>
        <w:spacing w:line="360" w:lineRule="auto"/>
        <w:ind w:firstLine="420" w:firstLineChars="200"/>
        <w:rPr>
          <w:rFonts w:ascii="宋体" w:hAnsi="宋体"/>
          <w:szCs w:val="21"/>
        </w:rPr>
      </w:pPr>
      <w:r>
        <w:rPr>
          <w:rFonts w:hint="eastAsia" w:ascii="宋体" w:hAnsi="宋体"/>
          <w:szCs w:val="21"/>
        </w:rPr>
        <w:t>采购人、采购代理机构应当为评标委员会在评审现场及时获取同类项目中标（成交）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w:t>
      </w:r>
    </w:p>
    <w:p>
      <w:pPr>
        <w:snapToGrid w:val="0"/>
        <w:spacing w:line="360" w:lineRule="auto"/>
        <w:ind w:firstLine="420" w:firstLineChars="200"/>
        <w:rPr>
          <w:rFonts w:ascii="宋体" w:hAnsi="宋体"/>
          <w:szCs w:val="21"/>
        </w:rPr>
      </w:pPr>
      <w:r>
        <w:rPr>
          <w:rFonts w:hint="eastAsia" w:ascii="宋体" w:hAnsi="宋体"/>
          <w:szCs w:val="21"/>
        </w:rPr>
        <w:t>异常低价投标审查的启动原因、审查意见和审查结果应当在评审报告中记录，并随供应商提供的相关书面说明及证明材料；如有，以及评标委员会有关互联网浏览、查询历史一并归档。</w:t>
      </w:r>
    </w:p>
    <w:p>
      <w:pPr>
        <w:snapToGrid w:val="0"/>
        <w:spacing w:line="360" w:lineRule="auto"/>
        <w:ind w:firstLine="420" w:firstLineChars="200"/>
        <w:rPr>
          <w:rFonts w:ascii="宋体" w:hAnsi="宋体"/>
          <w:szCs w:val="21"/>
        </w:rPr>
      </w:pPr>
      <w:r>
        <w:rPr>
          <w:rFonts w:hint="eastAsia" w:ascii="宋体" w:hAnsi="宋体"/>
          <w:szCs w:val="21"/>
        </w:rPr>
        <w:t>（3）评标委员会按照招标文件中规定的评标方法和标准计算各投标人的报价得分。在计算过程中，不得去掉最高报价或者最低报价。</w:t>
      </w:r>
    </w:p>
    <w:p>
      <w:pPr>
        <w:snapToGrid w:val="0"/>
        <w:spacing w:line="360" w:lineRule="auto"/>
        <w:ind w:firstLine="420" w:firstLineChars="200"/>
        <w:rPr>
          <w:rFonts w:ascii="宋体" w:hAnsi="宋体"/>
          <w:szCs w:val="21"/>
        </w:rPr>
      </w:pPr>
      <w:r>
        <w:rPr>
          <w:rFonts w:hint="eastAsia" w:ascii="宋体" w:hAnsi="宋体"/>
          <w:szCs w:val="21"/>
        </w:rPr>
        <w:t>（4）各投标人的得分为所有评委的有效评分的算术平均数。</w:t>
      </w:r>
    </w:p>
    <w:p>
      <w:pPr>
        <w:snapToGrid w:val="0"/>
        <w:spacing w:line="360" w:lineRule="auto"/>
        <w:ind w:firstLine="420" w:firstLineChars="200"/>
        <w:rPr>
          <w:rFonts w:ascii="宋体" w:hAnsi="宋体"/>
          <w:szCs w:val="21"/>
        </w:rPr>
      </w:pPr>
      <w:r>
        <w:rPr>
          <w:rFonts w:hint="eastAsia" w:ascii="宋体" w:hAnsi="宋体"/>
          <w:szCs w:val="21"/>
        </w:rPr>
        <w:t>（5）评标委员会按照招标文件中的规定推荐中标候选人。</w:t>
      </w:r>
    </w:p>
    <w:p>
      <w:pPr>
        <w:snapToGrid w:val="0"/>
        <w:spacing w:line="360" w:lineRule="auto"/>
        <w:ind w:firstLine="420" w:firstLineChars="200"/>
        <w:rPr>
          <w:rFonts w:ascii="宋体" w:hAnsi="宋体"/>
          <w:szCs w:val="21"/>
        </w:rPr>
      </w:pPr>
      <w:r>
        <w:rPr>
          <w:rFonts w:hint="eastAsia" w:ascii="宋体" w:hAnsi="宋体"/>
          <w:szCs w:val="21"/>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作出结论。持不同意见的评标委员会成员应当在评标报告上签署不同意见及理由，否则视为同意评标报告。</w:t>
      </w:r>
    </w:p>
    <w:p>
      <w:pPr>
        <w:snapToGrid w:val="0"/>
        <w:spacing w:line="360" w:lineRule="auto"/>
        <w:ind w:firstLine="424" w:firstLineChars="202"/>
        <w:jc w:val="center"/>
      </w:pPr>
      <w:r>
        <w:br w:type="page"/>
      </w:r>
      <w:r>
        <w:rPr>
          <w:rFonts w:ascii="宋体" w:hAnsi="宋体" w:cs="宋体"/>
          <w:b/>
          <w:bCs/>
          <w:sz w:val="32"/>
          <w:szCs w:val="32"/>
        </w:rPr>
        <w:t>三</w:t>
      </w:r>
      <w:r>
        <w:rPr>
          <w:rFonts w:hint="eastAsia" w:ascii="宋体" w:hAnsi="宋体" w:cs="宋体"/>
          <w:b/>
          <w:bCs/>
          <w:sz w:val="32"/>
          <w:szCs w:val="32"/>
        </w:rPr>
        <w:t>、评标标准</w:t>
      </w:r>
    </w:p>
    <w:p>
      <w:pPr>
        <w:pStyle w:val="4"/>
        <w:keepNext w:val="0"/>
        <w:keepLines w:val="0"/>
        <w:jc w:val="center"/>
      </w:pPr>
      <w:r>
        <w:rPr>
          <w:rFonts w:hint="eastAsia"/>
        </w:rPr>
        <w:t>综合评分法</w:t>
      </w:r>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5"/>
        <w:gridCol w:w="1422"/>
        <w:gridCol w:w="1530"/>
        <w:gridCol w:w="5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130" w:type="pct"/>
            <w:gridSpan w:val="2"/>
            <w:vAlign w:val="center"/>
          </w:tcPr>
          <w:p>
            <w:pPr>
              <w:adjustRightInd w:val="0"/>
              <w:spacing w:line="360" w:lineRule="exact"/>
              <w:jc w:val="center"/>
              <w:textAlignment w:val="baseline"/>
              <w:rPr>
                <w:rFonts w:ascii="宋体" w:hAnsi="宋体"/>
                <w:b/>
                <w:szCs w:val="21"/>
              </w:rPr>
            </w:pPr>
            <w:r>
              <w:rPr>
                <w:rFonts w:hint="eastAsia" w:ascii="宋体" w:hAnsi="宋体"/>
                <w:b/>
                <w:szCs w:val="21"/>
              </w:rPr>
              <w:t>序号</w:t>
            </w:r>
          </w:p>
        </w:tc>
        <w:tc>
          <w:tcPr>
            <w:tcW w:w="897" w:type="pct"/>
            <w:vAlign w:val="center"/>
          </w:tcPr>
          <w:p>
            <w:pPr>
              <w:adjustRightInd w:val="0"/>
              <w:spacing w:line="360" w:lineRule="exact"/>
              <w:jc w:val="center"/>
              <w:textAlignment w:val="baseline"/>
              <w:rPr>
                <w:rFonts w:ascii="宋体" w:hAnsi="宋体"/>
                <w:b/>
                <w:szCs w:val="21"/>
              </w:rPr>
            </w:pPr>
            <w:r>
              <w:rPr>
                <w:rFonts w:hint="eastAsia" w:ascii="宋体" w:hAnsi="宋体"/>
                <w:b/>
                <w:szCs w:val="21"/>
              </w:rPr>
              <w:t>评审因素</w:t>
            </w:r>
          </w:p>
        </w:tc>
        <w:tc>
          <w:tcPr>
            <w:tcW w:w="2973" w:type="pct"/>
            <w:vAlign w:val="center"/>
          </w:tcPr>
          <w:p>
            <w:pPr>
              <w:adjustRightInd w:val="0"/>
              <w:spacing w:line="360" w:lineRule="exact"/>
              <w:jc w:val="center"/>
              <w:textAlignment w:val="baseline"/>
              <w:rPr>
                <w:rFonts w:ascii="宋体" w:hAnsi="宋体"/>
                <w:b/>
                <w:szCs w:val="21"/>
              </w:rPr>
            </w:pPr>
            <w:r>
              <w:rPr>
                <w:rFonts w:hint="eastAsia" w:ascii="宋体" w:hAnsi="宋体"/>
                <w:b/>
                <w:szCs w:val="21"/>
              </w:rPr>
              <w:t>评标标准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vAlign w:val="center"/>
          </w:tcPr>
          <w:p>
            <w:pPr>
              <w:adjustRightInd w:val="0"/>
              <w:spacing w:line="360" w:lineRule="exact"/>
              <w:jc w:val="center"/>
              <w:textAlignment w:val="baseline"/>
              <w:rPr>
                <w:rFonts w:ascii="宋体" w:hAnsi="宋体"/>
                <w:szCs w:val="21"/>
              </w:rPr>
            </w:pPr>
            <w:r>
              <w:rPr>
                <w:rFonts w:hint="eastAsia" w:ascii="宋体" w:hAnsi="宋体"/>
                <w:szCs w:val="21"/>
              </w:rPr>
              <w:t>1</w:t>
            </w:r>
          </w:p>
        </w:tc>
        <w:tc>
          <w:tcPr>
            <w:tcW w:w="834" w:type="pct"/>
            <w:vAlign w:val="center"/>
          </w:tcPr>
          <w:p>
            <w:pPr>
              <w:adjustRightInd w:val="0"/>
              <w:spacing w:line="360" w:lineRule="exact"/>
              <w:jc w:val="center"/>
              <w:textAlignment w:val="baseline"/>
              <w:rPr>
                <w:rFonts w:ascii="宋体" w:hAnsi="宋体"/>
                <w:b/>
                <w:bCs/>
                <w:szCs w:val="21"/>
              </w:rPr>
            </w:pPr>
            <w:r>
              <w:rPr>
                <w:rFonts w:hint="eastAsia" w:ascii="宋体" w:hAnsi="宋体"/>
                <w:b/>
                <w:bCs/>
                <w:szCs w:val="21"/>
              </w:rPr>
              <w:t>价格分</w:t>
            </w:r>
          </w:p>
          <w:p>
            <w:pPr>
              <w:adjustRightInd w:val="0"/>
              <w:spacing w:line="360" w:lineRule="exact"/>
              <w:jc w:val="center"/>
              <w:textAlignment w:val="baseline"/>
              <w:rPr>
                <w:rFonts w:ascii="宋体" w:hAnsi="宋体"/>
                <w:b/>
                <w:bCs/>
                <w:szCs w:val="21"/>
              </w:rPr>
            </w:pPr>
            <w:r>
              <w:rPr>
                <w:rFonts w:hint="eastAsia" w:ascii="宋体" w:hAnsi="宋体"/>
                <w:b/>
                <w:bCs/>
                <w:szCs w:val="21"/>
              </w:rPr>
              <w:t>（满分</w:t>
            </w:r>
            <w:r>
              <w:rPr>
                <w:rFonts w:ascii="宋体" w:hAnsi="宋体"/>
                <w:b/>
                <w:bCs/>
                <w:szCs w:val="21"/>
                <w:u w:val="single"/>
              </w:rPr>
              <w:t>30</w:t>
            </w:r>
            <w:r>
              <w:rPr>
                <w:rFonts w:hint="eastAsia" w:ascii="宋体" w:hAnsi="宋体"/>
                <w:b/>
                <w:bCs/>
                <w:szCs w:val="21"/>
              </w:rPr>
              <w:t>分）</w:t>
            </w:r>
          </w:p>
        </w:tc>
        <w:tc>
          <w:tcPr>
            <w:tcW w:w="897" w:type="pct"/>
            <w:vAlign w:val="center"/>
          </w:tcPr>
          <w:p>
            <w:pPr>
              <w:adjustRightInd w:val="0"/>
              <w:spacing w:line="360" w:lineRule="exact"/>
              <w:jc w:val="center"/>
              <w:textAlignment w:val="baseline"/>
              <w:rPr>
                <w:rFonts w:ascii="宋体" w:hAnsi="宋体"/>
                <w:bCs/>
                <w:szCs w:val="21"/>
              </w:rPr>
            </w:pPr>
            <w:r>
              <w:rPr>
                <w:rFonts w:hint="eastAsia" w:ascii="宋体" w:hAnsi="宋体"/>
                <w:bCs/>
                <w:szCs w:val="21"/>
              </w:rPr>
              <w:t>投标报价</w:t>
            </w:r>
          </w:p>
          <w:p>
            <w:pPr>
              <w:adjustRightInd w:val="0"/>
              <w:spacing w:line="360" w:lineRule="exact"/>
              <w:jc w:val="center"/>
              <w:textAlignment w:val="baseline"/>
              <w:rPr>
                <w:rFonts w:ascii="宋体" w:hAnsi="宋体"/>
                <w:bCs/>
                <w:szCs w:val="21"/>
              </w:rPr>
            </w:pPr>
            <w:r>
              <w:rPr>
                <w:rFonts w:hint="eastAsia" w:ascii="宋体" w:hAnsi="宋体"/>
                <w:bCs/>
                <w:szCs w:val="21"/>
              </w:rPr>
              <w:t>（满分</w:t>
            </w:r>
            <w:r>
              <w:rPr>
                <w:rFonts w:ascii="宋体" w:hAnsi="宋体"/>
                <w:bCs/>
                <w:szCs w:val="21"/>
              </w:rPr>
              <w:t>30</w:t>
            </w:r>
            <w:r>
              <w:rPr>
                <w:rFonts w:hint="eastAsia" w:ascii="宋体" w:hAnsi="宋体"/>
                <w:bCs/>
                <w:szCs w:val="21"/>
              </w:rPr>
              <w:t>分）</w:t>
            </w:r>
          </w:p>
        </w:tc>
        <w:tc>
          <w:tcPr>
            <w:tcW w:w="2973" w:type="pct"/>
            <w:vAlign w:val="center"/>
          </w:tcPr>
          <w:p>
            <w:pPr>
              <w:snapToGrid w:val="0"/>
              <w:spacing w:line="360" w:lineRule="exact"/>
              <w:ind w:firstLine="233" w:firstLineChars="111"/>
              <w:rPr>
                <w:rFonts w:ascii="宋体" w:hAnsi="宋体"/>
                <w:bCs/>
                <w:szCs w:val="21"/>
              </w:rPr>
            </w:pPr>
            <w:r>
              <w:rPr>
                <w:rFonts w:hint="eastAsia" w:ascii="宋体" w:hAnsi="宋体"/>
                <w:bCs/>
                <w:szCs w:val="21"/>
              </w:rPr>
              <w:t>（1）评标报价为投标人的投标报价进行政策性扣除后的价格，评标报价只是作为评标时使用。最终中标人的中标金额等于投标报价。</w:t>
            </w:r>
          </w:p>
          <w:p>
            <w:pPr>
              <w:snapToGrid w:val="0"/>
              <w:spacing w:line="360" w:lineRule="exact"/>
              <w:ind w:firstLine="233" w:firstLineChars="111"/>
              <w:rPr>
                <w:rFonts w:ascii="宋体" w:hAnsi="宋体"/>
                <w:bCs/>
                <w:szCs w:val="21"/>
              </w:rPr>
            </w:pPr>
            <w:r>
              <w:rPr>
                <w:rFonts w:hint="eastAsia" w:ascii="宋体" w:hAnsi="宋体"/>
                <w:bCs/>
                <w:szCs w:val="21"/>
              </w:rPr>
              <w:t>（2）政策性扣除计算方法。</w:t>
            </w:r>
          </w:p>
          <w:p>
            <w:pPr>
              <w:snapToGrid w:val="0"/>
              <w:spacing w:line="360" w:lineRule="exact"/>
              <w:ind w:firstLine="233" w:firstLineChars="111"/>
              <w:rPr>
                <w:rFonts w:ascii="宋体" w:hAnsi="宋体"/>
                <w:bCs/>
                <w:szCs w:val="21"/>
              </w:rPr>
            </w:pPr>
            <w:r>
              <w:rPr>
                <w:rFonts w:hint="eastAsia" w:ascii="宋体" w:hAnsi="宋体"/>
                <w:bCs/>
                <w:szCs w:val="21"/>
              </w:rPr>
              <w:t>根据《政府采购促进中小企业发展管理办法》（财库〔2020〕46号）及《广西壮族自治区财政厅关于持续优化政府采购营商环境推动高质量发展的通知》（桂财采〔2024〕55号）的规定，投标人在其投标文件中提供《中小企业声明函》，且其投标全部货物由小微企业制造的，对其投标报价给予10%的扣除，扣除后的价格为评标报价，即评标报价=投标报价×（1-10%）。除上述情况外，评标报价=投标报价。</w:t>
            </w:r>
          </w:p>
          <w:p>
            <w:pPr>
              <w:snapToGrid w:val="0"/>
              <w:spacing w:line="360" w:lineRule="exact"/>
              <w:ind w:firstLine="233" w:firstLineChars="111"/>
              <w:rPr>
                <w:rFonts w:ascii="宋体" w:hAnsi="宋体"/>
                <w:bCs/>
                <w:szCs w:val="21"/>
              </w:rPr>
            </w:pPr>
            <w:r>
              <w:rPr>
                <w:rFonts w:hint="eastAsia" w:ascii="宋体" w:hAnsi="宋体"/>
                <w:bCs/>
                <w:szCs w:val="21"/>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pPr>
              <w:snapToGrid w:val="0"/>
              <w:spacing w:line="360" w:lineRule="exact"/>
              <w:ind w:firstLine="233" w:firstLineChars="111"/>
              <w:rPr>
                <w:rFonts w:ascii="宋体" w:hAnsi="宋体"/>
                <w:bCs/>
                <w:szCs w:val="21"/>
              </w:rPr>
            </w:pPr>
            <w:r>
              <w:rPr>
                <w:rFonts w:hint="eastAsia" w:ascii="宋体" w:hAnsi="宋体"/>
                <w:bCs/>
                <w:szCs w:val="21"/>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pPr>
              <w:snapToGrid w:val="0"/>
              <w:spacing w:line="360" w:lineRule="exact"/>
              <w:ind w:firstLine="233" w:firstLineChars="111"/>
              <w:rPr>
                <w:rFonts w:ascii="宋体" w:hAnsi="宋体"/>
                <w:bCs/>
                <w:szCs w:val="21"/>
              </w:rPr>
            </w:pPr>
            <w:r>
              <w:rPr>
                <w:rFonts w:hint="eastAsia" w:ascii="宋体" w:hAnsi="宋体"/>
                <w:bCs/>
                <w:szCs w:val="21"/>
              </w:rPr>
              <w:t>（5）本国产品政策性扣除计算方法。</w:t>
            </w:r>
          </w:p>
          <w:p>
            <w:pPr>
              <w:snapToGrid w:val="0"/>
              <w:spacing w:line="360" w:lineRule="exact"/>
              <w:ind w:firstLine="233" w:firstLineChars="111"/>
              <w:rPr>
                <w:rFonts w:ascii="宋体" w:hAnsi="宋体"/>
                <w:bCs/>
                <w:szCs w:val="21"/>
              </w:rPr>
            </w:pPr>
            <w:r>
              <w:rPr>
                <w:rFonts w:hint="eastAsia" w:ascii="宋体" w:hAnsi="宋体"/>
                <w:bCs/>
                <w:szCs w:val="21"/>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pPr>
              <w:snapToGrid w:val="0"/>
              <w:spacing w:line="360" w:lineRule="exact"/>
              <w:ind w:firstLine="233" w:firstLineChars="111"/>
              <w:rPr>
                <w:rFonts w:ascii="宋体" w:hAnsi="宋体"/>
                <w:bCs/>
                <w:szCs w:val="21"/>
              </w:rPr>
            </w:pPr>
            <w:r>
              <w:rPr>
                <w:rFonts w:hint="eastAsia" w:ascii="宋体" w:hAnsi="宋体"/>
                <w:bCs/>
                <w:szCs w:val="21"/>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未达到80%，不享受价格评审优惠。</w:t>
            </w:r>
          </w:p>
          <w:p>
            <w:pPr>
              <w:snapToGrid w:val="0"/>
              <w:spacing w:line="360" w:lineRule="exact"/>
              <w:ind w:firstLine="233" w:firstLineChars="111"/>
              <w:rPr>
                <w:rFonts w:ascii="宋体" w:hAnsi="宋体"/>
                <w:bCs/>
                <w:szCs w:val="21"/>
              </w:rPr>
            </w:pPr>
            <w:r>
              <w:rPr>
                <w:rFonts w:hint="eastAsia" w:ascii="宋体" w:hAnsi="宋体"/>
                <w:bCs/>
                <w:szCs w:val="21"/>
              </w:rPr>
              <w:t>供应商在其投标文件中提供《关于符合本国产品标准的声明函》或财政部会同有关部门规定的有关证明文件，出具符合要求的《声明函》或有关证明文件的，该产品视为本国产品。</w:t>
            </w:r>
          </w:p>
          <w:p>
            <w:pPr>
              <w:snapToGrid w:val="0"/>
              <w:spacing w:line="360" w:lineRule="exact"/>
              <w:ind w:firstLine="233" w:firstLineChars="111"/>
              <w:rPr>
                <w:rFonts w:ascii="宋体" w:hAnsi="宋体"/>
                <w:bCs/>
                <w:szCs w:val="21"/>
              </w:rPr>
            </w:pPr>
            <w:r>
              <w:rPr>
                <w:rFonts w:hint="eastAsia" w:ascii="宋体" w:hAnsi="宋体"/>
                <w:bCs/>
                <w:szCs w:val="21"/>
              </w:rPr>
              <w:t>如果所有参与竞争的供应商均可享受本国产品价格评审优惠，则统一不进行价格扣除。</w:t>
            </w:r>
          </w:p>
          <w:p>
            <w:pPr>
              <w:snapToGrid w:val="0"/>
              <w:spacing w:line="360" w:lineRule="exact"/>
              <w:ind w:firstLine="233" w:firstLineChars="111"/>
              <w:rPr>
                <w:rFonts w:ascii="宋体" w:hAnsi="宋体"/>
                <w:bCs/>
                <w:szCs w:val="21"/>
              </w:rPr>
            </w:pPr>
            <w:r>
              <w:rPr>
                <w:rFonts w:hint="eastAsia" w:ascii="宋体" w:hAnsi="宋体"/>
                <w:bCs/>
                <w:szCs w:val="21"/>
              </w:rPr>
              <w:t>（6）中小企业折扣与本国产品折扣进行叠加计算，用扣除后的价格参加评审。即评审价=投标报价-中小企业折扣-本国产品折扣，除上述情况外，评审价=投标报价。</w:t>
            </w:r>
          </w:p>
          <w:p>
            <w:pPr>
              <w:snapToGrid w:val="0"/>
              <w:spacing w:line="360" w:lineRule="exact"/>
              <w:ind w:firstLine="233" w:firstLineChars="111"/>
              <w:rPr>
                <w:rFonts w:ascii="宋体" w:hAnsi="宋体"/>
                <w:bCs/>
                <w:szCs w:val="21"/>
              </w:rPr>
            </w:pPr>
            <w:r>
              <w:rPr>
                <w:rFonts w:hint="eastAsia" w:ascii="宋体" w:hAnsi="宋体"/>
                <w:bCs/>
                <w:szCs w:val="21"/>
              </w:rPr>
              <w:t>（7）满足招标文件要求且评标报价最低的评标报价为评标基准价，其价格分为满分。</w:t>
            </w:r>
          </w:p>
          <w:p>
            <w:pPr>
              <w:snapToGrid w:val="0"/>
              <w:spacing w:line="360" w:lineRule="exact"/>
              <w:ind w:firstLine="233" w:firstLineChars="111"/>
              <w:rPr>
                <w:rFonts w:ascii="宋体" w:hAnsi="宋体"/>
                <w:bCs/>
                <w:szCs w:val="21"/>
              </w:rPr>
            </w:pPr>
            <w:r>
              <w:rPr>
                <w:rFonts w:hint="eastAsia" w:ascii="宋体" w:hAnsi="宋体"/>
                <w:bCs/>
                <w:szCs w:val="21"/>
              </w:rPr>
              <w:t xml:space="preserve">（8）价格分计算公式：        </w:t>
            </w:r>
          </w:p>
          <w:p>
            <w:pPr>
              <w:spacing w:line="360" w:lineRule="exact"/>
              <w:rPr>
                <w:rFonts w:ascii="宋体" w:hAnsi="宋体" w:cs="Courier New"/>
                <w:bCs/>
                <w:szCs w:val="21"/>
              </w:rPr>
            </w:pPr>
            <w:r>
              <w:rPr>
                <w:rFonts w:hint="eastAsia" w:ascii="宋体" w:hAnsi="宋体"/>
                <w:bCs/>
                <w:szCs w:val="21"/>
              </w:rPr>
              <w:t>价格分=（评标基准价/评标报价）×30分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vMerge w:val="restart"/>
            <w:vAlign w:val="center"/>
          </w:tcPr>
          <w:p>
            <w:pPr>
              <w:adjustRightInd w:val="0"/>
              <w:spacing w:line="360" w:lineRule="exact"/>
              <w:jc w:val="center"/>
              <w:textAlignment w:val="baseline"/>
              <w:rPr>
                <w:rFonts w:ascii="宋体" w:hAnsi="宋体"/>
                <w:szCs w:val="21"/>
              </w:rPr>
            </w:pPr>
            <w:r>
              <w:rPr>
                <w:rFonts w:hint="eastAsia" w:ascii="宋体" w:hAnsi="宋体"/>
                <w:szCs w:val="21"/>
              </w:rPr>
              <w:t>2</w:t>
            </w:r>
          </w:p>
        </w:tc>
        <w:tc>
          <w:tcPr>
            <w:tcW w:w="834" w:type="pct"/>
            <w:vMerge w:val="restart"/>
            <w:vAlign w:val="center"/>
          </w:tcPr>
          <w:p>
            <w:pPr>
              <w:adjustRightInd w:val="0"/>
              <w:spacing w:line="360" w:lineRule="exact"/>
              <w:jc w:val="center"/>
              <w:textAlignment w:val="baseline"/>
              <w:rPr>
                <w:rFonts w:ascii="宋体" w:hAnsi="宋体"/>
                <w:b/>
                <w:bCs/>
                <w:szCs w:val="21"/>
              </w:rPr>
            </w:pPr>
            <w:r>
              <w:rPr>
                <w:rFonts w:hint="eastAsia" w:ascii="宋体" w:hAnsi="宋体"/>
                <w:b/>
                <w:bCs/>
                <w:szCs w:val="21"/>
              </w:rPr>
              <w:t>技术分</w:t>
            </w:r>
          </w:p>
          <w:p>
            <w:pPr>
              <w:adjustRightInd w:val="0"/>
              <w:spacing w:line="360" w:lineRule="exact"/>
              <w:jc w:val="center"/>
              <w:textAlignment w:val="baseline"/>
              <w:rPr>
                <w:rFonts w:ascii="宋体" w:hAnsi="宋体"/>
                <w:b/>
                <w:bCs/>
                <w:szCs w:val="21"/>
              </w:rPr>
            </w:pPr>
            <w:r>
              <w:rPr>
                <w:rFonts w:hint="eastAsia" w:ascii="宋体" w:hAnsi="宋体"/>
                <w:b/>
                <w:bCs/>
                <w:szCs w:val="21"/>
              </w:rPr>
              <w:t>（满分58分）</w:t>
            </w:r>
          </w:p>
        </w:tc>
        <w:tc>
          <w:tcPr>
            <w:tcW w:w="897" w:type="pct"/>
            <w:vAlign w:val="center"/>
          </w:tcPr>
          <w:p>
            <w:pPr>
              <w:adjustRightInd w:val="0"/>
              <w:spacing w:line="360" w:lineRule="exact"/>
              <w:jc w:val="center"/>
              <w:textAlignment w:val="baseline"/>
              <w:rPr>
                <w:rFonts w:ascii="宋体" w:hAnsi="宋体"/>
                <w:szCs w:val="21"/>
              </w:rPr>
            </w:pPr>
            <w:r>
              <w:rPr>
                <w:rFonts w:hint="eastAsia" w:ascii="宋体" w:hAnsi="宋体"/>
                <w:szCs w:val="21"/>
              </w:rPr>
              <w:t>产品技术或性能分</w:t>
            </w:r>
          </w:p>
          <w:p>
            <w:pPr>
              <w:adjustRightInd w:val="0"/>
              <w:spacing w:line="360" w:lineRule="exact"/>
              <w:jc w:val="left"/>
              <w:textAlignment w:val="baseline"/>
              <w:rPr>
                <w:rFonts w:ascii="宋体" w:hAnsi="宋体"/>
                <w:szCs w:val="21"/>
                <w:u w:val="single"/>
              </w:rPr>
            </w:pPr>
            <w:r>
              <w:rPr>
                <w:rFonts w:hint="eastAsia" w:ascii="宋体" w:hAnsi="宋体"/>
                <w:szCs w:val="21"/>
              </w:rPr>
              <w:t>（满分38分）</w:t>
            </w:r>
          </w:p>
        </w:tc>
        <w:tc>
          <w:tcPr>
            <w:tcW w:w="2973" w:type="pct"/>
            <w:vAlign w:val="center"/>
          </w:tcPr>
          <w:p>
            <w:pPr>
              <w:widowControl/>
              <w:shd w:val="clear" w:color="auto" w:fill="FFFFFF"/>
              <w:spacing w:line="360" w:lineRule="exact"/>
              <w:ind w:firstLine="420" w:firstLineChars="200"/>
              <w:rPr>
                <w:rFonts w:hint="eastAsia" w:hAnsi="宋体" w:cs="Courier New"/>
              </w:rPr>
            </w:pPr>
            <w:r>
              <w:rPr>
                <w:rFonts w:hint="eastAsia" w:hAnsi="宋体" w:cs="Courier New"/>
              </w:rPr>
              <w:t>（1）所投产品未标记“◆”和“▲”的技术参数完全满足采购文件（无偏离）的，得基本分11分（如有要求提供相关证明材料的按要求提供，并经评标委员会认定有效的视为无偏离，否则视为负偏离）；</w:t>
            </w:r>
          </w:p>
          <w:p>
            <w:pPr>
              <w:widowControl/>
              <w:shd w:val="clear" w:color="auto" w:fill="FFFFFF"/>
              <w:spacing w:line="360" w:lineRule="exact"/>
              <w:ind w:firstLine="420" w:firstLineChars="200"/>
              <w:rPr>
                <w:rFonts w:hint="eastAsia" w:hAnsi="宋体" w:cs="Courier New"/>
              </w:rPr>
            </w:pPr>
            <w:r>
              <w:rPr>
                <w:rFonts w:hint="eastAsia" w:hAnsi="宋体" w:cs="Courier New"/>
              </w:rPr>
              <w:t>（2）所投产品标记“◆”的技术参数完全满足采购文件（无偏离），并且能够提供相关证明材料，经评标委员会认定有效的，每有一项得1.5分，最高得27分。</w:t>
            </w:r>
          </w:p>
          <w:p>
            <w:pPr>
              <w:widowControl/>
              <w:shd w:val="clear" w:color="auto" w:fill="FFFFFF"/>
              <w:spacing w:line="360" w:lineRule="exact"/>
              <w:ind w:firstLine="420" w:firstLineChars="200"/>
              <w:rPr>
                <w:rFonts w:hAnsi="宋体" w:cs="Courier New"/>
              </w:rPr>
            </w:pPr>
            <w:r>
              <w:rPr>
                <w:rFonts w:hint="eastAsia" w:hAnsi="宋体" w:cs="Courier New"/>
              </w:rPr>
              <w:t>注：相关证明材料以“主要技术参数及性能（配置）要求”中列明的材料类型为准。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vMerge w:val="continue"/>
            <w:vAlign w:val="center"/>
          </w:tcPr>
          <w:p>
            <w:pPr>
              <w:adjustRightInd w:val="0"/>
              <w:spacing w:line="360" w:lineRule="exact"/>
              <w:jc w:val="center"/>
              <w:textAlignment w:val="baseline"/>
              <w:rPr>
                <w:rFonts w:ascii="宋体" w:hAnsi="宋体"/>
                <w:szCs w:val="21"/>
              </w:rPr>
            </w:pPr>
          </w:p>
        </w:tc>
        <w:tc>
          <w:tcPr>
            <w:tcW w:w="834" w:type="pct"/>
            <w:vMerge w:val="continue"/>
            <w:vAlign w:val="center"/>
          </w:tcPr>
          <w:p>
            <w:pPr>
              <w:adjustRightInd w:val="0"/>
              <w:spacing w:line="360" w:lineRule="exact"/>
              <w:jc w:val="center"/>
              <w:textAlignment w:val="baseline"/>
              <w:rPr>
                <w:rFonts w:ascii="宋体" w:hAnsi="宋体"/>
                <w:b/>
                <w:bCs/>
                <w:szCs w:val="21"/>
              </w:rPr>
            </w:pPr>
          </w:p>
        </w:tc>
        <w:tc>
          <w:tcPr>
            <w:tcW w:w="897" w:type="pct"/>
            <w:vAlign w:val="center"/>
          </w:tcPr>
          <w:p>
            <w:pPr>
              <w:adjustRightInd w:val="0"/>
              <w:spacing w:line="360" w:lineRule="exact"/>
              <w:jc w:val="center"/>
              <w:textAlignment w:val="baseline"/>
              <w:rPr>
                <w:rFonts w:ascii="宋体" w:hAnsi="宋体"/>
                <w:bCs/>
                <w:szCs w:val="21"/>
              </w:rPr>
            </w:pPr>
            <w:r>
              <w:rPr>
                <w:rFonts w:hint="eastAsia" w:ascii="宋体" w:hAnsi="宋体"/>
                <w:bCs/>
                <w:szCs w:val="21"/>
              </w:rPr>
              <w:t>项目实施方案（满分20分）</w:t>
            </w:r>
          </w:p>
        </w:tc>
        <w:tc>
          <w:tcPr>
            <w:tcW w:w="2973" w:type="pct"/>
          </w:tcPr>
          <w:p>
            <w:pPr>
              <w:spacing w:line="360" w:lineRule="exact"/>
              <w:ind w:firstLine="420" w:firstLineChars="200"/>
              <w:jc w:val="left"/>
              <w:rPr>
                <w:rFonts w:ascii="宋体" w:hAnsi="宋体"/>
                <w:highlight w:val="none"/>
              </w:rPr>
            </w:pPr>
            <w:r>
              <w:rPr>
                <w:rFonts w:hint="eastAsia" w:ascii="宋体" w:hAnsi="宋体"/>
                <w:highlight w:val="none"/>
              </w:rPr>
              <w:t>由评标委员会各成员根据各投标人提供的项目实施方案中的技术实施方案、实施进度计划、安装调试方案、实施过程风险和难点分析控制、质量保障措施、文明施工措施、环境保护措施、项目实施人员安排、系统试运行方案等内容进行独立评审打分。</w:t>
            </w:r>
          </w:p>
          <w:p>
            <w:pPr>
              <w:spacing w:line="360" w:lineRule="exact"/>
              <w:ind w:firstLine="420" w:firstLineChars="200"/>
              <w:jc w:val="left"/>
              <w:rPr>
                <w:rFonts w:ascii="宋体" w:hAnsi="宋体"/>
                <w:highlight w:val="none"/>
              </w:rPr>
            </w:pPr>
            <w:r>
              <w:rPr>
                <w:rFonts w:hint="eastAsia" w:ascii="宋体" w:hAnsi="宋体"/>
                <w:highlight w:val="none"/>
              </w:rPr>
              <w:t>一档（5分）：未提供实施方案或实施方案中的（技术实施方案、实施进度计划、安装调试方案、实施过程风险和难点分析控制、质量保障措施、文明施工措施、环境保护措施、项目实施人员安排、系统试运行方案）有2项（含）以上缺项的，提供的项目实施人员名单不少于3人（提供投标人为其缴纳的投标截止日期前半年内任意连续三个月社保证明）。</w:t>
            </w:r>
          </w:p>
          <w:p>
            <w:pPr>
              <w:spacing w:line="360" w:lineRule="exact"/>
              <w:ind w:firstLine="420" w:firstLineChars="200"/>
              <w:jc w:val="left"/>
              <w:rPr>
                <w:rFonts w:ascii="宋体" w:hAnsi="宋体"/>
                <w:highlight w:val="none"/>
              </w:rPr>
            </w:pPr>
            <w:r>
              <w:rPr>
                <w:rFonts w:hint="eastAsia" w:ascii="宋体" w:hAnsi="宋体"/>
                <w:highlight w:val="none"/>
              </w:rPr>
              <w:t>二档（10分）：在一档基础上，提供了项目实施方案，但实施方案中的（技术实施方案、实施进度计划、安装调试方案、实施过程风险和难点分析控制、质量保障措施、文明施工措施、环境保护措施、项目实施人员安排、系统试运行方案）有1项缺项的。</w:t>
            </w:r>
          </w:p>
          <w:p>
            <w:pPr>
              <w:spacing w:line="360" w:lineRule="exact"/>
              <w:ind w:firstLine="420" w:firstLineChars="200"/>
              <w:jc w:val="left"/>
              <w:rPr>
                <w:rFonts w:ascii="宋体" w:hAnsi="宋体"/>
                <w:highlight w:val="none"/>
              </w:rPr>
            </w:pPr>
            <w:r>
              <w:rPr>
                <w:rFonts w:hint="eastAsia" w:ascii="宋体" w:hAnsi="宋体"/>
                <w:highlight w:val="none"/>
              </w:rPr>
              <w:t>三档（15分）：在二档基础上，提供了项目实施方案，且实施方案中的（技术实施方案、实施进度计划、安装调试方案、实施过程风险和难点分析控制、质量保障措施、文明施工措施、环境保护措施、项目实施人员安排、系统试运行方案）没有缺项。</w:t>
            </w:r>
          </w:p>
          <w:p>
            <w:pPr>
              <w:spacing w:line="360" w:lineRule="exact"/>
              <w:ind w:firstLine="420" w:firstLineChars="200"/>
              <w:jc w:val="left"/>
              <w:rPr>
                <w:rFonts w:ascii="宋体" w:hAnsi="宋体"/>
                <w:highlight w:val="none"/>
              </w:rPr>
            </w:pPr>
            <w:r>
              <w:rPr>
                <w:rFonts w:hint="eastAsia" w:ascii="宋体" w:hAnsi="宋体"/>
                <w:highlight w:val="none"/>
              </w:rPr>
              <w:t>四档（20分）：在三档的基础上，（技术实施方案、实施进度计划、安装调试方案、实施过程风险和难点分析控制、质量保障措施、文明施工措施、环境保护措施、项目实施人员安排、系统试运行方案）</w:t>
            </w:r>
            <w:r>
              <w:rPr>
                <w:rFonts w:hint="eastAsia" w:ascii="宋体" w:hAnsi="宋体"/>
                <w:highlight w:val="none"/>
                <w:lang w:val="en-US" w:eastAsia="zh-CN"/>
              </w:rPr>
              <w:t>更</w:t>
            </w:r>
            <w:r>
              <w:rPr>
                <w:rFonts w:hint="eastAsia" w:ascii="宋体" w:hAnsi="宋体"/>
                <w:highlight w:val="none"/>
              </w:rPr>
              <w:t>详</w:t>
            </w:r>
            <w:r>
              <w:rPr>
                <w:rFonts w:hint="eastAsia" w:ascii="宋体" w:hAnsi="宋体"/>
                <w:highlight w:val="none"/>
                <w:lang w:val="en-US" w:eastAsia="zh-CN"/>
              </w:rPr>
              <w:t>更有针对性</w:t>
            </w:r>
            <w:r>
              <w:rPr>
                <w:rFonts w:hint="eastAsia" w:ascii="宋体" w:hAnsi="宋体"/>
                <w:highlight w:val="none"/>
              </w:rPr>
              <w:t>，实施方案中提供详细实施设计图。</w:t>
            </w:r>
          </w:p>
          <w:p>
            <w:pPr>
              <w:spacing w:line="360" w:lineRule="exact"/>
              <w:ind w:firstLine="422" w:firstLineChars="200"/>
              <w:jc w:val="left"/>
              <w:rPr>
                <w:rFonts w:ascii="宋体" w:hAnsi="宋体"/>
                <w:szCs w:val="21"/>
                <w:highlight w:val="none"/>
              </w:rPr>
            </w:pPr>
            <w:r>
              <w:rPr>
                <w:rFonts w:hint="eastAsia" w:ascii="宋体" w:hAnsi="宋体"/>
                <w:b/>
                <w:bCs/>
                <w:highlight w:val="none"/>
              </w:rPr>
              <w:t>注：未提供方案或</w:t>
            </w:r>
            <w:r>
              <w:rPr>
                <w:rFonts w:ascii="宋体" w:hAnsi="宋体"/>
                <w:b/>
                <w:bCs/>
                <w:highlight w:val="none"/>
              </w:rPr>
              <w:t>方案</w:t>
            </w:r>
            <w:r>
              <w:rPr>
                <w:rFonts w:hint="eastAsia" w:ascii="宋体" w:hAnsi="宋体"/>
                <w:b/>
                <w:highlight w:val="none"/>
              </w:rPr>
              <w:t>不符合最低入档条件的按0分计分。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vMerge w:val="restart"/>
            <w:vAlign w:val="center"/>
          </w:tcPr>
          <w:p>
            <w:pPr>
              <w:adjustRightInd w:val="0"/>
              <w:spacing w:line="360" w:lineRule="exact"/>
              <w:jc w:val="center"/>
              <w:textAlignment w:val="baseline"/>
              <w:rPr>
                <w:rFonts w:ascii="宋体" w:hAnsi="宋体"/>
                <w:szCs w:val="21"/>
              </w:rPr>
            </w:pPr>
            <w:r>
              <w:rPr>
                <w:rFonts w:hint="eastAsia" w:ascii="宋体" w:hAnsi="宋体"/>
                <w:szCs w:val="21"/>
              </w:rPr>
              <w:t>3</w:t>
            </w:r>
          </w:p>
        </w:tc>
        <w:tc>
          <w:tcPr>
            <w:tcW w:w="834" w:type="pct"/>
            <w:vMerge w:val="restart"/>
            <w:vAlign w:val="center"/>
          </w:tcPr>
          <w:p>
            <w:pPr>
              <w:adjustRightInd w:val="0"/>
              <w:spacing w:line="360" w:lineRule="exact"/>
              <w:jc w:val="center"/>
              <w:textAlignment w:val="baseline"/>
              <w:rPr>
                <w:rFonts w:ascii="宋体" w:hAnsi="宋体"/>
                <w:b/>
                <w:bCs/>
                <w:szCs w:val="21"/>
              </w:rPr>
            </w:pPr>
            <w:r>
              <w:rPr>
                <w:rFonts w:hint="eastAsia" w:ascii="宋体" w:hAnsi="宋体"/>
                <w:b/>
                <w:bCs/>
                <w:szCs w:val="21"/>
              </w:rPr>
              <w:t>商务分</w:t>
            </w:r>
          </w:p>
          <w:p>
            <w:pPr>
              <w:adjustRightInd w:val="0"/>
              <w:spacing w:line="360" w:lineRule="exact"/>
              <w:jc w:val="center"/>
              <w:textAlignment w:val="baseline"/>
              <w:rPr>
                <w:rFonts w:ascii="宋体" w:hAnsi="宋体"/>
                <w:b/>
                <w:bCs/>
                <w:szCs w:val="21"/>
              </w:rPr>
            </w:pPr>
            <w:r>
              <w:rPr>
                <w:rFonts w:hint="eastAsia" w:ascii="宋体" w:hAnsi="宋体"/>
                <w:b/>
                <w:bCs/>
                <w:szCs w:val="21"/>
              </w:rPr>
              <w:t>（满分10分）</w:t>
            </w:r>
          </w:p>
        </w:tc>
        <w:tc>
          <w:tcPr>
            <w:tcW w:w="897" w:type="pct"/>
            <w:vAlign w:val="center"/>
          </w:tcPr>
          <w:p>
            <w:pPr>
              <w:adjustRightInd w:val="0"/>
              <w:spacing w:line="360" w:lineRule="exact"/>
              <w:jc w:val="center"/>
              <w:textAlignment w:val="baseline"/>
              <w:rPr>
                <w:rFonts w:ascii="宋体" w:hAnsi="宋体"/>
                <w:bCs/>
                <w:szCs w:val="21"/>
              </w:rPr>
            </w:pPr>
            <w:r>
              <w:rPr>
                <w:rFonts w:hint="eastAsia" w:ascii="宋体" w:hAnsi="宋体"/>
                <w:bCs/>
              </w:rPr>
              <w:t>售后服务方案（满分7分）</w:t>
            </w:r>
          </w:p>
        </w:tc>
        <w:tc>
          <w:tcPr>
            <w:tcW w:w="2973" w:type="pct"/>
            <w:vAlign w:val="center"/>
          </w:tcPr>
          <w:p>
            <w:pPr>
              <w:widowControl/>
              <w:snapToGrid w:val="0"/>
              <w:spacing w:line="360" w:lineRule="exact"/>
              <w:ind w:firstLine="412" w:firstLineChars="200"/>
              <w:rPr>
                <w:rFonts w:ascii="宋体" w:hAnsi="宋体" w:cs="微软雅黑"/>
                <w:spacing w:val="-2"/>
                <w:szCs w:val="21"/>
                <w:highlight w:val="none"/>
              </w:rPr>
            </w:pPr>
            <w:r>
              <w:rPr>
                <w:rFonts w:hint="eastAsia" w:ascii="宋体" w:hAnsi="宋体" w:cs="微软雅黑"/>
                <w:spacing w:val="-2"/>
                <w:szCs w:val="21"/>
                <w:highlight w:val="none"/>
              </w:rPr>
              <w:t>评标委员会各成员根据投标人提供的售后服务承诺方案的内容（至少包括：免费保修期、到达故障现场时间、故障出现解决方案，定期维护（注明时间）、免费技术培训方案、免费保修期外维修方案、本地化售后服务措施、</w:t>
            </w:r>
            <w:r>
              <w:rPr>
                <w:rFonts w:hint="eastAsia" w:ascii="宋体" w:hAnsi="宋体" w:cs="微软雅黑"/>
                <w:spacing w:val="-2"/>
                <w:szCs w:val="21"/>
                <w:highlight w:val="none"/>
                <w:lang w:val="en-US" w:eastAsia="zh-CN"/>
              </w:rPr>
              <w:t>备品备件方案等</w:t>
            </w:r>
            <w:r>
              <w:rPr>
                <w:rFonts w:hint="eastAsia" w:ascii="宋体" w:hAnsi="宋体" w:cs="微软雅黑"/>
                <w:spacing w:val="-2"/>
                <w:szCs w:val="21"/>
                <w:highlight w:val="none"/>
              </w:rPr>
              <w:t>）进行独立评审打分。</w:t>
            </w:r>
          </w:p>
          <w:p>
            <w:pPr>
              <w:widowControl/>
              <w:snapToGrid w:val="0"/>
              <w:spacing w:line="360" w:lineRule="exact"/>
              <w:ind w:firstLine="412" w:firstLineChars="200"/>
              <w:rPr>
                <w:rFonts w:ascii="宋体" w:hAnsi="宋体" w:cs="微软雅黑"/>
                <w:spacing w:val="-2"/>
                <w:szCs w:val="21"/>
                <w:highlight w:val="none"/>
              </w:rPr>
            </w:pPr>
            <w:r>
              <w:rPr>
                <w:rFonts w:hint="eastAsia" w:ascii="宋体" w:hAnsi="宋体" w:cs="微软雅黑"/>
                <w:spacing w:val="-2"/>
                <w:szCs w:val="21"/>
                <w:highlight w:val="none"/>
              </w:rPr>
              <w:t>一档（2分）：提供了售后服务承诺方案（免费保修期、到达故障现场时间、故障出现解决方案，定期维护（注明时间）、免费技术培训方案、免费保修期外维修方案、本地化售后服务措施、</w:t>
            </w:r>
            <w:r>
              <w:rPr>
                <w:rFonts w:hint="eastAsia" w:ascii="宋体" w:hAnsi="宋体" w:cs="微软雅黑"/>
                <w:spacing w:val="-2"/>
                <w:szCs w:val="21"/>
                <w:highlight w:val="none"/>
                <w:lang w:val="en-US" w:eastAsia="zh-CN"/>
              </w:rPr>
              <w:t>备品备件方案等</w:t>
            </w:r>
            <w:r>
              <w:rPr>
                <w:rFonts w:hint="eastAsia" w:ascii="宋体" w:hAnsi="宋体" w:cs="微软雅黑"/>
                <w:spacing w:val="-2"/>
                <w:szCs w:val="21"/>
                <w:highlight w:val="none"/>
              </w:rPr>
              <w:t>）基本满足招标文件售后服务要求</w:t>
            </w:r>
            <w:bookmarkStart w:id="188" w:name="OLE_LINK28"/>
            <w:r>
              <w:rPr>
                <w:rFonts w:hint="eastAsia" w:ascii="宋体" w:hAnsi="宋体" w:cs="微软雅黑"/>
                <w:spacing w:val="-2"/>
                <w:szCs w:val="21"/>
                <w:highlight w:val="none"/>
              </w:rPr>
              <w:t>，</w:t>
            </w:r>
            <w:bookmarkStart w:id="189" w:name="OLE_LINK27"/>
            <w:r>
              <w:rPr>
                <w:rFonts w:hint="eastAsia" w:ascii="宋体" w:hAnsi="宋体" w:cs="微软雅黑"/>
                <w:spacing w:val="-2"/>
                <w:szCs w:val="21"/>
                <w:highlight w:val="none"/>
              </w:rPr>
              <w:t>本地化售后服务措施中能提供不少于2名的专职售后服务工程师，提供售后服务工程师人员名单、联系电话、投标人为其缴纳的投标截止日期前半年内任意连续三个月社保证明</w:t>
            </w:r>
            <w:bookmarkEnd w:id="188"/>
            <w:bookmarkEnd w:id="189"/>
            <w:r>
              <w:rPr>
                <w:rFonts w:hint="eastAsia" w:ascii="宋体" w:hAnsi="宋体" w:cs="微软雅黑"/>
                <w:spacing w:val="-2"/>
                <w:szCs w:val="21"/>
                <w:highlight w:val="none"/>
              </w:rPr>
              <w:t>。</w:t>
            </w:r>
          </w:p>
          <w:p>
            <w:pPr>
              <w:widowControl/>
              <w:snapToGrid w:val="0"/>
              <w:spacing w:line="360" w:lineRule="exact"/>
              <w:ind w:firstLine="412" w:firstLineChars="200"/>
              <w:rPr>
                <w:rFonts w:ascii="宋体" w:hAnsi="宋体" w:cs="微软雅黑"/>
                <w:spacing w:val="-2"/>
                <w:szCs w:val="21"/>
                <w:highlight w:val="none"/>
              </w:rPr>
            </w:pPr>
            <w:r>
              <w:rPr>
                <w:rFonts w:hint="eastAsia" w:ascii="宋体" w:hAnsi="宋体" w:cs="微软雅黑"/>
                <w:spacing w:val="-2"/>
                <w:szCs w:val="21"/>
                <w:highlight w:val="none"/>
              </w:rPr>
              <w:t>二档（4分）：在一档基础上，到达故障现场时间优于招标需求，定期维护时间在质保期内每年不低于4次。</w:t>
            </w:r>
          </w:p>
          <w:p>
            <w:pPr>
              <w:widowControl/>
              <w:snapToGrid w:val="0"/>
              <w:spacing w:line="360" w:lineRule="exact"/>
              <w:ind w:firstLine="412" w:firstLineChars="200"/>
              <w:rPr>
                <w:rFonts w:ascii="宋体" w:hAnsi="宋体" w:cs="微软雅黑"/>
                <w:spacing w:val="-2"/>
                <w:szCs w:val="21"/>
                <w:highlight w:val="none"/>
              </w:rPr>
            </w:pPr>
            <w:r>
              <w:rPr>
                <w:rFonts w:hint="eastAsia" w:ascii="宋体" w:hAnsi="宋体" w:cs="微软雅黑"/>
                <w:spacing w:val="-2"/>
                <w:szCs w:val="21"/>
                <w:highlight w:val="none"/>
              </w:rPr>
              <w:t>三档（7分）：在二档的基础上，货物项号15“智能控制终端（1）”、货物项号83“智能控制终端（2）”免费保修期不少于五年，货物项号30、101“温度调节通风系统”免费保修期不少于六年。</w:t>
            </w:r>
          </w:p>
          <w:p>
            <w:pPr>
              <w:widowControl/>
              <w:snapToGrid w:val="0"/>
              <w:spacing w:line="360" w:lineRule="exact"/>
              <w:ind w:firstLine="422" w:firstLineChars="200"/>
              <w:rPr>
                <w:rFonts w:ascii="宋体" w:hAnsi="宋体"/>
                <w:bCs/>
                <w:szCs w:val="21"/>
                <w:highlight w:val="none"/>
              </w:rPr>
            </w:pPr>
            <w:r>
              <w:rPr>
                <w:rFonts w:hint="eastAsia" w:ascii="宋体" w:hAnsi="宋体"/>
                <w:b/>
                <w:bCs/>
                <w:highlight w:val="none"/>
              </w:rPr>
              <w:t>注：</w:t>
            </w:r>
            <w:r>
              <w:rPr>
                <w:rFonts w:ascii="宋体" w:hAnsi="宋体"/>
                <w:b/>
                <w:bCs/>
                <w:highlight w:val="none"/>
              </w:rPr>
              <w:t>方案</w:t>
            </w:r>
            <w:r>
              <w:rPr>
                <w:rFonts w:hint="eastAsia" w:ascii="宋体" w:hAnsi="宋体"/>
                <w:b/>
                <w:highlight w:val="none"/>
              </w:rPr>
              <w:t>不符合最低入档条件的按0分计分。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vMerge w:val="continue"/>
            <w:vAlign w:val="center"/>
          </w:tcPr>
          <w:p>
            <w:pPr>
              <w:adjustRightInd w:val="0"/>
              <w:spacing w:line="360" w:lineRule="exact"/>
              <w:jc w:val="center"/>
              <w:textAlignment w:val="baseline"/>
              <w:rPr>
                <w:rFonts w:ascii="宋体" w:hAnsi="宋体"/>
                <w:szCs w:val="21"/>
              </w:rPr>
            </w:pPr>
          </w:p>
        </w:tc>
        <w:tc>
          <w:tcPr>
            <w:tcW w:w="834" w:type="pct"/>
            <w:vMerge w:val="continue"/>
            <w:vAlign w:val="center"/>
          </w:tcPr>
          <w:p>
            <w:pPr>
              <w:adjustRightInd w:val="0"/>
              <w:spacing w:line="360" w:lineRule="exact"/>
              <w:jc w:val="center"/>
              <w:textAlignment w:val="baseline"/>
              <w:rPr>
                <w:rFonts w:ascii="宋体" w:hAnsi="宋体"/>
                <w:b/>
                <w:bCs/>
                <w:szCs w:val="21"/>
              </w:rPr>
            </w:pPr>
          </w:p>
        </w:tc>
        <w:tc>
          <w:tcPr>
            <w:tcW w:w="897" w:type="pct"/>
            <w:vAlign w:val="center"/>
          </w:tcPr>
          <w:p>
            <w:pPr>
              <w:adjustRightInd w:val="0"/>
              <w:spacing w:line="360" w:lineRule="exact"/>
              <w:jc w:val="center"/>
              <w:textAlignment w:val="baseline"/>
              <w:rPr>
                <w:rFonts w:ascii="宋体" w:hAnsi="宋体"/>
                <w:bCs/>
              </w:rPr>
            </w:pPr>
            <w:r>
              <w:rPr>
                <w:rFonts w:hint="eastAsia" w:ascii="宋体" w:hAnsi="宋体"/>
                <w:bCs/>
              </w:rPr>
              <w:t>信誉业绩</w:t>
            </w:r>
          </w:p>
          <w:p>
            <w:pPr>
              <w:adjustRightInd w:val="0"/>
              <w:spacing w:line="360" w:lineRule="exact"/>
              <w:jc w:val="center"/>
              <w:textAlignment w:val="baseline"/>
              <w:rPr>
                <w:rFonts w:ascii="宋体" w:hAnsi="宋体"/>
                <w:bCs/>
                <w:szCs w:val="21"/>
              </w:rPr>
            </w:pPr>
            <w:r>
              <w:rPr>
                <w:rFonts w:hint="eastAsia" w:ascii="宋体" w:hAnsi="宋体"/>
                <w:bCs/>
              </w:rPr>
              <w:t>（满分3分）</w:t>
            </w:r>
          </w:p>
        </w:tc>
        <w:tc>
          <w:tcPr>
            <w:tcW w:w="2973" w:type="pct"/>
            <w:vAlign w:val="center"/>
          </w:tcPr>
          <w:p>
            <w:pPr>
              <w:pStyle w:val="18"/>
              <w:spacing w:line="360" w:lineRule="exact"/>
              <w:ind w:firstLine="420" w:firstLineChars="200"/>
              <w:rPr>
                <w:rFonts w:ascii="宋体" w:hAnsi="宋体"/>
                <w:bCs/>
                <w:kern w:val="2"/>
                <w:sz w:val="21"/>
                <w:szCs w:val="21"/>
              </w:rPr>
            </w:pPr>
            <w:r>
              <w:rPr>
                <w:rFonts w:hint="eastAsia" w:ascii="宋体" w:hAnsi="宋体"/>
                <w:bCs/>
                <w:kern w:val="2"/>
                <w:sz w:val="21"/>
                <w:szCs w:val="21"/>
              </w:rPr>
              <w:t>投标人2023年1月1日起至今具有类似项目业绩【以业绩项目中标（成交）通知书和签订·的销售合同（能清晰反映所销售的货物名称、金额）为准，否则将不予评审。同一个编号的项目有两个或两个以上的分标中标的只算一次】，每个项目得1分，满分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96" w:type="pct"/>
            <w:vAlign w:val="center"/>
          </w:tcPr>
          <w:p>
            <w:pPr>
              <w:adjustRightInd w:val="0"/>
              <w:snapToGrid w:val="0"/>
              <w:spacing w:line="360" w:lineRule="exact"/>
              <w:jc w:val="center"/>
              <w:textAlignment w:val="baseline"/>
              <w:rPr>
                <w:rFonts w:ascii="宋体" w:hAnsi="宋体"/>
                <w:szCs w:val="21"/>
              </w:rPr>
            </w:pPr>
            <w:r>
              <w:rPr>
                <w:rFonts w:hint="eastAsia" w:ascii="宋体" w:hAnsi="宋体"/>
                <w:szCs w:val="21"/>
              </w:rPr>
              <w:t>4</w:t>
            </w:r>
          </w:p>
        </w:tc>
        <w:tc>
          <w:tcPr>
            <w:tcW w:w="834" w:type="pct"/>
            <w:vAlign w:val="center"/>
          </w:tcPr>
          <w:p>
            <w:pPr>
              <w:adjustRightInd w:val="0"/>
              <w:snapToGrid w:val="0"/>
              <w:spacing w:line="360" w:lineRule="exact"/>
              <w:jc w:val="center"/>
              <w:textAlignment w:val="baseline"/>
              <w:rPr>
                <w:rFonts w:ascii="宋体" w:hAnsi="宋体"/>
                <w:b/>
                <w:bCs/>
                <w:szCs w:val="21"/>
              </w:rPr>
            </w:pPr>
            <w:r>
              <w:rPr>
                <w:rFonts w:hint="eastAsia" w:ascii="宋体" w:hAnsi="宋体"/>
                <w:b/>
                <w:bCs/>
                <w:szCs w:val="21"/>
              </w:rPr>
              <w:t>政策分</w:t>
            </w:r>
          </w:p>
          <w:p>
            <w:pPr>
              <w:adjustRightInd w:val="0"/>
              <w:snapToGrid w:val="0"/>
              <w:spacing w:line="360" w:lineRule="exact"/>
              <w:jc w:val="center"/>
              <w:textAlignment w:val="baseline"/>
              <w:rPr>
                <w:rFonts w:ascii="宋体" w:hAnsi="宋体"/>
                <w:b/>
                <w:szCs w:val="21"/>
              </w:rPr>
            </w:pPr>
            <w:r>
              <w:rPr>
                <w:rFonts w:hint="eastAsia" w:ascii="宋体" w:hAnsi="宋体"/>
                <w:b/>
                <w:bCs/>
                <w:szCs w:val="21"/>
              </w:rPr>
              <w:t>（</w:t>
            </w:r>
            <w:r>
              <w:rPr>
                <w:rFonts w:hint="eastAsia" w:ascii="宋体" w:hAnsi="宋体"/>
                <w:b/>
                <w:szCs w:val="21"/>
              </w:rPr>
              <w:t>满分2</w:t>
            </w:r>
            <w:r>
              <w:rPr>
                <w:rFonts w:hint="eastAsia" w:ascii="宋体" w:hAnsi="宋体"/>
                <w:b/>
                <w:bCs/>
                <w:szCs w:val="21"/>
              </w:rPr>
              <w:t>分）</w:t>
            </w:r>
          </w:p>
        </w:tc>
        <w:tc>
          <w:tcPr>
            <w:tcW w:w="897" w:type="pct"/>
            <w:vAlign w:val="center"/>
          </w:tcPr>
          <w:p>
            <w:pPr>
              <w:adjustRightInd w:val="0"/>
              <w:snapToGrid w:val="0"/>
              <w:spacing w:line="360" w:lineRule="exact"/>
              <w:jc w:val="center"/>
              <w:textAlignment w:val="baseline"/>
              <w:rPr>
                <w:rFonts w:ascii="宋体" w:hAnsi="宋体"/>
                <w:szCs w:val="21"/>
              </w:rPr>
            </w:pPr>
            <w:r>
              <w:rPr>
                <w:rFonts w:hint="eastAsia" w:ascii="宋体" w:hAnsi="宋体"/>
                <w:szCs w:val="21"/>
              </w:rPr>
              <w:t>节能、环保产品</w:t>
            </w:r>
          </w:p>
          <w:p>
            <w:pPr>
              <w:adjustRightInd w:val="0"/>
              <w:snapToGrid w:val="0"/>
              <w:spacing w:line="360" w:lineRule="exact"/>
              <w:jc w:val="center"/>
              <w:textAlignment w:val="baseline"/>
              <w:rPr>
                <w:rFonts w:ascii="宋体" w:hAnsi="宋体"/>
                <w:szCs w:val="21"/>
              </w:rPr>
            </w:pPr>
            <w:r>
              <w:rPr>
                <w:rFonts w:hint="eastAsia" w:ascii="宋体" w:hAnsi="宋体"/>
                <w:szCs w:val="21"/>
              </w:rPr>
              <w:t>（满分2分）</w:t>
            </w:r>
          </w:p>
        </w:tc>
        <w:tc>
          <w:tcPr>
            <w:tcW w:w="2973" w:type="pct"/>
            <w:vAlign w:val="center"/>
          </w:tcPr>
          <w:p>
            <w:pPr>
              <w:spacing w:line="360" w:lineRule="exact"/>
              <w:ind w:firstLine="420"/>
              <w:rPr>
                <w:rFonts w:ascii="宋体" w:hAnsi="宋体" w:cs="Courier New"/>
                <w:bCs/>
                <w:kern w:val="0"/>
                <w:szCs w:val="21"/>
              </w:rPr>
            </w:pPr>
            <w:bookmarkStart w:id="205" w:name="_GoBack"/>
            <w:r>
              <w:rPr>
                <w:rFonts w:hint="eastAsia" w:ascii="宋体" w:hAnsi="宋体" w:cs="Courier New"/>
                <w:bCs/>
                <w:kern w:val="0"/>
                <w:szCs w:val="21"/>
              </w:rPr>
              <w:t>（1）属于财政部《节能产品政府采购品目清单》内优先采购（清单内未标注“★”的品目）的产品[投标文件中提供有效的认证证书复印件及品目清单（标注出投标产品在品目清单中所属的品目）]的</w:t>
            </w:r>
            <w:r>
              <w:rPr>
                <w:rFonts w:hint="eastAsia" w:ascii="宋体" w:hAnsi="宋体" w:cs="Courier New"/>
                <w:szCs w:val="21"/>
              </w:rPr>
              <w:t>得1分</w:t>
            </w:r>
            <w:r>
              <w:rPr>
                <w:rFonts w:hint="eastAsia" w:ascii="宋体" w:hAnsi="宋体" w:cs="Courier New"/>
                <w:bCs/>
                <w:kern w:val="0"/>
                <w:szCs w:val="21"/>
              </w:rPr>
              <w:t>，满分1分。</w:t>
            </w:r>
          </w:p>
          <w:p>
            <w:pPr>
              <w:adjustRightInd w:val="0"/>
              <w:snapToGrid w:val="0"/>
              <w:spacing w:line="360" w:lineRule="exact"/>
              <w:ind w:firstLine="435"/>
              <w:textAlignment w:val="baseline"/>
              <w:rPr>
                <w:rFonts w:ascii="宋体" w:hAnsi="宋体" w:cs="Courier New"/>
                <w:bCs/>
                <w:kern w:val="0"/>
                <w:szCs w:val="21"/>
              </w:rPr>
            </w:pPr>
            <w:r>
              <w:rPr>
                <w:rFonts w:hint="eastAsia" w:ascii="宋体" w:hAnsi="宋体" w:cs="Courier New"/>
                <w:bCs/>
                <w:kern w:val="0"/>
                <w:szCs w:val="21"/>
              </w:rPr>
              <w:t>（2）属于财政部《环境标志产品政府采购品目清单》内的产品[投标文件中提供有效的认证证书复印件及品目清单（标注出投标产品在品目清单中所属的品目），并加盖投标人CA签章]，根据其所占项目（或者分标）投标金额比例得0.1至1分，满分1分。</w:t>
            </w:r>
          </w:p>
          <w:p>
            <w:pPr>
              <w:adjustRightInd w:val="0"/>
              <w:snapToGrid w:val="0"/>
              <w:spacing w:line="360" w:lineRule="exact"/>
              <w:ind w:firstLine="435"/>
              <w:textAlignment w:val="baseline"/>
              <w:rPr>
                <w:rFonts w:ascii="宋体" w:hAnsi="宋体"/>
                <w:b/>
                <w:szCs w:val="21"/>
              </w:rPr>
            </w:pPr>
            <w:r>
              <w:rPr>
                <w:rFonts w:hint="eastAsia" w:ascii="宋体" w:hAnsi="宋体" w:cs="Courier New"/>
                <w:bCs/>
                <w:kern w:val="0"/>
                <w:szCs w:val="21"/>
              </w:rPr>
              <w:t>（3）非节能、环境标志产品的不得分。</w:t>
            </w:r>
            <w:bookmarkEnd w:id="20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5000" w:type="pct"/>
            <w:gridSpan w:val="4"/>
            <w:vAlign w:val="center"/>
          </w:tcPr>
          <w:p>
            <w:pPr>
              <w:pStyle w:val="24"/>
              <w:snapToGrid w:val="0"/>
              <w:spacing w:line="360" w:lineRule="exact"/>
              <w:rPr>
                <w:rFonts w:hAnsi="宋体"/>
                <w:b/>
                <w:bCs/>
                <w:sz w:val="21"/>
              </w:rPr>
            </w:pPr>
            <w:r>
              <w:rPr>
                <w:rFonts w:hint="eastAsia" w:hAnsi="宋体"/>
                <w:b/>
                <w:bCs/>
                <w:sz w:val="21"/>
              </w:rPr>
              <w:t>总得分=1+2+3+4</w:t>
            </w:r>
          </w:p>
        </w:tc>
      </w:tr>
    </w:tbl>
    <w:p>
      <w:pPr>
        <w:pStyle w:val="24"/>
        <w:spacing w:line="380" w:lineRule="exact"/>
        <w:ind w:firstLine="420"/>
        <w:rPr>
          <w:rFonts w:hAnsi="宋体"/>
          <w:bCs/>
          <w:sz w:val="21"/>
        </w:rPr>
      </w:pPr>
      <w:r>
        <w:rPr>
          <w:rFonts w:hint="eastAsia" w:hAnsi="宋体"/>
          <w:bCs/>
          <w:sz w:val="21"/>
        </w:rPr>
        <w:t>注：计分方法按四舍五入取至百分位。</w:t>
      </w:r>
    </w:p>
    <w:p>
      <w:pPr>
        <w:pStyle w:val="24"/>
        <w:spacing w:line="360" w:lineRule="auto"/>
        <w:ind w:firstLine="420"/>
        <w:rPr>
          <w:rFonts w:hAnsi="宋体"/>
          <w:sz w:val="21"/>
        </w:rPr>
      </w:pPr>
    </w:p>
    <w:p>
      <w:pPr>
        <w:pStyle w:val="4"/>
        <w:keepNext w:val="0"/>
        <w:keepLines w:val="0"/>
        <w:jc w:val="center"/>
        <w:rPr>
          <w:sz w:val="30"/>
          <w:szCs w:val="30"/>
        </w:rPr>
      </w:pPr>
      <w:r>
        <w:rPr>
          <w:rFonts w:hint="eastAsia"/>
          <w:sz w:val="30"/>
          <w:szCs w:val="30"/>
        </w:rPr>
        <w:br w:type="page"/>
      </w:r>
      <w:r>
        <w:rPr>
          <w:rFonts w:hint="eastAsia"/>
          <w:sz w:val="30"/>
          <w:szCs w:val="30"/>
        </w:rPr>
        <w:t>四、中标候选人推荐</w:t>
      </w:r>
    </w:p>
    <w:p>
      <w:pPr>
        <w:pStyle w:val="24"/>
        <w:spacing w:line="360" w:lineRule="auto"/>
        <w:ind w:firstLine="482" w:firstLineChars="200"/>
        <w:contextualSpacing/>
        <w:rPr>
          <w:rFonts w:hAnsi="宋体"/>
          <w:b/>
          <w:bCs/>
          <w:sz w:val="24"/>
          <w:szCs w:val="24"/>
        </w:rPr>
      </w:pPr>
      <w:r>
        <w:rPr>
          <w:rFonts w:hint="eastAsia" w:hAnsi="宋体"/>
          <w:b/>
          <w:bCs/>
          <w:sz w:val="24"/>
          <w:szCs w:val="24"/>
        </w:rPr>
        <w:t>综合评分法</w:t>
      </w:r>
    </w:p>
    <w:p>
      <w:pPr>
        <w:pStyle w:val="24"/>
        <w:spacing w:line="360" w:lineRule="auto"/>
        <w:ind w:firstLine="420" w:firstLineChars="200"/>
        <w:contextualSpacing/>
        <w:rPr>
          <w:rFonts w:hAnsi="宋体"/>
          <w:sz w:val="21"/>
        </w:rPr>
      </w:pPr>
      <w:r>
        <w:rPr>
          <w:rFonts w:hint="eastAsia" w:hAnsi="宋体"/>
          <w:sz w:val="21"/>
        </w:rPr>
        <w:t>1</w:t>
      </w:r>
      <w:r>
        <w:rPr>
          <w:rFonts w:hAnsi="宋体"/>
          <w:sz w:val="21"/>
        </w:rPr>
        <w:t>.</w:t>
      </w:r>
      <w:r>
        <w:rPr>
          <w:rFonts w:hint="eastAsia" w:hAnsi="宋体"/>
          <w:sz w:val="21"/>
        </w:rPr>
        <w:t>评标委员会根据原始评标记录和评标结果编写评标报告，并通过电子交易平台向采购人、采购代理机构提交。</w:t>
      </w:r>
    </w:p>
    <w:p>
      <w:pPr>
        <w:pStyle w:val="24"/>
        <w:spacing w:line="360" w:lineRule="auto"/>
        <w:ind w:firstLine="420" w:firstLineChars="200"/>
        <w:contextualSpacing/>
        <w:rPr>
          <w:rFonts w:hAnsi="宋体"/>
          <w:sz w:val="21"/>
        </w:rPr>
      </w:pPr>
      <w:r>
        <w:rPr>
          <w:rFonts w:hint="eastAsia" w:hAnsi="宋体"/>
          <w:sz w:val="21"/>
        </w:rPr>
        <w:t>2</w:t>
      </w:r>
      <w:r>
        <w:rPr>
          <w:rFonts w:hAnsi="宋体"/>
          <w:sz w:val="21"/>
        </w:rPr>
        <w:t>.</w:t>
      </w:r>
      <w:r>
        <w:rPr>
          <w:rFonts w:hint="eastAsia" w:hAnsi="宋体"/>
          <w:sz w:val="21"/>
        </w:rPr>
        <w:t>评标委员会将根据总得分由高到低排列次序并推荐中标候选人。得分相同的，按投标报价由低到高顺序排列。得分相同且投标报价相同的并列，或由评标委员会根据本招标文件第三章“投标人须知前附表”</w:t>
      </w:r>
      <w:r>
        <w:rPr>
          <w:rFonts w:hAnsi="宋体"/>
          <w:sz w:val="21"/>
        </w:rPr>
        <w:t>8.1</w:t>
      </w:r>
      <w:r>
        <w:rPr>
          <w:rFonts w:hint="eastAsia" w:hAnsi="宋体"/>
          <w:sz w:val="21"/>
        </w:rPr>
        <w:t>款、3</w:t>
      </w:r>
      <w:r>
        <w:rPr>
          <w:rFonts w:hAnsi="宋体"/>
          <w:sz w:val="21"/>
        </w:rPr>
        <w:t>0.1</w:t>
      </w:r>
      <w:r>
        <w:rPr>
          <w:rFonts w:hint="eastAsia" w:hAnsi="宋体"/>
          <w:sz w:val="21"/>
        </w:rPr>
        <w:t>款优先顺序推荐候选人排名。投标文件满足招标文件全部实质性要求，且按照评审因素的量化指标评审得分最高的投标人为排名第一的中标候选人。排名第一的中标候选人放弃中标、因不可抗力提出不能履行合同，或者招标文件规定应当提交履约保证金而在规定的期限内未能提交的，或因失信行为被取消中标候选人资格的，采购人可以确定排名第二的中标候选人为中标供应商，并依此类推。</w:t>
      </w:r>
      <w:r>
        <w:rPr>
          <w:rFonts w:hAnsi="宋体"/>
          <w:b/>
          <w:sz w:val="24"/>
        </w:rPr>
        <w:br w:type="page"/>
      </w:r>
    </w:p>
    <w:p>
      <w:pPr>
        <w:spacing w:before="120" w:beforeLines="50" w:after="120" w:afterLines="50" w:line="400" w:lineRule="exact"/>
        <w:rPr>
          <w:rFonts w:ascii="宋体" w:hAnsi="宋体"/>
          <w:b/>
          <w:sz w:val="24"/>
        </w:rPr>
      </w:pPr>
    </w:p>
    <w:p>
      <w:pPr>
        <w:spacing w:before="120" w:beforeLines="50" w:after="120" w:afterLines="50" w:line="400" w:lineRule="exact"/>
        <w:rPr>
          <w:rFonts w:ascii="宋体" w:hAnsi="宋体"/>
          <w:b/>
          <w:sz w:val="24"/>
        </w:rPr>
      </w:pPr>
    </w:p>
    <w:p>
      <w:pPr>
        <w:spacing w:before="120" w:beforeLines="50" w:after="120" w:afterLines="50" w:line="400" w:lineRule="exact"/>
        <w:rPr>
          <w:rFonts w:ascii="宋体" w:hAnsi="宋体"/>
          <w:b/>
          <w:sz w:val="24"/>
        </w:rPr>
      </w:pPr>
    </w:p>
    <w:p>
      <w:pPr>
        <w:spacing w:before="120" w:beforeLines="50" w:after="120" w:afterLines="50" w:line="400" w:lineRule="exact"/>
        <w:rPr>
          <w:rFonts w:ascii="宋体" w:hAnsi="宋体"/>
          <w:b/>
          <w:sz w:val="24"/>
        </w:rPr>
      </w:pPr>
    </w:p>
    <w:p>
      <w:pPr>
        <w:spacing w:before="120" w:beforeLines="50" w:after="120" w:afterLines="50" w:line="400" w:lineRule="exact"/>
        <w:rPr>
          <w:rFonts w:ascii="宋体" w:hAnsi="宋体"/>
          <w:b/>
          <w:sz w:val="24"/>
        </w:rPr>
      </w:pPr>
    </w:p>
    <w:p>
      <w:pPr>
        <w:spacing w:before="120" w:beforeLines="50" w:after="120" w:afterLines="50" w:line="400" w:lineRule="exact"/>
        <w:rPr>
          <w:rFonts w:ascii="宋体" w:hAnsi="宋体"/>
          <w:b/>
          <w:sz w:val="24"/>
        </w:rPr>
      </w:pPr>
    </w:p>
    <w:p>
      <w:pPr>
        <w:spacing w:before="120" w:beforeLines="50" w:after="120" w:afterLines="50" w:line="400" w:lineRule="exact"/>
        <w:rPr>
          <w:rFonts w:ascii="宋体" w:hAnsi="宋体"/>
          <w:b/>
          <w:sz w:val="24"/>
        </w:rPr>
      </w:pPr>
    </w:p>
    <w:p>
      <w:pPr>
        <w:spacing w:before="120" w:beforeLines="50" w:after="120" w:afterLines="50" w:line="400" w:lineRule="exact"/>
        <w:rPr>
          <w:rFonts w:ascii="宋体" w:hAnsi="宋体"/>
          <w:b/>
          <w:sz w:val="24"/>
        </w:rPr>
      </w:pPr>
    </w:p>
    <w:p>
      <w:pPr>
        <w:spacing w:before="120" w:beforeLines="50" w:after="120" w:afterLines="50" w:line="400" w:lineRule="exact"/>
        <w:rPr>
          <w:rFonts w:ascii="宋体" w:hAnsi="宋体"/>
          <w:b/>
          <w:sz w:val="24"/>
        </w:rPr>
      </w:pPr>
    </w:p>
    <w:p>
      <w:pPr>
        <w:pStyle w:val="2"/>
        <w:jc w:val="center"/>
      </w:pPr>
      <w:bookmarkStart w:id="190" w:name="_Toc25250"/>
      <w:r>
        <w:rPr>
          <w:rFonts w:hint="eastAsia"/>
        </w:rPr>
        <w:t>第五章  拟签订的合同文本</w:t>
      </w:r>
      <w:bookmarkEnd w:id="190"/>
    </w:p>
    <w:p>
      <w:pPr>
        <w:snapToGrid w:val="0"/>
        <w:jc w:val="center"/>
        <w:rPr>
          <w:rFonts w:ascii="宋体" w:hAnsi="宋体"/>
          <w:bCs/>
          <w:sz w:val="32"/>
          <w:szCs w:val="32"/>
        </w:rPr>
      </w:pPr>
    </w:p>
    <w:p>
      <w:pPr>
        <w:snapToGrid w:val="0"/>
        <w:jc w:val="center"/>
        <w:rPr>
          <w:rFonts w:ascii="宋体" w:hAnsi="宋体"/>
          <w:bCs/>
          <w:sz w:val="32"/>
          <w:szCs w:val="32"/>
        </w:rPr>
      </w:pPr>
    </w:p>
    <w:p>
      <w:pPr>
        <w:snapToGrid w:val="0"/>
        <w:jc w:val="center"/>
        <w:rPr>
          <w:rFonts w:ascii="宋体" w:hAnsi="宋体"/>
          <w:bCs/>
          <w:sz w:val="32"/>
          <w:szCs w:val="32"/>
        </w:rPr>
      </w:pPr>
    </w:p>
    <w:p>
      <w:pPr>
        <w:snapToGrid w:val="0"/>
        <w:jc w:val="center"/>
        <w:rPr>
          <w:rFonts w:ascii="宋体" w:hAnsi="宋体"/>
          <w:bCs/>
          <w:sz w:val="32"/>
          <w:szCs w:val="32"/>
        </w:rPr>
      </w:pPr>
    </w:p>
    <w:p>
      <w:pPr>
        <w:snapToGrid w:val="0"/>
        <w:jc w:val="center"/>
        <w:rPr>
          <w:rFonts w:ascii="宋体" w:hAnsi="宋体"/>
          <w:bCs/>
          <w:sz w:val="32"/>
          <w:szCs w:val="32"/>
        </w:rPr>
      </w:pPr>
    </w:p>
    <w:p>
      <w:pPr>
        <w:snapToGrid w:val="0"/>
        <w:jc w:val="center"/>
        <w:rPr>
          <w:rFonts w:ascii="宋体" w:hAnsi="宋体"/>
          <w:bCs/>
          <w:sz w:val="32"/>
          <w:szCs w:val="32"/>
        </w:rPr>
      </w:pPr>
    </w:p>
    <w:p>
      <w:pPr>
        <w:snapToGrid w:val="0"/>
        <w:jc w:val="center"/>
        <w:rPr>
          <w:rFonts w:ascii="宋体" w:hAnsi="宋体"/>
          <w:bCs/>
          <w:sz w:val="32"/>
          <w:szCs w:val="32"/>
        </w:rPr>
      </w:pPr>
    </w:p>
    <w:p>
      <w:pPr>
        <w:snapToGrid w:val="0"/>
        <w:jc w:val="center"/>
        <w:rPr>
          <w:rFonts w:ascii="宋体" w:hAnsi="宋体"/>
          <w:bCs/>
          <w:sz w:val="32"/>
          <w:szCs w:val="32"/>
        </w:rPr>
      </w:pPr>
    </w:p>
    <w:p>
      <w:pPr>
        <w:snapToGrid w:val="0"/>
        <w:jc w:val="center"/>
        <w:rPr>
          <w:rFonts w:ascii="宋体" w:hAnsi="宋体"/>
          <w:bCs/>
          <w:sz w:val="32"/>
          <w:szCs w:val="32"/>
        </w:rPr>
      </w:pPr>
    </w:p>
    <w:p>
      <w:pPr>
        <w:snapToGrid w:val="0"/>
        <w:jc w:val="center"/>
        <w:rPr>
          <w:rFonts w:ascii="宋体" w:hAnsi="宋体"/>
          <w:bCs/>
          <w:sz w:val="32"/>
          <w:szCs w:val="32"/>
        </w:rPr>
      </w:pPr>
    </w:p>
    <w:p>
      <w:pPr>
        <w:snapToGrid w:val="0"/>
        <w:jc w:val="center"/>
        <w:rPr>
          <w:rFonts w:ascii="宋体" w:hAnsi="宋体"/>
          <w:bCs/>
          <w:sz w:val="32"/>
          <w:szCs w:val="32"/>
        </w:rPr>
      </w:pPr>
    </w:p>
    <w:p>
      <w:pPr>
        <w:pStyle w:val="18"/>
        <w:jc w:val="center"/>
        <w:rPr>
          <w:rFonts w:ascii="宋体" w:hAnsi="宋体"/>
          <w:b/>
          <w:bCs/>
          <w:spacing w:val="-20"/>
          <w:kern w:val="44"/>
          <w:sz w:val="48"/>
          <w:szCs w:val="48"/>
        </w:rPr>
      </w:pPr>
      <w:r>
        <w:rPr>
          <w:rFonts w:ascii="宋体" w:hAnsi="宋体"/>
          <w:bCs/>
        </w:rPr>
        <w:br w:type="page"/>
      </w:r>
    </w:p>
    <w:p>
      <w:pPr>
        <w:pStyle w:val="18"/>
        <w:jc w:val="center"/>
        <w:rPr>
          <w:rFonts w:ascii="宋体" w:hAnsi="宋体"/>
          <w:b/>
          <w:bCs/>
          <w:spacing w:val="-20"/>
          <w:kern w:val="44"/>
          <w:sz w:val="48"/>
          <w:szCs w:val="48"/>
        </w:rPr>
      </w:pPr>
      <w:r>
        <w:rPr>
          <w:rFonts w:hint="eastAsia" w:ascii="宋体" w:hAnsi="宋体"/>
          <w:b/>
          <w:bCs/>
          <w:spacing w:val="-20"/>
          <w:kern w:val="44"/>
          <w:sz w:val="48"/>
          <w:szCs w:val="48"/>
        </w:rPr>
        <w:t xml:space="preserve"> </w:t>
      </w:r>
    </w:p>
    <w:p>
      <w:pPr>
        <w:pStyle w:val="18"/>
        <w:spacing w:line="360" w:lineRule="auto"/>
        <w:jc w:val="center"/>
        <w:rPr>
          <w:rFonts w:ascii="宋体" w:hAnsi="宋体"/>
          <w:b/>
          <w:bCs/>
          <w:spacing w:val="-20"/>
          <w:kern w:val="44"/>
          <w:sz w:val="48"/>
          <w:szCs w:val="48"/>
        </w:rPr>
      </w:pPr>
      <w:r>
        <w:rPr>
          <w:rFonts w:hint="eastAsia" w:ascii="宋体" w:hAnsi="宋体"/>
          <w:b/>
          <w:bCs/>
          <w:spacing w:val="-20"/>
          <w:kern w:val="44"/>
          <w:sz w:val="48"/>
          <w:szCs w:val="48"/>
        </w:rPr>
        <w:t xml:space="preserve">  </w:t>
      </w:r>
    </w:p>
    <w:p>
      <w:pPr>
        <w:pStyle w:val="18"/>
        <w:spacing w:line="360" w:lineRule="auto"/>
        <w:jc w:val="center"/>
        <w:rPr>
          <w:rFonts w:ascii="宋体" w:hAnsi="宋体"/>
          <w:b/>
          <w:bCs/>
          <w:spacing w:val="-20"/>
          <w:kern w:val="44"/>
          <w:sz w:val="48"/>
          <w:szCs w:val="48"/>
        </w:rPr>
      </w:pPr>
      <w:r>
        <w:rPr>
          <w:rFonts w:hint="eastAsia" w:ascii="宋体" w:hAnsi="宋体"/>
          <w:b/>
          <w:bCs/>
          <w:spacing w:val="-20"/>
          <w:kern w:val="44"/>
          <w:sz w:val="48"/>
          <w:szCs w:val="48"/>
        </w:rPr>
        <w:t>政府采购货物买卖合同</w:t>
      </w:r>
    </w:p>
    <w:p>
      <w:pPr>
        <w:spacing w:line="360" w:lineRule="auto"/>
        <w:rPr>
          <w:rFonts w:ascii="宋体" w:hAnsi="宋体"/>
          <w:b/>
          <w:bCs/>
          <w:spacing w:val="-20"/>
          <w:kern w:val="44"/>
          <w:sz w:val="40"/>
          <w:szCs w:val="40"/>
        </w:rPr>
      </w:pPr>
    </w:p>
    <w:p>
      <w:pPr>
        <w:rPr>
          <w:rFonts w:ascii="宋体" w:hAnsi="宋体"/>
          <w:b/>
          <w:bCs/>
          <w:spacing w:val="-20"/>
          <w:kern w:val="44"/>
          <w:sz w:val="40"/>
          <w:szCs w:val="40"/>
        </w:rPr>
      </w:pPr>
    </w:p>
    <w:p>
      <w:pPr>
        <w:rPr>
          <w:rFonts w:ascii="宋体" w:hAnsi="宋体"/>
          <w:b/>
          <w:bCs/>
          <w:spacing w:val="-20"/>
          <w:kern w:val="44"/>
          <w:sz w:val="40"/>
          <w:szCs w:val="40"/>
        </w:rPr>
      </w:pPr>
    </w:p>
    <w:p>
      <w:pPr>
        <w:rPr>
          <w:rFonts w:ascii="宋体" w:hAnsi="宋体"/>
          <w:b/>
          <w:bCs/>
          <w:spacing w:val="-20"/>
          <w:kern w:val="44"/>
          <w:sz w:val="40"/>
          <w:szCs w:val="40"/>
        </w:rPr>
      </w:pPr>
      <w:r>
        <w:rPr>
          <w:rFonts w:hint="eastAsia" w:ascii="宋体" w:hAnsi="宋体"/>
          <w:b/>
          <w:bCs/>
          <w:spacing w:val="-20"/>
          <w:kern w:val="44"/>
          <w:sz w:val="40"/>
          <w:szCs w:val="40"/>
        </w:rPr>
        <w:t xml:space="preserve"> </w:t>
      </w:r>
    </w:p>
    <w:p>
      <w:pPr>
        <w:rPr>
          <w:rFonts w:ascii="宋体" w:hAnsi="宋体"/>
          <w:b/>
          <w:bCs/>
          <w:spacing w:val="-20"/>
          <w:kern w:val="44"/>
          <w:sz w:val="40"/>
          <w:szCs w:val="40"/>
        </w:rPr>
      </w:pPr>
      <w:r>
        <w:rPr>
          <w:rFonts w:hint="eastAsia" w:ascii="宋体" w:hAnsi="宋体"/>
          <w:b/>
          <w:bCs/>
          <w:spacing w:val="-20"/>
          <w:kern w:val="44"/>
          <w:sz w:val="40"/>
          <w:szCs w:val="40"/>
        </w:rPr>
        <w:t xml:space="preserve"> </w:t>
      </w:r>
    </w:p>
    <w:p>
      <w:pPr>
        <w:spacing w:line="360" w:lineRule="auto"/>
        <w:ind w:left="420" w:leftChars="200"/>
        <w:rPr>
          <w:sz w:val="32"/>
          <w:szCs w:val="32"/>
        </w:rPr>
      </w:pPr>
      <w:r>
        <w:rPr>
          <w:rFonts w:hint="eastAsia" w:ascii="宋体" w:hAnsi="宋体"/>
          <w:kern w:val="0"/>
          <w:sz w:val="32"/>
          <w:szCs w:val="32"/>
        </w:rPr>
        <w:t>项目名称：</w:t>
      </w:r>
      <w:r>
        <w:rPr>
          <w:rFonts w:hint="eastAsia"/>
          <w:sz w:val="32"/>
          <w:szCs w:val="32"/>
          <w:u w:val="single"/>
        </w:rPr>
        <w:t xml:space="preserve">                             </w:t>
      </w:r>
    </w:p>
    <w:p>
      <w:pPr>
        <w:spacing w:line="360" w:lineRule="auto"/>
        <w:ind w:left="420" w:leftChars="200"/>
        <w:rPr>
          <w:sz w:val="32"/>
          <w:szCs w:val="32"/>
          <w:u w:val="single"/>
        </w:rPr>
      </w:pPr>
      <w:r>
        <w:rPr>
          <w:rFonts w:hint="eastAsia" w:ascii="宋体" w:hAnsi="宋体"/>
          <w:sz w:val="32"/>
          <w:szCs w:val="32"/>
        </w:rPr>
        <w:t>合同编号：</w:t>
      </w:r>
      <w:r>
        <w:rPr>
          <w:rFonts w:hint="eastAsia"/>
          <w:sz w:val="32"/>
          <w:szCs w:val="32"/>
          <w:u w:val="single"/>
        </w:rPr>
        <w:t xml:space="preserve">                             </w:t>
      </w:r>
    </w:p>
    <w:p>
      <w:pPr>
        <w:spacing w:line="360" w:lineRule="auto"/>
        <w:ind w:left="420" w:leftChars="200"/>
        <w:rPr>
          <w:sz w:val="32"/>
          <w:szCs w:val="32"/>
        </w:rPr>
      </w:pPr>
      <w:r>
        <w:rPr>
          <w:rFonts w:hint="eastAsia" w:ascii="宋体" w:hAnsi="宋体"/>
          <w:sz w:val="32"/>
          <w:szCs w:val="32"/>
        </w:rPr>
        <w:t>甲</w:t>
      </w:r>
      <w:r>
        <w:rPr>
          <w:rFonts w:hint="eastAsia"/>
          <w:sz w:val="32"/>
          <w:szCs w:val="32"/>
        </w:rPr>
        <w:t xml:space="preserve">    </w:t>
      </w:r>
      <w:r>
        <w:rPr>
          <w:rFonts w:hint="eastAsia" w:ascii="宋体" w:hAnsi="宋体"/>
          <w:sz w:val="32"/>
          <w:szCs w:val="32"/>
        </w:rPr>
        <w:t>方：</w:t>
      </w:r>
      <w:r>
        <w:rPr>
          <w:rFonts w:hint="eastAsia"/>
          <w:sz w:val="32"/>
          <w:szCs w:val="32"/>
          <w:u w:val="single"/>
        </w:rPr>
        <w:t xml:space="preserve">                             </w:t>
      </w:r>
    </w:p>
    <w:p>
      <w:pPr>
        <w:spacing w:line="360" w:lineRule="auto"/>
        <w:ind w:left="420" w:leftChars="200"/>
        <w:rPr>
          <w:sz w:val="32"/>
          <w:szCs w:val="32"/>
          <w:u w:val="single"/>
        </w:rPr>
      </w:pPr>
      <w:r>
        <w:rPr>
          <w:rFonts w:hint="eastAsia" w:ascii="宋体" w:hAnsi="宋体"/>
          <w:sz w:val="32"/>
          <w:szCs w:val="32"/>
        </w:rPr>
        <w:t>乙</w:t>
      </w:r>
      <w:r>
        <w:rPr>
          <w:rFonts w:hint="eastAsia"/>
          <w:sz w:val="32"/>
          <w:szCs w:val="32"/>
        </w:rPr>
        <w:t xml:space="preserve">    </w:t>
      </w:r>
      <w:r>
        <w:rPr>
          <w:rFonts w:hint="eastAsia" w:ascii="宋体" w:hAnsi="宋体"/>
          <w:sz w:val="32"/>
          <w:szCs w:val="32"/>
        </w:rPr>
        <w:t>方：</w:t>
      </w:r>
      <w:r>
        <w:rPr>
          <w:rFonts w:hint="eastAsia"/>
          <w:sz w:val="32"/>
          <w:szCs w:val="32"/>
          <w:u w:val="single"/>
        </w:rPr>
        <w:t xml:space="preserve">                             </w:t>
      </w:r>
    </w:p>
    <w:p>
      <w:pPr>
        <w:spacing w:line="360" w:lineRule="auto"/>
        <w:ind w:left="420" w:leftChars="200"/>
        <w:rPr>
          <w:sz w:val="32"/>
          <w:szCs w:val="32"/>
        </w:rPr>
      </w:pPr>
      <w:r>
        <w:rPr>
          <w:rFonts w:hint="eastAsia" w:ascii="宋体" w:hAnsi="宋体"/>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pPr>
        <w:rPr>
          <w:szCs w:val="21"/>
        </w:rPr>
      </w:pPr>
      <w:r>
        <w:t xml:space="preserve"> </w:t>
      </w:r>
    </w:p>
    <w:p>
      <w:pPr>
        <w:pStyle w:val="3"/>
        <w:jc w:val="center"/>
        <w:rPr>
          <w:rFonts w:ascii="宋体" w:hAnsi="宋体" w:cs="Arial"/>
        </w:rPr>
      </w:pPr>
      <w:r>
        <w:rPr>
          <w:sz w:val="44"/>
          <w:szCs w:val="44"/>
        </w:rPr>
        <w:br w:type="page"/>
      </w:r>
      <w:r>
        <w:rPr>
          <w:rFonts w:ascii="宋体" w:hAnsi="宋体" w:cs="Arial"/>
        </w:rPr>
        <w:t>货物采购合同</w:t>
      </w:r>
    </w:p>
    <w:p>
      <w:pPr>
        <w:spacing w:line="400" w:lineRule="exact"/>
        <w:rPr>
          <w:rFonts w:ascii="宋体" w:hAnsi="宋体"/>
          <w:bCs/>
          <w:szCs w:val="21"/>
        </w:rPr>
      </w:pPr>
    </w:p>
    <w:p>
      <w:pPr>
        <w:snapToGrid w:val="0"/>
        <w:spacing w:line="360" w:lineRule="auto"/>
        <w:rPr>
          <w:rFonts w:ascii="宋体" w:hAnsi="宋体" w:cs="宋体"/>
          <w:szCs w:val="21"/>
          <w:u w:val="single"/>
        </w:rPr>
      </w:pPr>
      <w:r>
        <w:rPr>
          <w:rFonts w:hint="eastAsia" w:ascii="宋体" w:hAnsi="宋体" w:cs="宋体"/>
          <w:szCs w:val="21"/>
        </w:rPr>
        <w:t>采购人（甲方）：</w:t>
      </w:r>
      <w:r>
        <w:rPr>
          <w:rFonts w:hint="eastAsia" w:ascii="宋体" w:hAnsi="宋体" w:cs="宋体"/>
          <w:szCs w:val="21"/>
          <w:u w:val="single"/>
        </w:rPr>
        <w:t>广西工业职业技术学院</w:t>
      </w:r>
      <w:r>
        <w:rPr>
          <w:rFonts w:hint="eastAsia" w:ascii="宋体" w:hAnsi="宋体" w:cs="宋体"/>
          <w:szCs w:val="21"/>
        </w:rPr>
        <w:t xml:space="preserve">  </w:t>
      </w:r>
    </w:p>
    <w:p>
      <w:pPr>
        <w:snapToGrid w:val="0"/>
        <w:spacing w:line="360" w:lineRule="auto"/>
        <w:rPr>
          <w:rFonts w:ascii="宋体" w:hAnsi="宋体" w:cs="宋体"/>
          <w:szCs w:val="21"/>
          <w:u w:val="single"/>
        </w:rPr>
      </w:pPr>
      <w:r>
        <w:rPr>
          <w:rFonts w:hint="eastAsia" w:ascii="宋体" w:hAnsi="宋体" w:cs="宋体"/>
          <w:szCs w:val="21"/>
        </w:rPr>
        <w:t>供应商（乙方）：</w:t>
      </w:r>
      <w:r>
        <w:rPr>
          <w:rFonts w:hint="eastAsia" w:ascii="宋体" w:hAnsi="宋体" w:cs="宋体"/>
          <w:szCs w:val="21"/>
          <w:u w:val="single"/>
        </w:rPr>
        <w:t xml:space="preserve">                </w:t>
      </w:r>
    </w:p>
    <w:p>
      <w:pPr>
        <w:snapToGrid w:val="0"/>
        <w:spacing w:line="360" w:lineRule="auto"/>
        <w:rPr>
          <w:rFonts w:ascii="宋体" w:hAnsi="宋体" w:cs="宋体"/>
          <w:szCs w:val="21"/>
        </w:rPr>
      </w:pPr>
      <w:r>
        <w:rPr>
          <w:rFonts w:hint="eastAsia" w:ascii="宋体" w:hAnsi="宋体" w:cs="宋体"/>
          <w:spacing w:val="-20"/>
          <w:szCs w:val="21"/>
        </w:rPr>
        <w:t>采 购 计 划 号：</w:t>
      </w:r>
      <w:r>
        <w:rPr>
          <w:rFonts w:hint="eastAsia" w:ascii="宋体" w:hAnsi="宋体" w:cs="宋体"/>
          <w:spacing w:val="-20"/>
          <w:szCs w:val="21"/>
          <w:u w:val="single"/>
        </w:rPr>
        <w:t xml:space="preserve">                           </w:t>
      </w:r>
    </w:p>
    <w:p>
      <w:pPr>
        <w:snapToGrid w:val="0"/>
        <w:spacing w:line="360" w:lineRule="auto"/>
        <w:rPr>
          <w:rFonts w:ascii="宋体" w:hAnsi="宋体" w:cs="宋体"/>
          <w:szCs w:val="21"/>
          <w:u w:val="single"/>
        </w:rPr>
      </w:pPr>
      <w:r>
        <w:rPr>
          <w:rFonts w:hint="eastAsia" w:ascii="宋体" w:hAnsi="宋体" w:cs="宋体"/>
          <w:szCs w:val="21"/>
        </w:rPr>
        <w:t>项目名称：</w:t>
      </w:r>
      <w:r>
        <w:rPr>
          <w:rFonts w:hint="eastAsia" w:ascii="宋体" w:hAnsi="宋体" w:cs="宋体"/>
          <w:szCs w:val="21"/>
          <w:u w:val="single"/>
        </w:rPr>
        <w:t xml:space="preserve">                              </w:t>
      </w:r>
    </w:p>
    <w:p>
      <w:pPr>
        <w:snapToGrid w:val="0"/>
        <w:spacing w:line="360" w:lineRule="auto"/>
        <w:rPr>
          <w:rFonts w:ascii="宋体" w:hAnsi="宋体" w:cs="宋体"/>
          <w:szCs w:val="21"/>
        </w:rPr>
      </w:pPr>
      <w:r>
        <w:rPr>
          <w:rFonts w:hint="eastAsia" w:ascii="宋体" w:hAnsi="宋体" w:cs="宋体"/>
          <w:szCs w:val="21"/>
        </w:rPr>
        <w:t>合同类型：</w:t>
      </w:r>
      <w:r>
        <w:rPr>
          <w:rFonts w:hint="eastAsia" w:ascii="宋体" w:hAnsi="宋体" w:cs="宋体"/>
          <w:szCs w:val="21"/>
          <w:u w:val="single"/>
        </w:rPr>
        <w:t>买卖合同</w:t>
      </w:r>
    </w:p>
    <w:p>
      <w:pPr>
        <w:spacing w:line="360" w:lineRule="auto"/>
        <w:rPr>
          <w:rFonts w:ascii="宋体" w:hAnsi="宋体" w:cs="宋体"/>
          <w:szCs w:val="21"/>
        </w:rPr>
      </w:pPr>
      <w:r>
        <w:rPr>
          <w:rFonts w:hint="eastAsia" w:ascii="宋体" w:hAnsi="宋体" w:cs="宋体"/>
          <w:szCs w:val="21"/>
        </w:rPr>
        <w:t>本合同为中小企业预留合同：</w:t>
      </w:r>
      <w:r>
        <w:rPr>
          <w:rFonts w:hint="eastAsia" w:ascii="宋体" w:hAnsi="宋体" w:cs="宋体"/>
          <w:szCs w:val="21"/>
          <w:u w:val="single"/>
        </w:rPr>
        <w:t xml:space="preserve"> 否 </w:t>
      </w:r>
      <w:r>
        <w:rPr>
          <w:rFonts w:hint="eastAsia" w:ascii="宋体" w:hAnsi="宋体" w:cs="宋体"/>
          <w:szCs w:val="21"/>
        </w:rPr>
        <w:t>。</w:t>
      </w:r>
    </w:p>
    <w:p>
      <w:pPr>
        <w:pStyle w:val="18"/>
        <w:rPr>
          <w:rFonts w:ascii="宋体" w:hAnsi="宋体" w:cs="宋体"/>
          <w:sz w:val="21"/>
          <w:szCs w:val="21"/>
        </w:rPr>
      </w:pPr>
      <w:r>
        <w:rPr>
          <w:rFonts w:hint="eastAsia" w:ascii="宋体" w:hAnsi="宋体" w:cs="宋体"/>
          <w:sz w:val="21"/>
          <w:szCs w:val="21"/>
        </w:rPr>
        <w:t xml:space="preserve"> </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根据《中华人民共和国政府采购法》《中华人民共和国民法典》等法律法规规定，按照采购文件规定条款和乙方投标文件及其承诺，甲乙双方签订本合同。</w:t>
      </w:r>
    </w:p>
    <w:p>
      <w:pPr>
        <w:autoSpaceDE w:val="0"/>
        <w:snapToGrid w:val="0"/>
        <w:spacing w:line="400" w:lineRule="exact"/>
        <w:ind w:firstLine="422" w:firstLineChars="200"/>
        <w:rPr>
          <w:rFonts w:ascii="宋体" w:hAnsi="宋体" w:cs="宋体"/>
          <w:b/>
          <w:szCs w:val="21"/>
        </w:rPr>
      </w:pPr>
      <w:r>
        <w:rPr>
          <w:rFonts w:hint="eastAsia" w:ascii="宋体" w:hAnsi="宋体" w:cs="宋体"/>
          <w:b/>
          <w:szCs w:val="21"/>
        </w:rPr>
        <w:t>第一条 合同标的</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1.供货一览表</w:t>
      </w:r>
    </w:p>
    <w:tbl>
      <w:tblPr>
        <w:tblStyle w:val="4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885"/>
        <w:gridCol w:w="1078"/>
        <w:gridCol w:w="1272"/>
        <w:gridCol w:w="894"/>
        <w:gridCol w:w="749"/>
        <w:gridCol w:w="1017"/>
        <w:gridCol w:w="768"/>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trPr>
        <w:tc>
          <w:tcPr>
            <w:tcW w:w="408" w:type="pct"/>
            <w:tcBorders>
              <w:top w:val="single" w:color="auto" w:sz="4" w:space="0"/>
              <w:left w:val="single" w:color="auto" w:sz="4" w:space="0"/>
              <w:bottom w:val="single" w:color="auto" w:sz="4" w:space="0"/>
              <w:right w:val="single" w:color="auto" w:sz="4" w:space="0"/>
            </w:tcBorders>
            <w:vAlign w:val="center"/>
          </w:tcPr>
          <w:p>
            <w:pPr>
              <w:autoSpaceDE w:val="0"/>
              <w:snapToGrid w:val="0"/>
              <w:spacing w:line="400" w:lineRule="exact"/>
              <w:jc w:val="center"/>
              <w:rPr>
                <w:rFonts w:ascii="宋体" w:hAnsi="宋体" w:cs="宋体"/>
                <w:szCs w:val="21"/>
              </w:rPr>
            </w:pPr>
            <w:r>
              <w:rPr>
                <w:rFonts w:hint="eastAsia" w:ascii="宋体" w:hAnsi="宋体" w:cs="宋体"/>
                <w:szCs w:val="21"/>
              </w:rPr>
              <w:t>序号</w:t>
            </w:r>
          </w:p>
        </w:tc>
        <w:tc>
          <w:tcPr>
            <w:tcW w:w="519" w:type="pct"/>
            <w:tcBorders>
              <w:top w:val="single" w:color="auto" w:sz="4" w:space="0"/>
              <w:left w:val="nil"/>
              <w:bottom w:val="single" w:color="auto" w:sz="4" w:space="0"/>
              <w:right w:val="single" w:color="auto" w:sz="4" w:space="0"/>
            </w:tcBorders>
            <w:vAlign w:val="center"/>
          </w:tcPr>
          <w:p>
            <w:pPr>
              <w:autoSpaceDE w:val="0"/>
              <w:snapToGrid w:val="0"/>
              <w:spacing w:line="400" w:lineRule="exact"/>
              <w:jc w:val="center"/>
              <w:rPr>
                <w:rFonts w:ascii="宋体" w:hAnsi="宋体" w:cs="宋体"/>
                <w:szCs w:val="21"/>
              </w:rPr>
            </w:pPr>
            <w:r>
              <w:rPr>
                <w:rFonts w:hint="eastAsia" w:ascii="宋体" w:hAnsi="宋体" w:cs="宋体"/>
                <w:szCs w:val="21"/>
              </w:rPr>
              <w:t>标的名称</w:t>
            </w:r>
          </w:p>
        </w:tc>
        <w:tc>
          <w:tcPr>
            <w:tcW w:w="632" w:type="pct"/>
            <w:tcBorders>
              <w:top w:val="single" w:color="auto" w:sz="4" w:space="0"/>
              <w:left w:val="nil"/>
              <w:bottom w:val="single" w:color="auto" w:sz="4" w:space="0"/>
              <w:right w:val="single" w:color="auto" w:sz="4" w:space="0"/>
            </w:tcBorders>
            <w:vAlign w:val="center"/>
          </w:tcPr>
          <w:p>
            <w:pPr>
              <w:autoSpaceDE w:val="0"/>
              <w:snapToGrid w:val="0"/>
              <w:spacing w:line="400" w:lineRule="exact"/>
              <w:jc w:val="center"/>
              <w:rPr>
                <w:rFonts w:ascii="宋体" w:hAnsi="宋体" w:cs="宋体"/>
                <w:szCs w:val="21"/>
              </w:rPr>
            </w:pPr>
            <w:r>
              <w:rPr>
                <w:rFonts w:hint="eastAsia" w:ascii="宋体" w:hAnsi="宋体" w:cs="宋体"/>
                <w:szCs w:val="21"/>
              </w:rPr>
              <w:t>商标</w:t>
            </w:r>
          </w:p>
          <w:p>
            <w:pPr>
              <w:autoSpaceDE w:val="0"/>
              <w:snapToGrid w:val="0"/>
              <w:spacing w:line="400" w:lineRule="exact"/>
              <w:jc w:val="center"/>
              <w:rPr>
                <w:rFonts w:ascii="宋体" w:hAnsi="宋体" w:cs="宋体"/>
                <w:szCs w:val="21"/>
              </w:rPr>
            </w:pPr>
            <w:r>
              <w:rPr>
                <w:rFonts w:hint="eastAsia" w:ascii="宋体" w:hAnsi="宋体" w:cs="宋体"/>
                <w:szCs w:val="21"/>
              </w:rPr>
              <w:t>品牌</w:t>
            </w:r>
          </w:p>
        </w:tc>
        <w:tc>
          <w:tcPr>
            <w:tcW w:w="746" w:type="pct"/>
            <w:tcBorders>
              <w:top w:val="single" w:color="auto" w:sz="4" w:space="0"/>
              <w:left w:val="nil"/>
              <w:bottom w:val="single" w:color="auto" w:sz="4" w:space="0"/>
              <w:right w:val="single" w:color="auto" w:sz="4" w:space="0"/>
            </w:tcBorders>
            <w:vAlign w:val="center"/>
          </w:tcPr>
          <w:p>
            <w:pPr>
              <w:autoSpaceDE w:val="0"/>
              <w:snapToGrid w:val="0"/>
              <w:spacing w:line="400" w:lineRule="exact"/>
              <w:jc w:val="center"/>
              <w:rPr>
                <w:rFonts w:ascii="宋体" w:hAnsi="宋体" w:cs="宋体"/>
                <w:szCs w:val="21"/>
              </w:rPr>
            </w:pPr>
            <w:r>
              <w:rPr>
                <w:rFonts w:hint="eastAsia" w:ascii="宋体" w:hAnsi="宋体" w:cs="宋体"/>
                <w:szCs w:val="21"/>
              </w:rPr>
              <w:t>型号</w:t>
            </w:r>
          </w:p>
          <w:p>
            <w:pPr>
              <w:autoSpaceDE w:val="0"/>
              <w:snapToGrid w:val="0"/>
              <w:spacing w:line="400" w:lineRule="exact"/>
              <w:jc w:val="center"/>
              <w:rPr>
                <w:rFonts w:ascii="宋体" w:hAnsi="宋体" w:cs="宋体"/>
                <w:szCs w:val="21"/>
              </w:rPr>
            </w:pPr>
            <w:r>
              <w:rPr>
                <w:rFonts w:hint="eastAsia" w:ascii="宋体" w:hAnsi="宋体" w:cs="宋体"/>
                <w:szCs w:val="21"/>
              </w:rPr>
              <w:t>参数</w:t>
            </w:r>
          </w:p>
        </w:tc>
        <w:tc>
          <w:tcPr>
            <w:tcW w:w="524" w:type="pct"/>
            <w:tcBorders>
              <w:top w:val="single" w:color="auto" w:sz="4" w:space="0"/>
              <w:left w:val="nil"/>
              <w:bottom w:val="single" w:color="auto" w:sz="4" w:space="0"/>
              <w:right w:val="single" w:color="auto" w:sz="4" w:space="0"/>
            </w:tcBorders>
            <w:vAlign w:val="center"/>
          </w:tcPr>
          <w:p>
            <w:pPr>
              <w:autoSpaceDE w:val="0"/>
              <w:snapToGrid w:val="0"/>
              <w:spacing w:line="400" w:lineRule="exact"/>
              <w:jc w:val="center"/>
              <w:rPr>
                <w:rFonts w:ascii="宋体" w:hAnsi="宋体" w:cs="宋体"/>
                <w:szCs w:val="21"/>
              </w:rPr>
            </w:pPr>
            <w:r>
              <w:rPr>
                <w:rFonts w:hint="eastAsia" w:ascii="宋体" w:hAnsi="宋体" w:cs="宋体"/>
                <w:szCs w:val="21"/>
              </w:rPr>
              <w:t>生产</w:t>
            </w:r>
          </w:p>
          <w:p>
            <w:pPr>
              <w:autoSpaceDE w:val="0"/>
              <w:snapToGrid w:val="0"/>
              <w:spacing w:line="400" w:lineRule="exact"/>
              <w:jc w:val="center"/>
              <w:rPr>
                <w:rFonts w:ascii="宋体" w:hAnsi="宋体" w:cs="宋体"/>
                <w:szCs w:val="21"/>
              </w:rPr>
            </w:pPr>
            <w:r>
              <w:rPr>
                <w:rFonts w:hint="eastAsia" w:ascii="宋体" w:hAnsi="宋体" w:cs="宋体"/>
                <w:szCs w:val="21"/>
              </w:rPr>
              <w:t>厂家</w:t>
            </w:r>
          </w:p>
        </w:tc>
        <w:tc>
          <w:tcPr>
            <w:tcW w:w="439" w:type="pct"/>
            <w:tcBorders>
              <w:top w:val="single" w:color="auto" w:sz="4" w:space="0"/>
              <w:left w:val="nil"/>
              <w:bottom w:val="single" w:color="auto" w:sz="4" w:space="0"/>
              <w:right w:val="single" w:color="auto" w:sz="4" w:space="0"/>
            </w:tcBorders>
            <w:vAlign w:val="center"/>
          </w:tcPr>
          <w:p>
            <w:pPr>
              <w:autoSpaceDE w:val="0"/>
              <w:snapToGrid w:val="0"/>
              <w:spacing w:line="400" w:lineRule="exact"/>
              <w:jc w:val="center"/>
              <w:rPr>
                <w:rFonts w:ascii="宋体" w:hAnsi="宋体" w:cs="宋体"/>
                <w:szCs w:val="21"/>
              </w:rPr>
            </w:pPr>
            <w:r>
              <w:rPr>
                <w:rFonts w:hint="eastAsia" w:ascii="宋体" w:hAnsi="宋体" w:cs="宋体"/>
                <w:szCs w:val="21"/>
              </w:rPr>
              <w:t>产地</w:t>
            </w:r>
          </w:p>
        </w:tc>
        <w:tc>
          <w:tcPr>
            <w:tcW w:w="596" w:type="pct"/>
            <w:tcBorders>
              <w:top w:val="single" w:color="auto" w:sz="4" w:space="0"/>
              <w:left w:val="nil"/>
              <w:bottom w:val="single" w:color="auto" w:sz="4" w:space="0"/>
              <w:right w:val="single" w:color="auto" w:sz="4" w:space="0"/>
            </w:tcBorders>
            <w:vAlign w:val="center"/>
          </w:tcPr>
          <w:p>
            <w:pPr>
              <w:autoSpaceDE w:val="0"/>
              <w:snapToGrid w:val="0"/>
              <w:spacing w:line="400" w:lineRule="exact"/>
              <w:jc w:val="center"/>
              <w:rPr>
                <w:rFonts w:ascii="宋体" w:hAnsi="宋体" w:cs="宋体"/>
                <w:szCs w:val="21"/>
              </w:rPr>
            </w:pPr>
            <w:r>
              <w:rPr>
                <w:rFonts w:hint="eastAsia" w:ascii="宋体" w:hAnsi="宋体" w:cs="宋体"/>
                <w:szCs w:val="21"/>
              </w:rPr>
              <w:t>参考</w:t>
            </w:r>
          </w:p>
          <w:p>
            <w:pPr>
              <w:autoSpaceDE w:val="0"/>
              <w:snapToGrid w:val="0"/>
              <w:spacing w:line="400" w:lineRule="exact"/>
              <w:jc w:val="center"/>
              <w:rPr>
                <w:rFonts w:ascii="宋体" w:hAnsi="宋体" w:cs="宋体"/>
                <w:szCs w:val="21"/>
              </w:rPr>
            </w:pPr>
            <w:r>
              <w:rPr>
                <w:rFonts w:hint="eastAsia" w:ascii="宋体" w:hAnsi="宋体" w:cs="宋体"/>
                <w:szCs w:val="21"/>
              </w:rPr>
              <w:t>数量</w:t>
            </w:r>
          </w:p>
        </w:tc>
        <w:tc>
          <w:tcPr>
            <w:tcW w:w="450" w:type="pct"/>
            <w:tcBorders>
              <w:top w:val="single" w:color="auto" w:sz="4" w:space="0"/>
              <w:left w:val="nil"/>
              <w:bottom w:val="single" w:color="auto" w:sz="4" w:space="0"/>
              <w:right w:val="single" w:color="auto" w:sz="4" w:space="0"/>
            </w:tcBorders>
            <w:vAlign w:val="center"/>
          </w:tcPr>
          <w:p>
            <w:pPr>
              <w:autoSpaceDE w:val="0"/>
              <w:snapToGrid w:val="0"/>
              <w:spacing w:line="400" w:lineRule="exact"/>
              <w:jc w:val="center"/>
              <w:rPr>
                <w:rFonts w:ascii="宋体" w:hAnsi="宋体" w:cs="宋体"/>
                <w:szCs w:val="21"/>
              </w:rPr>
            </w:pPr>
            <w:r>
              <w:rPr>
                <w:rFonts w:hint="eastAsia" w:ascii="宋体" w:hAnsi="宋体" w:cs="宋体"/>
                <w:szCs w:val="21"/>
              </w:rPr>
              <w:t>单位</w:t>
            </w:r>
          </w:p>
        </w:tc>
        <w:tc>
          <w:tcPr>
            <w:tcW w:w="684" w:type="pct"/>
            <w:tcBorders>
              <w:top w:val="single" w:color="auto" w:sz="4" w:space="0"/>
              <w:left w:val="nil"/>
              <w:bottom w:val="single" w:color="auto" w:sz="4" w:space="0"/>
              <w:right w:val="single" w:color="auto" w:sz="4" w:space="0"/>
            </w:tcBorders>
            <w:vAlign w:val="center"/>
          </w:tcPr>
          <w:p>
            <w:pPr>
              <w:autoSpaceDE w:val="0"/>
              <w:snapToGrid w:val="0"/>
              <w:spacing w:line="400" w:lineRule="exact"/>
              <w:jc w:val="center"/>
              <w:rPr>
                <w:rFonts w:ascii="宋体" w:hAnsi="宋体" w:cs="宋体"/>
                <w:szCs w:val="21"/>
              </w:rPr>
            </w:pPr>
            <w:r>
              <w:rPr>
                <w:rFonts w:hint="eastAsia" w:ascii="宋体" w:hAnsi="宋体" w:cs="宋体"/>
                <w:szCs w:val="21"/>
              </w:rPr>
              <w:t>合同单价金额（含税费，元）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trPr>
        <w:tc>
          <w:tcPr>
            <w:tcW w:w="408" w:type="pct"/>
            <w:tcBorders>
              <w:top w:val="single" w:color="auto" w:sz="4" w:space="0"/>
              <w:left w:val="single" w:color="auto" w:sz="4" w:space="0"/>
              <w:bottom w:val="single" w:color="auto" w:sz="4" w:space="0"/>
              <w:right w:val="single" w:color="auto" w:sz="4" w:space="0"/>
            </w:tcBorders>
            <w:vAlign w:val="center"/>
          </w:tcPr>
          <w:p>
            <w:pPr>
              <w:autoSpaceDE w:val="0"/>
              <w:snapToGrid w:val="0"/>
              <w:spacing w:line="400" w:lineRule="exact"/>
              <w:jc w:val="center"/>
              <w:rPr>
                <w:rFonts w:ascii="宋体" w:hAnsi="宋体" w:cs="宋体"/>
                <w:szCs w:val="21"/>
              </w:rPr>
            </w:pPr>
            <w:r>
              <w:rPr>
                <w:rFonts w:hint="eastAsia" w:ascii="宋体" w:hAnsi="宋体" w:cs="宋体"/>
                <w:szCs w:val="21"/>
              </w:rPr>
              <w:t>1</w:t>
            </w:r>
          </w:p>
        </w:tc>
        <w:tc>
          <w:tcPr>
            <w:tcW w:w="519" w:type="pct"/>
            <w:tcBorders>
              <w:top w:val="single" w:color="auto" w:sz="4" w:space="0"/>
              <w:left w:val="nil"/>
              <w:bottom w:val="single" w:color="auto" w:sz="4" w:space="0"/>
              <w:right w:val="single" w:color="auto" w:sz="4" w:space="0"/>
            </w:tcBorders>
            <w:vAlign w:val="center"/>
          </w:tcPr>
          <w:p>
            <w:pPr>
              <w:autoSpaceDE w:val="0"/>
              <w:snapToGrid w:val="0"/>
              <w:spacing w:line="400" w:lineRule="exact"/>
              <w:jc w:val="center"/>
              <w:rPr>
                <w:rFonts w:ascii="宋体" w:hAnsi="宋体" w:cs="宋体"/>
                <w:szCs w:val="21"/>
              </w:rPr>
            </w:pPr>
          </w:p>
        </w:tc>
        <w:tc>
          <w:tcPr>
            <w:tcW w:w="632" w:type="pct"/>
            <w:tcBorders>
              <w:top w:val="single" w:color="auto" w:sz="4" w:space="0"/>
              <w:left w:val="nil"/>
              <w:bottom w:val="single" w:color="auto" w:sz="4" w:space="0"/>
              <w:right w:val="single" w:color="auto" w:sz="4" w:space="0"/>
            </w:tcBorders>
            <w:vAlign w:val="center"/>
          </w:tcPr>
          <w:p>
            <w:pPr>
              <w:autoSpaceDE w:val="0"/>
              <w:snapToGrid w:val="0"/>
              <w:spacing w:line="400" w:lineRule="exact"/>
              <w:jc w:val="center"/>
              <w:rPr>
                <w:rFonts w:ascii="宋体" w:hAnsi="宋体" w:cs="宋体"/>
                <w:szCs w:val="21"/>
              </w:rPr>
            </w:pPr>
          </w:p>
        </w:tc>
        <w:tc>
          <w:tcPr>
            <w:tcW w:w="746" w:type="pct"/>
            <w:tcBorders>
              <w:top w:val="single" w:color="auto" w:sz="4" w:space="0"/>
              <w:left w:val="nil"/>
              <w:bottom w:val="single" w:color="auto" w:sz="4" w:space="0"/>
              <w:right w:val="single" w:color="auto" w:sz="4" w:space="0"/>
            </w:tcBorders>
            <w:vAlign w:val="center"/>
          </w:tcPr>
          <w:p>
            <w:pPr>
              <w:autoSpaceDE w:val="0"/>
              <w:snapToGrid w:val="0"/>
              <w:spacing w:line="400" w:lineRule="exact"/>
              <w:jc w:val="center"/>
              <w:rPr>
                <w:rFonts w:ascii="宋体" w:hAnsi="宋体" w:cs="宋体"/>
                <w:szCs w:val="21"/>
              </w:rPr>
            </w:pPr>
          </w:p>
        </w:tc>
        <w:tc>
          <w:tcPr>
            <w:tcW w:w="524" w:type="pct"/>
            <w:tcBorders>
              <w:top w:val="single" w:color="auto" w:sz="4" w:space="0"/>
              <w:left w:val="nil"/>
              <w:bottom w:val="single" w:color="auto" w:sz="4" w:space="0"/>
              <w:right w:val="single" w:color="auto" w:sz="4" w:space="0"/>
            </w:tcBorders>
          </w:tcPr>
          <w:p>
            <w:pPr>
              <w:autoSpaceDE w:val="0"/>
              <w:snapToGrid w:val="0"/>
              <w:spacing w:line="400" w:lineRule="exact"/>
              <w:jc w:val="center"/>
              <w:rPr>
                <w:rFonts w:ascii="宋体" w:hAnsi="宋体" w:cs="宋体"/>
                <w:szCs w:val="21"/>
              </w:rPr>
            </w:pPr>
          </w:p>
        </w:tc>
        <w:tc>
          <w:tcPr>
            <w:tcW w:w="439" w:type="pct"/>
            <w:tcBorders>
              <w:top w:val="single" w:color="auto" w:sz="4" w:space="0"/>
              <w:left w:val="nil"/>
              <w:bottom w:val="single" w:color="auto" w:sz="4" w:space="0"/>
              <w:right w:val="single" w:color="auto" w:sz="4" w:space="0"/>
            </w:tcBorders>
            <w:vAlign w:val="center"/>
          </w:tcPr>
          <w:p>
            <w:pPr>
              <w:autoSpaceDE w:val="0"/>
              <w:snapToGrid w:val="0"/>
              <w:spacing w:line="400" w:lineRule="exact"/>
              <w:jc w:val="center"/>
              <w:rPr>
                <w:rFonts w:ascii="宋体" w:hAnsi="宋体" w:cs="宋体"/>
                <w:szCs w:val="21"/>
              </w:rPr>
            </w:pPr>
          </w:p>
        </w:tc>
        <w:tc>
          <w:tcPr>
            <w:tcW w:w="596" w:type="pct"/>
            <w:tcBorders>
              <w:top w:val="single" w:color="auto" w:sz="4" w:space="0"/>
              <w:left w:val="nil"/>
              <w:bottom w:val="single" w:color="auto" w:sz="4" w:space="0"/>
              <w:right w:val="single" w:color="auto" w:sz="4" w:space="0"/>
            </w:tcBorders>
            <w:vAlign w:val="center"/>
          </w:tcPr>
          <w:p>
            <w:pPr>
              <w:autoSpaceDE w:val="0"/>
              <w:snapToGrid w:val="0"/>
              <w:spacing w:line="400" w:lineRule="exact"/>
              <w:jc w:val="center"/>
              <w:rPr>
                <w:rFonts w:ascii="宋体" w:hAnsi="宋体" w:cs="宋体"/>
                <w:szCs w:val="21"/>
              </w:rPr>
            </w:pPr>
          </w:p>
        </w:tc>
        <w:tc>
          <w:tcPr>
            <w:tcW w:w="450" w:type="pct"/>
            <w:tcBorders>
              <w:top w:val="single" w:color="auto" w:sz="4" w:space="0"/>
              <w:left w:val="nil"/>
              <w:bottom w:val="single" w:color="auto" w:sz="4" w:space="0"/>
              <w:right w:val="single" w:color="auto" w:sz="4" w:space="0"/>
            </w:tcBorders>
            <w:vAlign w:val="center"/>
          </w:tcPr>
          <w:p>
            <w:pPr>
              <w:autoSpaceDE w:val="0"/>
              <w:snapToGrid w:val="0"/>
              <w:spacing w:line="400" w:lineRule="exact"/>
              <w:jc w:val="center"/>
              <w:rPr>
                <w:rFonts w:ascii="宋体" w:hAnsi="宋体" w:cs="宋体"/>
                <w:szCs w:val="21"/>
              </w:rPr>
            </w:pPr>
          </w:p>
        </w:tc>
        <w:tc>
          <w:tcPr>
            <w:tcW w:w="684" w:type="pct"/>
            <w:tcBorders>
              <w:top w:val="single" w:color="auto" w:sz="4" w:space="0"/>
              <w:left w:val="nil"/>
              <w:bottom w:val="single" w:color="auto" w:sz="4" w:space="0"/>
              <w:right w:val="single" w:color="auto" w:sz="4" w:space="0"/>
            </w:tcBorders>
            <w:vAlign w:val="center"/>
          </w:tcPr>
          <w:p>
            <w:pPr>
              <w:autoSpaceDE w:val="0"/>
              <w:snapToGrid w:val="0"/>
              <w:spacing w:line="40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trPr>
        <w:tc>
          <w:tcPr>
            <w:tcW w:w="408" w:type="pct"/>
            <w:tcBorders>
              <w:top w:val="single" w:color="auto" w:sz="4" w:space="0"/>
              <w:left w:val="single" w:color="auto" w:sz="4" w:space="0"/>
              <w:bottom w:val="single" w:color="auto" w:sz="4" w:space="0"/>
              <w:right w:val="single" w:color="auto" w:sz="4" w:space="0"/>
            </w:tcBorders>
            <w:vAlign w:val="center"/>
          </w:tcPr>
          <w:p>
            <w:pPr>
              <w:autoSpaceDE w:val="0"/>
              <w:snapToGrid w:val="0"/>
              <w:spacing w:line="400" w:lineRule="exact"/>
              <w:jc w:val="center"/>
              <w:rPr>
                <w:rFonts w:ascii="宋体" w:hAnsi="宋体" w:cs="宋体"/>
                <w:szCs w:val="21"/>
              </w:rPr>
            </w:pPr>
            <w:r>
              <w:rPr>
                <w:rFonts w:hint="eastAsia" w:ascii="宋体" w:hAnsi="宋体" w:cs="宋体"/>
                <w:szCs w:val="21"/>
              </w:rPr>
              <w:t>2</w:t>
            </w:r>
          </w:p>
        </w:tc>
        <w:tc>
          <w:tcPr>
            <w:tcW w:w="519" w:type="pct"/>
            <w:tcBorders>
              <w:top w:val="single" w:color="auto" w:sz="4" w:space="0"/>
              <w:left w:val="nil"/>
              <w:bottom w:val="single" w:color="auto" w:sz="4" w:space="0"/>
              <w:right w:val="single" w:color="auto" w:sz="4" w:space="0"/>
            </w:tcBorders>
            <w:vAlign w:val="center"/>
          </w:tcPr>
          <w:p>
            <w:pPr>
              <w:autoSpaceDE w:val="0"/>
              <w:snapToGrid w:val="0"/>
              <w:spacing w:line="400" w:lineRule="exact"/>
              <w:jc w:val="center"/>
              <w:rPr>
                <w:rFonts w:ascii="宋体" w:hAnsi="宋体" w:cs="宋体"/>
                <w:szCs w:val="21"/>
              </w:rPr>
            </w:pPr>
          </w:p>
        </w:tc>
        <w:tc>
          <w:tcPr>
            <w:tcW w:w="632" w:type="pct"/>
            <w:tcBorders>
              <w:top w:val="single" w:color="auto" w:sz="4" w:space="0"/>
              <w:left w:val="nil"/>
              <w:bottom w:val="single" w:color="auto" w:sz="4" w:space="0"/>
              <w:right w:val="single" w:color="auto" w:sz="4" w:space="0"/>
            </w:tcBorders>
            <w:vAlign w:val="center"/>
          </w:tcPr>
          <w:p>
            <w:pPr>
              <w:autoSpaceDE w:val="0"/>
              <w:snapToGrid w:val="0"/>
              <w:spacing w:line="400" w:lineRule="exact"/>
              <w:jc w:val="center"/>
              <w:rPr>
                <w:rFonts w:ascii="宋体" w:hAnsi="宋体" w:cs="宋体"/>
                <w:szCs w:val="21"/>
              </w:rPr>
            </w:pPr>
          </w:p>
        </w:tc>
        <w:tc>
          <w:tcPr>
            <w:tcW w:w="746" w:type="pct"/>
            <w:tcBorders>
              <w:top w:val="single" w:color="auto" w:sz="4" w:space="0"/>
              <w:left w:val="nil"/>
              <w:bottom w:val="single" w:color="auto" w:sz="4" w:space="0"/>
              <w:right w:val="single" w:color="auto" w:sz="4" w:space="0"/>
            </w:tcBorders>
            <w:vAlign w:val="center"/>
          </w:tcPr>
          <w:p>
            <w:pPr>
              <w:autoSpaceDE w:val="0"/>
              <w:snapToGrid w:val="0"/>
              <w:spacing w:line="400" w:lineRule="exact"/>
              <w:jc w:val="center"/>
              <w:rPr>
                <w:rFonts w:ascii="宋体" w:hAnsi="宋体" w:cs="宋体"/>
                <w:szCs w:val="21"/>
              </w:rPr>
            </w:pPr>
          </w:p>
        </w:tc>
        <w:tc>
          <w:tcPr>
            <w:tcW w:w="524" w:type="pct"/>
            <w:tcBorders>
              <w:top w:val="single" w:color="auto" w:sz="4" w:space="0"/>
              <w:left w:val="nil"/>
              <w:bottom w:val="single" w:color="auto" w:sz="4" w:space="0"/>
              <w:right w:val="single" w:color="auto" w:sz="4" w:space="0"/>
            </w:tcBorders>
          </w:tcPr>
          <w:p>
            <w:pPr>
              <w:autoSpaceDE w:val="0"/>
              <w:snapToGrid w:val="0"/>
              <w:spacing w:line="400" w:lineRule="exact"/>
              <w:jc w:val="center"/>
              <w:rPr>
                <w:rFonts w:ascii="宋体" w:hAnsi="宋体" w:cs="宋体"/>
                <w:szCs w:val="21"/>
              </w:rPr>
            </w:pPr>
          </w:p>
        </w:tc>
        <w:tc>
          <w:tcPr>
            <w:tcW w:w="439" w:type="pct"/>
            <w:tcBorders>
              <w:top w:val="single" w:color="auto" w:sz="4" w:space="0"/>
              <w:left w:val="nil"/>
              <w:bottom w:val="single" w:color="auto" w:sz="4" w:space="0"/>
              <w:right w:val="single" w:color="auto" w:sz="4" w:space="0"/>
            </w:tcBorders>
            <w:vAlign w:val="center"/>
          </w:tcPr>
          <w:p>
            <w:pPr>
              <w:autoSpaceDE w:val="0"/>
              <w:snapToGrid w:val="0"/>
              <w:spacing w:line="400" w:lineRule="exact"/>
              <w:jc w:val="center"/>
              <w:rPr>
                <w:rFonts w:ascii="宋体" w:hAnsi="宋体" w:cs="宋体"/>
                <w:szCs w:val="21"/>
              </w:rPr>
            </w:pPr>
          </w:p>
        </w:tc>
        <w:tc>
          <w:tcPr>
            <w:tcW w:w="596" w:type="pct"/>
            <w:tcBorders>
              <w:top w:val="single" w:color="auto" w:sz="4" w:space="0"/>
              <w:left w:val="nil"/>
              <w:bottom w:val="single" w:color="auto" w:sz="4" w:space="0"/>
              <w:right w:val="single" w:color="auto" w:sz="4" w:space="0"/>
            </w:tcBorders>
            <w:vAlign w:val="center"/>
          </w:tcPr>
          <w:p>
            <w:pPr>
              <w:autoSpaceDE w:val="0"/>
              <w:snapToGrid w:val="0"/>
              <w:spacing w:line="400" w:lineRule="exact"/>
              <w:jc w:val="center"/>
              <w:rPr>
                <w:rFonts w:ascii="宋体" w:hAnsi="宋体" w:cs="宋体"/>
                <w:szCs w:val="21"/>
              </w:rPr>
            </w:pPr>
          </w:p>
        </w:tc>
        <w:tc>
          <w:tcPr>
            <w:tcW w:w="450" w:type="pct"/>
            <w:tcBorders>
              <w:top w:val="single" w:color="auto" w:sz="4" w:space="0"/>
              <w:left w:val="nil"/>
              <w:bottom w:val="single" w:color="auto" w:sz="4" w:space="0"/>
              <w:right w:val="single" w:color="auto" w:sz="4" w:space="0"/>
            </w:tcBorders>
            <w:vAlign w:val="center"/>
          </w:tcPr>
          <w:p>
            <w:pPr>
              <w:autoSpaceDE w:val="0"/>
              <w:snapToGrid w:val="0"/>
              <w:spacing w:line="400" w:lineRule="exact"/>
              <w:jc w:val="center"/>
              <w:rPr>
                <w:rFonts w:ascii="宋体" w:hAnsi="宋体" w:cs="宋体"/>
                <w:szCs w:val="21"/>
              </w:rPr>
            </w:pPr>
          </w:p>
        </w:tc>
        <w:tc>
          <w:tcPr>
            <w:tcW w:w="684" w:type="pct"/>
            <w:tcBorders>
              <w:top w:val="single" w:color="auto" w:sz="4" w:space="0"/>
              <w:left w:val="nil"/>
              <w:bottom w:val="single" w:color="auto" w:sz="4" w:space="0"/>
              <w:right w:val="single" w:color="auto" w:sz="4" w:space="0"/>
            </w:tcBorders>
            <w:vAlign w:val="center"/>
          </w:tcPr>
          <w:p>
            <w:pPr>
              <w:autoSpaceDE w:val="0"/>
              <w:snapToGrid w:val="0"/>
              <w:spacing w:line="40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trPr>
        <w:tc>
          <w:tcPr>
            <w:tcW w:w="408" w:type="pct"/>
            <w:tcBorders>
              <w:top w:val="single" w:color="auto" w:sz="4" w:space="0"/>
              <w:left w:val="single" w:color="auto" w:sz="4" w:space="0"/>
              <w:bottom w:val="single" w:color="auto" w:sz="4" w:space="0"/>
              <w:right w:val="single" w:color="auto" w:sz="4" w:space="0"/>
            </w:tcBorders>
            <w:vAlign w:val="center"/>
          </w:tcPr>
          <w:p>
            <w:pPr>
              <w:autoSpaceDE w:val="0"/>
              <w:snapToGrid w:val="0"/>
              <w:spacing w:line="400" w:lineRule="exact"/>
              <w:jc w:val="center"/>
              <w:rPr>
                <w:rFonts w:ascii="宋体" w:hAnsi="宋体" w:cs="宋体"/>
                <w:szCs w:val="21"/>
              </w:rPr>
            </w:pPr>
            <w:r>
              <w:rPr>
                <w:rFonts w:hint="eastAsia" w:ascii="宋体" w:hAnsi="宋体" w:cs="宋体"/>
                <w:szCs w:val="21"/>
              </w:rPr>
              <w:t>……</w:t>
            </w:r>
          </w:p>
        </w:tc>
        <w:tc>
          <w:tcPr>
            <w:tcW w:w="519" w:type="pct"/>
            <w:tcBorders>
              <w:top w:val="single" w:color="auto" w:sz="4" w:space="0"/>
              <w:left w:val="nil"/>
              <w:bottom w:val="single" w:color="auto" w:sz="4" w:space="0"/>
              <w:right w:val="single" w:color="auto" w:sz="4" w:space="0"/>
            </w:tcBorders>
            <w:vAlign w:val="center"/>
          </w:tcPr>
          <w:p>
            <w:pPr>
              <w:autoSpaceDE w:val="0"/>
              <w:snapToGrid w:val="0"/>
              <w:spacing w:line="400" w:lineRule="exact"/>
              <w:jc w:val="center"/>
              <w:rPr>
                <w:rFonts w:ascii="宋体" w:hAnsi="宋体" w:cs="宋体"/>
                <w:szCs w:val="21"/>
              </w:rPr>
            </w:pPr>
          </w:p>
        </w:tc>
        <w:tc>
          <w:tcPr>
            <w:tcW w:w="632" w:type="pct"/>
            <w:tcBorders>
              <w:top w:val="single" w:color="auto" w:sz="4" w:space="0"/>
              <w:left w:val="nil"/>
              <w:bottom w:val="single" w:color="auto" w:sz="4" w:space="0"/>
              <w:right w:val="single" w:color="auto" w:sz="4" w:space="0"/>
            </w:tcBorders>
            <w:vAlign w:val="center"/>
          </w:tcPr>
          <w:p>
            <w:pPr>
              <w:autoSpaceDE w:val="0"/>
              <w:snapToGrid w:val="0"/>
              <w:spacing w:line="400" w:lineRule="exact"/>
              <w:jc w:val="center"/>
              <w:rPr>
                <w:rFonts w:ascii="宋体" w:hAnsi="宋体" w:cs="宋体"/>
                <w:szCs w:val="21"/>
              </w:rPr>
            </w:pPr>
          </w:p>
        </w:tc>
        <w:tc>
          <w:tcPr>
            <w:tcW w:w="746" w:type="pct"/>
            <w:tcBorders>
              <w:top w:val="single" w:color="auto" w:sz="4" w:space="0"/>
              <w:left w:val="nil"/>
              <w:bottom w:val="single" w:color="auto" w:sz="4" w:space="0"/>
              <w:right w:val="single" w:color="auto" w:sz="4" w:space="0"/>
            </w:tcBorders>
            <w:vAlign w:val="center"/>
          </w:tcPr>
          <w:p>
            <w:pPr>
              <w:autoSpaceDE w:val="0"/>
              <w:snapToGrid w:val="0"/>
              <w:spacing w:line="400" w:lineRule="exact"/>
              <w:jc w:val="center"/>
              <w:rPr>
                <w:rFonts w:ascii="宋体" w:hAnsi="宋体" w:cs="宋体"/>
                <w:szCs w:val="21"/>
              </w:rPr>
            </w:pPr>
          </w:p>
        </w:tc>
        <w:tc>
          <w:tcPr>
            <w:tcW w:w="524" w:type="pct"/>
            <w:tcBorders>
              <w:top w:val="single" w:color="auto" w:sz="4" w:space="0"/>
              <w:left w:val="nil"/>
              <w:bottom w:val="single" w:color="auto" w:sz="4" w:space="0"/>
              <w:right w:val="single" w:color="auto" w:sz="4" w:space="0"/>
            </w:tcBorders>
          </w:tcPr>
          <w:p>
            <w:pPr>
              <w:autoSpaceDE w:val="0"/>
              <w:snapToGrid w:val="0"/>
              <w:spacing w:line="400" w:lineRule="exact"/>
              <w:jc w:val="center"/>
              <w:rPr>
                <w:rFonts w:ascii="宋体" w:hAnsi="宋体" w:cs="宋体"/>
                <w:szCs w:val="21"/>
              </w:rPr>
            </w:pPr>
          </w:p>
        </w:tc>
        <w:tc>
          <w:tcPr>
            <w:tcW w:w="439" w:type="pct"/>
            <w:tcBorders>
              <w:top w:val="single" w:color="auto" w:sz="4" w:space="0"/>
              <w:left w:val="nil"/>
              <w:bottom w:val="single" w:color="auto" w:sz="4" w:space="0"/>
              <w:right w:val="single" w:color="auto" w:sz="4" w:space="0"/>
            </w:tcBorders>
            <w:vAlign w:val="center"/>
          </w:tcPr>
          <w:p>
            <w:pPr>
              <w:autoSpaceDE w:val="0"/>
              <w:snapToGrid w:val="0"/>
              <w:spacing w:line="400" w:lineRule="exact"/>
              <w:jc w:val="center"/>
              <w:rPr>
                <w:rFonts w:ascii="宋体" w:hAnsi="宋体" w:cs="宋体"/>
                <w:szCs w:val="21"/>
              </w:rPr>
            </w:pPr>
          </w:p>
        </w:tc>
        <w:tc>
          <w:tcPr>
            <w:tcW w:w="596" w:type="pct"/>
            <w:tcBorders>
              <w:top w:val="single" w:color="auto" w:sz="4" w:space="0"/>
              <w:left w:val="nil"/>
              <w:bottom w:val="single" w:color="auto" w:sz="4" w:space="0"/>
              <w:right w:val="single" w:color="auto" w:sz="4" w:space="0"/>
            </w:tcBorders>
            <w:vAlign w:val="center"/>
          </w:tcPr>
          <w:p>
            <w:pPr>
              <w:autoSpaceDE w:val="0"/>
              <w:snapToGrid w:val="0"/>
              <w:spacing w:line="400" w:lineRule="exact"/>
              <w:jc w:val="center"/>
              <w:rPr>
                <w:rFonts w:ascii="宋体" w:hAnsi="宋体" w:cs="宋体"/>
                <w:szCs w:val="21"/>
              </w:rPr>
            </w:pPr>
          </w:p>
        </w:tc>
        <w:tc>
          <w:tcPr>
            <w:tcW w:w="450" w:type="pct"/>
            <w:tcBorders>
              <w:top w:val="single" w:color="auto" w:sz="4" w:space="0"/>
              <w:left w:val="nil"/>
              <w:bottom w:val="single" w:color="auto" w:sz="4" w:space="0"/>
              <w:right w:val="single" w:color="auto" w:sz="4" w:space="0"/>
            </w:tcBorders>
            <w:vAlign w:val="center"/>
          </w:tcPr>
          <w:p>
            <w:pPr>
              <w:autoSpaceDE w:val="0"/>
              <w:snapToGrid w:val="0"/>
              <w:spacing w:line="400" w:lineRule="exact"/>
              <w:jc w:val="center"/>
              <w:rPr>
                <w:rFonts w:ascii="宋体" w:hAnsi="宋体" w:cs="宋体"/>
                <w:szCs w:val="21"/>
              </w:rPr>
            </w:pPr>
          </w:p>
        </w:tc>
        <w:tc>
          <w:tcPr>
            <w:tcW w:w="684" w:type="pct"/>
            <w:tcBorders>
              <w:top w:val="single" w:color="auto" w:sz="4" w:space="0"/>
              <w:left w:val="nil"/>
              <w:bottom w:val="single" w:color="auto" w:sz="4" w:space="0"/>
              <w:right w:val="single" w:color="auto" w:sz="4" w:space="0"/>
            </w:tcBorders>
            <w:vAlign w:val="center"/>
          </w:tcPr>
          <w:p>
            <w:pPr>
              <w:autoSpaceDE w:val="0"/>
              <w:snapToGrid w:val="0"/>
              <w:spacing w:line="40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 w:hRule="atLeast"/>
        </w:trPr>
        <w:tc>
          <w:tcPr>
            <w:tcW w:w="5000" w:type="pct"/>
            <w:gridSpan w:val="9"/>
            <w:tcBorders>
              <w:top w:val="single" w:color="auto" w:sz="4" w:space="0"/>
              <w:left w:val="single" w:color="auto" w:sz="4" w:space="0"/>
              <w:bottom w:val="single" w:color="auto" w:sz="4" w:space="0"/>
              <w:right w:val="single" w:color="auto" w:sz="4" w:space="0"/>
            </w:tcBorders>
            <w:vAlign w:val="center"/>
          </w:tcPr>
          <w:p>
            <w:pPr>
              <w:autoSpaceDE w:val="0"/>
              <w:snapToGrid w:val="0"/>
              <w:spacing w:line="400" w:lineRule="exact"/>
              <w:rPr>
                <w:rFonts w:ascii="宋体" w:hAnsi="宋体" w:cs="宋体"/>
                <w:szCs w:val="21"/>
              </w:rPr>
            </w:pPr>
            <w:r>
              <w:rPr>
                <w:rFonts w:hint="eastAsia" w:ascii="宋体" w:hAnsi="宋体" w:cs="宋体"/>
                <w:szCs w:val="21"/>
              </w:rPr>
              <w:t>人民币合计金额（大写）</w:t>
            </w:r>
            <w:r>
              <w:rPr>
                <w:rFonts w:hint="eastAsia" w:ascii="宋体" w:hAnsi="宋体" w:cs="宋体"/>
                <w:szCs w:val="21"/>
                <w:u w:val="single"/>
              </w:rPr>
              <w:t xml:space="preserve">          </w:t>
            </w:r>
            <w:r>
              <w:rPr>
                <w:rFonts w:hint="eastAsia" w:ascii="宋体" w:hAnsi="宋体" w:cs="宋体"/>
                <w:szCs w:val="21"/>
              </w:rPr>
              <w:t>（小写）¥</w:t>
            </w:r>
            <w:r>
              <w:rPr>
                <w:rFonts w:hint="eastAsia" w:ascii="宋体" w:hAnsi="宋体" w:cs="宋体"/>
                <w:szCs w:val="21"/>
                <w:u w:val="single"/>
              </w:rPr>
              <w:t xml:space="preserve">              </w:t>
            </w:r>
            <w:r>
              <w:rPr>
                <w:rFonts w:hint="eastAsia" w:ascii="宋体" w:hAnsi="宋体" w:cs="宋体"/>
                <w:szCs w:val="21"/>
              </w:rPr>
              <w:t xml:space="preserve">       </w:t>
            </w:r>
          </w:p>
        </w:tc>
      </w:tr>
    </w:tbl>
    <w:p>
      <w:pPr>
        <w:autoSpaceDE w:val="0"/>
        <w:snapToGrid w:val="0"/>
        <w:spacing w:line="400" w:lineRule="exact"/>
        <w:ind w:firstLine="420" w:firstLineChars="200"/>
        <w:rPr>
          <w:rFonts w:ascii="宋体" w:hAnsi="宋体" w:cs="宋体"/>
          <w:szCs w:val="21"/>
        </w:rPr>
      </w:pPr>
      <w:r>
        <w:rPr>
          <w:rFonts w:hint="eastAsia" w:ascii="宋体" w:hAnsi="宋体" w:cs="宋体"/>
          <w:szCs w:val="21"/>
        </w:rPr>
        <w:t>2.本合同价是履行合同的最终价格，且为人民币含税价，以及甲方指定地点的现场交货价，包含设备及服务所需的一切费用总和，包括但不限于货物价格、标准附件、备品备件、专用工具、包装、运输、装卸、保管、验收、产品检验检测、培训、售后服务、技术支持、人员服务、保险、招标代理服务费、税金等，以及合同明示所有责任、义务和一般风险等，甲方不再支付任何费用。</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3.合同期限：</w:t>
      </w:r>
      <w:r>
        <w:rPr>
          <w:rFonts w:hint="eastAsia" w:ascii="宋体" w:hAnsi="宋体" w:cs="宋体"/>
          <w:szCs w:val="21"/>
          <w:u w:val="single"/>
        </w:rPr>
        <w:t xml:space="preserve">    </w:t>
      </w:r>
      <w:r>
        <w:rPr>
          <w:rFonts w:hint="eastAsia" w:ascii="宋体" w:hAnsi="宋体" w:cs="宋体"/>
          <w:szCs w:val="21"/>
        </w:rPr>
        <w:t>年，自</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日起至</w:t>
      </w:r>
      <w:r>
        <w:rPr>
          <w:rFonts w:hint="eastAsia" w:ascii="宋体" w:hAnsi="宋体" w:cs="宋体"/>
          <w:szCs w:val="21"/>
          <w:u w:val="single"/>
        </w:rPr>
        <w:t xml:space="preserve">2026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日止。</w:t>
      </w:r>
    </w:p>
    <w:p>
      <w:pPr>
        <w:autoSpaceDE w:val="0"/>
        <w:snapToGrid w:val="0"/>
        <w:spacing w:line="400" w:lineRule="exact"/>
        <w:ind w:firstLine="422" w:firstLineChars="200"/>
        <w:rPr>
          <w:rFonts w:ascii="宋体" w:hAnsi="宋体" w:cs="宋体"/>
          <w:szCs w:val="21"/>
        </w:rPr>
      </w:pPr>
      <w:r>
        <w:rPr>
          <w:rFonts w:hint="eastAsia" w:ascii="宋体" w:hAnsi="宋体" w:cs="宋体"/>
          <w:b/>
          <w:szCs w:val="21"/>
        </w:rPr>
        <w:t>第二条 质量保证</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1.乙方所提供的产品名称、商标品牌、生产厂家、规格型号、技术参数等质量必须与采购文件规定及投标文件承诺相一致。乙方提供的节能和环保产品必须是列入政府采购品目清单的产品。</w:t>
      </w:r>
    </w:p>
    <w:p>
      <w:pPr>
        <w:autoSpaceDE w:val="0"/>
        <w:snapToGrid w:val="0"/>
        <w:spacing w:line="400" w:lineRule="exact"/>
        <w:ind w:firstLine="480"/>
        <w:rPr>
          <w:rFonts w:ascii="宋体" w:hAnsi="宋体" w:cs="宋体"/>
          <w:szCs w:val="21"/>
        </w:rPr>
      </w:pPr>
      <w:r>
        <w:rPr>
          <w:rFonts w:hint="eastAsia" w:ascii="宋体" w:hAnsi="宋体" w:cs="宋体"/>
          <w:szCs w:val="21"/>
        </w:rPr>
        <w:t>2.乙方所提供的货物必须是全新、未使用的原装产品，各项指标均达到采购文件规定或者投标文件承诺的质量要求。</w:t>
      </w:r>
    </w:p>
    <w:p>
      <w:pPr>
        <w:autoSpaceDE w:val="0"/>
        <w:snapToGrid w:val="0"/>
        <w:spacing w:line="400" w:lineRule="exact"/>
        <w:ind w:firstLine="480"/>
        <w:rPr>
          <w:rFonts w:ascii="宋体" w:hAnsi="宋体" w:cs="宋体"/>
          <w:szCs w:val="21"/>
        </w:rPr>
      </w:pPr>
      <w:r>
        <w:rPr>
          <w:rFonts w:hint="eastAsia" w:ascii="宋体" w:hAnsi="宋体" w:cs="宋体"/>
          <w:szCs w:val="21"/>
        </w:rPr>
        <w:t>3.如在使用过程中发生质量问题，乙方在接到甲方通知后到达甲方现场处理的时间</w:t>
      </w:r>
    </w:p>
    <w:p>
      <w:pPr>
        <w:autoSpaceDE w:val="0"/>
        <w:snapToGrid w:val="0"/>
        <w:spacing w:line="400" w:lineRule="exact"/>
        <w:ind w:firstLine="480"/>
        <w:rPr>
          <w:rFonts w:ascii="宋体" w:hAnsi="宋体" w:cs="宋体"/>
          <w:szCs w:val="21"/>
        </w:rPr>
      </w:pPr>
      <w:r>
        <w:rPr>
          <w:rFonts w:hint="eastAsia" w:ascii="宋体" w:hAnsi="宋体" w:cs="宋体"/>
          <w:szCs w:val="21"/>
          <w:u w:val="single"/>
        </w:rPr>
        <w:t xml:space="preserve"> 24 </w:t>
      </w:r>
      <w:r>
        <w:rPr>
          <w:rFonts w:hint="eastAsia" w:ascii="宋体" w:hAnsi="宋体" w:cs="宋体"/>
          <w:szCs w:val="21"/>
        </w:rPr>
        <w:t>小时内。</w:t>
      </w:r>
    </w:p>
    <w:p>
      <w:pPr>
        <w:autoSpaceDE w:val="0"/>
        <w:snapToGrid w:val="0"/>
        <w:spacing w:line="400" w:lineRule="exact"/>
        <w:ind w:firstLine="480"/>
        <w:rPr>
          <w:rFonts w:ascii="宋体" w:hAnsi="宋体" w:cs="宋体"/>
          <w:szCs w:val="21"/>
          <w:u w:val="single"/>
        </w:rPr>
      </w:pPr>
      <w:r>
        <w:rPr>
          <w:rFonts w:hint="eastAsia" w:ascii="宋体" w:hAnsi="宋体" w:cs="宋体"/>
          <w:szCs w:val="21"/>
        </w:rPr>
        <w:t>4.在质保期内，乙方应对货物出现的质量及安全问题负责处理解决并承担一切费用。</w:t>
      </w:r>
    </w:p>
    <w:p>
      <w:pPr>
        <w:autoSpaceDE w:val="0"/>
        <w:snapToGrid w:val="0"/>
        <w:spacing w:line="400" w:lineRule="exact"/>
        <w:ind w:firstLine="422" w:firstLineChars="200"/>
        <w:rPr>
          <w:rFonts w:ascii="宋体" w:hAnsi="宋体" w:cs="宋体"/>
          <w:szCs w:val="21"/>
        </w:rPr>
      </w:pPr>
      <w:r>
        <w:rPr>
          <w:rFonts w:hint="eastAsia" w:ascii="宋体" w:hAnsi="宋体" w:cs="宋体"/>
          <w:b/>
          <w:szCs w:val="21"/>
        </w:rPr>
        <w:t>第三条 权利保证</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1.乙方应保证所提供货物在使用时不会侵犯任何第三方的专利权、商标权、工业设计权或其他权利。</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2.乙方应按采购文件规定的时间向甲方提供使用货物的有关技术资料。</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3.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4.乙方保证所交付的货物的所有权完全属于乙方且无任何抵押、质押、查封等产权瑕疵。</w:t>
      </w:r>
    </w:p>
    <w:p>
      <w:pPr>
        <w:autoSpaceDE w:val="0"/>
        <w:snapToGrid w:val="0"/>
        <w:spacing w:line="400" w:lineRule="exact"/>
        <w:ind w:firstLine="422" w:firstLineChars="200"/>
        <w:rPr>
          <w:rFonts w:ascii="宋体" w:hAnsi="宋体" w:cs="宋体"/>
          <w:b/>
          <w:szCs w:val="21"/>
        </w:rPr>
      </w:pPr>
      <w:r>
        <w:rPr>
          <w:rFonts w:hint="eastAsia" w:ascii="宋体" w:hAnsi="宋体" w:cs="宋体"/>
          <w:b/>
          <w:szCs w:val="21"/>
        </w:rPr>
        <w:t>第四条 包装和运输</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1.乙方提供的货物均应按采购文件、投标文件要求的包装材料、包装标准、包装方式进行包装，每一包装单元内应附详细的装箱单和质量合格证。</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2.货物的运输方式：</w:t>
      </w:r>
      <w:r>
        <w:rPr>
          <w:rFonts w:hint="eastAsia" w:ascii="宋体" w:hAnsi="宋体" w:cs="宋体"/>
          <w:szCs w:val="21"/>
          <w:u w:val="single"/>
        </w:rPr>
        <w:t>乙方自定</w:t>
      </w:r>
      <w:r>
        <w:rPr>
          <w:rFonts w:hint="eastAsia" w:ascii="宋体" w:hAnsi="宋体" w:cs="宋体"/>
          <w:szCs w:val="21"/>
        </w:rPr>
        <w:t>。</w:t>
      </w:r>
    </w:p>
    <w:p>
      <w:pPr>
        <w:autoSpaceDE w:val="0"/>
        <w:snapToGrid w:val="0"/>
        <w:spacing w:line="400" w:lineRule="exact"/>
        <w:ind w:firstLine="420" w:firstLineChars="200"/>
        <w:rPr>
          <w:rFonts w:ascii="宋体" w:hAnsi="宋体" w:cs="宋体"/>
          <w:szCs w:val="21"/>
          <w:u w:val="single"/>
        </w:rPr>
      </w:pPr>
      <w:r>
        <w:rPr>
          <w:rFonts w:hint="eastAsia" w:ascii="宋体" w:hAnsi="宋体" w:cs="宋体"/>
          <w:szCs w:val="21"/>
        </w:rPr>
        <w:t>3.乙方负责货物运输，货物运输合理损耗及计算方法：</w:t>
      </w:r>
      <w:r>
        <w:rPr>
          <w:rFonts w:hint="eastAsia" w:ascii="宋体" w:hAnsi="宋体" w:cs="宋体"/>
          <w:szCs w:val="21"/>
          <w:u w:val="single"/>
        </w:rPr>
        <w:t>本项目合同不接受损耗</w:t>
      </w:r>
      <w:r>
        <w:rPr>
          <w:rFonts w:hint="eastAsia" w:ascii="宋体" w:hAnsi="宋体" w:cs="宋体"/>
          <w:szCs w:val="21"/>
        </w:rPr>
        <w:t>。</w:t>
      </w:r>
    </w:p>
    <w:p>
      <w:pPr>
        <w:autoSpaceDE w:val="0"/>
        <w:snapToGrid w:val="0"/>
        <w:spacing w:line="400" w:lineRule="exact"/>
        <w:ind w:firstLine="422" w:firstLineChars="200"/>
        <w:rPr>
          <w:rFonts w:ascii="宋体" w:hAnsi="宋体" w:cs="宋体"/>
          <w:szCs w:val="21"/>
        </w:rPr>
      </w:pPr>
      <w:r>
        <w:rPr>
          <w:rFonts w:hint="eastAsia" w:ascii="宋体" w:hAnsi="宋体" w:cs="宋体"/>
          <w:b/>
          <w:szCs w:val="21"/>
        </w:rPr>
        <w:t>第五条 交付和验收</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1.交货时间：</w:t>
      </w:r>
      <w:r>
        <w:rPr>
          <w:rFonts w:hint="eastAsia" w:ascii="宋体" w:hAnsi="宋体" w:cs="宋体"/>
          <w:szCs w:val="21"/>
          <w:u w:val="single"/>
        </w:rPr>
        <w:t xml:space="preserve">                 </w:t>
      </w:r>
      <w:r>
        <w:rPr>
          <w:rFonts w:hint="eastAsia" w:ascii="宋体" w:hAnsi="宋体" w:cs="宋体"/>
          <w:szCs w:val="21"/>
        </w:rPr>
        <w:t>；交付地点：</w:t>
      </w:r>
      <w:r>
        <w:rPr>
          <w:rFonts w:hint="eastAsia" w:ascii="宋体" w:hAnsi="宋体" w:cs="宋体"/>
          <w:szCs w:val="21"/>
          <w:u w:val="single"/>
        </w:rPr>
        <w:t>甲方指定地点</w:t>
      </w:r>
      <w:r>
        <w:rPr>
          <w:rFonts w:hint="eastAsia" w:ascii="宋体" w:hAnsi="宋体" w:cs="宋体"/>
          <w:szCs w:val="21"/>
        </w:rPr>
        <w:t>。</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2.乙方提供不符合采购文件、投标文件和本合同规定的货物，甲方有权拒绝接受。</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3.乙方应将所提供货物的装箱清单、资料等交付给甲方，如有缺失应及时补齐，否则视为逾期交货。</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4.甲方或甲方指定收货方应当在到货七个工作日内进行最终验收，逾期不验收的，乙方可视同验收合格。如因甲方原因暂时不能验收的货物，经双方签字确认后可视同验收合格。验收合格后由甲乙双方签署货物验收单并加盖采购单位公章，甲乙双方各执一份。</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5.甲方委托第三方组织的验收项目，其验收时间以该项目验收方案确定的验收时间为准，验收结果以该项目验收报告结论为准。在验收过程中发现乙方有违约问题，可暂缓资金结算，待违约问题解决后，方可办理资金结算事宜。</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6.其他未尽事宜应严格按照《关于印发广西壮族自治区政府采购项目履约验收管理办法的通知》[桂财采〔2015〕22号]以及《财政部关于进一步加强政府采购需求和履约验收管理的指导意见》[财库〔2016〕205号]规定执行。</w:t>
      </w:r>
    </w:p>
    <w:p>
      <w:pPr>
        <w:autoSpaceDE w:val="0"/>
        <w:snapToGrid w:val="0"/>
        <w:spacing w:line="400" w:lineRule="exact"/>
        <w:ind w:firstLine="422" w:firstLineChars="200"/>
        <w:rPr>
          <w:rFonts w:ascii="宋体" w:hAnsi="宋体" w:cs="宋体"/>
          <w:b/>
          <w:szCs w:val="21"/>
        </w:rPr>
      </w:pPr>
      <w:r>
        <w:rPr>
          <w:rFonts w:hint="eastAsia" w:ascii="宋体" w:hAnsi="宋体" w:cs="宋体"/>
          <w:b/>
          <w:szCs w:val="21"/>
        </w:rPr>
        <w:t>第六条  售后服务、质保期</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1.乙方应按照国家有关法律法规和“三包”规定以及采购文件、投标文件和本合同附件，为甲方提供售后服务。</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2.货物质保期：</w:t>
      </w:r>
      <w:r>
        <w:rPr>
          <w:rFonts w:hint="eastAsia" w:ascii="宋体" w:hAnsi="宋体" w:cs="宋体"/>
          <w:szCs w:val="21"/>
          <w:u w:val="single"/>
        </w:rPr>
        <w:t xml:space="preserve">                             </w:t>
      </w:r>
      <w:r>
        <w:rPr>
          <w:rFonts w:hint="eastAsia" w:ascii="宋体" w:hAnsi="宋体" w:cs="宋体"/>
          <w:szCs w:val="21"/>
        </w:rPr>
        <w:t>。</w:t>
      </w:r>
    </w:p>
    <w:p>
      <w:pPr>
        <w:autoSpaceDE w:val="0"/>
        <w:snapToGrid w:val="0"/>
        <w:spacing w:line="400" w:lineRule="exact"/>
        <w:ind w:firstLine="420" w:firstLineChars="200"/>
        <w:rPr>
          <w:rFonts w:ascii="宋体" w:hAnsi="宋体" w:cs="宋体"/>
          <w:szCs w:val="21"/>
          <w:u w:val="single"/>
        </w:rPr>
      </w:pPr>
      <w:r>
        <w:rPr>
          <w:rFonts w:hint="eastAsia" w:ascii="宋体" w:hAnsi="宋体" w:cs="宋体"/>
          <w:szCs w:val="21"/>
        </w:rPr>
        <w:t>3.乙方提供的服务承诺和售后服务及质保期责任等其他具体约定事项。（见合同附件）</w:t>
      </w:r>
    </w:p>
    <w:p>
      <w:pPr>
        <w:autoSpaceDE w:val="0"/>
        <w:snapToGrid w:val="0"/>
        <w:spacing w:line="400" w:lineRule="exact"/>
        <w:ind w:firstLine="422" w:firstLineChars="200"/>
        <w:rPr>
          <w:rFonts w:ascii="宋体" w:hAnsi="宋体" w:cs="宋体"/>
          <w:szCs w:val="21"/>
        </w:rPr>
      </w:pPr>
      <w:r>
        <w:rPr>
          <w:rFonts w:hint="eastAsia" w:ascii="宋体" w:hAnsi="宋体" w:cs="宋体"/>
          <w:b/>
          <w:szCs w:val="21"/>
        </w:rPr>
        <w:t>第七条 付款方式</w:t>
      </w:r>
    </w:p>
    <w:p>
      <w:pPr>
        <w:spacing w:line="360" w:lineRule="exact"/>
        <w:ind w:firstLine="420" w:firstLineChars="200"/>
        <w:rPr>
          <w:rFonts w:ascii="宋体" w:hAnsi="宋体"/>
          <w:szCs w:val="21"/>
        </w:rPr>
      </w:pPr>
      <w:r>
        <w:rPr>
          <w:rFonts w:hint="eastAsia" w:ascii="宋体" w:hAnsi="宋体"/>
          <w:szCs w:val="21"/>
        </w:rPr>
        <w:t>1.项目合同、担保措施生效以及具备实施条件后10个工作日内，甲方通过银行转账的方式向乙方支付合同总金额的30%预付款；乙方实施完成本项目，并通过甲方审核验收，在通过验收后的10个工作日内，支付合同总金额的70%。</w:t>
      </w:r>
    </w:p>
    <w:p>
      <w:pPr>
        <w:spacing w:line="360" w:lineRule="exact"/>
        <w:ind w:firstLine="420" w:firstLineChars="200"/>
        <w:rPr>
          <w:rFonts w:ascii="宋体" w:hAnsi="宋体"/>
          <w:szCs w:val="21"/>
        </w:rPr>
      </w:pPr>
      <w:r>
        <w:rPr>
          <w:rFonts w:hint="eastAsia" w:ascii="宋体" w:hAnsi="宋体"/>
          <w:szCs w:val="21"/>
        </w:rPr>
        <w:t>2.甲方付款前，乙方应向甲方开具等额有效的增值税发票，甲方未收到合格有效发票的，有权不予支付相应款项直至乙方提供合格发票，并不承担延迟付款责任。发票认证通过是付款的必要前提之一。</w:t>
      </w:r>
    </w:p>
    <w:p>
      <w:pPr>
        <w:autoSpaceDE w:val="0"/>
        <w:snapToGrid w:val="0"/>
        <w:spacing w:line="400" w:lineRule="exact"/>
        <w:ind w:firstLine="514" w:firstLineChars="245"/>
        <w:rPr>
          <w:rFonts w:ascii="宋体" w:hAnsi="宋体"/>
          <w:szCs w:val="21"/>
        </w:rPr>
      </w:pPr>
      <w:r>
        <w:rPr>
          <w:rFonts w:hint="eastAsia" w:ascii="宋体" w:hAnsi="宋体"/>
          <w:szCs w:val="21"/>
        </w:rPr>
        <w:t>3.付款方式：银行转账。</w:t>
      </w:r>
    </w:p>
    <w:p>
      <w:pPr>
        <w:autoSpaceDE w:val="0"/>
        <w:snapToGrid w:val="0"/>
        <w:spacing w:line="400" w:lineRule="exact"/>
        <w:ind w:firstLine="517" w:firstLineChars="245"/>
        <w:rPr>
          <w:rFonts w:ascii="宋体" w:hAnsi="宋体" w:cs="宋体"/>
          <w:b/>
          <w:szCs w:val="21"/>
        </w:rPr>
      </w:pPr>
      <w:r>
        <w:rPr>
          <w:rFonts w:hint="eastAsia" w:ascii="宋体" w:hAnsi="宋体" w:cs="宋体"/>
          <w:b/>
          <w:szCs w:val="21"/>
        </w:rPr>
        <w:t>第八条 履约保证金</w:t>
      </w:r>
    </w:p>
    <w:p>
      <w:pPr>
        <w:pStyle w:val="24"/>
        <w:snapToGrid w:val="0"/>
        <w:spacing w:line="360" w:lineRule="exact"/>
        <w:ind w:firstLine="400" w:firstLineChars="200"/>
        <w:outlineLvl w:val="0"/>
        <w:rPr>
          <w:rFonts w:hAnsi="宋体"/>
        </w:rPr>
      </w:pPr>
      <w:r>
        <w:rPr>
          <w:rFonts w:hint="eastAsia" w:hAnsi="宋体"/>
        </w:rPr>
        <w:t>1.履约保证金金额：中标金额的5%。（若乙方被认定为中小企业的，履约保证金数额将按中标金额的2%收取）</w:t>
      </w:r>
    </w:p>
    <w:p>
      <w:pPr>
        <w:pStyle w:val="24"/>
        <w:snapToGrid w:val="0"/>
        <w:spacing w:line="360" w:lineRule="exact"/>
        <w:ind w:firstLine="400" w:firstLineChars="200"/>
        <w:outlineLvl w:val="0"/>
        <w:rPr>
          <w:rFonts w:hAnsi="宋体"/>
        </w:rPr>
      </w:pPr>
      <w:r>
        <w:rPr>
          <w:rFonts w:hint="eastAsia" w:hAnsi="宋体"/>
        </w:rPr>
        <w:t>2.履约保证金递交方式：银行转账、电汇、网上支付、支票、汇票、本票、保函等非现金形式。</w:t>
      </w:r>
    </w:p>
    <w:p>
      <w:pPr>
        <w:pStyle w:val="24"/>
        <w:snapToGrid w:val="0"/>
        <w:spacing w:line="360" w:lineRule="exact"/>
        <w:ind w:firstLine="400" w:firstLineChars="200"/>
        <w:outlineLvl w:val="0"/>
        <w:rPr>
          <w:rFonts w:hAnsi="宋体"/>
        </w:rPr>
      </w:pPr>
      <w:r>
        <w:rPr>
          <w:rFonts w:hint="eastAsia" w:hAnsi="宋体"/>
        </w:rPr>
        <w:t>3.履约保证金递交时间：签订合同前5个工作日内由乙方转入甲方指定保证金账户。</w:t>
      </w:r>
    </w:p>
    <w:p>
      <w:pPr>
        <w:pStyle w:val="24"/>
        <w:snapToGrid w:val="0"/>
        <w:spacing w:line="360" w:lineRule="exact"/>
        <w:ind w:firstLine="400" w:firstLineChars="200"/>
        <w:outlineLvl w:val="0"/>
        <w:rPr>
          <w:rFonts w:hAnsi="宋体"/>
        </w:rPr>
      </w:pPr>
      <w:r>
        <w:rPr>
          <w:rFonts w:hint="eastAsia" w:hAnsi="宋体"/>
        </w:rPr>
        <w:t>4.履约保证金退还：履约完成并验收合格后无质量问题，乙方提供《政府采购项目履约保证金退付意见书》及《政府采购项目合同验收报告》，向甲方提出书面申请退还，甲方在收到申请后十五个工作日内以银行转账方式无息退还。保证金指定账户：</w:t>
      </w:r>
    </w:p>
    <w:p>
      <w:pPr>
        <w:pStyle w:val="24"/>
        <w:snapToGrid w:val="0"/>
        <w:spacing w:line="360" w:lineRule="exact"/>
        <w:ind w:firstLine="400" w:firstLineChars="200"/>
        <w:outlineLvl w:val="0"/>
        <w:rPr>
          <w:rFonts w:hAnsi="宋体"/>
        </w:rPr>
      </w:pPr>
      <w:r>
        <w:rPr>
          <w:rFonts w:hint="eastAsia" w:hAnsi="宋体"/>
        </w:rPr>
        <w:t>开户名：广西工业职业技术学院</w:t>
      </w:r>
    </w:p>
    <w:p>
      <w:pPr>
        <w:pStyle w:val="24"/>
        <w:snapToGrid w:val="0"/>
        <w:spacing w:line="360" w:lineRule="exact"/>
        <w:ind w:firstLine="400" w:firstLineChars="200"/>
        <w:outlineLvl w:val="0"/>
        <w:rPr>
          <w:rFonts w:hAnsi="宋体"/>
        </w:rPr>
      </w:pPr>
      <w:r>
        <w:rPr>
          <w:rFonts w:hint="eastAsia" w:hAnsi="宋体"/>
        </w:rPr>
        <w:t>开户行：广西北部湾银行南宁市衡阳路支行</w:t>
      </w:r>
    </w:p>
    <w:p>
      <w:pPr>
        <w:autoSpaceDE w:val="0"/>
        <w:autoSpaceDN w:val="0"/>
        <w:snapToGrid w:val="0"/>
        <w:spacing w:line="360" w:lineRule="exact"/>
        <w:ind w:firstLine="420" w:firstLineChars="200"/>
        <w:textAlignment w:val="bottom"/>
        <w:rPr>
          <w:rFonts w:ascii="宋体" w:hAnsi="宋体" w:cs="宋体"/>
          <w:szCs w:val="21"/>
        </w:rPr>
      </w:pPr>
      <w:r>
        <w:rPr>
          <w:rFonts w:hint="eastAsia" w:ascii="宋体" w:hAnsi="宋体"/>
          <w:szCs w:val="21"/>
        </w:rPr>
        <w:t>账号：1702012200017200</w:t>
      </w:r>
    </w:p>
    <w:p>
      <w:pPr>
        <w:autoSpaceDE w:val="0"/>
        <w:snapToGrid w:val="0"/>
        <w:spacing w:line="400" w:lineRule="exact"/>
        <w:ind w:firstLine="514"/>
        <w:rPr>
          <w:rFonts w:ascii="宋体" w:hAnsi="宋体" w:cs="宋体"/>
          <w:b/>
          <w:szCs w:val="21"/>
        </w:rPr>
      </w:pPr>
      <w:r>
        <w:rPr>
          <w:rFonts w:hint="eastAsia" w:ascii="宋体" w:hAnsi="宋体" w:cs="宋体"/>
          <w:b/>
          <w:szCs w:val="21"/>
        </w:rPr>
        <w:t>第九条  税费</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本合同执行中相关的一切税费均由乙方负担。</w:t>
      </w:r>
    </w:p>
    <w:p>
      <w:pPr>
        <w:autoSpaceDE w:val="0"/>
        <w:snapToGrid w:val="0"/>
        <w:spacing w:line="400" w:lineRule="exact"/>
        <w:ind w:firstLine="422" w:firstLineChars="200"/>
        <w:rPr>
          <w:rFonts w:ascii="宋体" w:hAnsi="宋体" w:cs="宋体"/>
          <w:b/>
          <w:szCs w:val="21"/>
        </w:rPr>
      </w:pPr>
      <w:r>
        <w:rPr>
          <w:rFonts w:hint="eastAsia" w:ascii="宋体" w:hAnsi="宋体" w:cs="宋体"/>
          <w:b/>
          <w:szCs w:val="21"/>
        </w:rPr>
        <w:t>第十条  货物包装、发运及运输</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1.乙方应在货物发运前对其进行满足运输距离、防潮、防震、防破损装卸等要求包装，以保证货物安全运达甲方指定地点。</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2.使用说明书、质量检验证明书、随配附件和工具以及清单一并附于货物内。</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3.乙方在货物发运手续办理完毕后二十四小时内或货到甲方四十八小时前通知甲方，以准备接货。</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4.货物在交付甲方前发生的风险均由乙方负责。</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5.货物在规定的交付期限内由乙方到货后七个工作日内进行验收，验收合格后视为交付。</w:t>
      </w:r>
    </w:p>
    <w:p>
      <w:pPr>
        <w:autoSpaceDE w:val="0"/>
        <w:snapToGrid w:val="0"/>
        <w:spacing w:line="400" w:lineRule="exact"/>
        <w:ind w:firstLine="422" w:firstLineChars="200"/>
        <w:rPr>
          <w:rFonts w:ascii="宋体" w:hAnsi="宋体" w:cs="宋体"/>
          <w:b/>
          <w:szCs w:val="21"/>
        </w:rPr>
      </w:pPr>
      <w:r>
        <w:rPr>
          <w:rFonts w:hint="eastAsia" w:ascii="宋体" w:hAnsi="宋体" w:cs="宋体"/>
          <w:b/>
          <w:szCs w:val="21"/>
        </w:rPr>
        <w:t>第十一条 违约责任</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除采购文件另有约定外，合同履行过程中的其他违约行为按下列处理：</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 xml:space="preserve">1.乙方所提供的货物规格、技术标准、材料等质量不合格的，应在甲方规定期限内及时更换，更换不及时的按逾期交货处罚；因质量问题甲方不同意接收的或特殊情况甲方同意接收的，乙方应向甲方支付违约货款额10%的违约金并赔偿甲方经济损失。                                       </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2.乙方提供的货物如侵犯了第三方合法权益而引发的任何纠纷或诉讼，均由乙方负责交涉并承担全部责任。若造成甲方经济或名誉损失的，乙方除了赔偿甲方损失，还应向甲方支付合同金额10%的违约金。</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3.因包装、运输引起的货物损坏，按质量不合格由乙方负责更换，如逾期，按违约货款支付违约金。</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4.甲方无故延期接收货物、乙方逾期交货的，每天向对方偿付违约货款额4‰违约金，但违约金累计不得超过违约货款额10%，超过</w:t>
      </w:r>
      <w:r>
        <w:rPr>
          <w:rFonts w:hint="eastAsia" w:ascii="宋体" w:hAnsi="宋体" w:cs="宋体"/>
          <w:szCs w:val="21"/>
          <w:u w:val="single"/>
        </w:rPr>
        <w:t xml:space="preserve"> 20 </w:t>
      </w:r>
      <w:r>
        <w:rPr>
          <w:rFonts w:hint="eastAsia" w:ascii="宋体" w:hAnsi="宋体" w:cs="宋体"/>
          <w:szCs w:val="21"/>
        </w:rPr>
        <w:t>天对方有权解除合同，违约方承担因此给对方造成经济损失；甲方延期付货款的，每天向乙方偿付延期货款额4‰滞纳金，但滞纳金累计不得超过延期货款额10%。</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5.乙方未按本合同和投标文件中规定的服务承诺提供服务的，乙方应按本合同合计金额10%向甲方支付违约金。</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6.乙方提供的货物在质保期内，因设计、工艺或材料的缺陷和其他质量原因造成的问题，由乙方负责修复，如无法修复的乙方负责更换全新货物，或者按合同价向甲方赔偿经济损失。</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7.其他违约行为按违约货款额10%收取违约金并赔偿经济损失。</w:t>
      </w:r>
    </w:p>
    <w:p>
      <w:pPr>
        <w:autoSpaceDE w:val="0"/>
        <w:snapToGrid w:val="0"/>
        <w:spacing w:line="400" w:lineRule="exact"/>
        <w:ind w:firstLine="422" w:firstLineChars="200"/>
        <w:rPr>
          <w:rFonts w:ascii="宋体" w:hAnsi="宋体" w:cs="宋体"/>
          <w:b/>
          <w:szCs w:val="21"/>
        </w:rPr>
      </w:pPr>
      <w:r>
        <w:rPr>
          <w:rFonts w:hint="eastAsia" w:ascii="宋体" w:hAnsi="宋体" w:cs="宋体"/>
          <w:b/>
          <w:szCs w:val="21"/>
        </w:rPr>
        <w:t>第十二条  不可抗力事件处理</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1.在合同有效期内，任何一方因不可抗力事件导致不能履行合同，则合同履行期可延长，其延长期与不可抗力影响期相同。</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2.不可抗力事件发生后，应立即通知对方，并寄送有关权威机构出具的证明。</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3.不可抗力事件延续120天以上，双方应通过友好协商，确定是否继续履行合同。</w:t>
      </w:r>
    </w:p>
    <w:p>
      <w:pPr>
        <w:autoSpaceDE w:val="0"/>
        <w:snapToGrid w:val="0"/>
        <w:spacing w:line="400" w:lineRule="exact"/>
        <w:ind w:firstLine="422" w:firstLineChars="200"/>
        <w:rPr>
          <w:rFonts w:ascii="宋体" w:hAnsi="宋体" w:cs="宋体"/>
          <w:szCs w:val="21"/>
        </w:rPr>
      </w:pPr>
      <w:r>
        <w:rPr>
          <w:rFonts w:hint="eastAsia" w:ascii="宋体" w:hAnsi="宋体" w:cs="宋体"/>
          <w:b/>
          <w:szCs w:val="21"/>
        </w:rPr>
        <w:t>第十三条  合同争议解决</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1.因货物质量问题发生争议的，应邀请国家认可的质量检测机构按照国家标准对货物质量进行鉴定。货物符合国家标准的，鉴定费用由甲方承担；货物不符合国家标准的，鉴定费用由乙方承担。</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2.因履行本合同引起的或与本合同有关的争议，甲乙双方应首先通过友好协商解决，如果协商不能解决，可向甲方所在地人民法院提起诉讼。</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3.诉讼期间，本合同继续履行。</w:t>
      </w:r>
    </w:p>
    <w:p>
      <w:pPr>
        <w:autoSpaceDE w:val="0"/>
        <w:snapToGrid w:val="0"/>
        <w:spacing w:line="400" w:lineRule="exact"/>
        <w:ind w:firstLine="422" w:firstLineChars="200"/>
        <w:rPr>
          <w:rFonts w:ascii="宋体" w:hAnsi="宋体" w:cs="宋体"/>
          <w:b/>
          <w:szCs w:val="21"/>
        </w:rPr>
      </w:pPr>
      <w:r>
        <w:rPr>
          <w:rFonts w:hint="eastAsia" w:ascii="宋体" w:hAnsi="宋体" w:cs="宋体"/>
          <w:b/>
          <w:szCs w:val="21"/>
        </w:rPr>
        <w:t>第十四条  合同生效及其它</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1.本合同履行期限为：</w:t>
      </w:r>
      <w:r>
        <w:rPr>
          <w:rFonts w:hint="eastAsia" w:ascii="宋体" w:hAnsi="宋体" w:cs="宋体"/>
          <w:szCs w:val="21"/>
          <w:u w:val="single"/>
        </w:rPr>
        <w:t>按照本合同约定</w:t>
      </w:r>
      <w:r>
        <w:rPr>
          <w:rFonts w:hint="eastAsia" w:ascii="宋体" w:hAnsi="宋体" w:cs="宋体"/>
          <w:szCs w:val="21"/>
        </w:rPr>
        <w:t>；合同履行地点为：</w:t>
      </w:r>
      <w:r>
        <w:rPr>
          <w:rFonts w:hint="eastAsia" w:ascii="宋体" w:hAnsi="宋体" w:cs="宋体"/>
          <w:szCs w:val="21"/>
          <w:u w:val="single"/>
        </w:rPr>
        <w:t>广西南宁市</w:t>
      </w:r>
      <w:r>
        <w:rPr>
          <w:rFonts w:hint="eastAsia" w:ascii="宋体" w:hAnsi="宋体" w:cs="宋体"/>
          <w:szCs w:val="21"/>
        </w:rPr>
        <w:t>；合同履行的方式：</w:t>
      </w:r>
      <w:r>
        <w:rPr>
          <w:rFonts w:hint="eastAsia" w:ascii="宋体" w:hAnsi="宋体" w:cs="宋体"/>
          <w:szCs w:val="21"/>
          <w:u w:val="single"/>
        </w:rPr>
        <w:t>按照本合同约定</w:t>
      </w:r>
      <w:r>
        <w:rPr>
          <w:rFonts w:hint="eastAsia" w:ascii="宋体" w:hAnsi="宋体" w:cs="宋体"/>
          <w:szCs w:val="21"/>
        </w:rPr>
        <w:t>。</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2.合同经双方法定代表人或委托代理人签字并加盖单位公章后生效。</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3.合同执行中涉及采购资金和采购内容修改或补充的，须经财政部门审批，并签订书面补充协议报财政部门备案，方可作为主合同不可分割的一部分。</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4.本合同未尽事宜，遵照《中华人民共和国民法典》有关条文执行。</w:t>
      </w:r>
    </w:p>
    <w:p>
      <w:pPr>
        <w:autoSpaceDE w:val="0"/>
        <w:snapToGrid w:val="0"/>
        <w:spacing w:line="400" w:lineRule="exact"/>
        <w:ind w:firstLine="422" w:firstLineChars="200"/>
        <w:rPr>
          <w:rFonts w:ascii="宋体" w:hAnsi="宋体" w:cs="宋体"/>
          <w:b/>
          <w:szCs w:val="21"/>
        </w:rPr>
      </w:pPr>
      <w:r>
        <w:rPr>
          <w:rFonts w:hint="eastAsia" w:ascii="宋体" w:hAnsi="宋体" w:cs="宋体"/>
          <w:b/>
          <w:szCs w:val="21"/>
        </w:rPr>
        <w:t>第十五条 合同的变更、终止与转让</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1. 除《中华人民共和国政府采购法》第五十条规定的情形外，本合同一经签订，甲乙双方不得擅自变更、中止或终止。</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2.未经甲方书面同意，乙方不得擅自转让（无进口资格的乙方委托进口货物除外）其应履行的合同义务。</w:t>
      </w:r>
    </w:p>
    <w:p>
      <w:pPr>
        <w:autoSpaceDE w:val="0"/>
        <w:snapToGrid w:val="0"/>
        <w:spacing w:line="400" w:lineRule="exact"/>
        <w:ind w:firstLine="422" w:firstLineChars="200"/>
        <w:rPr>
          <w:rFonts w:ascii="宋体" w:hAnsi="宋体" w:cs="宋体"/>
          <w:b/>
          <w:szCs w:val="21"/>
        </w:rPr>
      </w:pPr>
      <w:r>
        <w:rPr>
          <w:rFonts w:hint="eastAsia" w:ascii="宋体" w:hAnsi="宋体" w:cs="宋体"/>
          <w:b/>
          <w:szCs w:val="21"/>
        </w:rPr>
        <w:t>第十六条 签订本合同依据</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1.政府采购文件；</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2.乙方提供的投标文件；</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3.响应承诺书；</w:t>
      </w:r>
    </w:p>
    <w:p>
      <w:pPr>
        <w:autoSpaceDE w:val="0"/>
        <w:snapToGrid w:val="0"/>
        <w:spacing w:line="400" w:lineRule="exact"/>
        <w:ind w:firstLine="420" w:firstLineChars="200"/>
        <w:rPr>
          <w:rFonts w:ascii="宋体" w:hAnsi="宋体" w:cs="宋体"/>
          <w:szCs w:val="21"/>
        </w:rPr>
      </w:pPr>
      <w:r>
        <w:rPr>
          <w:rFonts w:hint="eastAsia" w:ascii="宋体" w:hAnsi="宋体" w:cs="宋体"/>
          <w:szCs w:val="21"/>
        </w:rPr>
        <w:t>4.中标通知书。</w:t>
      </w:r>
    </w:p>
    <w:p>
      <w:pPr>
        <w:autoSpaceDE w:val="0"/>
        <w:spacing w:line="400" w:lineRule="exact"/>
        <w:ind w:firstLine="420"/>
        <w:rPr>
          <w:rFonts w:ascii="宋体" w:hAnsi="宋体" w:cs="宋体"/>
          <w:szCs w:val="21"/>
        </w:rPr>
      </w:pPr>
      <w:r>
        <w:rPr>
          <w:rFonts w:hint="eastAsia" w:ascii="宋体" w:hAnsi="宋体" w:cs="宋体"/>
          <w:b/>
          <w:szCs w:val="21"/>
        </w:rPr>
        <w:t xml:space="preserve">第十七条 </w:t>
      </w:r>
      <w:r>
        <w:rPr>
          <w:rFonts w:hint="eastAsia" w:ascii="宋体" w:hAnsi="宋体" w:cs="宋体"/>
          <w:szCs w:val="21"/>
        </w:rPr>
        <w:t>本合同一式七份，具有同等法律效力，甲方执四份，乙方执二份，采购代理机构一份。</w:t>
      </w:r>
    </w:p>
    <w:tbl>
      <w:tblPr>
        <w:tblStyle w:val="49"/>
        <w:tblW w:w="4956"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25"/>
        <w:gridCol w:w="4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0" w:hRule="atLeast"/>
        </w:trPr>
        <w:tc>
          <w:tcPr>
            <w:tcW w:w="2499"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宋体" w:hAnsi="宋体" w:cs="宋体"/>
                <w:szCs w:val="21"/>
              </w:rPr>
            </w:pPr>
            <w:r>
              <w:rPr>
                <w:rFonts w:hint="eastAsia" w:ascii="宋体" w:hAnsi="宋体" w:cs="宋体"/>
                <w:szCs w:val="21"/>
              </w:rPr>
              <w:t xml:space="preserve">甲方（章）广西工业职业技术学院           </w:t>
            </w:r>
          </w:p>
          <w:p>
            <w:pPr>
              <w:snapToGrid w:val="0"/>
              <w:spacing w:line="400" w:lineRule="exact"/>
              <w:rPr>
                <w:rFonts w:ascii="宋体" w:hAnsi="宋体" w:cs="宋体"/>
                <w:szCs w:val="21"/>
              </w:rPr>
            </w:pPr>
          </w:p>
          <w:p>
            <w:pPr>
              <w:snapToGrid w:val="0"/>
              <w:spacing w:line="400" w:lineRule="exact"/>
              <w:ind w:firstLine="945" w:firstLineChars="450"/>
              <w:jc w:val="right"/>
              <w:rPr>
                <w:rFonts w:ascii="宋体" w:hAnsi="宋体" w:cs="宋体"/>
                <w:szCs w:val="21"/>
              </w:rPr>
            </w:pPr>
            <w:r>
              <w:rPr>
                <w:rFonts w:hint="eastAsia" w:ascii="宋体" w:hAnsi="宋体" w:cs="宋体"/>
                <w:szCs w:val="21"/>
              </w:rPr>
              <w:t>年   月   日</w:t>
            </w:r>
          </w:p>
        </w:tc>
        <w:tc>
          <w:tcPr>
            <w:tcW w:w="2500"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宋体" w:hAnsi="宋体" w:cs="宋体"/>
                <w:szCs w:val="21"/>
              </w:rPr>
            </w:pPr>
            <w:r>
              <w:rPr>
                <w:rFonts w:hint="eastAsia" w:ascii="宋体" w:hAnsi="宋体" w:cs="宋体"/>
                <w:szCs w:val="21"/>
              </w:rPr>
              <w:t>乙方（章）</w:t>
            </w:r>
          </w:p>
          <w:p>
            <w:pPr>
              <w:snapToGrid w:val="0"/>
              <w:spacing w:line="400" w:lineRule="exact"/>
              <w:rPr>
                <w:rFonts w:ascii="宋体" w:hAnsi="宋体" w:cs="宋体"/>
                <w:szCs w:val="21"/>
              </w:rPr>
            </w:pPr>
            <w:r>
              <w:rPr>
                <w:rFonts w:hint="eastAsia" w:ascii="宋体" w:hAnsi="宋体" w:cs="宋体"/>
                <w:szCs w:val="21"/>
              </w:rPr>
              <w:t xml:space="preserve">              </w:t>
            </w:r>
          </w:p>
          <w:p>
            <w:pPr>
              <w:snapToGrid w:val="0"/>
              <w:spacing w:line="400" w:lineRule="exact"/>
              <w:rPr>
                <w:rFonts w:ascii="宋体" w:hAnsi="宋体" w:cs="宋体"/>
                <w:szCs w:val="21"/>
              </w:rPr>
            </w:pPr>
          </w:p>
          <w:p>
            <w:pPr>
              <w:snapToGrid w:val="0"/>
              <w:spacing w:line="400" w:lineRule="exact"/>
              <w:jc w:val="right"/>
              <w:rPr>
                <w:rFonts w:ascii="宋体" w:hAnsi="宋体" w:cs="宋体"/>
                <w:szCs w:val="21"/>
              </w:rPr>
            </w:pPr>
            <w:r>
              <w:rPr>
                <w:rFonts w:hint="eastAsia" w:ascii="宋体" w:hAnsi="宋体" w:cs="宋体"/>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trPr>
        <w:tc>
          <w:tcPr>
            <w:tcW w:w="2499"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宋体" w:hAnsi="宋体" w:cs="宋体"/>
                <w:szCs w:val="21"/>
              </w:rPr>
            </w:pPr>
            <w:r>
              <w:rPr>
                <w:rFonts w:hint="eastAsia" w:ascii="宋体" w:hAnsi="宋体" w:cs="宋体"/>
                <w:szCs w:val="21"/>
              </w:rPr>
              <w:t>单位地址：广西南宁市西乡塘区秀灵路37号</w:t>
            </w:r>
          </w:p>
        </w:tc>
        <w:tc>
          <w:tcPr>
            <w:tcW w:w="2500"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宋体" w:hAnsi="宋体" w:cs="宋体"/>
                <w:szCs w:val="21"/>
              </w:rPr>
            </w:pPr>
            <w:r>
              <w:rPr>
                <w:rFonts w:hint="eastAsia" w:ascii="宋体" w:hAnsi="宋体" w:cs="宋体"/>
                <w:szCs w:val="21"/>
              </w:rPr>
              <w:t xml:space="preserve">单位地址：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0" w:hRule="atLeast"/>
        </w:trPr>
        <w:tc>
          <w:tcPr>
            <w:tcW w:w="2499"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宋体" w:hAnsi="宋体" w:cs="宋体"/>
                <w:szCs w:val="21"/>
              </w:rPr>
            </w:pPr>
            <w:r>
              <w:rPr>
                <w:rFonts w:hint="eastAsia" w:ascii="宋体" w:hAnsi="宋体" w:cs="宋体"/>
                <w:szCs w:val="21"/>
              </w:rPr>
              <w:t>法定代表人或</w:t>
            </w:r>
          </w:p>
          <w:p>
            <w:pPr>
              <w:snapToGrid w:val="0"/>
              <w:spacing w:line="400" w:lineRule="exact"/>
              <w:rPr>
                <w:rFonts w:ascii="宋体" w:hAnsi="宋体" w:cs="宋体"/>
                <w:szCs w:val="21"/>
              </w:rPr>
            </w:pPr>
            <w:r>
              <w:rPr>
                <w:rFonts w:hint="eastAsia" w:ascii="宋体" w:hAnsi="宋体" w:cs="宋体"/>
                <w:szCs w:val="21"/>
              </w:rPr>
              <w:t>委托代理人：</w:t>
            </w:r>
          </w:p>
        </w:tc>
        <w:tc>
          <w:tcPr>
            <w:tcW w:w="2500"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宋体" w:hAnsi="宋体" w:cs="宋体"/>
                <w:szCs w:val="21"/>
              </w:rPr>
            </w:pPr>
            <w:r>
              <w:rPr>
                <w:rFonts w:hint="eastAsia" w:ascii="宋体" w:hAnsi="宋体" w:cs="宋体"/>
                <w:szCs w:val="21"/>
              </w:rPr>
              <w:t>法定代表人或</w:t>
            </w:r>
          </w:p>
          <w:p>
            <w:pPr>
              <w:snapToGrid w:val="0"/>
              <w:spacing w:line="400" w:lineRule="exact"/>
              <w:rPr>
                <w:rFonts w:ascii="宋体" w:hAnsi="宋体" w:cs="宋体"/>
                <w:szCs w:val="21"/>
              </w:rPr>
            </w:pPr>
            <w:r>
              <w:rPr>
                <w:rFonts w:hint="eastAsia" w:ascii="宋体" w:hAnsi="宋体" w:cs="宋体"/>
                <w:szCs w:val="21"/>
              </w:rPr>
              <w:t>委托代理人：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trPr>
        <w:tc>
          <w:tcPr>
            <w:tcW w:w="2499"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宋体" w:hAnsi="宋体" w:cs="宋体"/>
                <w:szCs w:val="21"/>
              </w:rPr>
            </w:pPr>
            <w:r>
              <w:rPr>
                <w:rFonts w:hint="eastAsia" w:ascii="宋体" w:hAnsi="宋体" w:cs="宋体"/>
                <w:szCs w:val="21"/>
              </w:rPr>
              <w:t>电话：0771-2521502</w:t>
            </w:r>
          </w:p>
        </w:tc>
        <w:tc>
          <w:tcPr>
            <w:tcW w:w="2500"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宋体" w:hAnsi="宋体" w:cs="宋体"/>
                <w:szCs w:val="21"/>
              </w:rPr>
            </w:pPr>
            <w:r>
              <w:rPr>
                <w:rFonts w:hint="eastAsia" w:ascii="宋体" w:hAnsi="宋体" w:cs="宋体"/>
                <w:szCs w:val="21"/>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trPr>
        <w:tc>
          <w:tcPr>
            <w:tcW w:w="2499"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宋体" w:hAnsi="宋体" w:cs="宋体"/>
                <w:szCs w:val="21"/>
              </w:rPr>
            </w:pPr>
            <w:r>
              <w:rPr>
                <w:rFonts w:hint="eastAsia" w:ascii="宋体" w:hAnsi="宋体" w:cs="宋体"/>
                <w:szCs w:val="21"/>
              </w:rPr>
              <w:t>电子邮箱：-</w:t>
            </w:r>
          </w:p>
        </w:tc>
        <w:tc>
          <w:tcPr>
            <w:tcW w:w="2500"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宋体" w:hAnsi="宋体" w:cs="宋体"/>
                <w:szCs w:val="21"/>
              </w:rPr>
            </w:pPr>
            <w:r>
              <w:rPr>
                <w:rFonts w:hint="eastAsia" w:ascii="宋体" w:hAnsi="宋体" w:cs="宋体"/>
                <w:szCs w:val="21"/>
              </w:rPr>
              <w:t>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trPr>
        <w:tc>
          <w:tcPr>
            <w:tcW w:w="2499"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宋体" w:hAnsi="宋体" w:cs="宋体"/>
                <w:szCs w:val="21"/>
              </w:rPr>
            </w:pPr>
            <w:r>
              <w:rPr>
                <w:rFonts w:hint="eastAsia" w:ascii="宋体" w:hAnsi="宋体" w:cs="宋体"/>
                <w:szCs w:val="21"/>
              </w:rPr>
              <w:t>开户银行：建行南宁市汇春路支行</w:t>
            </w:r>
          </w:p>
        </w:tc>
        <w:tc>
          <w:tcPr>
            <w:tcW w:w="2500"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宋体" w:hAnsi="宋体" w:cs="宋体"/>
                <w:szCs w:val="21"/>
              </w:rPr>
            </w:pPr>
            <w:r>
              <w:rPr>
                <w:rFonts w:hint="eastAsia" w:ascii="宋体" w:hAnsi="宋体" w:cs="宋体"/>
                <w:szCs w:val="21"/>
              </w:rPr>
              <w:t xml:space="preserve">开户银行：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trPr>
        <w:tc>
          <w:tcPr>
            <w:tcW w:w="2499"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宋体" w:hAnsi="宋体" w:cs="宋体"/>
                <w:szCs w:val="21"/>
              </w:rPr>
            </w:pPr>
            <w:r>
              <w:rPr>
                <w:rFonts w:hint="eastAsia" w:ascii="宋体" w:hAnsi="宋体" w:cs="宋体"/>
                <w:szCs w:val="21"/>
              </w:rPr>
              <w:t>账号：4500 1604 5680 5070 0256</w:t>
            </w:r>
          </w:p>
        </w:tc>
        <w:tc>
          <w:tcPr>
            <w:tcW w:w="2500"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宋体" w:hAnsi="宋体" w:cs="宋体"/>
                <w:szCs w:val="21"/>
              </w:rPr>
            </w:pPr>
            <w:r>
              <w:rPr>
                <w:rFonts w:hint="eastAsia" w:ascii="宋体" w:hAnsi="宋体" w:cs="宋体"/>
                <w:szCs w:val="21"/>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trPr>
        <w:tc>
          <w:tcPr>
            <w:tcW w:w="2499" w:type="pct"/>
            <w:tcBorders>
              <w:top w:val="single" w:color="auto" w:sz="4" w:space="0"/>
              <w:left w:val="single" w:color="auto" w:sz="4" w:space="0"/>
              <w:bottom w:val="single" w:color="auto" w:sz="4" w:space="0"/>
              <w:right w:val="single" w:color="auto" w:sz="4" w:space="0"/>
            </w:tcBorders>
            <w:vAlign w:val="center"/>
          </w:tcPr>
          <w:p>
            <w:pPr>
              <w:snapToGrid w:val="0"/>
              <w:rPr>
                <w:rFonts w:ascii="宋体" w:hAnsi="宋体" w:cs="宋体"/>
                <w:szCs w:val="21"/>
              </w:rPr>
            </w:pPr>
            <w:r>
              <w:rPr>
                <w:rFonts w:hint="eastAsia" w:ascii="宋体" w:hAnsi="宋体" w:cs="宋体"/>
                <w:szCs w:val="21"/>
              </w:rPr>
              <w:t>纳税人识别号或统一社会信用代码：12450000729765876F</w:t>
            </w:r>
          </w:p>
        </w:tc>
        <w:tc>
          <w:tcPr>
            <w:tcW w:w="2500" w:type="pct"/>
            <w:tcBorders>
              <w:top w:val="single" w:color="auto" w:sz="4" w:space="0"/>
              <w:left w:val="single" w:color="auto" w:sz="4" w:space="0"/>
              <w:bottom w:val="single" w:color="auto" w:sz="4" w:space="0"/>
              <w:right w:val="single" w:color="auto" w:sz="4" w:space="0"/>
            </w:tcBorders>
            <w:vAlign w:val="center"/>
          </w:tcPr>
          <w:p>
            <w:pPr>
              <w:snapToGrid w:val="0"/>
              <w:rPr>
                <w:rFonts w:ascii="宋体" w:hAnsi="宋体" w:cs="宋体"/>
                <w:szCs w:val="21"/>
              </w:rPr>
            </w:pPr>
            <w:r>
              <w:rPr>
                <w:rFonts w:hint="eastAsia" w:ascii="宋体" w:hAnsi="宋体" w:cs="宋体"/>
                <w:szCs w:val="21"/>
              </w:rPr>
              <w:t>纳税人识别号或统一社会信用代码：</w:t>
            </w:r>
          </w:p>
          <w:p>
            <w:pPr>
              <w:snapToGrid w:val="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7" w:hRule="atLeast"/>
        </w:trPr>
        <w:tc>
          <w:tcPr>
            <w:tcW w:w="2499"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宋体" w:hAnsi="宋体" w:cs="宋体"/>
                <w:szCs w:val="21"/>
              </w:rPr>
            </w:pPr>
            <w:r>
              <w:rPr>
                <w:rFonts w:hint="eastAsia" w:ascii="宋体" w:hAnsi="宋体" w:cs="宋体"/>
                <w:szCs w:val="21"/>
              </w:rPr>
              <w:t>邮政编码：530028</w:t>
            </w:r>
          </w:p>
        </w:tc>
        <w:tc>
          <w:tcPr>
            <w:tcW w:w="2500"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宋体" w:hAnsi="宋体" w:cs="宋体"/>
                <w:szCs w:val="21"/>
              </w:rPr>
            </w:pPr>
            <w:r>
              <w:rPr>
                <w:rFonts w:hint="eastAsia" w:ascii="宋体" w:hAnsi="宋体" w:cs="宋体"/>
                <w:szCs w:val="21"/>
              </w:rPr>
              <w:t>邮政编码：</w:t>
            </w:r>
          </w:p>
        </w:tc>
      </w:tr>
    </w:tbl>
    <w:p>
      <w:pPr>
        <w:snapToGrid w:val="0"/>
        <w:spacing w:line="360" w:lineRule="auto"/>
        <w:rPr>
          <w:rFonts w:ascii="宋体" w:hAnsi="宋体"/>
          <w:sz w:val="24"/>
        </w:rPr>
      </w:pPr>
      <w:r>
        <w:rPr>
          <w:rFonts w:hint="eastAsia" w:ascii="宋体" w:hAnsi="宋体"/>
          <w:sz w:val="24"/>
        </w:rPr>
        <w:t xml:space="preserve"> </w:t>
      </w:r>
    </w:p>
    <w:p>
      <w:pPr>
        <w:tabs>
          <w:tab w:val="left" w:pos="180"/>
          <w:tab w:val="left" w:pos="1620"/>
        </w:tabs>
        <w:spacing w:line="340" w:lineRule="exact"/>
        <w:outlineLvl w:val="0"/>
        <w:rPr>
          <w:rFonts w:ascii="宋体" w:hAnsi="宋体"/>
          <w:b/>
          <w:bCs/>
          <w:sz w:val="24"/>
        </w:rPr>
      </w:pPr>
      <w:r>
        <w:rPr>
          <w:rFonts w:hint="eastAsia" w:ascii="宋体" w:hAnsi="宋体"/>
          <w:b/>
          <w:bCs/>
          <w:sz w:val="24"/>
        </w:rPr>
        <w:t xml:space="preserve"> </w:t>
      </w:r>
    </w:p>
    <w:p>
      <w:pPr>
        <w:spacing w:line="520" w:lineRule="exact"/>
        <w:rPr>
          <w:rFonts w:ascii="宋体" w:hAnsi="宋体"/>
          <w:bCs/>
          <w:sz w:val="32"/>
          <w:szCs w:val="32"/>
        </w:rPr>
      </w:pPr>
      <w:r>
        <w:rPr>
          <w:rFonts w:ascii="宋体" w:hAnsi="宋体"/>
          <w:szCs w:val="21"/>
        </w:rPr>
        <w:br w:type="page"/>
      </w:r>
    </w:p>
    <w:p>
      <w:pPr>
        <w:snapToGrid w:val="0"/>
        <w:spacing w:line="480" w:lineRule="auto"/>
        <w:rPr>
          <w:rFonts w:ascii="宋体" w:hAnsi="宋体"/>
          <w:bCs/>
          <w:sz w:val="32"/>
          <w:szCs w:val="32"/>
        </w:rPr>
      </w:pPr>
    </w:p>
    <w:p>
      <w:pPr>
        <w:snapToGrid w:val="0"/>
        <w:jc w:val="center"/>
        <w:rPr>
          <w:rFonts w:ascii="宋体" w:hAnsi="宋体"/>
          <w:bCs/>
          <w:sz w:val="32"/>
          <w:szCs w:val="32"/>
        </w:rPr>
      </w:pPr>
    </w:p>
    <w:p>
      <w:pPr>
        <w:snapToGrid w:val="0"/>
        <w:jc w:val="center"/>
        <w:rPr>
          <w:rFonts w:ascii="宋体" w:hAnsi="宋体"/>
          <w:bCs/>
          <w:sz w:val="32"/>
          <w:szCs w:val="32"/>
        </w:rPr>
      </w:pPr>
    </w:p>
    <w:p>
      <w:pPr>
        <w:snapToGrid w:val="0"/>
        <w:jc w:val="center"/>
        <w:rPr>
          <w:rFonts w:ascii="宋体" w:hAnsi="宋体"/>
          <w:bCs/>
          <w:sz w:val="32"/>
          <w:szCs w:val="32"/>
        </w:rPr>
      </w:pPr>
    </w:p>
    <w:p>
      <w:pPr>
        <w:snapToGrid w:val="0"/>
        <w:jc w:val="center"/>
        <w:rPr>
          <w:rFonts w:ascii="宋体" w:hAnsi="宋体"/>
          <w:bCs/>
          <w:sz w:val="32"/>
          <w:szCs w:val="32"/>
        </w:rPr>
      </w:pPr>
    </w:p>
    <w:p>
      <w:pPr>
        <w:snapToGrid w:val="0"/>
        <w:jc w:val="center"/>
        <w:rPr>
          <w:rFonts w:ascii="宋体" w:hAnsi="宋体"/>
          <w:bCs/>
          <w:sz w:val="32"/>
          <w:szCs w:val="32"/>
        </w:rPr>
      </w:pPr>
    </w:p>
    <w:p>
      <w:pPr>
        <w:snapToGrid w:val="0"/>
        <w:jc w:val="center"/>
        <w:rPr>
          <w:rFonts w:ascii="宋体" w:hAnsi="宋体"/>
          <w:bCs/>
          <w:sz w:val="32"/>
          <w:szCs w:val="32"/>
        </w:rPr>
      </w:pPr>
    </w:p>
    <w:p>
      <w:pPr>
        <w:snapToGrid w:val="0"/>
        <w:jc w:val="center"/>
        <w:rPr>
          <w:rFonts w:ascii="宋体" w:hAnsi="宋体"/>
          <w:bCs/>
          <w:sz w:val="32"/>
          <w:szCs w:val="32"/>
        </w:rPr>
      </w:pPr>
    </w:p>
    <w:p>
      <w:pPr>
        <w:snapToGrid w:val="0"/>
        <w:jc w:val="center"/>
        <w:rPr>
          <w:rFonts w:ascii="宋体" w:hAnsi="宋体"/>
          <w:bCs/>
          <w:sz w:val="32"/>
          <w:szCs w:val="32"/>
        </w:rPr>
      </w:pPr>
    </w:p>
    <w:p>
      <w:pPr>
        <w:snapToGrid w:val="0"/>
        <w:jc w:val="center"/>
        <w:rPr>
          <w:rFonts w:ascii="宋体" w:hAnsi="宋体"/>
          <w:bCs/>
          <w:sz w:val="32"/>
          <w:szCs w:val="32"/>
        </w:rPr>
      </w:pPr>
    </w:p>
    <w:p>
      <w:pPr>
        <w:snapToGrid w:val="0"/>
        <w:jc w:val="center"/>
        <w:rPr>
          <w:rFonts w:ascii="宋体" w:hAnsi="宋体"/>
          <w:bCs/>
          <w:sz w:val="32"/>
          <w:szCs w:val="32"/>
        </w:rPr>
      </w:pPr>
    </w:p>
    <w:p>
      <w:pPr>
        <w:pStyle w:val="2"/>
        <w:jc w:val="center"/>
      </w:pPr>
      <w:bookmarkStart w:id="191" w:name="_Toc25289"/>
      <w:r>
        <w:rPr>
          <w:rFonts w:hint="eastAsia"/>
        </w:rPr>
        <w:t>第六章　投标文件格式</w:t>
      </w:r>
      <w:bookmarkEnd w:id="191"/>
    </w:p>
    <w:p>
      <w:pPr>
        <w:snapToGrid w:val="0"/>
        <w:spacing w:before="50" w:after="50"/>
        <w:outlineLvl w:val="1"/>
        <w:rPr>
          <w:rFonts w:ascii="宋体" w:hAnsi="宋体"/>
          <w:sz w:val="32"/>
          <w:szCs w:val="20"/>
        </w:rPr>
      </w:pPr>
    </w:p>
    <w:p>
      <w:pPr>
        <w:snapToGrid w:val="0"/>
        <w:spacing w:before="50" w:after="50"/>
        <w:outlineLvl w:val="1"/>
        <w:rPr>
          <w:rFonts w:ascii="宋体" w:hAnsi="宋体"/>
          <w:sz w:val="32"/>
          <w:szCs w:val="20"/>
        </w:rPr>
      </w:pPr>
    </w:p>
    <w:p>
      <w:pPr>
        <w:snapToGrid w:val="0"/>
        <w:spacing w:before="50" w:after="50"/>
        <w:outlineLvl w:val="1"/>
        <w:rPr>
          <w:rFonts w:ascii="宋体" w:hAnsi="宋体"/>
          <w:sz w:val="32"/>
          <w:szCs w:val="20"/>
        </w:rPr>
      </w:pPr>
    </w:p>
    <w:p>
      <w:pPr>
        <w:snapToGrid w:val="0"/>
        <w:spacing w:before="50" w:after="50"/>
        <w:outlineLvl w:val="1"/>
        <w:rPr>
          <w:rFonts w:ascii="宋体" w:hAnsi="宋体"/>
          <w:sz w:val="32"/>
          <w:szCs w:val="20"/>
        </w:rPr>
      </w:pPr>
    </w:p>
    <w:p>
      <w:pPr>
        <w:snapToGrid w:val="0"/>
        <w:spacing w:before="50" w:after="50"/>
        <w:outlineLvl w:val="1"/>
        <w:rPr>
          <w:rFonts w:ascii="宋体" w:hAnsi="宋体"/>
          <w:sz w:val="32"/>
          <w:szCs w:val="20"/>
        </w:rPr>
      </w:pPr>
    </w:p>
    <w:p>
      <w:pPr>
        <w:snapToGrid w:val="0"/>
        <w:spacing w:before="50" w:after="50"/>
        <w:outlineLvl w:val="1"/>
        <w:rPr>
          <w:rFonts w:ascii="宋体" w:hAnsi="宋体"/>
          <w:sz w:val="32"/>
          <w:szCs w:val="20"/>
        </w:rPr>
      </w:pPr>
    </w:p>
    <w:p>
      <w:pPr>
        <w:snapToGrid w:val="0"/>
        <w:spacing w:before="50" w:after="50"/>
        <w:outlineLvl w:val="1"/>
        <w:rPr>
          <w:rFonts w:ascii="宋体" w:hAnsi="宋体"/>
          <w:sz w:val="32"/>
          <w:szCs w:val="20"/>
        </w:rPr>
      </w:pPr>
    </w:p>
    <w:p>
      <w:pPr>
        <w:snapToGrid w:val="0"/>
        <w:spacing w:before="50" w:after="50"/>
        <w:outlineLvl w:val="1"/>
        <w:rPr>
          <w:rFonts w:ascii="宋体" w:hAnsi="宋体"/>
          <w:sz w:val="32"/>
          <w:szCs w:val="20"/>
        </w:rPr>
      </w:pPr>
    </w:p>
    <w:p>
      <w:pPr>
        <w:snapToGrid w:val="0"/>
        <w:spacing w:before="50" w:after="50"/>
        <w:outlineLvl w:val="1"/>
        <w:rPr>
          <w:rFonts w:ascii="宋体" w:hAnsi="宋体"/>
          <w:sz w:val="32"/>
          <w:szCs w:val="20"/>
        </w:rPr>
      </w:pPr>
    </w:p>
    <w:p>
      <w:pPr>
        <w:snapToGrid w:val="0"/>
        <w:spacing w:before="50" w:after="50"/>
        <w:outlineLvl w:val="1"/>
        <w:rPr>
          <w:rFonts w:ascii="宋体" w:hAnsi="宋体"/>
          <w:sz w:val="32"/>
          <w:szCs w:val="20"/>
        </w:rPr>
      </w:pPr>
    </w:p>
    <w:p>
      <w:pPr>
        <w:snapToGrid w:val="0"/>
        <w:spacing w:before="50" w:after="50"/>
        <w:outlineLvl w:val="1"/>
        <w:rPr>
          <w:rFonts w:ascii="宋体" w:hAnsi="宋体"/>
          <w:sz w:val="32"/>
          <w:szCs w:val="20"/>
        </w:rPr>
      </w:pPr>
    </w:p>
    <w:p>
      <w:pPr>
        <w:snapToGrid w:val="0"/>
        <w:spacing w:before="50" w:after="50"/>
        <w:outlineLvl w:val="1"/>
        <w:rPr>
          <w:rFonts w:ascii="宋体" w:hAnsi="宋体"/>
          <w:sz w:val="32"/>
          <w:szCs w:val="20"/>
        </w:rPr>
      </w:pPr>
    </w:p>
    <w:p>
      <w:pPr>
        <w:snapToGrid w:val="0"/>
        <w:spacing w:before="50" w:after="50"/>
        <w:outlineLvl w:val="1"/>
        <w:rPr>
          <w:rFonts w:ascii="宋体" w:hAnsi="宋体"/>
          <w:sz w:val="32"/>
          <w:szCs w:val="20"/>
        </w:rPr>
      </w:pPr>
      <w:r>
        <w:rPr>
          <w:sz w:val="32"/>
          <w:szCs w:val="20"/>
        </w:rPr>
        <w:br w:type="page"/>
      </w:r>
    </w:p>
    <w:p>
      <w:pPr>
        <w:snapToGrid w:val="0"/>
        <w:spacing w:before="120" w:beforeLines="50" w:after="50"/>
        <w:jc w:val="center"/>
        <w:outlineLvl w:val="1"/>
        <w:rPr>
          <w:rFonts w:ascii="宋体" w:hAnsi="宋体"/>
        </w:rPr>
      </w:pPr>
    </w:p>
    <w:p>
      <w:pPr>
        <w:rPr>
          <w:b/>
          <w:sz w:val="28"/>
          <w:szCs w:val="28"/>
        </w:rPr>
      </w:pPr>
      <w:bookmarkStart w:id="192" w:name="_Toc19686836"/>
      <w:bookmarkStart w:id="193" w:name="_Toc254970698"/>
      <w:bookmarkStart w:id="194" w:name="_Toc254970557"/>
      <w:r>
        <w:rPr>
          <w:rFonts w:hint="eastAsia"/>
          <w:b/>
          <w:sz w:val="28"/>
          <w:szCs w:val="28"/>
        </w:rPr>
        <w:t>一、报价文件格式</w:t>
      </w:r>
      <w:bookmarkEnd w:id="192"/>
    </w:p>
    <w:p>
      <w:pPr>
        <w:snapToGrid w:val="0"/>
        <w:spacing w:before="120" w:beforeLines="50" w:after="50" w:line="360" w:lineRule="auto"/>
        <w:ind w:left="142"/>
        <w:jc w:val="left"/>
        <w:rPr>
          <w:rFonts w:ascii="宋体" w:hAnsi="宋体"/>
          <w:b/>
          <w:sz w:val="24"/>
        </w:rPr>
      </w:pPr>
      <w:r>
        <w:rPr>
          <w:rFonts w:hint="eastAsia" w:ascii="宋体" w:hAnsi="宋体"/>
          <w:b/>
          <w:sz w:val="24"/>
        </w:rPr>
        <w:t xml:space="preserve">1. 报价文件封面格式： </w:t>
      </w:r>
    </w:p>
    <w:p>
      <w:pPr>
        <w:snapToGrid w:val="0"/>
        <w:spacing w:before="120" w:beforeLines="50" w:after="50" w:line="360" w:lineRule="auto"/>
        <w:ind w:left="142"/>
        <w:jc w:val="center"/>
        <w:rPr>
          <w:rFonts w:ascii="宋体" w:hAnsi="宋体" w:eastAsia="方正小标宋简体"/>
          <w:bCs/>
          <w:sz w:val="48"/>
          <w:szCs w:val="48"/>
        </w:rPr>
      </w:pPr>
      <w:r>
        <w:rPr>
          <w:rFonts w:hint="eastAsia" w:ascii="宋体" w:hAnsi="宋体" w:eastAsia="方正小标宋简体"/>
          <w:bCs/>
          <w:sz w:val="48"/>
          <w:szCs w:val="48"/>
        </w:rPr>
        <w:t>电子投标文件</w:t>
      </w:r>
    </w:p>
    <w:p>
      <w:pPr>
        <w:snapToGrid w:val="0"/>
        <w:spacing w:before="120" w:beforeLines="50" w:after="50" w:line="400" w:lineRule="exact"/>
        <w:jc w:val="left"/>
        <w:rPr>
          <w:rFonts w:ascii="宋体" w:hAnsi="宋体" w:eastAsia="方正小标宋简体"/>
          <w:bCs/>
          <w:sz w:val="48"/>
          <w:szCs w:val="48"/>
        </w:rPr>
      </w:pPr>
    </w:p>
    <w:p>
      <w:pPr>
        <w:snapToGrid w:val="0"/>
        <w:spacing w:before="120" w:beforeLines="50" w:after="50" w:line="4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报  价  文  件</w:t>
      </w:r>
    </w:p>
    <w:p>
      <w:pPr>
        <w:snapToGrid w:val="0"/>
        <w:spacing w:before="120" w:beforeLines="50" w:after="50" w:line="400" w:lineRule="exact"/>
        <w:rPr>
          <w:rFonts w:ascii="宋体" w:hAnsi="宋体"/>
          <w:bCs/>
          <w:sz w:val="24"/>
          <w:szCs w:val="20"/>
        </w:rPr>
      </w:pPr>
    </w:p>
    <w:p>
      <w:pPr>
        <w:snapToGrid w:val="0"/>
        <w:spacing w:before="120" w:beforeLines="50" w:after="50" w:line="400" w:lineRule="exact"/>
        <w:rPr>
          <w:rFonts w:ascii="宋体" w:hAnsi="宋体"/>
          <w:bCs/>
          <w:sz w:val="24"/>
          <w:szCs w:val="20"/>
        </w:rPr>
      </w:pPr>
    </w:p>
    <w:p>
      <w:pPr>
        <w:snapToGrid w:val="0"/>
        <w:spacing w:before="120" w:beforeLines="50" w:after="50" w:line="400" w:lineRule="exact"/>
        <w:rPr>
          <w:rFonts w:ascii="宋体" w:hAnsi="宋体"/>
          <w:bCs/>
          <w:sz w:val="24"/>
          <w:szCs w:val="20"/>
        </w:rPr>
      </w:pPr>
    </w:p>
    <w:p>
      <w:pPr>
        <w:snapToGrid w:val="0"/>
        <w:spacing w:before="120" w:beforeLines="50" w:after="50" w:line="400" w:lineRule="exact"/>
        <w:rPr>
          <w:rFonts w:ascii="宋体" w:hAnsi="宋体"/>
          <w:bCs/>
          <w:sz w:val="24"/>
          <w:szCs w:val="20"/>
        </w:rPr>
      </w:pPr>
    </w:p>
    <w:p>
      <w:pPr>
        <w:snapToGrid w:val="0"/>
        <w:spacing w:before="120" w:beforeLines="50" w:after="50" w:line="400" w:lineRule="exact"/>
        <w:ind w:firstLine="360" w:firstLineChars="150"/>
        <w:rPr>
          <w:rFonts w:ascii="宋体" w:hAnsi="宋体"/>
          <w:bCs/>
          <w:sz w:val="24"/>
        </w:rPr>
      </w:pPr>
      <w:r>
        <w:rPr>
          <w:rFonts w:hint="eastAsia" w:ascii="宋体" w:hAnsi="宋体"/>
          <w:bCs/>
          <w:sz w:val="24"/>
        </w:rPr>
        <w:t xml:space="preserve">项目名称： </w:t>
      </w:r>
    </w:p>
    <w:p>
      <w:pPr>
        <w:snapToGrid w:val="0"/>
        <w:spacing w:before="120" w:beforeLines="50" w:after="50" w:line="400" w:lineRule="exact"/>
        <w:ind w:firstLine="360" w:firstLineChars="150"/>
        <w:rPr>
          <w:rFonts w:ascii="宋体" w:hAnsi="宋体"/>
          <w:bCs/>
          <w:sz w:val="24"/>
        </w:rPr>
      </w:pPr>
    </w:p>
    <w:p>
      <w:pPr>
        <w:snapToGrid w:val="0"/>
        <w:spacing w:before="120" w:beforeLines="50" w:after="50" w:line="400" w:lineRule="exact"/>
        <w:ind w:firstLine="360" w:firstLineChars="150"/>
        <w:rPr>
          <w:rFonts w:ascii="宋体" w:hAnsi="宋体"/>
          <w:bCs/>
          <w:sz w:val="24"/>
        </w:rPr>
      </w:pPr>
      <w:r>
        <w:rPr>
          <w:rFonts w:hint="eastAsia" w:ascii="宋体" w:hAnsi="宋体"/>
          <w:bCs/>
          <w:sz w:val="24"/>
        </w:rPr>
        <w:t xml:space="preserve">项目编号： </w:t>
      </w:r>
    </w:p>
    <w:p>
      <w:pPr>
        <w:snapToGrid w:val="0"/>
        <w:spacing w:before="120" w:beforeLines="50" w:after="50" w:line="400" w:lineRule="exact"/>
        <w:ind w:firstLine="360" w:firstLineChars="150"/>
        <w:rPr>
          <w:rFonts w:ascii="宋体" w:hAnsi="宋体"/>
          <w:bCs/>
          <w:sz w:val="24"/>
        </w:rPr>
      </w:pPr>
    </w:p>
    <w:p>
      <w:pPr>
        <w:snapToGrid w:val="0"/>
        <w:spacing w:before="120" w:beforeLines="50" w:after="50" w:line="400" w:lineRule="exact"/>
        <w:ind w:firstLine="360" w:firstLineChars="150"/>
        <w:rPr>
          <w:rFonts w:ascii="宋体" w:hAnsi="宋体"/>
          <w:bCs/>
          <w:sz w:val="24"/>
        </w:rPr>
      </w:pPr>
      <w:r>
        <w:rPr>
          <w:rFonts w:hint="eastAsia" w:ascii="宋体" w:hAnsi="宋体"/>
          <w:bCs/>
          <w:sz w:val="24"/>
        </w:rPr>
        <w:t>所投分标：</w:t>
      </w:r>
    </w:p>
    <w:p>
      <w:pPr>
        <w:snapToGrid w:val="0"/>
        <w:spacing w:before="120" w:beforeLines="50" w:after="50" w:line="400" w:lineRule="exact"/>
        <w:ind w:firstLine="360" w:firstLineChars="150"/>
        <w:rPr>
          <w:rFonts w:ascii="宋体" w:hAnsi="宋体"/>
          <w:bCs/>
          <w:sz w:val="24"/>
        </w:rPr>
      </w:pPr>
    </w:p>
    <w:p>
      <w:pPr>
        <w:snapToGrid w:val="0"/>
        <w:spacing w:before="120" w:beforeLines="50" w:after="50" w:line="400" w:lineRule="exact"/>
        <w:ind w:firstLine="360" w:firstLineChars="150"/>
        <w:rPr>
          <w:rFonts w:ascii="宋体" w:hAnsi="宋体"/>
          <w:bCs/>
          <w:sz w:val="24"/>
        </w:rPr>
      </w:pPr>
      <w:r>
        <w:rPr>
          <w:rFonts w:hint="eastAsia" w:ascii="宋体" w:hAnsi="宋体"/>
          <w:bCs/>
          <w:sz w:val="24"/>
        </w:rPr>
        <w:t>投标人名称：</w:t>
      </w:r>
    </w:p>
    <w:p>
      <w:pPr>
        <w:snapToGrid w:val="0"/>
        <w:spacing w:before="120" w:beforeLines="50" w:after="50" w:line="400" w:lineRule="exact"/>
        <w:ind w:firstLine="360" w:firstLineChars="150"/>
        <w:rPr>
          <w:rFonts w:ascii="宋体" w:hAnsi="宋体"/>
          <w:bCs/>
          <w:sz w:val="24"/>
        </w:rPr>
      </w:pPr>
    </w:p>
    <w:p>
      <w:pPr>
        <w:snapToGrid w:val="0"/>
        <w:spacing w:before="120" w:beforeLines="50" w:after="50" w:line="400" w:lineRule="exact"/>
        <w:ind w:firstLine="360" w:firstLineChars="150"/>
        <w:rPr>
          <w:rFonts w:ascii="宋体" w:hAnsi="宋体"/>
          <w:bCs/>
          <w:sz w:val="24"/>
        </w:rPr>
      </w:pPr>
      <w:r>
        <w:rPr>
          <w:rFonts w:hint="eastAsia" w:ascii="宋体" w:hAnsi="宋体"/>
          <w:bCs/>
          <w:sz w:val="24"/>
        </w:rPr>
        <w:t>投标人地址：</w:t>
      </w:r>
    </w:p>
    <w:p>
      <w:pPr>
        <w:pStyle w:val="7"/>
        <w:snapToGrid w:val="0"/>
        <w:spacing w:before="50" w:after="50" w:line="400" w:lineRule="exact"/>
        <w:ind w:firstLine="960" w:firstLineChars="400"/>
        <w:rPr>
          <w:rFonts w:ascii="宋体" w:hAnsi="宋体"/>
          <w:bCs/>
          <w:sz w:val="24"/>
          <w:szCs w:val="24"/>
        </w:rPr>
      </w:pPr>
    </w:p>
    <w:p>
      <w:pPr>
        <w:snapToGrid w:val="0"/>
        <w:spacing w:before="120" w:beforeLines="50" w:after="50" w:line="400" w:lineRule="exact"/>
        <w:rPr>
          <w:rFonts w:ascii="宋体" w:hAnsi="宋体"/>
          <w:sz w:val="30"/>
          <w:szCs w:val="20"/>
        </w:rPr>
      </w:pPr>
      <w:r>
        <w:rPr>
          <w:rFonts w:hint="eastAsia" w:ascii="宋体" w:hAnsi="宋体"/>
          <w:sz w:val="24"/>
        </w:rPr>
        <w:t xml:space="preserve">                                   年  月  日</w:t>
      </w:r>
    </w:p>
    <w:p>
      <w:pPr>
        <w:snapToGrid w:val="0"/>
        <w:spacing w:before="120" w:beforeLines="50" w:after="50" w:line="360" w:lineRule="auto"/>
        <w:jc w:val="left"/>
        <w:rPr>
          <w:rFonts w:ascii="宋体" w:hAnsi="宋体"/>
          <w:sz w:val="24"/>
          <w:szCs w:val="20"/>
        </w:rPr>
      </w:pPr>
      <w:r>
        <w:rPr>
          <w:rFonts w:ascii="宋体" w:hAnsi="宋体"/>
          <w:b/>
          <w:sz w:val="24"/>
        </w:rPr>
        <w:br w:type="page"/>
      </w:r>
      <w:r>
        <w:rPr>
          <w:rFonts w:hint="eastAsia" w:ascii="宋体" w:hAnsi="宋体"/>
          <w:b/>
          <w:sz w:val="24"/>
        </w:rPr>
        <w:t>2.</w:t>
      </w:r>
      <w:r>
        <w:rPr>
          <w:rFonts w:hint="eastAsia" w:ascii="宋体" w:hAnsi="宋体"/>
          <w:b/>
          <w:bCs/>
          <w:sz w:val="24"/>
        </w:rPr>
        <w:t>报价文件目录</w:t>
      </w:r>
    </w:p>
    <w:p>
      <w:pPr>
        <w:snapToGrid w:val="0"/>
        <w:spacing w:before="50" w:after="120" w:afterLines="50" w:line="360" w:lineRule="auto"/>
        <w:jc w:val="left"/>
        <w:rPr>
          <w:rFonts w:ascii="宋体" w:hAnsi="宋体"/>
          <w:b/>
          <w:sz w:val="24"/>
        </w:rPr>
      </w:pPr>
      <w:r>
        <w:rPr>
          <w:rFonts w:hint="eastAsia" w:ascii="宋体" w:hAnsi="宋体"/>
          <w:szCs w:val="21"/>
        </w:rPr>
        <w:t>根据招标文件规定及投标人提供的材料自行编写目录。</w:t>
      </w:r>
    </w:p>
    <w:p>
      <w:pPr>
        <w:snapToGrid w:val="0"/>
        <w:spacing w:before="120" w:beforeLines="50" w:after="50"/>
        <w:rPr>
          <w:rFonts w:ascii="宋体" w:hAnsi="宋体"/>
          <w:b/>
          <w:sz w:val="24"/>
        </w:rPr>
      </w:pPr>
    </w:p>
    <w:p>
      <w:pPr>
        <w:snapToGrid w:val="0"/>
        <w:spacing w:before="120" w:beforeLines="50" w:after="50"/>
        <w:rPr>
          <w:rFonts w:ascii="宋体" w:hAnsi="宋体"/>
          <w:b/>
          <w:sz w:val="24"/>
        </w:rPr>
      </w:pPr>
    </w:p>
    <w:p>
      <w:pPr>
        <w:snapToGrid w:val="0"/>
        <w:spacing w:before="120" w:beforeLines="50" w:after="50"/>
        <w:rPr>
          <w:rFonts w:ascii="宋体" w:hAnsi="宋体"/>
          <w:b/>
          <w:sz w:val="24"/>
        </w:rPr>
      </w:pPr>
    </w:p>
    <w:p>
      <w:pPr>
        <w:snapToGrid w:val="0"/>
        <w:spacing w:before="120" w:beforeLines="50" w:after="50"/>
        <w:ind w:left="142"/>
        <w:jc w:val="left"/>
        <w:rPr>
          <w:rFonts w:ascii="宋体" w:hAnsi="宋体"/>
          <w:b/>
          <w:sz w:val="24"/>
        </w:rPr>
      </w:pPr>
      <w:r>
        <w:rPr>
          <w:rFonts w:ascii="宋体" w:hAnsi="宋体"/>
          <w:b/>
          <w:sz w:val="24"/>
        </w:rPr>
        <w:br w:type="page"/>
      </w:r>
      <w:r>
        <w:rPr>
          <w:rFonts w:hint="eastAsia" w:ascii="宋体" w:hAnsi="宋体"/>
          <w:b/>
          <w:sz w:val="24"/>
        </w:rPr>
        <w:t>3. 投标函格式：</w:t>
      </w:r>
    </w:p>
    <w:p>
      <w:pPr>
        <w:snapToGrid w:val="0"/>
        <w:spacing w:before="120" w:beforeLines="50" w:after="50" w:line="360" w:lineRule="auto"/>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投 标 函</w:t>
      </w:r>
    </w:p>
    <w:p>
      <w:pPr>
        <w:snapToGrid w:val="0"/>
        <w:spacing w:before="120" w:beforeLines="50" w:after="50" w:line="320" w:lineRule="exact"/>
        <w:jc w:val="center"/>
        <w:rPr>
          <w:rFonts w:ascii="宋体" w:hAnsi="宋体"/>
          <w:b/>
          <w:sz w:val="32"/>
          <w:szCs w:val="32"/>
        </w:rPr>
      </w:pPr>
    </w:p>
    <w:p>
      <w:pPr>
        <w:spacing w:line="360" w:lineRule="auto"/>
        <w:contextualSpacing/>
        <w:rPr>
          <w:rFonts w:ascii="宋体" w:hAnsi="宋体"/>
          <w:sz w:val="24"/>
        </w:rPr>
      </w:pPr>
      <w:r>
        <w:rPr>
          <w:rFonts w:hint="eastAsia" w:ascii="宋体" w:hAnsi="宋体"/>
          <w:sz w:val="24"/>
        </w:rPr>
        <w:t>致：</w:t>
      </w:r>
      <w:r>
        <w:rPr>
          <w:rFonts w:hint="eastAsia" w:ascii="宋体" w:hAnsi="宋体"/>
          <w:sz w:val="24"/>
          <w:u w:val="single"/>
        </w:rPr>
        <w:t>采购人名称</w:t>
      </w:r>
      <w:r>
        <w:rPr>
          <w:rFonts w:hint="eastAsia" w:ascii="宋体" w:hAnsi="宋体"/>
          <w:sz w:val="24"/>
        </w:rPr>
        <w:t>：</w:t>
      </w:r>
    </w:p>
    <w:p>
      <w:pPr>
        <w:spacing w:line="360" w:lineRule="auto"/>
        <w:ind w:firstLine="480"/>
        <w:contextualSpacing/>
        <w:rPr>
          <w:rFonts w:ascii="宋体" w:hAnsi="宋体"/>
          <w:sz w:val="24"/>
        </w:rPr>
      </w:pPr>
      <w:r>
        <w:rPr>
          <w:rFonts w:hint="eastAsia" w:ascii="宋体" w:hAnsi="宋体"/>
          <w:sz w:val="24"/>
        </w:rPr>
        <w:t>根据贵方</w:t>
      </w:r>
      <w:r>
        <w:rPr>
          <w:rFonts w:hint="eastAsia" w:ascii="宋体" w:hAnsi="宋体"/>
          <w:sz w:val="24"/>
          <w:u w:val="single"/>
        </w:rPr>
        <w:t xml:space="preserve"> 项目名称</w:t>
      </w:r>
      <w:r>
        <w:rPr>
          <w:rFonts w:hint="eastAsia" w:ascii="宋体" w:hAnsi="宋体"/>
          <w:sz w:val="24"/>
        </w:rPr>
        <w:t>（项目编号：</w:t>
      </w:r>
      <w:r>
        <w:rPr>
          <w:rFonts w:hint="eastAsia" w:ascii="宋体" w:hAnsi="宋体"/>
          <w:sz w:val="24"/>
          <w:u w:val="single"/>
        </w:rPr>
        <w:t xml:space="preserve">        </w:t>
      </w:r>
      <w:r>
        <w:rPr>
          <w:rFonts w:hint="eastAsia" w:ascii="宋体" w:hAnsi="宋体"/>
          <w:sz w:val="24"/>
        </w:rPr>
        <w:t>）的招标文件，签字代表______</w:t>
      </w:r>
      <w:r>
        <w:rPr>
          <w:rFonts w:hint="eastAsia" w:ascii="宋体" w:hAnsi="宋体"/>
          <w:sz w:val="24"/>
          <w:u w:val="single"/>
        </w:rPr>
        <w:t xml:space="preserve">     </w:t>
      </w:r>
      <w:r>
        <w:rPr>
          <w:rFonts w:hint="eastAsia" w:ascii="宋体" w:hAnsi="宋体"/>
          <w:sz w:val="24"/>
        </w:rPr>
        <w:t>（姓名）经正式授权并代表投标人</w:t>
      </w:r>
      <w:r>
        <w:rPr>
          <w:rFonts w:hint="eastAsia" w:ascii="宋体" w:hAnsi="宋体"/>
          <w:sz w:val="24"/>
          <w:u w:val="single"/>
        </w:rPr>
        <w:t xml:space="preserve">                 </w:t>
      </w:r>
      <w:r>
        <w:rPr>
          <w:rFonts w:hint="eastAsia" w:ascii="宋体" w:hAnsi="宋体"/>
          <w:sz w:val="24"/>
        </w:rPr>
        <w:t>（投标人名称）提交投标文件。</w:t>
      </w:r>
    </w:p>
    <w:p>
      <w:pPr>
        <w:spacing w:line="360" w:lineRule="auto"/>
        <w:ind w:firstLine="480" w:firstLineChars="200"/>
        <w:contextualSpacing/>
        <w:rPr>
          <w:rFonts w:ascii="宋体" w:hAnsi="宋体"/>
          <w:sz w:val="24"/>
        </w:rPr>
      </w:pPr>
      <w:r>
        <w:rPr>
          <w:rFonts w:hint="eastAsia" w:ascii="宋体" w:hAnsi="宋体"/>
          <w:sz w:val="24"/>
        </w:rPr>
        <w:t>据此函，我方宣布同意如下：</w:t>
      </w:r>
    </w:p>
    <w:p>
      <w:pPr>
        <w:spacing w:line="360" w:lineRule="auto"/>
        <w:ind w:firstLine="480" w:firstLineChars="200"/>
        <w:contextualSpacing/>
        <w:rPr>
          <w:rFonts w:ascii="宋体" w:hAnsi="宋体"/>
          <w:sz w:val="24"/>
        </w:rPr>
      </w:pPr>
      <w:r>
        <w:rPr>
          <w:rFonts w:hint="eastAsia" w:ascii="宋体" w:hAnsi="宋体"/>
          <w:sz w:val="24"/>
        </w:rPr>
        <w:t>1.我方已详细审查全部“招标文件”，包括修改文件（如有的话）以及全部参考资料和有关附件，已经了解我方对于招标文件、采购过程、采购结果有依法进行询问、质疑、投诉的权利及相关渠道和要求。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contextualSpacing/>
        <w:rPr>
          <w:rFonts w:ascii="宋体" w:hAnsi="宋体"/>
          <w:sz w:val="24"/>
        </w:rPr>
      </w:pPr>
      <w:r>
        <w:rPr>
          <w:rFonts w:hint="eastAsia" w:ascii="宋体" w:hAnsi="宋体"/>
          <w:sz w:val="24"/>
        </w:rPr>
        <w:t>2.我方在投标之前已经完全理解并接受招标文件的各项规定和要求，对招标文件的合理性、合法性不再有异议。</w:t>
      </w:r>
    </w:p>
    <w:p>
      <w:pPr>
        <w:spacing w:line="360" w:lineRule="auto"/>
        <w:ind w:firstLine="480" w:firstLineChars="200"/>
        <w:contextualSpacing/>
        <w:rPr>
          <w:rFonts w:ascii="宋体" w:hAnsi="宋体"/>
          <w:sz w:val="24"/>
        </w:rPr>
      </w:pPr>
      <w:r>
        <w:rPr>
          <w:rFonts w:hint="eastAsia" w:ascii="宋体" w:hAnsi="宋体"/>
          <w:sz w:val="24"/>
        </w:rPr>
        <w:t>3.本投标有效期自投标截止之日起</w:t>
      </w:r>
      <w:r>
        <w:rPr>
          <w:rFonts w:ascii="宋体" w:hAnsi="宋体"/>
          <w:sz w:val="24"/>
          <w:u w:val="single"/>
        </w:rPr>
        <w:t xml:space="preserve">    </w:t>
      </w:r>
      <w:r>
        <w:rPr>
          <w:rFonts w:hint="eastAsia" w:ascii="宋体" w:hAnsi="宋体"/>
          <w:sz w:val="24"/>
        </w:rPr>
        <w:t>日。</w:t>
      </w:r>
    </w:p>
    <w:p>
      <w:pPr>
        <w:spacing w:line="360" w:lineRule="auto"/>
        <w:ind w:firstLine="480" w:firstLineChars="200"/>
        <w:contextualSpacing/>
        <w:rPr>
          <w:rFonts w:ascii="宋体" w:hAnsi="宋体"/>
          <w:sz w:val="24"/>
        </w:rPr>
      </w:pPr>
      <w:r>
        <w:rPr>
          <w:rFonts w:hint="eastAsia" w:ascii="宋体" w:hAnsi="宋体"/>
          <w:sz w:val="24"/>
        </w:rPr>
        <w:t>4.如中标，本投标文件至本项目合同履行完毕止均保持有效，我方将按“招标文件”及政府采购法律、法规的规定履行合同责任和义务。</w:t>
      </w:r>
    </w:p>
    <w:p>
      <w:pPr>
        <w:spacing w:line="360" w:lineRule="auto"/>
        <w:ind w:firstLine="480" w:firstLineChars="200"/>
        <w:contextualSpacing/>
        <w:rPr>
          <w:rFonts w:ascii="宋体" w:hAnsi="宋体"/>
          <w:sz w:val="24"/>
        </w:rPr>
      </w:pPr>
      <w:r>
        <w:rPr>
          <w:rFonts w:hint="eastAsia" w:ascii="宋体" w:hAnsi="宋体"/>
          <w:sz w:val="24"/>
        </w:rPr>
        <w:t>5.我方同意按照贵方要求提供与投标有关的一切数据或者资料。</w:t>
      </w:r>
    </w:p>
    <w:p>
      <w:pPr>
        <w:spacing w:line="360" w:lineRule="auto"/>
        <w:ind w:firstLine="480" w:firstLineChars="200"/>
        <w:contextualSpacing/>
        <w:rPr>
          <w:rFonts w:ascii="宋体" w:hAnsi="宋体"/>
          <w:sz w:val="24"/>
        </w:rPr>
      </w:pPr>
      <w:r>
        <w:rPr>
          <w:rFonts w:hint="eastAsia" w:ascii="宋体" w:hAnsi="宋体"/>
          <w:sz w:val="24"/>
        </w:rPr>
        <w:t>6.我方向贵方提交的所有投标文件、资料都是准确的和真实的。</w:t>
      </w:r>
    </w:p>
    <w:p>
      <w:pPr>
        <w:spacing w:line="360" w:lineRule="auto"/>
        <w:ind w:firstLine="480" w:firstLineChars="200"/>
        <w:contextualSpacing/>
        <w:rPr>
          <w:rFonts w:ascii="宋体" w:hAnsi="宋体"/>
          <w:sz w:val="24"/>
        </w:rPr>
      </w:pPr>
      <w:r>
        <w:rPr>
          <w:rFonts w:hint="eastAsia" w:ascii="宋体" w:hAnsi="宋体"/>
          <w:sz w:val="24"/>
        </w:rPr>
        <w:t>7.以上事项如有虚假或者隐瞒，我方愿意承担一切后果，并不再寻求任何旨在减轻或者免除法律责任的辩解。</w:t>
      </w:r>
    </w:p>
    <w:p>
      <w:pPr>
        <w:spacing w:line="360" w:lineRule="auto"/>
        <w:ind w:firstLine="480" w:firstLineChars="200"/>
        <w:contextualSpacing/>
        <w:rPr>
          <w:rFonts w:ascii="宋体" w:hAnsi="宋体"/>
          <w:sz w:val="24"/>
        </w:rPr>
      </w:pPr>
      <w:r>
        <w:rPr>
          <w:rFonts w:hint="eastAsia" w:ascii="宋体" w:hAnsi="宋体"/>
          <w:sz w:val="24"/>
        </w:rPr>
        <w:t>8.根据</w:t>
      </w:r>
      <w:r>
        <w:rPr>
          <w:rFonts w:ascii="宋体" w:hAnsi="宋体"/>
          <w:sz w:val="24"/>
        </w:rPr>
        <w:t>《中华人民共和国政府采购法实施条例》第五十条要求对政府采购合同进行公告</w:t>
      </w:r>
      <w:r>
        <w:rPr>
          <w:rFonts w:hint="eastAsia" w:ascii="宋体" w:hAnsi="宋体"/>
          <w:sz w:val="24"/>
        </w:rPr>
        <w:t>，</w:t>
      </w:r>
      <w:r>
        <w:rPr>
          <w:rFonts w:ascii="宋体" w:hAnsi="宋体"/>
          <w:sz w:val="24"/>
        </w:rPr>
        <w:t>但政府采购合同中涉及国家秘密、商业秘密的内容除外。</w:t>
      </w:r>
      <w:r>
        <w:rPr>
          <w:rFonts w:hint="eastAsia" w:ascii="宋体" w:hAnsi="宋体"/>
          <w:sz w:val="24"/>
        </w:rPr>
        <w:t>我方就对本次投标文件进行注明如下：（两项内容中必须选择一项）</w:t>
      </w:r>
    </w:p>
    <w:p>
      <w:pPr>
        <w:spacing w:line="360" w:lineRule="auto"/>
        <w:ind w:firstLine="480" w:firstLineChars="200"/>
        <w:contextualSpacing/>
        <w:rPr>
          <w:rFonts w:ascii="宋体" w:hAnsi="宋体"/>
          <w:sz w:val="24"/>
        </w:rPr>
      </w:pPr>
      <w:r>
        <w:rPr>
          <w:rFonts w:hint="eastAsia" w:ascii="宋体" w:hAnsi="宋体"/>
          <w:sz w:val="24"/>
        </w:rPr>
        <w:t>□我方本次投标文件</w:t>
      </w:r>
      <w:r>
        <w:rPr>
          <w:rFonts w:ascii="宋体" w:hAnsi="宋体" w:cs="宋体"/>
          <w:kern w:val="0"/>
          <w:sz w:val="24"/>
        </w:rPr>
        <w:t>内容中</w:t>
      </w:r>
      <w:r>
        <w:rPr>
          <w:rFonts w:hint="eastAsia" w:ascii="宋体" w:hAnsi="宋体"/>
          <w:sz w:val="24"/>
        </w:rPr>
        <w:t>未</w:t>
      </w:r>
      <w:r>
        <w:rPr>
          <w:rFonts w:ascii="宋体" w:hAnsi="宋体" w:cs="宋体"/>
          <w:kern w:val="0"/>
          <w:sz w:val="24"/>
        </w:rPr>
        <w:t>涉及商业秘密</w:t>
      </w:r>
      <w:r>
        <w:rPr>
          <w:rFonts w:hint="eastAsia" w:ascii="宋体" w:hAnsi="宋体" w:cs="宋体"/>
          <w:kern w:val="0"/>
          <w:sz w:val="24"/>
        </w:rPr>
        <w:t>；</w:t>
      </w:r>
    </w:p>
    <w:p>
      <w:pPr>
        <w:spacing w:line="360" w:lineRule="auto"/>
        <w:ind w:firstLine="480" w:firstLineChars="200"/>
        <w:contextualSpacing/>
        <w:rPr>
          <w:rFonts w:ascii="宋体" w:hAnsi="宋体"/>
          <w:sz w:val="24"/>
        </w:rPr>
      </w:pPr>
      <w:r>
        <w:rPr>
          <w:rFonts w:hint="eastAsia" w:ascii="宋体" w:hAnsi="宋体"/>
          <w:sz w:val="24"/>
        </w:rPr>
        <w:t>□我方本次投标文件</w:t>
      </w:r>
      <w:r>
        <w:rPr>
          <w:rFonts w:ascii="宋体" w:hAnsi="宋体" w:cs="宋体"/>
          <w:kern w:val="0"/>
          <w:sz w:val="24"/>
        </w:rPr>
        <w:t>涉及商业秘密</w:t>
      </w:r>
      <w:r>
        <w:rPr>
          <w:rFonts w:hint="eastAsia" w:ascii="宋体" w:hAnsi="宋体" w:cs="宋体"/>
          <w:kern w:val="0"/>
          <w:sz w:val="24"/>
        </w:rPr>
        <w:t>的</w:t>
      </w:r>
      <w:r>
        <w:rPr>
          <w:rFonts w:ascii="宋体" w:hAnsi="宋体" w:cs="宋体"/>
          <w:kern w:val="0"/>
          <w:sz w:val="24"/>
        </w:rPr>
        <w:t>内容</w:t>
      </w:r>
      <w:r>
        <w:rPr>
          <w:rFonts w:hint="eastAsia" w:ascii="宋体" w:hAnsi="宋体" w:cs="宋体"/>
          <w:kern w:val="0"/>
          <w:sz w:val="24"/>
        </w:rPr>
        <w:t>有：</w:t>
      </w:r>
      <w:r>
        <w:rPr>
          <w:rFonts w:hint="eastAsia" w:ascii="宋体" w:hAnsi="宋体" w:cs="宋体"/>
          <w:kern w:val="0"/>
          <w:sz w:val="24"/>
          <w:u w:val="single"/>
        </w:rPr>
        <w:t xml:space="preserve">                         </w:t>
      </w:r>
      <w:r>
        <w:rPr>
          <w:rFonts w:hint="eastAsia" w:ascii="宋体" w:hAnsi="宋体" w:cs="宋体"/>
          <w:kern w:val="0"/>
          <w:sz w:val="24"/>
        </w:rPr>
        <w:t>；</w:t>
      </w:r>
    </w:p>
    <w:p>
      <w:pPr>
        <w:spacing w:line="360" w:lineRule="auto"/>
        <w:ind w:firstLine="480" w:firstLineChars="200"/>
        <w:contextualSpacing/>
        <w:rPr>
          <w:rFonts w:ascii="宋体" w:hAnsi="宋体"/>
          <w:sz w:val="24"/>
        </w:rPr>
      </w:pPr>
      <w:r>
        <w:rPr>
          <w:rFonts w:hint="eastAsia" w:ascii="宋体" w:hAnsi="宋体"/>
          <w:sz w:val="24"/>
        </w:rPr>
        <w:t>9.与本项目有关的一切正式往来信函请寄：</w:t>
      </w:r>
    </w:p>
    <w:p>
      <w:pPr>
        <w:spacing w:line="360" w:lineRule="auto"/>
        <w:ind w:firstLine="480" w:firstLineChars="200"/>
        <w:contextualSpacing/>
        <w:rPr>
          <w:rFonts w:ascii="宋体" w:hAnsi="宋体"/>
          <w:sz w:val="24"/>
          <w:u w:val="single"/>
        </w:rPr>
      </w:pPr>
      <w:r>
        <w:rPr>
          <w:rFonts w:hint="eastAsia" w:ascii="宋体" w:hAnsi="宋体"/>
          <w:sz w:val="24"/>
        </w:rPr>
        <w:t>地址：</w:t>
      </w:r>
      <w:r>
        <w:rPr>
          <w:rFonts w:hint="eastAsia" w:ascii="宋体" w:hAnsi="宋体"/>
          <w:sz w:val="24"/>
          <w:u w:val="single"/>
        </w:rPr>
        <w:t xml:space="preserve">          </w:t>
      </w:r>
      <w:r>
        <w:rPr>
          <w:rFonts w:hint="eastAsia" w:ascii="宋体" w:hAnsi="宋体"/>
          <w:sz w:val="24"/>
        </w:rPr>
        <w:t>邮编：</w:t>
      </w:r>
      <w:r>
        <w:rPr>
          <w:rFonts w:hint="eastAsia" w:ascii="宋体" w:hAnsi="宋体"/>
          <w:sz w:val="24"/>
          <w:u w:val="single"/>
        </w:rPr>
        <w:t xml:space="preserve">            </w:t>
      </w:r>
    </w:p>
    <w:p>
      <w:pPr>
        <w:spacing w:line="360" w:lineRule="auto"/>
        <w:ind w:firstLine="480" w:firstLineChars="200"/>
        <w:contextualSpacing/>
        <w:rPr>
          <w:rFonts w:ascii="宋体" w:hAnsi="宋体"/>
          <w:sz w:val="24"/>
        </w:rPr>
      </w:pPr>
      <w:r>
        <w:rPr>
          <w:rFonts w:hint="eastAsia" w:ascii="宋体" w:hAnsi="宋体"/>
          <w:sz w:val="24"/>
        </w:rPr>
        <w:t>联系人：</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电话：</w:t>
      </w:r>
      <w:r>
        <w:rPr>
          <w:rFonts w:hint="eastAsia" w:ascii="宋体" w:hAnsi="宋体"/>
          <w:sz w:val="24"/>
          <w:u w:val="single"/>
        </w:rPr>
        <w:t xml:space="preserve">        </w:t>
      </w:r>
      <w:r>
        <w:rPr>
          <w:rFonts w:hint="eastAsia" w:ascii="宋体" w:hAnsi="宋体"/>
          <w:sz w:val="24"/>
        </w:rPr>
        <w:t>传真：</w:t>
      </w:r>
      <w:r>
        <w:rPr>
          <w:rFonts w:hint="eastAsia" w:ascii="宋体" w:hAnsi="宋体"/>
          <w:sz w:val="24"/>
          <w:u w:val="single"/>
        </w:rPr>
        <w:t xml:space="preserve">         </w:t>
      </w:r>
      <w:r>
        <w:rPr>
          <w:rFonts w:hint="eastAsia" w:ascii="宋体" w:hAnsi="宋体"/>
          <w:sz w:val="24"/>
        </w:rPr>
        <w:t xml:space="preserve"> 电子邮箱：</w:t>
      </w:r>
      <w:r>
        <w:rPr>
          <w:rFonts w:hint="eastAsia" w:ascii="宋体" w:hAnsi="宋体"/>
          <w:sz w:val="24"/>
          <w:u w:val="single"/>
        </w:rPr>
        <w:t xml:space="preserve"> </w:t>
      </w:r>
      <w:r>
        <w:rPr>
          <w:rFonts w:ascii="宋体" w:hAnsi="宋体"/>
          <w:sz w:val="24"/>
          <w:u w:val="single"/>
        </w:rPr>
        <w:t xml:space="preserve">        </w:t>
      </w:r>
    </w:p>
    <w:p>
      <w:pPr>
        <w:spacing w:line="360" w:lineRule="auto"/>
        <w:ind w:firstLine="480" w:firstLineChars="200"/>
        <w:contextualSpacing/>
        <w:rPr>
          <w:rFonts w:ascii="宋体" w:hAnsi="宋体"/>
          <w:sz w:val="24"/>
        </w:rPr>
      </w:pPr>
      <w:r>
        <w:rPr>
          <w:rFonts w:hint="eastAsia" w:ascii="宋体" w:hAnsi="宋体"/>
          <w:sz w:val="24"/>
        </w:rPr>
        <w:t>投标人名称：</w:t>
      </w:r>
      <w:r>
        <w:rPr>
          <w:rFonts w:hint="eastAsia" w:ascii="宋体" w:hAnsi="宋体"/>
          <w:sz w:val="24"/>
          <w:u w:val="single"/>
        </w:rPr>
        <w:t xml:space="preserve">                </w:t>
      </w:r>
    </w:p>
    <w:p>
      <w:pPr>
        <w:spacing w:line="360" w:lineRule="auto"/>
        <w:ind w:firstLine="480" w:firstLineChars="200"/>
        <w:contextualSpacing/>
        <w:jc w:val="left"/>
        <w:rPr>
          <w:rFonts w:ascii="宋体" w:hAnsi="宋体"/>
          <w:sz w:val="24"/>
        </w:rPr>
      </w:pPr>
      <w:r>
        <w:rPr>
          <w:rFonts w:hint="eastAsia" w:ascii="宋体" w:hAnsi="宋体"/>
          <w:sz w:val="24"/>
        </w:rPr>
        <w:t>开户银行：</w:t>
      </w:r>
      <w:r>
        <w:rPr>
          <w:rFonts w:hint="eastAsia" w:ascii="宋体" w:hAnsi="宋体"/>
          <w:sz w:val="24"/>
          <w:u w:val="single"/>
        </w:rPr>
        <w:t xml:space="preserve">                      </w:t>
      </w:r>
      <w:r>
        <w:rPr>
          <w:rFonts w:hint="eastAsia" w:ascii="宋体" w:hAnsi="宋体"/>
          <w:sz w:val="24"/>
        </w:rPr>
        <w:t xml:space="preserve">   银行账号：</w:t>
      </w:r>
      <w:r>
        <w:rPr>
          <w:rFonts w:hint="eastAsia" w:ascii="宋体" w:hAnsi="宋体"/>
          <w:sz w:val="24"/>
          <w:u w:val="single"/>
        </w:rPr>
        <w:t xml:space="preserve">                    </w:t>
      </w:r>
      <w:r>
        <w:rPr>
          <w:rFonts w:hint="eastAsia" w:ascii="宋体" w:hAnsi="宋体"/>
          <w:sz w:val="24"/>
        </w:rPr>
        <w:t xml:space="preserve"> </w:t>
      </w:r>
    </w:p>
    <w:p>
      <w:pPr>
        <w:pStyle w:val="18"/>
      </w:pPr>
    </w:p>
    <w:p>
      <w:pPr>
        <w:spacing w:line="360" w:lineRule="auto"/>
        <w:ind w:firstLine="480" w:firstLineChars="200"/>
        <w:contextualSpacing/>
        <w:jc w:val="left"/>
        <w:rPr>
          <w:rFonts w:ascii="宋体" w:hAnsi="宋体"/>
          <w:sz w:val="24"/>
        </w:rPr>
      </w:pPr>
      <w:r>
        <w:rPr>
          <w:rFonts w:hint="eastAsia" w:ascii="宋体" w:hAnsi="宋体"/>
          <w:sz w:val="24"/>
        </w:rPr>
        <w:t xml:space="preserve">              法定代表人或者委托代理人（签字或者电子签名）：_______ </w:t>
      </w:r>
    </w:p>
    <w:p>
      <w:pPr>
        <w:pStyle w:val="24"/>
        <w:spacing w:line="360" w:lineRule="auto"/>
        <w:contextualSpacing/>
        <w:jc w:val="center"/>
        <w:rPr>
          <w:rFonts w:hAnsi="宋体"/>
          <w:sz w:val="24"/>
          <w:szCs w:val="24"/>
          <w:u w:val="single"/>
        </w:rPr>
      </w:pPr>
      <w:r>
        <w:rPr>
          <w:rFonts w:hint="eastAsia" w:hAnsi="宋体"/>
          <w:sz w:val="24"/>
        </w:rPr>
        <w:t xml:space="preserve"> </w:t>
      </w:r>
      <w:r>
        <w:rPr>
          <w:rFonts w:hAnsi="宋体"/>
          <w:sz w:val="24"/>
        </w:rPr>
        <w:t xml:space="preserve">                                   </w:t>
      </w:r>
      <w:r>
        <w:rPr>
          <w:rFonts w:hint="eastAsia" w:hAnsi="宋体"/>
          <w:sz w:val="24"/>
        </w:rPr>
        <w:t>投标人名称（电子签章）：</w:t>
      </w:r>
    </w:p>
    <w:p>
      <w:pPr>
        <w:pStyle w:val="24"/>
        <w:spacing w:line="360" w:lineRule="auto"/>
        <w:contextualSpacing/>
        <w:rPr>
          <w:rFonts w:hAnsi="宋体"/>
          <w:sz w:val="24"/>
        </w:rPr>
      </w:pPr>
      <w:r>
        <w:rPr>
          <w:rFonts w:hint="eastAsia" w:hAnsi="宋体"/>
          <w:sz w:val="24"/>
          <w:szCs w:val="24"/>
        </w:rPr>
        <w:t xml:space="preserve">                                                </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w:t>
      </w:r>
    </w:p>
    <w:p>
      <w:pPr>
        <w:snapToGrid w:val="0"/>
        <w:spacing w:before="120" w:beforeLines="50" w:after="50"/>
        <w:jc w:val="left"/>
        <w:rPr>
          <w:rFonts w:ascii="宋体" w:hAnsi="宋体"/>
          <w:b/>
          <w:sz w:val="24"/>
        </w:rPr>
      </w:pPr>
      <w:r>
        <w:rPr>
          <w:rFonts w:hAnsi="宋体"/>
          <w:u w:val="single"/>
        </w:rPr>
        <w:br w:type="page"/>
      </w:r>
      <w:r>
        <w:rPr>
          <w:rFonts w:hint="eastAsia" w:ascii="宋体" w:hAnsi="宋体"/>
          <w:b/>
          <w:sz w:val="24"/>
        </w:rPr>
        <w:t>4. 开标一览表</w:t>
      </w:r>
    </w:p>
    <w:p>
      <w:pPr>
        <w:pStyle w:val="18"/>
      </w:pPr>
    </w:p>
    <w:p>
      <w:pPr>
        <w:snapToGrid w:val="0"/>
        <w:spacing w:before="50" w:after="50"/>
        <w:jc w:val="center"/>
        <w:rPr>
          <w:rFonts w:ascii="宋体" w:hAnsi="宋体"/>
          <w:b/>
          <w:sz w:val="30"/>
        </w:rPr>
      </w:pPr>
      <w:r>
        <w:rPr>
          <w:rFonts w:hint="eastAsia" w:ascii="宋体" w:hAnsi="宋体"/>
          <w:b/>
          <w:sz w:val="30"/>
        </w:rPr>
        <w:t>开标一览表</w:t>
      </w:r>
    </w:p>
    <w:p>
      <w:pPr>
        <w:snapToGrid w:val="0"/>
        <w:spacing w:before="50" w:after="50"/>
        <w:jc w:val="center"/>
        <w:rPr>
          <w:rFonts w:ascii="宋体" w:hAnsi="宋体"/>
          <w:b/>
          <w:sz w:val="30"/>
          <w:szCs w:val="20"/>
        </w:rPr>
      </w:pPr>
    </w:p>
    <w:p>
      <w:pPr>
        <w:snapToGrid w:val="0"/>
        <w:spacing w:before="50" w:after="50" w:line="360" w:lineRule="auto"/>
        <w:rPr>
          <w:rFonts w:ascii="宋体" w:hAnsi="宋体"/>
          <w:sz w:val="24"/>
          <w:u w:val="single"/>
        </w:rPr>
      </w:pPr>
      <w:r>
        <w:rPr>
          <w:rFonts w:hint="eastAsia" w:ascii="宋体" w:hAnsi="宋体"/>
          <w:sz w:val="24"/>
        </w:rPr>
        <w:t>项目名称：</w:t>
      </w:r>
      <w:r>
        <w:rPr>
          <w:rFonts w:hint="eastAsia" w:ascii="宋体" w:hAnsi="宋体"/>
          <w:sz w:val="24"/>
          <w:u w:val="single"/>
        </w:rPr>
        <w:t xml:space="preserve">      </w:t>
      </w:r>
      <w:r>
        <w:rPr>
          <w:rFonts w:ascii="宋体" w:hAnsi="宋体"/>
          <w:sz w:val="24"/>
          <w:u w:val="single"/>
        </w:rPr>
        <w:t xml:space="preserve">     </w:t>
      </w:r>
      <w:r>
        <w:rPr>
          <w:rFonts w:ascii="宋体" w:hAnsi="宋体"/>
          <w:sz w:val="24"/>
        </w:rPr>
        <w:t xml:space="preserve">         </w:t>
      </w:r>
      <w:r>
        <w:rPr>
          <w:rFonts w:hint="eastAsia" w:ascii="宋体" w:hAnsi="宋体"/>
          <w:sz w:val="24"/>
        </w:rPr>
        <w:t>项目编号：</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r>
        <w:rPr>
          <w:rFonts w:hint="eastAsia" w:ascii="宋体" w:hAnsi="宋体"/>
          <w:sz w:val="24"/>
        </w:rPr>
        <w:t xml:space="preserve">         </w:t>
      </w:r>
    </w:p>
    <w:p>
      <w:pPr>
        <w:snapToGrid w:val="0"/>
        <w:spacing w:before="50" w:after="50" w:line="360" w:lineRule="auto"/>
        <w:rPr>
          <w:rFonts w:ascii="宋体" w:hAnsi="宋体"/>
          <w:sz w:val="24"/>
        </w:rPr>
      </w:pPr>
      <w:r>
        <w:rPr>
          <w:rFonts w:hint="eastAsia" w:ascii="宋体" w:hAnsi="宋体"/>
          <w:sz w:val="24"/>
        </w:rPr>
        <w:t>投标人名称：</w:t>
      </w:r>
      <w:r>
        <w:rPr>
          <w:rFonts w:hint="eastAsia" w:ascii="宋体" w:hAnsi="宋体"/>
          <w:sz w:val="24"/>
          <w:u w:val="single"/>
        </w:rPr>
        <w:t xml:space="preserve">                     </w:t>
      </w:r>
      <w:r>
        <w:rPr>
          <w:rFonts w:hint="eastAsia" w:ascii="宋体" w:hAnsi="宋体"/>
          <w:sz w:val="24"/>
        </w:rPr>
        <w:t xml:space="preserve">                       单位：元</w:t>
      </w:r>
    </w:p>
    <w:p>
      <w:pPr>
        <w:pStyle w:val="18"/>
      </w:pPr>
      <w:r>
        <w:rPr>
          <w:rFonts w:hint="eastAsia" w:ascii="宋体" w:hAnsi="宋体"/>
        </w:rPr>
        <w:t>分标：</w:t>
      </w:r>
      <w:r>
        <w:rPr>
          <w:rFonts w:hint="eastAsia" w:ascii="宋体" w:hAnsi="宋体"/>
          <w:u w:val="single"/>
        </w:rPr>
        <w:t xml:space="preserve">   </w:t>
      </w:r>
      <w:r>
        <w:rPr>
          <w:rFonts w:ascii="宋体" w:hAnsi="宋体"/>
          <w:u w:val="single"/>
        </w:rPr>
        <w:t xml:space="preserve">    </w:t>
      </w:r>
    </w:p>
    <w:tbl>
      <w:tblPr>
        <w:tblStyle w:val="49"/>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99"/>
        <w:gridCol w:w="1562"/>
        <w:gridCol w:w="779"/>
        <w:gridCol w:w="1037"/>
        <w:gridCol w:w="1134"/>
        <w:gridCol w:w="851"/>
        <w:gridCol w:w="850"/>
        <w:gridCol w:w="161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410" w:type="pct"/>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宋体" w:hAnsi="宋体"/>
                <w:b/>
                <w:sz w:val="24"/>
              </w:rPr>
            </w:pPr>
            <w:r>
              <w:rPr>
                <w:rFonts w:hint="eastAsia" w:ascii="宋体" w:hAnsi="宋体"/>
                <w:b/>
                <w:sz w:val="24"/>
              </w:rPr>
              <w:t>序号</w:t>
            </w:r>
          </w:p>
        </w:tc>
        <w:tc>
          <w:tcPr>
            <w:tcW w:w="916" w:type="pct"/>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宋体" w:hAnsi="宋体"/>
                <w:b/>
                <w:sz w:val="24"/>
              </w:rPr>
            </w:pPr>
            <w:bookmarkStart w:id="195" w:name="OLE_LINK17"/>
            <w:r>
              <w:rPr>
                <w:rFonts w:hint="eastAsia" w:ascii="宋体" w:hAnsi="宋体"/>
                <w:b/>
                <w:sz w:val="24"/>
              </w:rPr>
              <w:t>标的名称</w:t>
            </w:r>
            <w:bookmarkEnd w:id="195"/>
          </w:p>
        </w:tc>
        <w:tc>
          <w:tcPr>
            <w:tcW w:w="457" w:type="pct"/>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宋体" w:hAnsi="宋体"/>
                <w:b/>
                <w:sz w:val="24"/>
              </w:rPr>
            </w:pPr>
            <w:bookmarkStart w:id="196" w:name="OLE_LINK20"/>
            <w:r>
              <w:rPr>
                <w:rFonts w:hint="eastAsia" w:ascii="宋体" w:hAnsi="宋体"/>
                <w:b/>
                <w:sz w:val="24"/>
              </w:rPr>
              <w:t>品牌</w:t>
            </w:r>
            <w:bookmarkEnd w:id="196"/>
          </w:p>
        </w:tc>
        <w:tc>
          <w:tcPr>
            <w:tcW w:w="608" w:type="pct"/>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宋体" w:hAnsi="宋体"/>
                <w:b/>
                <w:sz w:val="24"/>
              </w:rPr>
            </w:pPr>
            <w:bookmarkStart w:id="197" w:name="OLE_LINK18"/>
            <w:r>
              <w:rPr>
                <w:rFonts w:ascii="宋体" w:hAnsi="宋体"/>
                <w:b/>
                <w:sz w:val="24"/>
              </w:rPr>
              <w:t>规格或型号</w:t>
            </w:r>
            <w:bookmarkEnd w:id="197"/>
          </w:p>
        </w:tc>
        <w:tc>
          <w:tcPr>
            <w:tcW w:w="665" w:type="pct"/>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宋体" w:hAnsi="宋体"/>
                <w:b/>
                <w:sz w:val="24"/>
              </w:rPr>
            </w:pPr>
            <w:bookmarkStart w:id="198" w:name="OLE_LINK21"/>
            <w:r>
              <w:rPr>
                <w:rFonts w:hint="eastAsia" w:ascii="宋体" w:hAnsi="宋体"/>
                <w:b/>
                <w:sz w:val="24"/>
              </w:rPr>
              <w:t>制造商</w:t>
            </w:r>
            <w:bookmarkEnd w:id="198"/>
          </w:p>
        </w:tc>
        <w:tc>
          <w:tcPr>
            <w:tcW w:w="499" w:type="pct"/>
            <w:tcBorders>
              <w:top w:val="single" w:color="auto" w:sz="4" w:space="0"/>
              <w:left w:val="single" w:color="auto" w:sz="4" w:space="0"/>
              <w:bottom w:val="single" w:color="auto" w:sz="4" w:space="0"/>
              <w:right w:val="single" w:color="auto" w:sz="4" w:space="0"/>
            </w:tcBorders>
          </w:tcPr>
          <w:p>
            <w:pPr>
              <w:snapToGrid w:val="0"/>
              <w:spacing w:before="50" w:after="50" w:line="360" w:lineRule="auto"/>
              <w:jc w:val="center"/>
              <w:rPr>
                <w:rFonts w:ascii="宋体" w:hAnsi="宋体"/>
                <w:b/>
                <w:sz w:val="24"/>
              </w:rPr>
            </w:pPr>
            <w:bookmarkStart w:id="199" w:name="OLE_LINK23"/>
            <w:r>
              <w:rPr>
                <w:rFonts w:hint="eastAsia" w:ascii="宋体" w:hAnsi="宋体"/>
                <w:b/>
                <w:sz w:val="24"/>
              </w:rPr>
              <w:t>数量及单位①</w:t>
            </w:r>
            <w:bookmarkEnd w:id="199"/>
          </w:p>
        </w:tc>
        <w:tc>
          <w:tcPr>
            <w:tcW w:w="498" w:type="pct"/>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宋体" w:hAnsi="宋体"/>
                <w:b/>
                <w:sz w:val="24"/>
              </w:rPr>
            </w:pPr>
            <w:r>
              <w:rPr>
                <w:rFonts w:hint="eastAsia" w:ascii="宋体" w:hAnsi="宋体"/>
                <w:b/>
                <w:sz w:val="24"/>
              </w:rPr>
              <w:t>单价</w:t>
            </w:r>
          </w:p>
          <w:p>
            <w:pPr>
              <w:snapToGrid w:val="0"/>
              <w:spacing w:before="50" w:after="50" w:line="360" w:lineRule="auto"/>
              <w:jc w:val="center"/>
              <w:rPr>
                <w:rFonts w:ascii="宋体" w:hAnsi="宋体"/>
                <w:b/>
                <w:sz w:val="24"/>
              </w:rPr>
            </w:pPr>
            <w:r>
              <w:rPr>
                <w:rFonts w:hint="eastAsia" w:ascii="宋体" w:hAnsi="宋体"/>
                <w:b/>
                <w:sz w:val="24"/>
              </w:rPr>
              <w:t>②</w:t>
            </w:r>
          </w:p>
        </w:tc>
        <w:tc>
          <w:tcPr>
            <w:tcW w:w="947" w:type="pct"/>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宋体" w:hAnsi="宋体"/>
                <w:b/>
                <w:sz w:val="24"/>
              </w:rPr>
            </w:pPr>
            <w:bookmarkStart w:id="200" w:name="OLE_LINK19"/>
            <w:r>
              <w:rPr>
                <w:rFonts w:hint="eastAsia" w:ascii="宋体" w:hAnsi="宋体"/>
                <w:b/>
                <w:sz w:val="24"/>
              </w:rPr>
              <w:t>投标报价</w:t>
            </w:r>
          </w:p>
          <w:p>
            <w:pPr>
              <w:snapToGrid w:val="0"/>
              <w:spacing w:before="50" w:after="50" w:line="360" w:lineRule="auto"/>
              <w:jc w:val="center"/>
              <w:rPr>
                <w:rFonts w:ascii="宋体" w:hAnsi="宋体"/>
                <w:b/>
                <w:sz w:val="24"/>
              </w:rPr>
            </w:pPr>
            <w:r>
              <w:rPr>
                <w:rFonts w:ascii="宋体" w:hAnsi="宋体"/>
                <w:b/>
                <w:sz w:val="24"/>
              </w:rPr>
              <w:t>③</w:t>
            </w:r>
            <w:r>
              <w:rPr>
                <w:rFonts w:hint="eastAsia" w:ascii="宋体" w:hAnsi="宋体"/>
                <w:b/>
                <w:sz w:val="24"/>
              </w:rPr>
              <w:t>=①×②</w:t>
            </w:r>
            <w:bookmarkEnd w:id="200"/>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4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w:t>
            </w:r>
          </w:p>
        </w:tc>
        <w:tc>
          <w:tcPr>
            <w:tcW w:w="916"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45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608"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665"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49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94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4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2</w:t>
            </w:r>
          </w:p>
        </w:tc>
        <w:tc>
          <w:tcPr>
            <w:tcW w:w="916"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45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608"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665"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49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94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5000" w:type="pct"/>
            <w:gridSpan w:val="8"/>
            <w:tcBorders>
              <w:top w:val="single" w:color="auto" w:sz="4" w:space="0"/>
              <w:left w:val="single" w:color="auto" w:sz="4" w:space="0"/>
              <w:bottom w:val="single" w:color="auto" w:sz="4" w:space="0"/>
              <w:right w:val="single" w:color="auto" w:sz="4" w:space="0"/>
            </w:tcBorders>
            <w:vAlign w:val="bottom"/>
          </w:tcPr>
          <w:p>
            <w:pPr>
              <w:snapToGrid w:val="0"/>
              <w:spacing w:before="50" w:after="50" w:line="360" w:lineRule="auto"/>
              <w:rPr>
                <w:rFonts w:ascii="宋体" w:hAnsi="宋体"/>
                <w:sz w:val="24"/>
              </w:rPr>
            </w:pPr>
            <w:r>
              <w:rPr>
                <w:rFonts w:hint="eastAsia" w:ascii="宋体" w:hAnsi="宋体" w:cs="仿宋_GB2312"/>
                <w:sz w:val="24"/>
              </w:rPr>
              <w:t>合计金额大写：人民币</w:t>
            </w:r>
            <w:r>
              <w:rPr>
                <w:rFonts w:hint="eastAsia" w:ascii="宋体" w:hAnsi="宋体" w:cs="仿宋_GB2312"/>
                <w:sz w:val="24"/>
                <w:u w:val="single"/>
              </w:rPr>
              <w:t xml:space="preserve">           </w:t>
            </w:r>
            <w:r>
              <w:rPr>
                <w:rFonts w:hint="eastAsia" w:ascii="宋体" w:hAnsi="宋体" w:cs="仿宋_GB2312"/>
                <w:sz w:val="24"/>
              </w:rPr>
              <w:t>（¥</w:t>
            </w:r>
            <w:r>
              <w:rPr>
                <w:rFonts w:hint="eastAsia" w:ascii="宋体" w:hAnsi="宋体" w:cs="仿宋_GB2312"/>
                <w:sz w:val="24"/>
                <w:u w:val="single"/>
              </w:rPr>
              <w:t xml:space="preserve">           </w:t>
            </w:r>
            <w:r>
              <w:rPr>
                <w:rFonts w:hint="eastAsia" w:ascii="宋体" w:hAnsi="宋体" w:cs="仿宋_GB2312"/>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5000" w:type="pct"/>
            <w:gridSpan w:val="8"/>
            <w:tcBorders>
              <w:top w:val="single" w:color="auto" w:sz="4" w:space="0"/>
              <w:left w:val="single" w:color="auto" w:sz="4" w:space="0"/>
              <w:bottom w:val="single" w:color="auto" w:sz="4" w:space="0"/>
              <w:right w:val="single" w:color="auto" w:sz="4" w:space="0"/>
            </w:tcBorders>
            <w:vAlign w:val="bottom"/>
          </w:tcPr>
          <w:p>
            <w:pPr>
              <w:snapToGrid w:val="0"/>
              <w:spacing w:before="50" w:after="50" w:line="360" w:lineRule="auto"/>
              <w:rPr>
                <w:rFonts w:ascii="宋体" w:hAnsi="宋体" w:cs="仿宋_GB2312"/>
                <w:sz w:val="24"/>
              </w:rPr>
            </w:pPr>
            <w:r>
              <w:rPr>
                <w:rFonts w:hint="eastAsia" w:ascii="宋体" w:hAnsi="宋体" w:cs="仿宋_GB2312"/>
                <w:sz w:val="24"/>
                <w:u w:val="single"/>
              </w:rPr>
              <w:t>说明：投标产品中，属于本国产品总值为¥       （具体明细详见附表，附表格式自拟），占投标产品报价的比例为    %。</w:t>
            </w:r>
          </w:p>
        </w:tc>
      </w:tr>
    </w:tbl>
    <w:p>
      <w:pPr>
        <w:snapToGrid w:val="0"/>
        <w:spacing w:line="380" w:lineRule="exact"/>
        <w:jc w:val="left"/>
        <w:rPr>
          <w:rFonts w:ascii="宋体" w:hAnsi="宋体"/>
          <w:sz w:val="24"/>
        </w:rPr>
      </w:pPr>
      <w:r>
        <w:rPr>
          <w:rFonts w:hint="eastAsia" w:ascii="宋体" w:hAnsi="宋体"/>
          <w:sz w:val="24"/>
        </w:rPr>
        <w:t xml:space="preserve">注： </w:t>
      </w:r>
    </w:p>
    <w:p>
      <w:pPr>
        <w:snapToGrid w:val="0"/>
        <w:spacing w:line="360" w:lineRule="auto"/>
        <w:ind w:firstLine="480" w:firstLineChars="200"/>
        <w:jc w:val="left"/>
        <w:rPr>
          <w:rFonts w:ascii="宋体" w:hAnsi="宋体"/>
          <w:b/>
          <w:sz w:val="24"/>
        </w:rPr>
      </w:pPr>
      <w:r>
        <w:rPr>
          <w:rFonts w:hint="eastAsia" w:ascii="宋体" w:hAnsi="宋体"/>
          <w:bCs/>
          <w:sz w:val="24"/>
        </w:rPr>
        <w:t>1.</w:t>
      </w:r>
      <w:r>
        <w:rPr>
          <w:rFonts w:hint="eastAsia" w:ascii="宋体" w:hAnsi="宋体"/>
          <w:sz w:val="24"/>
        </w:rPr>
        <w:t>报价一经涂改，应在涂改处加盖投标人公章</w:t>
      </w:r>
      <w:r>
        <w:rPr>
          <w:rFonts w:hint="eastAsia" w:ascii="宋体" w:hAnsi="宋体" w:cs="仿宋_GB2312"/>
          <w:sz w:val="24"/>
        </w:rPr>
        <w:t>或者加盖电子签章</w:t>
      </w:r>
      <w:r>
        <w:rPr>
          <w:rFonts w:hint="eastAsia" w:ascii="宋体" w:hAnsi="宋体"/>
          <w:sz w:val="24"/>
        </w:rPr>
        <w:t>或者由法定代表人或者委托代理人签字（或者电子签名）</w:t>
      </w:r>
      <w:r>
        <w:rPr>
          <w:rFonts w:hint="eastAsia" w:ascii="宋体" w:hAnsi="宋体"/>
          <w:b/>
          <w:sz w:val="24"/>
        </w:rPr>
        <w:t>，否则其投标作无效标处理。</w:t>
      </w:r>
    </w:p>
    <w:p>
      <w:pPr>
        <w:snapToGrid w:val="0"/>
        <w:spacing w:line="360" w:lineRule="auto"/>
        <w:ind w:firstLine="480" w:firstLineChars="200"/>
        <w:jc w:val="left"/>
        <w:rPr>
          <w:rFonts w:ascii="宋体" w:hAnsi="宋体"/>
          <w:sz w:val="24"/>
        </w:rPr>
      </w:pPr>
      <w:r>
        <w:rPr>
          <w:rFonts w:ascii="宋体" w:hAnsi="宋体"/>
          <w:sz w:val="24"/>
        </w:rPr>
        <w:t>2</w:t>
      </w:r>
      <w:r>
        <w:rPr>
          <w:rFonts w:hint="eastAsia" w:ascii="宋体" w:hAnsi="宋体"/>
          <w:sz w:val="24"/>
        </w:rPr>
        <w:t>.如为联合体投标，“投标人名称”处必须列明联合体各方名称，并标注联合体牵头人名称，</w:t>
      </w:r>
      <w:r>
        <w:rPr>
          <w:rFonts w:hint="eastAsia" w:ascii="宋体" w:hAnsi="宋体"/>
          <w:b/>
          <w:sz w:val="24"/>
        </w:rPr>
        <w:t>否则其投标作无效标处理。</w:t>
      </w:r>
    </w:p>
    <w:p>
      <w:pPr>
        <w:snapToGrid w:val="0"/>
        <w:spacing w:line="360" w:lineRule="auto"/>
        <w:ind w:firstLine="456" w:firstLineChars="200"/>
        <w:jc w:val="left"/>
        <w:rPr>
          <w:rFonts w:ascii="宋体" w:hAnsi="宋体"/>
          <w:spacing w:val="-6"/>
          <w:sz w:val="24"/>
        </w:rPr>
      </w:pPr>
      <w:r>
        <w:rPr>
          <w:rFonts w:ascii="宋体" w:hAnsi="宋体"/>
          <w:spacing w:val="-6"/>
          <w:sz w:val="24"/>
        </w:rPr>
        <w:t>3</w:t>
      </w:r>
      <w:r>
        <w:rPr>
          <w:rFonts w:hint="eastAsia" w:ascii="宋体" w:hAnsi="宋体"/>
          <w:spacing w:val="-6"/>
          <w:sz w:val="24"/>
        </w:rPr>
        <w:t>.如为联合体投标，盖章处须加盖联合体牵头人电子签章，</w:t>
      </w:r>
      <w:r>
        <w:rPr>
          <w:rFonts w:hint="eastAsia" w:ascii="宋体" w:hAnsi="宋体"/>
          <w:b/>
          <w:spacing w:val="-6"/>
          <w:sz w:val="24"/>
        </w:rPr>
        <w:t>否则其投标作无效标处理。</w:t>
      </w:r>
    </w:p>
    <w:p>
      <w:pPr>
        <w:snapToGrid w:val="0"/>
        <w:spacing w:line="380" w:lineRule="exact"/>
        <w:ind w:firstLine="480" w:firstLineChars="200"/>
        <w:rPr>
          <w:rFonts w:ascii="宋体" w:hAnsi="宋体"/>
          <w:b/>
          <w:sz w:val="24"/>
        </w:rPr>
      </w:pPr>
      <w:r>
        <w:rPr>
          <w:rFonts w:ascii="宋体" w:hAnsi="宋体"/>
          <w:sz w:val="24"/>
        </w:rPr>
        <w:t>4</w:t>
      </w:r>
      <w:r>
        <w:rPr>
          <w:rFonts w:hint="eastAsia" w:ascii="宋体" w:hAnsi="宋体"/>
          <w:sz w:val="24"/>
        </w:rPr>
        <w:t>.如有多分标，按分标分别提供开标一览表</w:t>
      </w:r>
      <w:r>
        <w:rPr>
          <w:rFonts w:hint="eastAsia" w:ascii="宋体" w:hAnsi="宋体"/>
          <w:b/>
          <w:sz w:val="24"/>
        </w:rPr>
        <w:t>。</w:t>
      </w:r>
    </w:p>
    <w:p>
      <w:pPr>
        <w:pStyle w:val="18"/>
      </w:pPr>
    </w:p>
    <w:p>
      <w:pPr>
        <w:snapToGrid w:val="0"/>
        <w:spacing w:line="380" w:lineRule="exact"/>
        <w:ind w:left="-2" w:leftChars="-1" w:right="-817" w:rightChars="-389"/>
        <w:rPr>
          <w:rFonts w:ascii="宋体" w:hAnsi="宋体"/>
          <w:sz w:val="24"/>
        </w:rPr>
      </w:pPr>
      <w:r>
        <w:rPr>
          <w:rFonts w:hint="eastAsia" w:ascii="宋体" w:hAnsi="宋体"/>
          <w:sz w:val="24"/>
        </w:rPr>
        <w:t xml:space="preserve">                  法定代表人或者委托代理人（签字或者电子签名）： </w:t>
      </w:r>
    </w:p>
    <w:p>
      <w:pPr>
        <w:snapToGrid w:val="0"/>
        <w:spacing w:line="380" w:lineRule="exact"/>
        <w:ind w:left="-3" w:leftChars="-15" w:right="-817" w:rightChars="-389" w:hanging="28" w:hangingChars="12"/>
        <w:rPr>
          <w:rFonts w:ascii="宋体" w:hAnsi="宋体"/>
          <w:sz w:val="24"/>
        </w:rPr>
      </w:pPr>
      <w:r>
        <w:rPr>
          <w:rFonts w:hint="eastAsia" w:ascii="宋体" w:hAnsi="宋体"/>
          <w:sz w:val="24"/>
        </w:rPr>
        <w:t xml:space="preserve">                                  投标人名称（电子签章）：</w:t>
      </w:r>
    </w:p>
    <w:p>
      <w:pPr>
        <w:snapToGrid w:val="0"/>
        <w:spacing w:line="380" w:lineRule="exact"/>
        <w:ind w:left="-3" w:leftChars="-15" w:right="-817" w:rightChars="-389" w:hanging="28" w:hangingChars="12"/>
        <w:rPr>
          <w:rFonts w:ascii="宋体" w:hAnsi="宋体"/>
          <w:szCs w:val="21"/>
        </w:rPr>
      </w:pPr>
      <w:r>
        <w:rPr>
          <w:rFonts w:hint="eastAsia" w:ascii="宋体" w:hAnsi="宋体"/>
          <w:sz w:val="24"/>
        </w:rPr>
        <w:t xml:space="preserve">                                  日期：    年   月   日</w:t>
      </w:r>
    </w:p>
    <w:p>
      <w:pPr>
        <w:rPr>
          <w:b/>
          <w:sz w:val="28"/>
          <w:szCs w:val="28"/>
        </w:rPr>
      </w:pPr>
      <w:r>
        <w:rPr>
          <w:rFonts w:ascii="宋体" w:hAnsi="宋体"/>
          <w:b/>
          <w:bCs/>
          <w:sz w:val="24"/>
        </w:rPr>
        <w:br w:type="page"/>
      </w:r>
      <w:bookmarkStart w:id="201" w:name="_Toc19686837"/>
      <w:r>
        <w:rPr>
          <w:rFonts w:hint="eastAsia"/>
          <w:b/>
          <w:sz w:val="28"/>
          <w:szCs w:val="28"/>
        </w:rPr>
        <w:t>二、资格证明文件格式</w:t>
      </w:r>
      <w:bookmarkEnd w:id="193"/>
      <w:bookmarkEnd w:id="194"/>
      <w:bookmarkEnd w:id="201"/>
    </w:p>
    <w:p>
      <w:pPr>
        <w:numPr>
          <w:ilvl w:val="2"/>
          <w:numId w:val="14"/>
        </w:numPr>
        <w:snapToGrid w:val="0"/>
        <w:spacing w:before="120" w:beforeLines="50" w:after="50" w:line="360" w:lineRule="auto"/>
        <w:ind w:left="0" w:firstLine="0"/>
        <w:jc w:val="left"/>
        <w:rPr>
          <w:rFonts w:ascii="宋体" w:hAnsi="宋体"/>
          <w:b/>
          <w:sz w:val="24"/>
        </w:rPr>
      </w:pPr>
      <w:r>
        <w:rPr>
          <w:rFonts w:hint="eastAsia" w:ascii="宋体" w:hAnsi="宋体"/>
          <w:b/>
          <w:sz w:val="24"/>
        </w:rPr>
        <w:t xml:space="preserve">资格证明文件封面格式： </w:t>
      </w:r>
    </w:p>
    <w:p>
      <w:pPr>
        <w:snapToGrid w:val="0"/>
        <w:spacing w:before="120" w:beforeLines="50" w:after="50"/>
        <w:jc w:val="center"/>
        <w:rPr>
          <w:rFonts w:ascii="宋体" w:hAnsi="宋体" w:eastAsia="方正小标宋简体"/>
          <w:bCs/>
          <w:sz w:val="48"/>
          <w:szCs w:val="48"/>
        </w:rPr>
      </w:pPr>
      <w:r>
        <w:rPr>
          <w:rFonts w:hint="eastAsia" w:ascii="宋体" w:hAnsi="宋体" w:eastAsia="方正小标宋简体"/>
          <w:bCs/>
          <w:sz w:val="48"/>
          <w:szCs w:val="48"/>
        </w:rPr>
        <w:t>电子投标文件</w:t>
      </w:r>
    </w:p>
    <w:p>
      <w:pPr>
        <w:snapToGrid w:val="0"/>
        <w:spacing w:before="120" w:beforeLines="50" w:after="50"/>
        <w:jc w:val="center"/>
        <w:rPr>
          <w:rFonts w:ascii="宋体" w:hAnsi="宋体"/>
          <w:b/>
          <w:sz w:val="24"/>
          <w:szCs w:val="20"/>
        </w:rPr>
      </w:pPr>
      <w:r>
        <w:rPr>
          <w:rFonts w:hint="eastAsia" w:ascii="宋体" w:hAnsi="宋体"/>
          <w:b/>
          <w:sz w:val="32"/>
          <w:szCs w:val="32"/>
        </w:rPr>
        <w:t>资格证明文件</w:t>
      </w: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ind w:firstLine="540" w:firstLineChars="225"/>
        <w:rPr>
          <w:rFonts w:ascii="宋体" w:hAnsi="宋体"/>
          <w:bCs/>
          <w:sz w:val="24"/>
        </w:rPr>
      </w:pPr>
      <w:r>
        <w:rPr>
          <w:rFonts w:hint="eastAsia" w:ascii="宋体" w:hAnsi="宋体"/>
          <w:bCs/>
          <w:sz w:val="24"/>
        </w:rPr>
        <w:t>项目名称：</w:t>
      </w:r>
    </w:p>
    <w:p>
      <w:pPr>
        <w:snapToGrid w:val="0"/>
        <w:spacing w:before="120" w:beforeLines="50" w:after="50"/>
        <w:ind w:firstLine="540" w:firstLineChars="225"/>
        <w:rPr>
          <w:rFonts w:ascii="宋体" w:hAnsi="宋体"/>
          <w:bCs/>
          <w:sz w:val="24"/>
          <w:szCs w:val="20"/>
        </w:rPr>
      </w:pPr>
    </w:p>
    <w:p>
      <w:pPr>
        <w:snapToGrid w:val="0"/>
        <w:spacing w:before="120" w:beforeLines="50" w:after="50"/>
        <w:ind w:firstLine="540" w:firstLineChars="225"/>
        <w:rPr>
          <w:rFonts w:ascii="宋体" w:hAnsi="宋体"/>
          <w:bCs/>
          <w:sz w:val="24"/>
        </w:rPr>
      </w:pPr>
      <w:r>
        <w:rPr>
          <w:rFonts w:hint="eastAsia" w:ascii="宋体" w:hAnsi="宋体"/>
          <w:bCs/>
          <w:sz w:val="24"/>
        </w:rPr>
        <w:t>项目编号：</w:t>
      </w:r>
    </w:p>
    <w:p>
      <w:pPr>
        <w:snapToGrid w:val="0"/>
        <w:spacing w:before="120" w:beforeLines="50" w:after="50"/>
        <w:ind w:firstLine="540" w:firstLineChars="225"/>
        <w:rPr>
          <w:rFonts w:ascii="宋体" w:hAnsi="宋体"/>
          <w:bCs/>
          <w:sz w:val="24"/>
          <w:szCs w:val="20"/>
        </w:rPr>
      </w:pPr>
      <w:r>
        <w:rPr>
          <w:rFonts w:hint="eastAsia" w:ascii="宋体" w:hAnsi="宋体"/>
          <w:bCs/>
          <w:sz w:val="24"/>
        </w:rPr>
        <w:t xml:space="preserve"> </w:t>
      </w:r>
    </w:p>
    <w:p>
      <w:pPr>
        <w:snapToGrid w:val="0"/>
        <w:spacing w:before="120" w:beforeLines="50" w:after="50"/>
        <w:ind w:firstLine="540" w:firstLineChars="225"/>
        <w:rPr>
          <w:rFonts w:ascii="宋体" w:hAnsi="宋体"/>
          <w:bCs/>
          <w:sz w:val="24"/>
        </w:rPr>
      </w:pPr>
      <w:r>
        <w:rPr>
          <w:rFonts w:hint="eastAsia" w:ascii="宋体" w:hAnsi="宋体"/>
          <w:bCs/>
          <w:sz w:val="24"/>
        </w:rPr>
        <w:t>所投分标：</w:t>
      </w:r>
    </w:p>
    <w:p>
      <w:pPr>
        <w:pStyle w:val="7"/>
        <w:snapToGrid w:val="0"/>
        <w:spacing w:before="50" w:after="50"/>
        <w:ind w:firstLine="540" w:firstLineChars="225"/>
        <w:rPr>
          <w:rFonts w:ascii="宋体" w:hAnsi="宋体"/>
          <w:bCs/>
          <w:sz w:val="24"/>
          <w:szCs w:val="24"/>
        </w:rPr>
      </w:pPr>
    </w:p>
    <w:p>
      <w:pPr>
        <w:pStyle w:val="7"/>
        <w:snapToGrid w:val="0"/>
        <w:spacing w:before="50" w:after="50"/>
        <w:ind w:firstLine="540" w:firstLineChars="225"/>
        <w:rPr>
          <w:rFonts w:ascii="宋体" w:hAnsi="宋体"/>
          <w:bCs/>
          <w:sz w:val="24"/>
          <w:szCs w:val="24"/>
        </w:rPr>
      </w:pPr>
      <w:r>
        <w:rPr>
          <w:rFonts w:hint="eastAsia" w:ascii="宋体" w:hAnsi="宋体"/>
          <w:bCs/>
          <w:sz w:val="24"/>
          <w:szCs w:val="24"/>
        </w:rPr>
        <w:t>投标人名称：</w:t>
      </w:r>
    </w:p>
    <w:p>
      <w:pPr>
        <w:pStyle w:val="7"/>
        <w:snapToGrid w:val="0"/>
        <w:spacing w:before="50" w:after="50"/>
        <w:ind w:firstLine="540" w:firstLineChars="225"/>
        <w:rPr>
          <w:rFonts w:ascii="宋体" w:hAnsi="宋体"/>
          <w:bCs/>
          <w:sz w:val="24"/>
          <w:szCs w:val="24"/>
        </w:rPr>
      </w:pPr>
    </w:p>
    <w:p>
      <w:pPr>
        <w:pStyle w:val="7"/>
        <w:snapToGrid w:val="0"/>
        <w:spacing w:before="50" w:after="50"/>
        <w:ind w:firstLine="960" w:firstLineChars="400"/>
        <w:rPr>
          <w:rFonts w:ascii="宋体" w:hAnsi="宋体"/>
          <w:bCs/>
          <w:sz w:val="24"/>
          <w:szCs w:val="24"/>
        </w:rPr>
      </w:pPr>
    </w:p>
    <w:p>
      <w:pPr>
        <w:snapToGrid w:val="0"/>
        <w:spacing w:before="120" w:beforeLines="50" w:after="50"/>
        <w:ind w:firstLine="645"/>
        <w:jc w:val="center"/>
        <w:rPr>
          <w:rFonts w:ascii="宋体" w:hAnsi="宋体"/>
          <w:sz w:val="24"/>
        </w:rPr>
      </w:pPr>
      <w:r>
        <w:rPr>
          <w:rFonts w:hint="eastAsia" w:ascii="宋体" w:hAnsi="宋体"/>
          <w:sz w:val="24"/>
        </w:rPr>
        <w:t>年  月  日</w:t>
      </w:r>
    </w:p>
    <w:p>
      <w:pPr>
        <w:snapToGrid w:val="0"/>
        <w:spacing w:before="120" w:beforeLines="50" w:after="50"/>
        <w:rPr>
          <w:rFonts w:ascii="宋体" w:hAnsi="宋体"/>
          <w:sz w:val="24"/>
          <w:szCs w:val="20"/>
        </w:rPr>
      </w:pPr>
      <w:r>
        <w:rPr>
          <w:rFonts w:ascii="宋体" w:hAnsi="宋体"/>
          <w:sz w:val="24"/>
          <w:szCs w:val="20"/>
        </w:rPr>
        <w:t xml:space="preserve"> </w:t>
      </w:r>
    </w:p>
    <w:p>
      <w:pPr>
        <w:snapToGrid w:val="0"/>
        <w:spacing w:before="120" w:beforeLines="50" w:after="50"/>
        <w:rPr>
          <w:rFonts w:ascii="宋体" w:hAnsi="宋体"/>
          <w:sz w:val="24"/>
          <w:szCs w:val="20"/>
        </w:rPr>
      </w:pPr>
    </w:p>
    <w:p>
      <w:pPr>
        <w:numPr>
          <w:ilvl w:val="2"/>
          <w:numId w:val="14"/>
        </w:numPr>
        <w:snapToGrid w:val="0"/>
        <w:spacing w:before="120" w:beforeLines="50" w:after="50" w:line="360" w:lineRule="auto"/>
        <w:ind w:left="0" w:firstLine="0"/>
        <w:jc w:val="left"/>
        <w:rPr>
          <w:rFonts w:ascii="宋体" w:hAnsi="宋体"/>
          <w:sz w:val="24"/>
          <w:szCs w:val="20"/>
        </w:rPr>
      </w:pPr>
      <w:r>
        <w:rPr>
          <w:rFonts w:ascii="宋体" w:hAnsi="宋体"/>
          <w:b/>
          <w:bCs/>
          <w:sz w:val="24"/>
        </w:rPr>
        <w:br w:type="page"/>
      </w:r>
      <w:r>
        <w:rPr>
          <w:rFonts w:hint="eastAsia" w:ascii="宋体" w:hAnsi="宋体"/>
          <w:b/>
          <w:bCs/>
          <w:sz w:val="24"/>
        </w:rPr>
        <w:t>资格证明文件目录</w:t>
      </w:r>
    </w:p>
    <w:p>
      <w:pPr>
        <w:snapToGrid w:val="0"/>
        <w:spacing w:line="360" w:lineRule="auto"/>
        <w:ind w:firstLine="420" w:firstLineChars="200"/>
        <w:jc w:val="left"/>
        <w:rPr>
          <w:rFonts w:ascii="宋体" w:hAnsi="宋体"/>
          <w:szCs w:val="21"/>
        </w:rPr>
      </w:pPr>
      <w:r>
        <w:rPr>
          <w:rFonts w:hint="eastAsia" w:ascii="宋体" w:hAnsi="宋体"/>
          <w:szCs w:val="21"/>
        </w:rPr>
        <w:t>根据招标文件规定及投标人提供的材料自行编写目录。</w:t>
      </w:r>
    </w:p>
    <w:p>
      <w:pPr>
        <w:snapToGrid w:val="0"/>
        <w:spacing w:before="50" w:after="120" w:afterLines="50"/>
        <w:jc w:val="left"/>
        <w:rPr>
          <w:rFonts w:ascii="宋体" w:hAnsi="宋体"/>
          <w:sz w:val="24"/>
        </w:rPr>
      </w:pPr>
    </w:p>
    <w:p>
      <w:pPr>
        <w:snapToGrid w:val="0"/>
        <w:spacing w:before="50" w:after="120" w:afterLines="50"/>
        <w:jc w:val="left"/>
        <w:rPr>
          <w:rFonts w:ascii="宋体" w:hAnsi="宋体"/>
          <w:sz w:val="24"/>
        </w:rPr>
      </w:pPr>
    </w:p>
    <w:p>
      <w:pPr>
        <w:snapToGrid w:val="0"/>
        <w:spacing w:before="120" w:beforeLines="50" w:after="50"/>
        <w:jc w:val="left"/>
        <w:rPr>
          <w:rFonts w:ascii="宋体" w:hAnsi="宋体"/>
          <w:b/>
          <w:sz w:val="24"/>
        </w:rPr>
      </w:pPr>
      <w:r>
        <w:rPr>
          <w:rFonts w:ascii="宋体" w:hAnsi="宋体"/>
          <w:b/>
          <w:sz w:val="24"/>
        </w:rPr>
        <w:br w:type="page"/>
      </w:r>
      <w:r>
        <w:rPr>
          <w:rFonts w:hint="eastAsia" w:ascii="宋体" w:hAnsi="宋体"/>
          <w:b/>
          <w:sz w:val="24"/>
        </w:rPr>
        <w:t>3.</w:t>
      </w:r>
      <w:r>
        <w:rPr>
          <w:rFonts w:hint="eastAsia" w:ascii="宋体" w:hAnsi="宋体"/>
          <w:b/>
          <w:sz w:val="28"/>
          <w:szCs w:val="28"/>
        </w:rPr>
        <w:t>投标人直接控股股东信息表</w:t>
      </w:r>
    </w:p>
    <w:p>
      <w:pPr>
        <w:snapToGrid w:val="0"/>
        <w:spacing w:before="50" w:after="120" w:afterLines="50"/>
        <w:jc w:val="center"/>
        <w:rPr>
          <w:rFonts w:ascii="宋体" w:hAnsi="宋体"/>
          <w:b/>
          <w:sz w:val="28"/>
          <w:szCs w:val="28"/>
        </w:rPr>
      </w:pPr>
    </w:p>
    <w:p>
      <w:pPr>
        <w:snapToGrid w:val="0"/>
        <w:spacing w:before="50" w:after="120" w:afterLines="50" w:line="360" w:lineRule="auto"/>
        <w:jc w:val="center"/>
        <w:rPr>
          <w:rFonts w:ascii="宋体" w:hAnsi="宋体"/>
          <w:b/>
          <w:sz w:val="32"/>
          <w:szCs w:val="32"/>
        </w:rPr>
      </w:pPr>
      <w:r>
        <w:rPr>
          <w:rFonts w:hint="eastAsia" w:ascii="宋体" w:hAnsi="宋体"/>
          <w:b/>
          <w:sz w:val="32"/>
          <w:szCs w:val="32"/>
        </w:rPr>
        <w:t>投标人直接控股股东信息表</w:t>
      </w:r>
    </w:p>
    <w:tbl>
      <w:tblPr>
        <w:tblStyle w:val="49"/>
        <w:tblW w:w="0" w:type="auto"/>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备注</w:t>
            </w:r>
          </w:p>
        </w:tc>
      </w:tr>
      <w:tr>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bl>
    <w:p>
      <w:pPr>
        <w:snapToGrid w:val="0"/>
        <w:spacing w:line="360" w:lineRule="auto"/>
        <w:jc w:val="left"/>
        <w:rPr>
          <w:rFonts w:ascii="宋体" w:hAnsi="宋体"/>
          <w:sz w:val="24"/>
        </w:rPr>
      </w:pPr>
      <w:r>
        <w:rPr>
          <w:rFonts w:hint="eastAsia" w:ascii="宋体" w:hAnsi="宋体"/>
          <w:sz w:val="24"/>
        </w:rPr>
        <w:t>注：</w:t>
      </w:r>
    </w:p>
    <w:p>
      <w:pPr>
        <w:snapToGrid w:val="0"/>
        <w:spacing w:line="360" w:lineRule="auto"/>
        <w:jc w:val="left"/>
        <w:rPr>
          <w:rFonts w:ascii="宋体" w:hAnsi="宋体"/>
          <w:sz w:val="24"/>
        </w:rPr>
      </w:pPr>
      <w:r>
        <w:rPr>
          <w:rFonts w:hint="eastAsia" w:ascii="宋体" w:hAnsi="宋体"/>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snapToGrid w:val="0"/>
        <w:spacing w:line="360" w:lineRule="auto"/>
        <w:jc w:val="left"/>
        <w:rPr>
          <w:rFonts w:ascii="宋体" w:hAnsi="宋体"/>
          <w:sz w:val="24"/>
        </w:rPr>
      </w:pPr>
      <w:r>
        <w:rPr>
          <w:rFonts w:hint="eastAsia" w:ascii="宋体" w:hAnsi="宋体"/>
          <w:sz w:val="24"/>
        </w:rPr>
        <w:t>2.本表所指的控股关系仅限于直接控股关系，不包括间接的控股关系。公司实际控制人与公司之间的关系不属于本表所指的直接控股关系。</w:t>
      </w:r>
    </w:p>
    <w:p>
      <w:pPr>
        <w:snapToGrid w:val="0"/>
        <w:spacing w:line="360" w:lineRule="auto"/>
        <w:jc w:val="left"/>
        <w:rPr>
          <w:rFonts w:ascii="宋体" w:hAnsi="宋体"/>
          <w:sz w:val="24"/>
        </w:rPr>
      </w:pPr>
      <w:r>
        <w:rPr>
          <w:rFonts w:hint="eastAsia" w:ascii="宋体" w:hAnsi="宋体"/>
          <w:sz w:val="24"/>
        </w:rPr>
        <w:t>3.供应商不存在直接控股股东的，则在“</w:t>
      </w:r>
      <w:r>
        <w:rPr>
          <w:rFonts w:hint="eastAsia" w:ascii="宋体" w:hAnsi="宋体" w:cs="宋体"/>
          <w:b/>
          <w:bCs/>
          <w:kern w:val="0"/>
          <w:sz w:val="24"/>
        </w:rPr>
        <w:t>直接控股股东名称</w:t>
      </w:r>
      <w:r>
        <w:rPr>
          <w:rFonts w:hint="eastAsia" w:ascii="宋体" w:hAnsi="宋体"/>
          <w:sz w:val="24"/>
        </w:rPr>
        <w:t>”中填“无”。</w:t>
      </w:r>
    </w:p>
    <w:p>
      <w:pPr>
        <w:snapToGrid w:val="0"/>
        <w:spacing w:line="360" w:lineRule="auto"/>
        <w:jc w:val="left"/>
        <w:rPr>
          <w:rFonts w:ascii="宋体" w:hAnsi="宋体"/>
          <w:sz w:val="24"/>
        </w:rPr>
      </w:pPr>
    </w:p>
    <w:p>
      <w:pPr>
        <w:snapToGrid w:val="0"/>
        <w:spacing w:line="360" w:lineRule="auto"/>
        <w:jc w:val="left"/>
        <w:rPr>
          <w:rFonts w:ascii="宋体" w:hAnsi="宋体"/>
          <w:sz w:val="24"/>
        </w:rPr>
      </w:pPr>
    </w:p>
    <w:p>
      <w:pPr>
        <w:snapToGrid w:val="0"/>
        <w:spacing w:line="360" w:lineRule="auto"/>
        <w:jc w:val="left"/>
        <w:rPr>
          <w:rFonts w:ascii="宋体" w:hAnsi="宋体"/>
          <w:sz w:val="24"/>
        </w:rPr>
      </w:pPr>
    </w:p>
    <w:p>
      <w:pPr>
        <w:snapToGrid w:val="0"/>
        <w:spacing w:line="360" w:lineRule="auto"/>
        <w:ind w:left="-2" w:leftChars="-1" w:right="-817" w:rightChars="-389"/>
        <w:rPr>
          <w:rFonts w:ascii="宋体" w:hAnsi="宋体"/>
          <w:sz w:val="24"/>
        </w:rPr>
      </w:pPr>
      <w:r>
        <w:rPr>
          <w:rFonts w:hint="eastAsia" w:ascii="宋体" w:hAnsi="宋体"/>
          <w:sz w:val="24"/>
        </w:rPr>
        <w:t xml:space="preserve">             法定代表人或者委托代理人（签字或者电子签名）：</w:t>
      </w:r>
    </w:p>
    <w:p>
      <w:pPr>
        <w:snapToGrid w:val="0"/>
        <w:spacing w:line="360" w:lineRule="auto"/>
        <w:ind w:left="-3" w:leftChars="-15" w:right="-817" w:rightChars="-389" w:hanging="28" w:hangingChars="12"/>
        <w:rPr>
          <w:rFonts w:ascii="宋体" w:hAnsi="宋体"/>
          <w:sz w:val="24"/>
        </w:rPr>
      </w:pPr>
      <w:r>
        <w:rPr>
          <w:rFonts w:hint="eastAsia" w:ascii="宋体" w:hAnsi="宋体"/>
          <w:sz w:val="24"/>
        </w:rPr>
        <w:t xml:space="preserve">                                    投标人名称（电子签章）：</w:t>
      </w:r>
    </w:p>
    <w:p>
      <w:pPr>
        <w:snapToGrid w:val="0"/>
        <w:spacing w:line="360" w:lineRule="auto"/>
        <w:jc w:val="left"/>
        <w:rPr>
          <w:rFonts w:ascii="宋体" w:hAnsi="宋体"/>
          <w:szCs w:val="21"/>
        </w:rPr>
      </w:pPr>
      <w:r>
        <w:rPr>
          <w:rFonts w:hint="eastAsia" w:ascii="宋体" w:hAnsi="宋体"/>
          <w:sz w:val="24"/>
        </w:rPr>
        <w:t xml:space="preserve">                                    日期：    年   月   日</w:t>
      </w:r>
    </w:p>
    <w:p>
      <w:pPr>
        <w:snapToGrid w:val="0"/>
        <w:jc w:val="center"/>
        <w:rPr>
          <w:rFonts w:ascii="宋体" w:hAnsi="宋体"/>
          <w:b/>
          <w:sz w:val="28"/>
          <w:szCs w:val="28"/>
        </w:rPr>
      </w:pPr>
    </w:p>
    <w:p>
      <w:pPr>
        <w:snapToGrid w:val="0"/>
        <w:spacing w:line="360" w:lineRule="auto"/>
        <w:jc w:val="left"/>
        <w:rPr>
          <w:rFonts w:ascii="宋体" w:hAnsi="宋体"/>
          <w:b/>
          <w:sz w:val="32"/>
          <w:szCs w:val="32"/>
        </w:rPr>
      </w:pPr>
      <w:r>
        <w:rPr>
          <w:rFonts w:ascii="宋体" w:hAnsi="宋体"/>
          <w:b/>
          <w:sz w:val="32"/>
          <w:szCs w:val="32"/>
        </w:rPr>
        <w:br w:type="page"/>
      </w:r>
      <w:r>
        <w:rPr>
          <w:rFonts w:hint="eastAsia" w:ascii="宋体" w:hAnsi="宋体"/>
          <w:b/>
          <w:sz w:val="24"/>
        </w:rPr>
        <w:t>4.</w:t>
      </w:r>
      <w:r>
        <w:rPr>
          <w:rFonts w:hint="eastAsia"/>
        </w:rPr>
        <w:t xml:space="preserve"> </w:t>
      </w:r>
      <w:r>
        <w:rPr>
          <w:rFonts w:hint="eastAsia" w:ascii="宋体" w:hAnsi="宋体"/>
          <w:b/>
          <w:sz w:val="28"/>
          <w:szCs w:val="28"/>
        </w:rPr>
        <w:t>投标人直接管理关系信息表</w:t>
      </w:r>
    </w:p>
    <w:p>
      <w:pPr>
        <w:snapToGrid w:val="0"/>
        <w:spacing w:line="360" w:lineRule="auto"/>
        <w:jc w:val="center"/>
        <w:rPr>
          <w:rFonts w:ascii="宋体" w:hAnsi="宋体"/>
          <w:sz w:val="32"/>
          <w:szCs w:val="32"/>
        </w:rPr>
      </w:pPr>
      <w:r>
        <w:rPr>
          <w:rFonts w:hint="eastAsia" w:ascii="宋体" w:hAnsi="宋体"/>
          <w:b/>
          <w:sz w:val="32"/>
          <w:szCs w:val="32"/>
        </w:rPr>
        <w:t>投标人直接管理关系信息表</w:t>
      </w:r>
    </w:p>
    <w:tbl>
      <w:tblPr>
        <w:tblStyle w:val="49"/>
        <w:tblW w:w="0" w:type="auto"/>
        <w:tblInd w:w="0" w:type="dxa"/>
        <w:shd w:val="clear" w:color="auto" w:fill="FBFBFB"/>
        <w:tblLayout w:type="fixed"/>
        <w:tblCellMar>
          <w:top w:w="0" w:type="dxa"/>
          <w:left w:w="0" w:type="dxa"/>
          <w:bottom w:w="0" w:type="dxa"/>
          <w:right w:w="0" w:type="dxa"/>
        </w:tblCellMar>
      </w:tblPr>
      <w:tblGrid>
        <w:gridCol w:w="1005"/>
        <w:gridCol w:w="2659"/>
        <w:gridCol w:w="3924"/>
        <w:gridCol w:w="2064"/>
      </w:tblGrid>
      <w:tr>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备注</w:t>
            </w:r>
          </w:p>
        </w:tc>
      </w:tr>
      <w:tr>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bl>
    <w:p>
      <w:pPr>
        <w:snapToGrid w:val="0"/>
        <w:spacing w:line="360" w:lineRule="auto"/>
        <w:jc w:val="left"/>
        <w:rPr>
          <w:rFonts w:ascii="宋体" w:hAnsi="宋体"/>
          <w:sz w:val="24"/>
        </w:rPr>
      </w:pPr>
      <w:r>
        <w:rPr>
          <w:rFonts w:hint="eastAsia" w:ascii="宋体" w:hAnsi="宋体"/>
          <w:sz w:val="24"/>
        </w:rPr>
        <w:t>注：</w:t>
      </w:r>
    </w:p>
    <w:p>
      <w:pPr>
        <w:snapToGrid w:val="0"/>
        <w:spacing w:line="360" w:lineRule="auto"/>
        <w:ind w:firstLine="480" w:firstLineChars="200"/>
        <w:jc w:val="left"/>
        <w:rPr>
          <w:rFonts w:ascii="宋体" w:hAnsi="宋体"/>
          <w:sz w:val="24"/>
        </w:rPr>
      </w:pPr>
      <w:r>
        <w:rPr>
          <w:rFonts w:hint="eastAsia" w:ascii="宋体" w:hAnsi="宋体"/>
          <w:sz w:val="24"/>
        </w:rPr>
        <w:t>1.管理关系：是指不具有出资持股关系的其他单位之间存在的管理与被管理关系，如一些上下级关系的事业单位和团体组织。</w:t>
      </w:r>
    </w:p>
    <w:p>
      <w:pPr>
        <w:snapToGrid w:val="0"/>
        <w:spacing w:line="360" w:lineRule="auto"/>
        <w:ind w:firstLine="480" w:firstLineChars="200"/>
        <w:jc w:val="left"/>
        <w:rPr>
          <w:rFonts w:ascii="宋体" w:hAnsi="宋体"/>
          <w:sz w:val="24"/>
        </w:rPr>
      </w:pPr>
      <w:r>
        <w:rPr>
          <w:rFonts w:hint="eastAsia" w:ascii="宋体" w:hAnsi="宋体"/>
          <w:sz w:val="24"/>
        </w:rPr>
        <w:t>2.</w:t>
      </w:r>
      <w:r>
        <w:rPr>
          <w:rFonts w:hint="eastAsia" w:ascii="宋体" w:hAnsi="宋体"/>
          <w:spacing w:val="-6"/>
          <w:sz w:val="24"/>
        </w:rPr>
        <w:t>本表所指的管理关系仅限于直接管理关系，不包括间接的管理关系。</w:t>
      </w:r>
    </w:p>
    <w:p>
      <w:pPr>
        <w:snapToGrid w:val="0"/>
        <w:spacing w:line="360" w:lineRule="auto"/>
        <w:ind w:firstLine="480" w:firstLineChars="200"/>
        <w:jc w:val="left"/>
        <w:rPr>
          <w:rFonts w:ascii="宋体" w:hAnsi="宋体"/>
          <w:sz w:val="24"/>
        </w:rPr>
      </w:pPr>
      <w:r>
        <w:rPr>
          <w:rFonts w:hint="eastAsia" w:ascii="宋体" w:hAnsi="宋体"/>
          <w:sz w:val="24"/>
        </w:rPr>
        <w:t>3.供应商不存在直接管理关系的，则在“</w:t>
      </w:r>
      <w:r>
        <w:rPr>
          <w:rFonts w:hint="eastAsia" w:ascii="宋体" w:hAnsi="宋体" w:cs="宋体"/>
          <w:b/>
          <w:bCs/>
          <w:kern w:val="0"/>
          <w:sz w:val="24"/>
        </w:rPr>
        <w:t>直接管理关系单位名称</w:t>
      </w:r>
      <w:r>
        <w:rPr>
          <w:rFonts w:hint="eastAsia" w:ascii="宋体" w:hAnsi="宋体"/>
          <w:sz w:val="24"/>
        </w:rPr>
        <w:t>”中填“无”。</w:t>
      </w:r>
    </w:p>
    <w:p>
      <w:pPr>
        <w:snapToGrid w:val="0"/>
        <w:spacing w:line="360" w:lineRule="auto"/>
        <w:jc w:val="left"/>
        <w:rPr>
          <w:rFonts w:ascii="宋体" w:hAnsi="宋体"/>
          <w:sz w:val="24"/>
        </w:rPr>
      </w:pPr>
    </w:p>
    <w:p>
      <w:pPr>
        <w:snapToGrid w:val="0"/>
        <w:spacing w:line="360" w:lineRule="auto"/>
        <w:jc w:val="left"/>
        <w:rPr>
          <w:rFonts w:ascii="宋体" w:hAnsi="宋体"/>
          <w:sz w:val="24"/>
        </w:rPr>
      </w:pPr>
    </w:p>
    <w:p>
      <w:pPr>
        <w:snapToGrid w:val="0"/>
        <w:spacing w:line="360" w:lineRule="auto"/>
        <w:jc w:val="left"/>
        <w:rPr>
          <w:rFonts w:ascii="宋体" w:hAnsi="宋体"/>
          <w:sz w:val="24"/>
        </w:rPr>
      </w:pPr>
    </w:p>
    <w:p>
      <w:pPr>
        <w:snapToGrid w:val="0"/>
        <w:spacing w:line="360" w:lineRule="auto"/>
        <w:jc w:val="left"/>
        <w:rPr>
          <w:sz w:val="24"/>
        </w:rPr>
      </w:pPr>
    </w:p>
    <w:p>
      <w:pPr>
        <w:snapToGrid w:val="0"/>
        <w:spacing w:line="360" w:lineRule="auto"/>
        <w:ind w:left="-2" w:leftChars="-1" w:right="-817" w:rightChars="-389"/>
        <w:rPr>
          <w:rFonts w:ascii="宋体" w:hAnsi="宋体"/>
          <w:sz w:val="24"/>
        </w:rPr>
      </w:pPr>
      <w:r>
        <w:rPr>
          <w:rFonts w:hint="eastAsia" w:ascii="宋体" w:hAnsi="宋体"/>
          <w:sz w:val="24"/>
        </w:rPr>
        <w:t xml:space="preserve">            法定代表人或者委托代理人（签字或者电子签名）：</w:t>
      </w:r>
    </w:p>
    <w:p>
      <w:pPr>
        <w:snapToGrid w:val="0"/>
        <w:spacing w:line="360" w:lineRule="auto"/>
        <w:ind w:left="-3" w:leftChars="-15" w:right="-817" w:rightChars="-389" w:hanging="28" w:hangingChars="12"/>
        <w:rPr>
          <w:rFonts w:ascii="宋体" w:hAnsi="宋体"/>
          <w:sz w:val="24"/>
        </w:rPr>
      </w:pPr>
      <w:r>
        <w:rPr>
          <w:rFonts w:hint="eastAsia" w:ascii="宋体" w:hAnsi="宋体"/>
          <w:sz w:val="24"/>
        </w:rPr>
        <w:t xml:space="preserve">                                  投标人名称（电子签章）：</w:t>
      </w:r>
    </w:p>
    <w:p>
      <w:pPr>
        <w:snapToGrid w:val="0"/>
        <w:spacing w:line="360" w:lineRule="auto"/>
        <w:ind w:right="480" w:firstLine="240" w:firstLineChars="100"/>
        <w:jc w:val="left"/>
        <w:rPr>
          <w:rFonts w:ascii="宋体" w:hAnsi="宋体"/>
          <w:szCs w:val="21"/>
        </w:rPr>
      </w:pPr>
      <w:r>
        <w:rPr>
          <w:rFonts w:hint="eastAsia" w:ascii="宋体" w:hAnsi="宋体"/>
          <w:sz w:val="24"/>
        </w:rPr>
        <w:t xml:space="preserve">                                日期：    年   月   日</w:t>
      </w:r>
    </w:p>
    <w:p>
      <w:pPr>
        <w:snapToGrid w:val="0"/>
        <w:spacing w:before="120" w:beforeLines="50" w:after="50"/>
        <w:jc w:val="left"/>
        <w:rPr>
          <w:rFonts w:ascii="宋体" w:hAnsi="宋体"/>
          <w:b/>
          <w:sz w:val="24"/>
          <w:szCs w:val="20"/>
        </w:rPr>
      </w:pPr>
      <w:r>
        <w:rPr>
          <w:rFonts w:ascii="宋体" w:hAnsi="宋体"/>
          <w:b/>
          <w:sz w:val="24"/>
        </w:rPr>
        <w:br w:type="page"/>
      </w:r>
      <w:r>
        <w:rPr>
          <w:rFonts w:ascii="宋体" w:hAnsi="宋体"/>
          <w:b/>
          <w:sz w:val="24"/>
        </w:rPr>
        <w:t>5.</w:t>
      </w:r>
      <w:r>
        <w:rPr>
          <w:rFonts w:hint="eastAsia" w:ascii="宋体" w:hAnsi="宋体"/>
          <w:b/>
          <w:sz w:val="24"/>
        </w:rPr>
        <w:t>投标声明</w:t>
      </w:r>
    </w:p>
    <w:p>
      <w:pPr>
        <w:snapToGrid w:val="0"/>
        <w:spacing w:before="50" w:after="120" w:afterLines="50"/>
        <w:jc w:val="left"/>
        <w:rPr>
          <w:rFonts w:ascii="宋体" w:hAnsi="宋体"/>
        </w:rPr>
      </w:pPr>
    </w:p>
    <w:p>
      <w:pPr>
        <w:snapToGrid w:val="0"/>
        <w:spacing w:before="50" w:after="120" w:afterLines="5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投标声明</w:t>
      </w:r>
    </w:p>
    <w:p>
      <w:pPr>
        <w:spacing w:line="400" w:lineRule="exact"/>
        <w:contextualSpacing/>
        <w:jc w:val="left"/>
        <w:rPr>
          <w:sz w:val="24"/>
        </w:rPr>
      </w:pPr>
      <w:r>
        <w:rPr>
          <w:rFonts w:hint="eastAsia"/>
          <w:sz w:val="24"/>
        </w:rPr>
        <w:t>（采购人名称）：</w:t>
      </w:r>
    </w:p>
    <w:p>
      <w:pPr>
        <w:spacing w:line="400" w:lineRule="exact"/>
        <w:ind w:firstLine="523" w:firstLineChars="218"/>
        <w:contextualSpacing/>
        <w:jc w:val="left"/>
        <w:rPr>
          <w:rFonts w:ascii="宋体" w:hAnsi="宋体"/>
          <w:sz w:val="24"/>
        </w:rPr>
      </w:pPr>
      <w:r>
        <w:rPr>
          <w:rFonts w:hint="eastAsia" w:ascii="宋体" w:hAnsi="宋体"/>
          <w:sz w:val="24"/>
        </w:rPr>
        <w:t>我方参加贵单位组织</w:t>
      </w:r>
      <w:r>
        <w:rPr>
          <w:rFonts w:hint="eastAsia" w:ascii="宋体" w:hAnsi="宋体"/>
          <w:sz w:val="24"/>
          <w:u w:val="single"/>
        </w:rPr>
        <w:t xml:space="preserve">             </w:t>
      </w:r>
      <w:r>
        <w:rPr>
          <w:rFonts w:hint="eastAsia" w:ascii="宋体" w:hAnsi="宋体"/>
          <w:sz w:val="24"/>
        </w:rPr>
        <w:t>项目（项目编号：</w:t>
      </w:r>
      <w:r>
        <w:rPr>
          <w:rFonts w:hint="eastAsia" w:ascii="宋体" w:hAnsi="宋体"/>
          <w:sz w:val="24"/>
          <w:u w:val="single"/>
        </w:rPr>
        <w:t xml:space="preserve">       </w:t>
      </w:r>
      <w:r>
        <w:rPr>
          <w:rFonts w:hint="eastAsia" w:ascii="宋体" w:hAnsi="宋体"/>
          <w:sz w:val="24"/>
        </w:rPr>
        <w:t>）的政府采购活动。我方在此郑重声明：</w:t>
      </w:r>
    </w:p>
    <w:p>
      <w:pPr>
        <w:spacing w:line="400" w:lineRule="exact"/>
        <w:ind w:firstLine="480" w:firstLineChars="200"/>
        <w:contextualSpacing/>
        <w:jc w:val="left"/>
        <w:rPr>
          <w:rFonts w:ascii="宋体" w:hAnsi="宋体"/>
          <w:sz w:val="24"/>
        </w:rPr>
      </w:pPr>
      <w:r>
        <w:rPr>
          <w:rFonts w:hint="eastAsia" w:ascii="宋体" w:hAnsi="宋体"/>
          <w:sz w:val="24"/>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pPr>
        <w:spacing w:line="400" w:lineRule="exact"/>
        <w:ind w:firstLine="480" w:firstLineChars="200"/>
        <w:contextualSpacing/>
        <w:jc w:val="left"/>
        <w:rPr>
          <w:rFonts w:ascii="宋体" w:hAnsi="宋体"/>
          <w:sz w:val="24"/>
        </w:rPr>
      </w:pPr>
      <w:r>
        <w:rPr>
          <w:rFonts w:hint="eastAsia" w:ascii="宋体" w:hAnsi="宋体"/>
          <w:sz w:val="24"/>
        </w:rPr>
        <w:t>2.我方不是为本次采购项目提供整体设计、规范编制或者项目管理、监理、检测等服务的供应商。</w:t>
      </w:r>
    </w:p>
    <w:p>
      <w:pPr>
        <w:spacing w:line="400" w:lineRule="exact"/>
        <w:ind w:firstLine="480" w:firstLineChars="200"/>
        <w:contextualSpacing/>
        <w:jc w:val="left"/>
        <w:rPr>
          <w:rFonts w:ascii="宋体" w:hAnsi="宋体"/>
          <w:sz w:val="24"/>
        </w:rPr>
      </w:pPr>
      <w:r>
        <w:rPr>
          <w:rFonts w:hint="eastAsia" w:ascii="宋体" w:hAnsi="宋体"/>
          <w:sz w:val="24"/>
        </w:rPr>
        <w:t>3. 我方承诺符合《中华人民共和国政府采购法》第二十二条规定：</w:t>
      </w:r>
    </w:p>
    <w:p>
      <w:pPr>
        <w:spacing w:line="400" w:lineRule="exact"/>
        <w:ind w:firstLine="480" w:firstLineChars="200"/>
        <w:contextualSpacing/>
        <w:jc w:val="left"/>
        <w:rPr>
          <w:rFonts w:ascii="宋体" w:hAnsi="宋体"/>
          <w:sz w:val="24"/>
        </w:rPr>
      </w:pPr>
      <w:r>
        <w:rPr>
          <w:rFonts w:hint="eastAsia" w:ascii="宋体" w:hAnsi="宋体"/>
          <w:sz w:val="24"/>
        </w:rPr>
        <w:t>（一）具有独立承担民事责任的能力；</w:t>
      </w:r>
    </w:p>
    <w:p>
      <w:pPr>
        <w:spacing w:line="400" w:lineRule="exact"/>
        <w:ind w:firstLine="480" w:firstLineChars="200"/>
        <w:contextualSpacing/>
        <w:jc w:val="left"/>
        <w:rPr>
          <w:rFonts w:ascii="宋体" w:hAnsi="宋体"/>
          <w:sz w:val="24"/>
        </w:rPr>
      </w:pPr>
      <w:r>
        <w:rPr>
          <w:rFonts w:hint="eastAsia" w:ascii="宋体" w:hAnsi="宋体"/>
          <w:sz w:val="24"/>
        </w:rPr>
        <w:t>（二）具有良好的商业信誉和健全的财务会计制度；</w:t>
      </w:r>
    </w:p>
    <w:p>
      <w:pPr>
        <w:spacing w:line="400" w:lineRule="exact"/>
        <w:ind w:firstLine="480" w:firstLineChars="200"/>
        <w:contextualSpacing/>
        <w:jc w:val="left"/>
        <w:rPr>
          <w:rFonts w:ascii="宋体" w:hAnsi="宋体"/>
          <w:sz w:val="24"/>
        </w:rPr>
      </w:pPr>
      <w:r>
        <w:rPr>
          <w:rFonts w:hint="eastAsia" w:ascii="宋体" w:hAnsi="宋体"/>
          <w:sz w:val="24"/>
        </w:rPr>
        <w:t>（三）具有履行合同所必需的设备和专业技术能力；</w:t>
      </w:r>
    </w:p>
    <w:p>
      <w:pPr>
        <w:spacing w:line="400" w:lineRule="exact"/>
        <w:ind w:firstLine="480" w:firstLineChars="200"/>
        <w:contextualSpacing/>
        <w:jc w:val="left"/>
        <w:rPr>
          <w:rFonts w:ascii="宋体" w:hAnsi="宋体"/>
          <w:sz w:val="24"/>
        </w:rPr>
      </w:pPr>
      <w:r>
        <w:rPr>
          <w:rFonts w:hint="eastAsia" w:ascii="宋体" w:hAnsi="宋体"/>
          <w:sz w:val="24"/>
        </w:rPr>
        <w:t>（四）有依法缴纳税收和社会保障资金的良好记录；</w:t>
      </w:r>
    </w:p>
    <w:p>
      <w:pPr>
        <w:spacing w:line="400" w:lineRule="exact"/>
        <w:ind w:firstLine="480" w:firstLineChars="200"/>
        <w:contextualSpacing/>
        <w:jc w:val="left"/>
        <w:rPr>
          <w:rFonts w:ascii="宋体" w:hAnsi="宋体"/>
          <w:sz w:val="24"/>
        </w:rPr>
      </w:pPr>
      <w:r>
        <w:rPr>
          <w:rFonts w:hint="eastAsia" w:ascii="宋体" w:hAnsi="宋体"/>
          <w:sz w:val="24"/>
        </w:rPr>
        <w:t>（五）参加政府采购活动前三年内，在经营活动中没有重大违法记录；</w:t>
      </w:r>
    </w:p>
    <w:p>
      <w:pPr>
        <w:spacing w:line="400" w:lineRule="exact"/>
        <w:ind w:firstLine="480" w:firstLineChars="200"/>
        <w:contextualSpacing/>
        <w:jc w:val="left"/>
        <w:rPr>
          <w:rFonts w:ascii="宋体" w:hAnsi="宋体"/>
          <w:sz w:val="24"/>
        </w:rPr>
      </w:pPr>
      <w:r>
        <w:rPr>
          <w:rFonts w:hint="eastAsia" w:ascii="宋体" w:hAnsi="宋体"/>
          <w:sz w:val="24"/>
        </w:rPr>
        <w:t>（六）法律、行政法规规定的其他条件。</w:t>
      </w:r>
    </w:p>
    <w:p>
      <w:pPr>
        <w:spacing w:line="400" w:lineRule="exact"/>
        <w:ind w:firstLine="480" w:firstLineChars="200"/>
        <w:contextualSpacing/>
        <w:jc w:val="left"/>
        <w:rPr>
          <w:rFonts w:ascii="宋体" w:hAnsi="宋体"/>
          <w:sz w:val="24"/>
        </w:rPr>
      </w:pPr>
      <w:r>
        <w:rPr>
          <w:rFonts w:hint="eastAsia" w:ascii="宋体" w:hAnsi="宋体"/>
          <w:sz w:val="24"/>
        </w:rPr>
        <w:t>4.以上事项如有虚假或者隐瞒，我方愿意承担一切后果，并不再寻求任何旨在减轻或者免除法律责任的辩解。</w:t>
      </w:r>
    </w:p>
    <w:p>
      <w:pPr>
        <w:spacing w:line="400" w:lineRule="exact"/>
        <w:contextualSpacing/>
        <w:jc w:val="left"/>
        <w:rPr>
          <w:rFonts w:ascii="宋体" w:hAnsi="宋体"/>
          <w:sz w:val="24"/>
        </w:rPr>
      </w:pPr>
      <w:r>
        <w:rPr>
          <w:rFonts w:hint="eastAsia" w:ascii="宋体" w:hAnsi="宋体"/>
          <w:sz w:val="24"/>
        </w:rPr>
        <w:t xml:space="preserve">    特此承诺。</w:t>
      </w:r>
    </w:p>
    <w:p>
      <w:pPr>
        <w:snapToGrid w:val="0"/>
        <w:spacing w:before="50" w:after="50"/>
        <w:rPr>
          <w:rFonts w:ascii="宋体" w:hAnsi="宋体"/>
          <w:sz w:val="24"/>
        </w:rPr>
      </w:pPr>
      <w:r>
        <w:rPr>
          <w:rFonts w:hint="eastAsia" w:ascii="宋体" w:hAnsi="宋体"/>
          <w:b/>
          <w:sz w:val="24"/>
        </w:rPr>
        <w:t xml:space="preserve">    </w:t>
      </w:r>
      <w:r>
        <w:rPr>
          <w:rFonts w:hint="eastAsia" w:ascii="宋体" w:hAnsi="宋体"/>
          <w:sz w:val="24"/>
        </w:rPr>
        <w:t xml:space="preserve">            </w:t>
      </w:r>
    </w:p>
    <w:p>
      <w:pPr>
        <w:snapToGrid w:val="0"/>
        <w:spacing w:before="50" w:after="50"/>
        <w:ind w:firstLine="840" w:firstLineChars="350"/>
        <w:rPr>
          <w:rFonts w:ascii="宋体" w:hAnsi="宋体"/>
          <w:spacing w:val="20"/>
          <w:sz w:val="24"/>
          <w:u w:val="single"/>
        </w:rPr>
      </w:pPr>
      <w:r>
        <w:rPr>
          <w:rFonts w:hint="eastAsia" w:ascii="宋体" w:hAnsi="宋体"/>
          <w:sz w:val="24"/>
        </w:rPr>
        <w:t>法定代表人或者委托代理人</w:t>
      </w:r>
      <w:r>
        <w:rPr>
          <w:rFonts w:hint="eastAsia" w:ascii="宋体" w:hAnsi="宋体"/>
          <w:spacing w:val="20"/>
          <w:sz w:val="24"/>
        </w:rPr>
        <w:t>（签字或者电子签名）：</w:t>
      </w:r>
      <w:r>
        <w:rPr>
          <w:rFonts w:hint="eastAsia" w:ascii="宋体" w:hAnsi="宋体"/>
          <w:spacing w:val="20"/>
          <w:sz w:val="24"/>
          <w:u w:val="single"/>
        </w:rPr>
        <w:t xml:space="preserve">        </w:t>
      </w:r>
    </w:p>
    <w:p>
      <w:pPr>
        <w:spacing w:line="400" w:lineRule="exact"/>
        <w:contextualSpacing/>
        <w:jc w:val="left"/>
        <w:rPr>
          <w:rFonts w:ascii="宋体" w:hAnsi="宋体"/>
          <w:sz w:val="24"/>
        </w:rPr>
      </w:pPr>
    </w:p>
    <w:p>
      <w:pPr>
        <w:spacing w:line="400" w:lineRule="exact"/>
        <w:contextualSpacing/>
        <w:jc w:val="left"/>
        <w:rPr>
          <w:rFonts w:ascii="宋体" w:hAnsi="宋体"/>
          <w:sz w:val="24"/>
        </w:rPr>
      </w:pPr>
      <w:r>
        <w:rPr>
          <w:rFonts w:hint="eastAsia" w:ascii="宋体" w:hAnsi="宋体"/>
          <w:sz w:val="24"/>
        </w:rPr>
        <w:t xml:space="preserve">                           投标人名称（电子签章）：</w:t>
      </w:r>
      <w:r>
        <w:rPr>
          <w:rFonts w:hint="eastAsia" w:ascii="宋体" w:hAnsi="宋体"/>
          <w:sz w:val="24"/>
          <w:u w:val="single"/>
        </w:rPr>
        <w:t xml:space="preserve">                 </w:t>
      </w:r>
    </w:p>
    <w:p>
      <w:pPr>
        <w:spacing w:line="400" w:lineRule="exact"/>
        <w:contextualSpacing/>
        <w:jc w:val="left"/>
        <w:rPr>
          <w:rFonts w:ascii="宋体" w:hAnsi="宋体"/>
        </w:rPr>
      </w:pPr>
      <w:r>
        <w:rPr>
          <w:rFonts w:hint="eastAsia" w:ascii="宋体" w:hAnsi="宋体"/>
          <w:sz w:val="24"/>
        </w:rPr>
        <w:t xml:space="preserve">                                                  年    月    日</w:t>
      </w:r>
    </w:p>
    <w:p>
      <w:pPr>
        <w:spacing w:line="440" w:lineRule="exact"/>
        <w:contextualSpacing/>
        <w:rPr>
          <w:rFonts w:ascii="宋体" w:hAnsi="宋体"/>
          <w:b/>
          <w:sz w:val="24"/>
        </w:rPr>
      </w:pPr>
      <w:r>
        <w:rPr>
          <w:rFonts w:hint="eastAsia" w:ascii="宋体" w:hAnsi="宋体"/>
          <w:b/>
          <w:sz w:val="24"/>
        </w:rPr>
        <w:t>注：如为联合体投标，盖章处须加盖联合体牵头人电子签章并由联合体牵头人法定代表人签字或者盖章或者电子签名，否则投标无效。</w:t>
      </w:r>
    </w:p>
    <w:p>
      <w:pPr>
        <w:spacing w:line="400" w:lineRule="exact"/>
        <w:contextualSpacing/>
        <w:jc w:val="left"/>
        <w:rPr>
          <w:rFonts w:ascii="宋体" w:hAnsi="宋体"/>
        </w:rPr>
      </w:pPr>
    </w:p>
    <w:p>
      <w:pPr>
        <w:spacing w:line="440" w:lineRule="exact"/>
        <w:contextualSpacing/>
        <w:rPr>
          <w:rFonts w:ascii="宋体" w:hAnsi="宋体"/>
          <w:b/>
          <w:sz w:val="24"/>
        </w:rPr>
      </w:pPr>
      <w:bookmarkStart w:id="202" w:name="_Toc19686838"/>
    </w:p>
    <w:p>
      <w:pPr>
        <w:rPr>
          <w:b/>
          <w:sz w:val="28"/>
          <w:szCs w:val="28"/>
        </w:rPr>
      </w:pPr>
      <w:r>
        <w:rPr>
          <w:b/>
          <w:sz w:val="28"/>
          <w:szCs w:val="28"/>
        </w:rPr>
        <w:br w:type="page"/>
      </w:r>
      <w:r>
        <w:rPr>
          <w:rFonts w:hint="eastAsia"/>
          <w:b/>
          <w:sz w:val="28"/>
          <w:szCs w:val="28"/>
        </w:rPr>
        <w:t>三、商务及技术文件格式</w:t>
      </w:r>
      <w:bookmarkEnd w:id="202"/>
    </w:p>
    <w:p>
      <w:pPr>
        <w:snapToGrid w:val="0"/>
        <w:spacing w:before="120" w:beforeLines="50" w:after="50" w:line="360" w:lineRule="auto"/>
        <w:jc w:val="left"/>
        <w:rPr>
          <w:rFonts w:ascii="宋体" w:hAnsi="宋体"/>
          <w:b/>
          <w:sz w:val="24"/>
        </w:rPr>
      </w:pPr>
      <w:r>
        <w:rPr>
          <w:rFonts w:hint="eastAsia" w:ascii="宋体" w:hAnsi="宋体"/>
          <w:b/>
          <w:sz w:val="24"/>
        </w:rPr>
        <w:t xml:space="preserve">1.商务及技术文件封面格式： </w:t>
      </w:r>
    </w:p>
    <w:p>
      <w:pPr>
        <w:snapToGrid w:val="0"/>
        <w:spacing w:before="120" w:beforeLines="50" w:after="50"/>
        <w:jc w:val="center"/>
        <w:rPr>
          <w:rFonts w:ascii="宋体" w:hAnsi="宋体"/>
          <w:sz w:val="24"/>
        </w:rPr>
      </w:pPr>
      <w:r>
        <w:rPr>
          <w:rFonts w:hint="eastAsia" w:ascii="宋体" w:hAnsi="宋体" w:eastAsia="方正小标宋简体"/>
          <w:bCs/>
          <w:sz w:val="48"/>
          <w:szCs w:val="48"/>
        </w:rPr>
        <w:t>电子投标文件</w:t>
      </w:r>
    </w:p>
    <w:p>
      <w:pPr>
        <w:snapToGrid w:val="0"/>
        <w:spacing w:before="120" w:beforeLines="50" w:after="5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商务及技术文件</w:t>
      </w:r>
    </w:p>
    <w:p>
      <w:pPr>
        <w:snapToGrid w:val="0"/>
        <w:spacing w:before="120" w:beforeLines="50" w:after="50"/>
        <w:rPr>
          <w:rFonts w:ascii="宋体" w:hAnsi="宋体"/>
          <w:bCs/>
          <w:sz w:val="24"/>
          <w:szCs w:val="20"/>
        </w:rPr>
      </w:pPr>
    </w:p>
    <w:p>
      <w:pPr>
        <w:snapToGrid w:val="0"/>
        <w:spacing w:before="120" w:beforeLines="50" w:after="50"/>
        <w:ind w:firstLine="540" w:firstLineChars="225"/>
        <w:rPr>
          <w:rFonts w:ascii="宋体" w:hAnsi="宋体"/>
          <w:bCs/>
          <w:sz w:val="24"/>
        </w:rPr>
      </w:pPr>
      <w:r>
        <w:rPr>
          <w:rFonts w:hint="eastAsia" w:ascii="宋体" w:hAnsi="宋体"/>
          <w:bCs/>
          <w:sz w:val="24"/>
        </w:rPr>
        <w:t>项目名称：</w:t>
      </w:r>
    </w:p>
    <w:p>
      <w:pPr>
        <w:snapToGrid w:val="0"/>
        <w:spacing w:before="120" w:beforeLines="50" w:after="50"/>
        <w:ind w:firstLine="540" w:firstLineChars="225"/>
        <w:rPr>
          <w:rFonts w:ascii="宋体" w:hAnsi="宋体"/>
          <w:bCs/>
          <w:sz w:val="24"/>
          <w:szCs w:val="20"/>
        </w:rPr>
      </w:pPr>
    </w:p>
    <w:p>
      <w:pPr>
        <w:snapToGrid w:val="0"/>
        <w:spacing w:before="120" w:beforeLines="50" w:after="50"/>
        <w:ind w:firstLine="540" w:firstLineChars="225"/>
        <w:rPr>
          <w:rFonts w:ascii="宋体" w:hAnsi="宋体"/>
          <w:bCs/>
          <w:sz w:val="24"/>
        </w:rPr>
      </w:pPr>
      <w:r>
        <w:rPr>
          <w:rFonts w:hint="eastAsia" w:ascii="宋体" w:hAnsi="宋体"/>
          <w:bCs/>
          <w:sz w:val="24"/>
        </w:rPr>
        <w:t>项目编号：</w:t>
      </w:r>
    </w:p>
    <w:p>
      <w:pPr>
        <w:snapToGrid w:val="0"/>
        <w:spacing w:before="120" w:beforeLines="50" w:after="50"/>
        <w:ind w:firstLine="540" w:firstLineChars="225"/>
        <w:rPr>
          <w:rFonts w:ascii="宋体" w:hAnsi="宋体"/>
          <w:bCs/>
          <w:sz w:val="24"/>
          <w:szCs w:val="20"/>
        </w:rPr>
      </w:pPr>
      <w:r>
        <w:rPr>
          <w:rFonts w:hint="eastAsia" w:ascii="宋体" w:hAnsi="宋体"/>
          <w:bCs/>
          <w:sz w:val="24"/>
        </w:rPr>
        <w:t xml:space="preserve"> </w:t>
      </w:r>
    </w:p>
    <w:p>
      <w:pPr>
        <w:snapToGrid w:val="0"/>
        <w:spacing w:before="120" w:beforeLines="50" w:after="50"/>
        <w:ind w:firstLine="540" w:firstLineChars="225"/>
        <w:rPr>
          <w:rFonts w:ascii="宋体" w:hAnsi="宋体"/>
          <w:bCs/>
          <w:sz w:val="24"/>
        </w:rPr>
      </w:pPr>
      <w:r>
        <w:rPr>
          <w:rFonts w:hint="eastAsia" w:ascii="宋体" w:hAnsi="宋体"/>
          <w:bCs/>
          <w:sz w:val="24"/>
        </w:rPr>
        <w:t>所投分标：</w:t>
      </w:r>
    </w:p>
    <w:p>
      <w:pPr>
        <w:snapToGrid w:val="0"/>
        <w:spacing w:before="120" w:beforeLines="50" w:after="50"/>
        <w:ind w:firstLine="540" w:firstLineChars="225"/>
        <w:rPr>
          <w:rFonts w:ascii="宋体" w:hAnsi="宋体"/>
          <w:bCs/>
          <w:sz w:val="24"/>
          <w:szCs w:val="20"/>
        </w:rPr>
      </w:pPr>
    </w:p>
    <w:p>
      <w:pPr>
        <w:pStyle w:val="7"/>
        <w:snapToGrid w:val="0"/>
        <w:spacing w:before="50" w:after="50"/>
        <w:ind w:firstLine="540" w:firstLineChars="225"/>
        <w:rPr>
          <w:rFonts w:ascii="宋体" w:hAnsi="宋体"/>
          <w:bCs/>
          <w:sz w:val="24"/>
          <w:szCs w:val="24"/>
        </w:rPr>
      </w:pPr>
      <w:r>
        <w:rPr>
          <w:rFonts w:hint="eastAsia" w:ascii="宋体" w:hAnsi="宋体"/>
          <w:bCs/>
          <w:sz w:val="24"/>
          <w:szCs w:val="24"/>
        </w:rPr>
        <w:t>投标人名称：</w:t>
      </w:r>
    </w:p>
    <w:p>
      <w:pPr>
        <w:pStyle w:val="7"/>
        <w:snapToGrid w:val="0"/>
        <w:spacing w:before="50" w:after="50"/>
        <w:ind w:firstLine="540" w:firstLineChars="225"/>
        <w:rPr>
          <w:rFonts w:ascii="宋体" w:hAnsi="宋体"/>
          <w:bCs/>
          <w:sz w:val="24"/>
          <w:szCs w:val="24"/>
        </w:rPr>
      </w:pPr>
    </w:p>
    <w:p>
      <w:pPr>
        <w:pStyle w:val="7"/>
        <w:snapToGrid w:val="0"/>
        <w:spacing w:before="50" w:after="50"/>
        <w:ind w:firstLine="540" w:firstLineChars="225"/>
        <w:rPr>
          <w:rFonts w:ascii="宋体" w:hAnsi="宋体"/>
          <w:bCs/>
          <w:sz w:val="24"/>
          <w:szCs w:val="24"/>
        </w:rPr>
      </w:pPr>
      <w:r>
        <w:rPr>
          <w:rFonts w:hint="eastAsia" w:ascii="宋体" w:hAnsi="宋体"/>
          <w:bCs/>
          <w:sz w:val="24"/>
          <w:szCs w:val="24"/>
        </w:rPr>
        <w:t>投标人地址：</w:t>
      </w:r>
    </w:p>
    <w:p>
      <w:pPr>
        <w:pStyle w:val="7"/>
        <w:snapToGrid w:val="0"/>
        <w:spacing w:before="50" w:after="50"/>
        <w:ind w:firstLine="960" w:firstLineChars="400"/>
        <w:rPr>
          <w:rFonts w:ascii="宋体" w:hAnsi="宋体"/>
          <w:bCs/>
          <w:sz w:val="24"/>
          <w:szCs w:val="24"/>
        </w:rPr>
      </w:pPr>
    </w:p>
    <w:p>
      <w:pPr>
        <w:snapToGrid w:val="0"/>
        <w:spacing w:before="120" w:beforeLines="50" w:after="50"/>
        <w:ind w:firstLine="645"/>
        <w:rPr>
          <w:rFonts w:ascii="宋体" w:hAnsi="宋体"/>
          <w:sz w:val="24"/>
        </w:rPr>
      </w:pPr>
      <w:r>
        <w:rPr>
          <w:rFonts w:hint="eastAsia" w:ascii="宋体" w:hAnsi="宋体"/>
          <w:sz w:val="24"/>
        </w:rPr>
        <w:t xml:space="preserve">                        年  月  日</w:t>
      </w:r>
    </w:p>
    <w:p>
      <w:pPr>
        <w:snapToGrid w:val="0"/>
        <w:spacing w:before="120" w:beforeLines="50" w:after="50"/>
        <w:rPr>
          <w:rFonts w:ascii="宋体" w:hAnsi="宋体"/>
          <w:sz w:val="24"/>
          <w:szCs w:val="20"/>
        </w:rPr>
      </w:pPr>
      <w:r>
        <w:rPr>
          <w:rFonts w:ascii="宋体" w:hAnsi="宋体"/>
          <w:sz w:val="24"/>
          <w:szCs w:val="20"/>
        </w:rPr>
        <w:t xml:space="preserve"> </w:t>
      </w:r>
    </w:p>
    <w:p>
      <w:pPr>
        <w:snapToGrid w:val="0"/>
        <w:spacing w:line="360" w:lineRule="auto"/>
        <w:jc w:val="left"/>
        <w:rPr>
          <w:rFonts w:ascii="宋体" w:hAnsi="宋体"/>
          <w:b/>
          <w:sz w:val="24"/>
        </w:rPr>
      </w:pPr>
      <w:r>
        <w:rPr>
          <w:rFonts w:ascii="宋体" w:hAnsi="宋体"/>
          <w:sz w:val="24"/>
          <w:szCs w:val="20"/>
        </w:rPr>
        <w:br w:type="page"/>
      </w:r>
      <w:r>
        <w:rPr>
          <w:rFonts w:hint="eastAsia" w:ascii="宋体" w:hAnsi="宋体"/>
          <w:b/>
          <w:sz w:val="24"/>
        </w:rPr>
        <w:t>2.商务及技术文件目录</w:t>
      </w:r>
    </w:p>
    <w:p>
      <w:pPr>
        <w:snapToGrid w:val="0"/>
        <w:spacing w:before="50" w:after="120" w:afterLines="50" w:line="360" w:lineRule="auto"/>
        <w:ind w:firstLine="560" w:firstLineChars="200"/>
        <w:jc w:val="left"/>
        <w:rPr>
          <w:rFonts w:ascii="微软雅黑" w:hAnsi="微软雅黑" w:eastAsia="微软雅黑"/>
          <w:b/>
          <w:bCs/>
          <w:sz w:val="32"/>
          <w:szCs w:val="32"/>
        </w:rPr>
      </w:pPr>
      <w:r>
        <w:rPr>
          <w:rFonts w:hint="eastAsia" w:ascii="宋体" w:hAnsi="宋体"/>
          <w:sz w:val="28"/>
          <w:szCs w:val="28"/>
        </w:rPr>
        <w:t>根据招标文件规定及投标人提供的材料自行编写目录。</w:t>
      </w:r>
    </w:p>
    <w:p>
      <w:pPr>
        <w:snapToGrid w:val="0"/>
        <w:spacing w:before="50" w:after="120" w:afterLines="50"/>
        <w:jc w:val="left"/>
        <w:rPr>
          <w:rFonts w:ascii="宋体" w:hAnsi="宋体"/>
        </w:rPr>
      </w:pPr>
    </w:p>
    <w:p>
      <w:pPr>
        <w:snapToGrid w:val="0"/>
        <w:spacing w:before="120" w:beforeLines="50" w:after="50"/>
        <w:jc w:val="left"/>
        <w:rPr>
          <w:rFonts w:ascii="宋体" w:hAnsi="宋体"/>
          <w:b/>
          <w:sz w:val="24"/>
        </w:rPr>
      </w:pPr>
      <w:r>
        <w:rPr>
          <w:rFonts w:ascii="宋体" w:hAnsi="宋体"/>
          <w:b/>
          <w:sz w:val="24"/>
        </w:rPr>
        <w:br w:type="page"/>
      </w:r>
      <w:r>
        <w:rPr>
          <w:rFonts w:hint="eastAsia" w:ascii="宋体" w:hAnsi="宋体"/>
          <w:b/>
          <w:sz w:val="24"/>
        </w:rPr>
        <w:t>3.投标人参加本项目无围标串标行为的承诺</w:t>
      </w:r>
    </w:p>
    <w:p>
      <w:pPr>
        <w:snapToGrid w:val="0"/>
        <w:spacing w:before="120" w:beforeLines="50" w:after="50"/>
        <w:jc w:val="left"/>
        <w:rPr>
          <w:rFonts w:ascii="宋体" w:hAnsi="宋体"/>
          <w:b/>
          <w:sz w:val="24"/>
        </w:rPr>
      </w:pPr>
    </w:p>
    <w:p>
      <w:pPr>
        <w:spacing w:line="360" w:lineRule="auto"/>
        <w:contextualSpacing/>
        <w:jc w:val="center"/>
        <w:rPr>
          <w:rFonts w:ascii="宋体" w:hAnsi="宋体"/>
          <w:b/>
          <w:sz w:val="24"/>
        </w:rPr>
      </w:pPr>
      <w:r>
        <w:rPr>
          <w:rFonts w:hint="eastAsia" w:ascii="方正小标宋简体" w:hAnsi="方正小标宋简体" w:eastAsia="方正小标宋简体" w:cs="方正小标宋简体"/>
          <w:bCs/>
          <w:spacing w:val="-11"/>
          <w:sz w:val="44"/>
          <w:szCs w:val="44"/>
        </w:rPr>
        <w:t>投标人参加本项目无围标串标行为的承诺函</w:t>
      </w:r>
    </w:p>
    <w:p>
      <w:pPr>
        <w:spacing w:line="440" w:lineRule="exact"/>
        <w:contextualSpacing/>
        <w:jc w:val="left"/>
        <w:rPr>
          <w:rFonts w:ascii="宋体" w:hAnsi="宋体"/>
          <w:b/>
          <w:sz w:val="24"/>
        </w:rPr>
      </w:pPr>
      <w:r>
        <w:rPr>
          <w:rFonts w:hint="eastAsia" w:ascii="宋体" w:hAnsi="宋体"/>
          <w:b/>
          <w:sz w:val="24"/>
        </w:rPr>
        <w:t>一、我方承诺无下列相互串通投标的情形：</w:t>
      </w:r>
    </w:p>
    <w:p>
      <w:pPr>
        <w:spacing w:line="440" w:lineRule="exact"/>
        <w:ind w:firstLine="470" w:firstLineChars="196"/>
        <w:contextualSpacing/>
        <w:jc w:val="left"/>
        <w:rPr>
          <w:rFonts w:ascii="宋体" w:hAnsi="宋体"/>
          <w:sz w:val="24"/>
        </w:rPr>
      </w:pPr>
      <w:r>
        <w:rPr>
          <w:rFonts w:hint="eastAsia" w:ascii="宋体" w:hAnsi="宋体"/>
          <w:sz w:val="24"/>
        </w:rPr>
        <w:t>1.不同投标人的投标文件由同一单位或者个人编制；或不同投标人报名的IP地址一致的；</w:t>
      </w:r>
    </w:p>
    <w:p>
      <w:pPr>
        <w:spacing w:line="440" w:lineRule="exact"/>
        <w:ind w:firstLine="470" w:firstLineChars="196"/>
        <w:contextualSpacing/>
        <w:jc w:val="left"/>
        <w:rPr>
          <w:rFonts w:ascii="宋体" w:hAnsi="宋体"/>
          <w:sz w:val="24"/>
        </w:rPr>
      </w:pPr>
      <w:r>
        <w:rPr>
          <w:rFonts w:hint="eastAsia" w:ascii="宋体" w:hAnsi="宋体"/>
          <w:sz w:val="24"/>
        </w:rPr>
        <w:t>2.不同投标人委托同一单位或者个人办理投标事宜；</w:t>
      </w:r>
    </w:p>
    <w:p>
      <w:pPr>
        <w:spacing w:line="440" w:lineRule="exact"/>
        <w:ind w:firstLine="470" w:firstLineChars="196"/>
        <w:contextualSpacing/>
        <w:jc w:val="left"/>
        <w:rPr>
          <w:rFonts w:ascii="宋体" w:hAnsi="宋体"/>
          <w:sz w:val="24"/>
        </w:rPr>
      </w:pPr>
      <w:r>
        <w:rPr>
          <w:rFonts w:hint="eastAsia" w:ascii="宋体" w:hAnsi="宋体"/>
          <w:sz w:val="24"/>
        </w:rPr>
        <w:t>3.不同的投标人的投标文件载明的项目管理员为同一个人；</w:t>
      </w:r>
    </w:p>
    <w:p>
      <w:pPr>
        <w:spacing w:line="440" w:lineRule="exact"/>
        <w:ind w:firstLine="470" w:firstLineChars="196"/>
        <w:contextualSpacing/>
        <w:jc w:val="left"/>
        <w:rPr>
          <w:rFonts w:ascii="宋体" w:hAnsi="宋体"/>
          <w:sz w:val="24"/>
        </w:rPr>
      </w:pPr>
      <w:r>
        <w:rPr>
          <w:rFonts w:hint="eastAsia" w:ascii="宋体" w:hAnsi="宋体"/>
          <w:sz w:val="24"/>
        </w:rPr>
        <w:t>4.不同投标人的投标文件异常一致或者投标报价呈规律性差异；</w:t>
      </w:r>
    </w:p>
    <w:p>
      <w:pPr>
        <w:spacing w:line="440" w:lineRule="exact"/>
        <w:ind w:firstLine="470" w:firstLineChars="196"/>
        <w:contextualSpacing/>
        <w:jc w:val="left"/>
        <w:rPr>
          <w:rFonts w:ascii="宋体" w:hAnsi="宋体"/>
          <w:sz w:val="24"/>
        </w:rPr>
      </w:pPr>
      <w:r>
        <w:rPr>
          <w:rFonts w:hint="eastAsia" w:ascii="宋体" w:hAnsi="宋体"/>
          <w:sz w:val="24"/>
        </w:rPr>
        <w:t>5.不同投标人的投标文件相互混装；</w:t>
      </w:r>
    </w:p>
    <w:p>
      <w:pPr>
        <w:spacing w:line="440" w:lineRule="exact"/>
        <w:ind w:firstLine="470" w:firstLineChars="196"/>
        <w:contextualSpacing/>
        <w:jc w:val="left"/>
        <w:rPr>
          <w:rFonts w:ascii="宋体" w:hAnsi="宋体"/>
          <w:sz w:val="24"/>
        </w:rPr>
      </w:pPr>
      <w:r>
        <w:rPr>
          <w:rFonts w:hint="eastAsia" w:ascii="宋体" w:hAnsi="宋体"/>
          <w:sz w:val="24"/>
        </w:rPr>
        <w:t>6.不同投标人的投标保证金从同一单位或者个人账户转出。</w:t>
      </w:r>
    </w:p>
    <w:p>
      <w:pPr>
        <w:spacing w:line="440" w:lineRule="exact"/>
        <w:contextualSpacing/>
        <w:jc w:val="left"/>
        <w:rPr>
          <w:rFonts w:ascii="宋体" w:hAnsi="宋体"/>
          <w:sz w:val="24"/>
        </w:rPr>
      </w:pPr>
      <w:r>
        <w:rPr>
          <w:rFonts w:hint="eastAsia" w:ascii="宋体" w:hAnsi="宋体"/>
          <w:b/>
          <w:sz w:val="24"/>
        </w:rPr>
        <w:t>二、我方承诺无下列恶意串通的情形：</w:t>
      </w:r>
    </w:p>
    <w:p>
      <w:pPr>
        <w:spacing w:line="440" w:lineRule="exact"/>
        <w:ind w:firstLine="470" w:firstLineChars="196"/>
        <w:contextualSpacing/>
        <w:jc w:val="left"/>
        <w:rPr>
          <w:rFonts w:ascii="宋体" w:hAnsi="宋体"/>
          <w:sz w:val="24"/>
        </w:rPr>
      </w:pPr>
      <w:r>
        <w:rPr>
          <w:rFonts w:hint="eastAsia" w:ascii="宋体" w:hAnsi="宋体"/>
          <w:sz w:val="24"/>
        </w:rPr>
        <w:t>1.投标人直接或者间接从采购人或者采购代理机构处获得其他投标人的相关信息并修改其投标文件或者响应文件；</w:t>
      </w:r>
    </w:p>
    <w:p>
      <w:pPr>
        <w:spacing w:line="440" w:lineRule="exact"/>
        <w:ind w:firstLine="470" w:firstLineChars="196"/>
        <w:contextualSpacing/>
        <w:jc w:val="left"/>
        <w:rPr>
          <w:rFonts w:ascii="宋体" w:hAnsi="宋体"/>
          <w:sz w:val="24"/>
        </w:rPr>
      </w:pPr>
      <w:r>
        <w:rPr>
          <w:rFonts w:hint="eastAsia" w:ascii="宋体" w:hAnsi="宋体"/>
          <w:sz w:val="24"/>
        </w:rPr>
        <w:t>2.投标人按照采购人或者采购代理机构的授意撤换、修改投标文件或者响应文件；</w:t>
      </w:r>
    </w:p>
    <w:p>
      <w:pPr>
        <w:spacing w:line="440" w:lineRule="exact"/>
        <w:ind w:firstLine="470" w:firstLineChars="196"/>
        <w:contextualSpacing/>
        <w:jc w:val="left"/>
        <w:rPr>
          <w:rFonts w:ascii="宋体" w:hAnsi="宋体"/>
          <w:sz w:val="24"/>
        </w:rPr>
      </w:pPr>
      <w:r>
        <w:rPr>
          <w:rFonts w:hint="eastAsia" w:ascii="宋体" w:hAnsi="宋体"/>
          <w:sz w:val="24"/>
        </w:rPr>
        <w:t>3.投标人之间协商报价、技术方案等投标文件或者响应文件的实质性内容；</w:t>
      </w:r>
    </w:p>
    <w:p>
      <w:pPr>
        <w:spacing w:line="440" w:lineRule="exact"/>
        <w:ind w:firstLine="470" w:firstLineChars="196"/>
        <w:contextualSpacing/>
        <w:jc w:val="left"/>
        <w:rPr>
          <w:rFonts w:ascii="宋体" w:hAnsi="宋体"/>
          <w:sz w:val="24"/>
        </w:rPr>
      </w:pPr>
      <w:r>
        <w:rPr>
          <w:rFonts w:hint="eastAsia" w:ascii="宋体" w:hAnsi="宋体"/>
          <w:sz w:val="24"/>
        </w:rPr>
        <w:t>4.属于同一集团、协会、商会等组织成员的投标人按照该组织要求协同参加政府采购活动；</w:t>
      </w:r>
    </w:p>
    <w:p>
      <w:pPr>
        <w:spacing w:line="440" w:lineRule="exact"/>
        <w:ind w:firstLine="470" w:firstLineChars="196"/>
        <w:contextualSpacing/>
        <w:jc w:val="left"/>
        <w:rPr>
          <w:rFonts w:ascii="宋体" w:hAnsi="宋体"/>
          <w:sz w:val="24"/>
        </w:rPr>
      </w:pPr>
      <w:r>
        <w:rPr>
          <w:rFonts w:hint="eastAsia" w:ascii="宋体" w:hAnsi="宋体"/>
          <w:sz w:val="24"/>
        </w:rPr>
        <w:t>5.投标人之间事先约定一致抬高或者压低投标报价，或者在招标项目中事先约定轮流以高价位或者低价位中标，或者事先约定由某一特定投标人中标，然后再参加投标；</w:t>
      </w:r>
    </w:p>
    <w:p>
      <w:pPr>
        <w:spacing w:line="440" w:lineRule="exact"/>
        <w:ind w:firstLine="470" w:firstLineChars="196"/>
        <w:contextualSpacing/>
        <w:jc w:val="left"/>
        <w:rPr>
          <w:rFonts w:ascii="宋体" w:hAnsi="宋体"/>
          <w:sz w:val="24"/>
        </w:rPr>
      </w:pPr>
      <w:r>
        <w:rPr>
          <w:rFonts w:hint="eastAsia" w:ascii="宋体" w:hAnsi="宋体"/>
          <w:sz w:val="24"/>
        </w:rPr>
        <w:t>6.投标人之间商定部分投标人放弃参加政府采购活动或者放弃中标；</w:t>
      </w:r>
    </w:p>
    <w:p>
      <w:pPr>
        <w:spacing w:line="440" w:lineRule="exact"/>
        <w:ind w:firstLine="470" w:firstLineChars="196"/>
        <w:contextualSpacing/>
        <w:jc w:val="left"/>
        <w:rPr>
          <w:rFonts w:ascii="宋体" w:hAnsi="宋体"/>
          <w:sz w:val="24"/>
        </w:rPr>
      </w:pPr>
      <w:r>
        <w:rPr>
          <w:rFonts w:hint="eastAsia" w:ascii="宋体" w:hAnsi="宋体"/>
          <w:sz w:val="24"/>
        </w:rPr>
        <w:t>7.投标人与采购人或者采购代理机构之间、投标人相互之间，为谋求特定投标人中标或者排斥其他投标人的其他串通行为。</w:t>
      </w:r>
    </w:p>
    <w:p>
      <w:pPr>
        <w:spacing w:line="440" w:lineRule="exact"/>
        <w:ind w:firstLine="472" w:firstLineChars="196"/>
        <w:contextualSpacing/>
        <w:jc w:val="left"/>
        <w:rPr>
          <w:rFonts w:ascii="宋体" w:hAnsi="宋体"/>
          <w:b/>
          <w:sz w:val="24"/>
        </w:rPr>
      </w:pPr>
      <w:r>
        <w:rPr>
          <w:rFonts w:hint="eastAsia" w:ascii="宋体" w:hAnsi="宋体"/>
          <w:b/>
          <w:sz w:val="24"/>
        </w:rPr>
        <w:t>以上情形一经核查属实，我方愿意承担一切后果，并不再寻求任何旨在减轻或者免除法律责任的辩解。</w:t>
      </w:r>
    </w:p>
    <w:p>
      <w:pPr>
        <w:pStyle w:val="24"/>
        <w:spacing w:line="440" w:lineRule="exact"/>
        <w:ind w:firstLine="960" w:firstLineChars="400"/>
        <w:contextualSpacing/>
        <w:rPr>
          <w:rFonts w:hAnsi="宋体"/>
          <w:sz w:val="24"/>
          <w:szCs w:val="24"/>
        </w:rPr>
      </w:pPr>
      <w:r>
        <w:rPr>
          <w:rFonts w:hAnsi="宋体"/>
          <w:sz w:val="24"/>
          <w:szCs w:val="24"/>
        </w:rPr>
        <w:t xml:space="preserve"> </w:t>
      </w:r>
      <w:r>
        <w:rPr>
          <w:rFonts w:hint="eastAsia" w:hAnsi="宋体"/>
          <w:sz w:val="24"/>
        </w:rPr>
        <w:t>法定代表人或者委托代理人</w:t>
      </w:r>
      <w:r>
        <w:rPr>
          <w:rFonts w:hint="eastAsia" w:hAnsi="宋体"/>
          <w:spacing w:val="20"/>
          <w:sz w:val="24"/>
        </w:rPr>
        <w:t>（签字或者电子签名）：</w:t>
      </w:r>
      <w:r>
        <w:rPr>
          <w:rFonts w:hint="eastAsia" w:hAnsi="宋体"/>
          <w:spacing w:val="20"/>
          <w:sz w:val="24"/>
          <w:u w:val="single"/>
        </w:rPr>
        <w:t xml:space="preserve">        </w:t>
      </w:r>
    </w:p>
    <w:p>
      <w:pPr>
        <w:pStyle w:val="24"/>
        <w:spacing w:line="440" w:lineRule="exact"/>
        <w:contextualSpacing/>
        <w:jc w:val="center"/>
        <w:rPr>
          <w:rFonts w:hAnsi="宋体"/>
          <w:sz w:val="24"/>
          <w:szCs w:val="24"/>
        </w:rPr>
      </w:pPr>
      <w:r>
        <w:rPr>
          <w:rFonts w:hint="eastAsia" w:hAnsi="宋体"/>
          <w:sz w:val="24"/>
          <w:szCs w:val="24"/>
        </w:rPr>
        <w:t xml:space="preserve"> </w:t>
      </w:r>
      <w:r>
        <w:rPr>
          <w:rFonts w:hAnsi="宋体"/>
          <w:sz w:val="24"/>
          <w:szCs w:val="24"/>
        </w:rPr>
        <w:t xml:space="preserve">                                   </w:t>
      </w:r>
      <w:r>
        <w:rPr>
          <w:rFonts w:hint="eastAsia" w:hAnsi="宋体"/>
          <w:sz w:val="24"/>
          <w:szCs w:val="24"/>
        </w:rPr>
        <w:t>投标人名称（电子签章）</w:t>
      </w:r>
    </w:p>
    <w:p>
      <w:pPr>
        <w:pStyle w:val="24"/>
        <w:spacing w:line="440" w:lineRule="exact"/>
        <w:contextualSpacing/>
        <w:jc w:val="center"/>
        <w:rPr>
          <w:rFonts w:hAnsi="宋体"/>
          <w:sz w:val="24"/>
        </w:rPr>
      </w:pPr>
      <w:r>
        <w:rPr>
          <w:rFonts w:hint="eastAsia" w:hAnsi="宋体"/>
          <w:sz w:val="24"/>
        </w:rPr>
        <w:t xml:space="preserve">                                                </w:t>
      </w:r>
      <w:r>
        <w:rPr>
          <w:rFonts w:hint="eastAsia" w:hAnsi="宋体"/>
          <w:sz w:val="24"/>
          <w:u w:val="single"/>
        </w:rPr>
        <w:t xml:space="preserve">      </w:t>
      </w:r>
      <w:r>
        <w:rPr>
          <w:rFonts w:hint="eastAsia" w:hAnsi="宋体"/>
          <w:sz w:val="24"/>
        </w:rPr>
        <w:t>年</w:t>
      </w:r>
      <w:r>
        <w:rPr>
          <w:rFonts w:hint="eastAsia" w:hAnsi="宋体"/>
          <w:sz w:val="24"/>
          <w:u w:val="single"/>
        </w:rPr>
        <w:t xml:space="preserve">    </w:t>
      </w:r>
      <w:r>
        <w:rPr>
          <w:rFonts w:hint="eastAsia" w:hAnsi="宋体"/>
          <w:sz w:val="24"/>
        </w:rPr>
        <w:t>月</w:t>
      </w:r>
      <w:r>
        <w:rPr>
          <w:rFonts w:hint="eastAsia" w:hAnsi="宋体"/>
          <w:sz w:val="24"/>
          <w:u w:val="single"/>
        </w:rPr>
        <w:t xml:space="preserve">     </w:t>
      </w:r>
      <w:r>
        <w:rPr>
          <w:rFonts w:hint="eastAsia" w:hAnsi="宋体"/>
          <w:sz w:val="24"/>
        </w:rPr>
        <w:t>日</w:t>
      </w:r>
    </w:p>
    <w:p>
      <w:pPr>
        <w:snapToGrid w:val="0"/>
        <w:spacing w:before="120" w:beforeLines="50" w:after="50"/>
        <w:jc w:val="left"/>
        <w:rPr>
          <w:rFonts w:ascii="宋体" w:hAnsi="宋体"/>
          <w:b/>
          <w:sz w:val="24"/>
        </w:rPr>
      </w:pPr>
    </w:p>
    <w:p>
      <w:pPr>
        <w:snapToGrid w:val="0"/>
        <w:spacing w:before="120" w:beforeLines="50" w:after="50"/>
        <w:jc w:val="left"/>
        <w:rPr>
          <w:rFonts w:ascii="宋体" w:hAnsi="宋体"/>
          <w:b/>
          <w:sz w:val="24"/>
          <w:szCs w:val="20"/>
        </w:rPr>
      </w:pPr>
      <w:r>
        <w:rPr>
          <w:rFonts w:hint="eastAsia" w:ascii="宋体" w:hAnsi="宋体"/>
          <w:b/>
          <w:sz w:val="24"/>
        </w:rPr>
        <w:t>4.法定代表人身份证明</w:t>
      </w:r>
    </w:p>
    <w:p>
      <w:pPr>
        <w:spacing w:before="240" w:beforeLines="100" w:after="120" w:afterLines="50"/>
        <w:ind w:left="540"/>
        <w:jc w:val="center"/>
        <w:rPr>
          <w:rFonts w:ascii="宋体" w:hAnsi="Courier New"/>
          <w:b/>
          <w:sz w:val="32"/>
          <w:szCs w:val="32"/>
        </w:rPr>
      </w:pPr>
    </w:p>
    <w:p>
      <w:pPr>
        <w:spacing w:before="240" w:beforeLines="100" w:after="120" w:afterLines="50"/>
        <w:ind w:left="54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法定代表人身份证明</w:t>
      </w:r>
    </w:p>
    <w:p>
      <w:pPr>
        <w:spacing w:line="500" w:lineRule="exact"/>
        <w:ind w:left="540"/>
        <w:rPr>
          <w:rFonts w:ascii="宋体" w:hAnsi="宋体"/>
          <w:sz w:val="24"/>
        </w:rPr>
      </w:pPr>
      <w:r>
        <w:rPr>
          <w:rFonts w:hint="eastAsia" w:ascii="宋体" w:hAnsi="宋体"/>
          <w:sz w:val="24"/>
        </w:rPr>
        <w:t>投 标 人：</w:t>
      </w:r>
      <w:r>
        <w:rPr>
          <w:rFonts w:hint="eastAsia" w:ascii="宋体" w:hAnsi="宋体"/>
          <w:sz w:val="24"/>
          <w:u w:val="single"/>
        </w:rPr>
        <w:t xml:space="preserve">                                                        </w:t>
      </w:r>
    </w:p>
    <w:p>
      <w:pPr>
        <w:spacing w:line="500" w:lineRule="exact"/>
        <w:ind w:left="540"/>
        <w:rPr>
          <w:rFonts w:ascii="宋体" w:hAnsi="宋体"/>
          <w:sz w:val="24"/>
        </w:rPr>
      </w:pPr>
      <w:r>
        <w:rPr>
          <w:rFonts w:hint="eastAsia" w:ascii="宋体" w:hAnsi="宋体"/>
          <w:sz w:val="24"/>
        </w:rPr>
        <w:t>地    址：</w:t>
      </w:r>
      <w:r>
        <w:rPr>
          <w:rFonts w:hint="eastAsia" w:ascii="宋体" w:hAnsi="宋体"/>
          <w:sz w:val="24"/>
          <w:u w:val="single"/>
        </w:rPr>
        <w:t xml:space="preserve">                                                        </w:t>
      </w:r>
    </w:p>
    <w:p>
      <w:pPr>
        <w:spacing w:line="500" w:lineRule="exact"/>
        <w:ind w:left="540"/>
        <w:rPr>
          <w:rFonts w:ascii="宋体" w:hAnsi="宋体"/>
          <w:sz w:val="24"/>
        </w:rPr>
      </w:pPr>
      <w:r>
        <w:rPr>
          <w:rFonts w:hint="eastAsia" w:ascii="宋体" w:hAnsi="宋体"/>
          <w:sz w:val="24"/>
        </w:rPr>
        <w:t>姓    名：</w:t>
      </w:r>
      <w:r>
        <w:rPr>
          <w:rFonts w:hint="eastAsia" w:ascii="宋体" w:hAnsi="宋体"/>
          <w:sz w:val="24"/>
          <w:u w:val="single"/>
        </w:rPr>
        <w:t xml:space="preserve">                          </w:t>
      </w:r>
      <w:r>
        <w:rPr>
          <w:rFonts w:hint="eastAsia" w:ascii="宋体" w:hAnsi="宋体"/>
          <w:sz w:val="24"/>
        </w:rPr>
        <w:t>性      别：</w:t>
      </w:r>
      <w:r>
        <w:rPr>
          <w:rFonts w:hint="eastAsia" w:ascii="宋体" w:hAnsi="宋体"/>
          <w:sz w:val="24"/>
          <w:u w:val="single"/>
        </w:rPr>
        <w:t xml:space="preserve">                </w:t>
      </w:r>
    </w:p>
    <w:p>
      <w:pPr>
        <w:spacing w:line="500" w:lineRule="exact"/>
        <w:ind w:left="540"/>
        <w:rPr>
          <w:rFonts w:ascii="宋体" w:hAnsi="宋体"/>
          <w:sz w:val="24"/>
          <w:u w:val="single"/>
        </w:rPr>
      </w:pPr>
      <w:r>
        <w:rPr>
          <w:rFonts w:hint="eastAsia" w:ascii="宋体" w:hAnsi="宋体"/>
          <w:sz w:val="24"/>
        </w:rPr>
        <w:t>年    龄：</w:t>
      </w:r>
      <w:r>
        <w:rPr>
          <w:rFonts w:hint="eastAsia" w:ascii="宋体" w:hAnsi="宋体"/>
          <w:sz w:val="24"/>
          <w:u w:val="single"/>
        </w:rPr>
        <w:t xml:space="preserve">                          </w:t>
      </w:r>
      <w:r>
        <w:rPr>
          <w:rFonts w:hint="eastAsia" w:ascii="宋体" w:hAnsi="宋体"/>
          <w:sz w:val="24"/>
        </w:rPr>
        <w:t>职      务：</w:t>
      </w:r>
      <w:r>
        <w:rPr>
          <w:rFonts w:hint="eastAsia" w:ascii="宋体" w:hAnsi="宋体"/>
          <w:sz w:val="24"/>
          <w:u w:val="single"/>
        </w:rPr>
        <w:t xml:space="preserve">                </w:t>
      </w:r>
    </w:p>
    <w:p>
      <w:pPr>
        <w:spacing w:line="500" w:lineRule="exact"/>
        <w:ind w:left="540"/>
        <w:rPr>
          <w:rFonts w:ascii="宋体" w:hAnsi="宋体"/>
          <w:sz w:val="24"/>
        </w:rPr>
      </w:pPr>
      <w:r>
        <w:rPr>
          <w:rFonts w:hint="eastAsia" w:ascii="宋体" w:hAnsi="宋体"/>
          <w:sz w:val="24"/>
        </w:rPr>
        <w:t>身份证</w:t>
      </w:r>
      <w:r>
        <w:rPr>
          <w:rFonts w:hint="eastAsia"/>
          <w:sz w:val="24"/>
        </w:rPr>
        <w:t>号码：</w:t>
      </w:r>
      <w:r>
        <w:rPr>
          <w:rFonts w:hint="eastAsia"/>
          <w:sz w:val="24"/>
          <w:u w:val="single"/>
        </w:rPr>
        <w:t xml:space="preserve">                                 </w:t>
      </w:r>
    </w:p>
    <w:p>
      <w:pPr>
        <w:spacing w:line="500" w:lineRule="exact"/>
        <w:ind w:left="540"/>
        <w:rPr>
          <w:rFonts w:ascii="宋体" w:hAnsi="宋体"/>
          <w:sz w:val="24"/>
        </w:rPr>
      </w:pPr>
      <w:r>
        <w:rPr>
          <w:rFonts w:hint="eastAsia" w:ascii="宋体" w:hAnsi="宋体"/>
          <w:sz w:val="24"/>
        </w:rPr>
        <w:t>系</w:t>
      </w:r>
      <w:r>
        <w:rPr>
          <w:rFonts w:hint="eastAsia" w:ascii="宋体" w:hAnsi="宋体"/>
          <w:sz w:val="24"/>
          <w:u w:val="single"/>
        </w:rPr>
        <w:t xml:space="preserve">            （投标人名称）              </w:t>
      </w:r>
      <w:r>
        <w:rPr>
          <w:rFonts w:hint="eastAsia" w:ascii="宋体" w:hAnsi="宋体"/>
          <w:sz w:val="24"/>
        </w:rPr>
        <w:t>的法定代表人。</w:t>
      </w:r>
    </w:p>
    <w:p>
      <w:pPr>
        <w:spacing w:line="500" w:lineRule="exact"/>
        <w:ind w:left="540"/>
        <w:rPr>
          <w:rFonts w:ascii="宋体" w:hAnsi="宋体"/>
          <w:sz w:val="24"/>
        </w:rPr>
      </w:pPr>
      <w:r>
        <w:rPr>
          <w:rFonts w:hint="eastAsia" w:ascii="宋体" w:hAnsi="宋体"/>
          <w:sz w:val="24"/>
        </w:rPr>
        <w:t>特此证明。</w:t>
      </w:r>
    </w:p>
    <w:p>
      <w:pPr>
        <w:spacing w:line="500" w:lineRule="exact"/>
        <w:ind w:left="540"/>
        <w:rPr>
          <w:rFonts w:ascii="宋体" w:hAnsi="宋体"/>
          <w:sz w:val="24"/>
        </w:rPr>
      </w:pPr>
    </w:p>
    <w:p>
      <w:pPr>
        <w:spacing w:line="500" w:lineRule="exact"/>
        <w:ind w:left="540"/>
        <w:rPr>
          <w:rFonts w:ascii="宋体" w:hAnsi="宋体"/>
          <w:sz w:val="24"/>
        </w:rPr>
      </w:pPr>
    </w:p>
    <w:p>
      <w:pPr>
        <w:spacing w:line="500" w:lineRule="exact"/>
        <w:ind w:left="540"/>
        <w:rPr>
          <w:rFonts w:ascii="宋体" w:hAnsi="宋体"/>
          <w:sz w:val="24"/>
        </w:rPr>
      </w:pPr>
      <w:r>
        <w:rPr>
          <w:rFonts w:hint="eastAsia" w:ascii="宋体" w:hAnsi="宋体"/>
          <w:sz w:val="24"/>
        </w:rPr>
        <w:t>附件：法定代表人有效身份证正反面复印件</w:t>
      </w:r>
    </w:p>
    <w:p>
      <w:pPr>
        <w:spacing w:line="500" w:lineRule="exact"/>
        <w:ind w:left="540"/>
        <w:rPr>
          <w:rFonts w:ascii="宋体" w:hAnsi="宋体"/>
          <w:sz w:val="24"/>
        </w:rPr>
      </w:pPr>
    </w:p>
    <w:p>
      <w:pPr>
        <w:spacing w:line="500" w:lineRule="exact"/>
        <w:ind w:left="540"/>
        <w:jc w:val="right"/>
        <w:rPr>
          <w:rFonts w:ascii="宋体" w:hAnsi="宋体"/>
          <w:sz w:val="24"/>
        </w:rPr>
      </w:pPr>
      <w:r>
        <w:rPr>
          <w:rFonts w:hint="eastAsia" w:ascii="宋体" w:hAnsi="宋体"/>
          <w:sz w:val="24"/>
        </w:rPr>
        <w:t>投标人名称（电子签章）</w:t>
      </w:r>
    </w:p>
    <w:p>
      <w:pPr>
        <w:spacing w:line="500" w:lineRule="exact"/>
        <w:ind w:left="540"/>
        <w:jc w:val="right"/>
        <w:rPr>
          <w:rFonts w:ascii="宋体" w:hAnsi="宋体"/>
          <w:sz w:val="24"/>
        </w:rPr>
      </w:pPr>
    </w:p>
    <w:p>
      <w:pPr>
        <w:snapToGrid w:val="0"/>
        <w:spacing w:before="120" w:beforeLines="50" w:after="50"/>
        <w:ind w:left="540"/>
        <w:jc w:val="right"/>
        <w:rPr>
          <w:rFonts w:ascii="宋体" w:hAnsi="宋体"/>
          <w:sz w:val="24"/>
        </w:rPr>
      </w:pP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snapToGrid w:val="0"/>
        <w:spacing w:before="120" w:beforeLines="50" w:after="50"/>
        <w:jc w:val="center"/>
        <w:rPr>
          <w:rFonts w:ascii="宋体" w:hAnsi="宋体"/>
          <w:b/>
          <w:sz w:val="24"/>
        </w:rPr>
      </w:pPr>
    </w:p>
    <w:p>
      <w:pPr>
        <w:snapToGrid w:val="0"/>
        <w:spacing w:before="120" w:beforeLines="50" w:after="50"/>
        <w:jc w:val="left"/>
        <w:rPr>
          <w:rFonts w:ascii="宋体" w:hAnsi="宋体"/>
          <w:b/>
          <w:sz w:val="24"/>
          <w:szCs w:val="20"/>
        </w:rPr>
      </w:pPr>
      <w:r>
        <w:rPr>
          <w:rFonts w:hint="eastAsia" w:ascii="宋体" w:hAnsi="宋体"/>
          <w:sz w:val="24"/>
        </w:rPr>
        <w:t>注：自然人投标的无需提供</w:t>
      </w:r>
    </w:p>
    <w:p>
      <w:pPr>
        <w:snapToGrid w:val="0"/>
        <w:spacing w:before="120" w:beforeLines="50" w:after="50"/>
        <w:jc w:val="left"/>
        <w:rPr>
          <w:rFonts w:ascii="宋体" w:hAnsi="宋体"/>
          <w:b/>
          <w:sz w:val="24"/>
          <w:szCs w:val="20"/>
        </w:rPr>
      </w:pPr>
      <w:r>
        <w:rPr>
          <w:rFonts w:ascii="宋体" w:hAnsi="宋体"/>
          <w:b/>
          <w:sz w:val="24"/>
        </w:rPr>
        <w:br w:type="page"/>
      </w:r>
      <w:r>
        <w:rPr>
          <w:rFonts w:hint="eastAsia" w:ascii="宋体" w:hAnsi="宋体"/>
          <w:b/>
          <w:sz w:val="24"/>
        </w:rPr>
        <w:t>5.授权委托书格式</w:t>
      </w:r>
    </w:p>
    <w:p>
      <w:pPr>
        <w:spacing w:line="360" w:lineRule="auto"/>
        <w:contextualSpacing/>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授权委托书</w:t>
      </w:r>
    </w:p>
    <w:p>
      <w:pPr>
        <w:spacing w:line="360" w:lineRule="auto"/>
        <w:contextualSpacing/>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（非联合体投标格式）</w:t>
      </w:r>
    </w:p>
    <w:p>
      <w:pPr>
        <w:spacing w:line="360" w:lineRule="auto"/>
        <w:contextualSpacing/>
        <w:jc w:val="center"/>
        <w:rPr>
          <w:rFonts w:ascii="方正小标宋简体" w:hAnsi="方正小标宋简体" w:eastAsia="方正小标宋简体" w:cs="方正小标宋简体"/>
          <w:bCs/>
          <w:sz w:val="24"/>
        </w:rPr>
      </w:pPr>
      <w:r>
        <w:rPr>
          <w:rFonts w:hint="eastAsia" w:ascii="方正小标宋简体" w:hAnsi="方正小标宋简体" w:eastAsia="方正小标宋简体" w:cs="方正小标宋简体"/>
          <w:bCs/>
          <w:sz w:val="32"/>
          <w:szCs w:val="32"/>
        </w:rPr>
        <w:t>（如有委托时）</w:t>
      </w:r>
    </w:p>
    <w:p>
      <w:pPr>
        <w:spacing w:line="440" w:lineRule="exact"/>
        <w:contextualSpacing/>
        <w:jc w:val="center"/>
        <w:rPr>
          <w:rFonts w:ascii="宋体" w:hAnsi="宋体"/>
          <w:b/>
          <w:sz w:val="24"/>
        </w:rPr>
      </w:pPr>
    </w:p>
    <w:p>
      <w:pPr>
        <w:spacing w:line="440" w:lineRule="exact"/>
        <w:contextualSpacing/>
        <w:rPr>
          <w:rFonts w:ascii="宋体" w:hAnsi="宋体"/>
          <w:b/>
          <w:bCs/>
          <w:sz w:val="24"/>
        </w:rPr>
      </w:pPr>
      <w:r>
        <w:rPr>
          <w:rFonts w:hint="eastAsia" w:ascii="宋体" w:hAnsi="宋体"/>
          <w:bCs/>
          <w:sz w:val="24"/>
        </w:rPr>
        <w:t>致：</w:t>
      </w:r>
      <w:r>
        <w:rPr>
          <w:rFonts w:hint="eastAsia" w:ascii="宋体" w:hAnsi="宋体"/>
          <w:sz w:val="24"/>
          <w:u w:val="single"/>
        </w:rPr>
        <w:t>采购人名称</w:t>
      </w:r>
      <w:r>
        <w:rPr>
          <w:rFonts w:hint="eastAsia" w:ascii="宋体" w:hAnsi="宋体"/>
          <w:sz w:val="24"/>
        </w:rPr>
        <w:t>：</w:t>
      </w:r>
    </w:p>
    <w:p>
      <w:pPr>
        <w:spacing w:line="440" w:lineRule="exact"/>
        <w:ind w:firstLine="566" w:firstLineChars="236"/>
        <w:contextualSpacing/>
        <w:rPr>
          <w:rFonts w:ascii="宋体" w:hAnsi="宋体"/>
          <w:sz w:val="24"/>
        </w:rPr>
      </w:pPr>
      <w:r>
        <w:rPr>
          <w:rFonts w:hint="eastAsia" w:ascii="宋体" w:hAnsi="宋体"/>
          <w:sz w:val="24"/>
        </w:rPr>
        <w:t>我</w:t>
      </w:r>
      <w:r>
        <w:rPr>
          <w:rFonts w:hint="eastAsia" w:ascii="宋体" w:hAnsi="宋体"/>
          <w:sz w:val="24"/>
          <w:u w:val="single"/>
        </w:rPr>
        <w:t xml:space="preserve">       </w:t>
      </w:r>
      <w:r>
        <w:rPr>
          <w:rFonts w:hint="eastAsia" w:ascii="宋体" w:hAnsi="宋体"/>
          <w:sz w:val="24"/>
        </w:rPr>
        <w:t>（姓名）系</w:t>
      </w:r>
      <w:r>
        <w:rPr>
          <w:rFonts w:hint="eastAsia" w:ascii="宋体" w:hAnsi="宋体"/>
          <w:sz w:val="24"/>
          <w:u w:val="single"/>
        </w:rPr>
        <w:t xml:space="preserve">      </w:t>
      </w:r>
      <w:r>
        <w:rPr>
          <w:rFonts w:hint="eastAsia" w:ascii="宋体" w:hAnsi="宋体"/>
          <w:sz w:val="24"/>
        </w:rPr>
        <w:t>（投标人名称）的法定代表人，现授权委托</w:t>
      </w:r>
      <w:r>
        <w:rPr>
          <w:rFonts w:hint="eastAsia" w:ascii="宋体" w:hAnsi="宋体"/>
          <w:sz w:val="24"/>
          <w:u w:val="single"/>
        </w:rPr>
        <w:t xml:space="preserve">              （姓名）</w:t>
      </w:r>
      <w:r>
        <w:rPr>
          <w:rFonts w:hint="eastAsia" w:ascii="宋体" w:hAnsi="宋体"/>
          <w:sz w:val="24"/>
        </w:rPr>
        <w:t>以我方的名义参加</w:t>
      </w:r>
      <w:r>
        <w:rPr>
          <w:rFonts w:hint="eastAsia" w:ascii="宋体" w:hAnsi="宋体"/>
          <w:sz w:val="24"/>
          <w:u w:val="single"/>
        </w:rPr>
        <w:t xml:space="preserve">              </w:t>
      </w:r>
      <w:r>
        <w:rPr>
          <w:rFonts w:hint="eastAsia" w:ascii="宋体" w:hAnsi="宋体"/>
          <w:sz w:val="24"/>
        </w:rPr>
        <w:t>项目的投标活动，并代表我方全权办理针对上述项目的所有采购程序和环节的具体事务和签署相关文件。</w:t>
      </w:r>
    </w:p>
    <w:p>
      <w:pPr>
        <w:spacing w:line="440" w:lineRule="exact"/>
        <w:contextualSpacing/>
        <w:rPr>
          <w:rFonts w:ascii="宋体" w:hAnsi="宋体"/>
          <w:sz w:val="24"/>
        </w:rPr>
      </w:pPr>
      <w:r>
        <w:rPr>
          <w:rFonts w:hint="eastAsia" w:ascii="宋体" w:hAnsi="宋体"/>
          <w:sz w:val="24"/>
        </w:rPr>
        <w:t xml:space="preserve">    我方对委托代理人的签字或者电子签名事项负全部责任。</w:t>
      </w:r>
    </w:p>
    <w:p>
      <w:pPr>
        <w:spacing w:line="440" w:lineRule="exact"/>
        <w:ind w:firstLine="480"/>
        <w:contextualSpacing/>
        <w:rPr>
          <w:rFonts w:ascii="宋体" w:hAnsi="宋体"/>
          <w:sz w:val="24"/>
        </w:rPr>
      </w:pPr>
      <w:r>
        <w:rPr>
          <w:rFonts w:hint="eastAsia" w:ascii="宋体" w:hAnsi="宋体"/>
          <w:sz w:val="24"/>
          <w:u w:val="single"/>
        </w:rPr>
        <w:t>本授权书自签署之日起生效，在撤销授权的书面通知以前，本授权书一直有效。委托代理人在授权书有效期内签署的所有文件不因授权的撤销而失效。</w:t>
      </w:r>
    </w:p>
    <w:p>
      <w:pPr>
        <w:spacing w:line="440" w:lineRule="exact"/>
        <w:ind w:firstLine="480"/>
        <w:contextualSpacing/>
        <w:rPr>
          <w:rFonts w:ascii="宋体" w:hAnsi="宋体"/>
          <w:sz w:val="24"/>
        </w:rPr>
      </w:pPr>
      <w:r>
        <w:rPr>
          <w:rFonts w:hint="eastAsia" w:ascii="宋体" w:hAnsi="宋体"/>
          <w:sz w:val="24"/>
        </w:rPr>
        <w:t>委托代理人无转委托权，特此委托。</w:t>
      </w:r>
    </w:p>
    <w:p>
      <w:pPr>
        <w:spacing w:line="440" w:lineRule="exact"/>
        <w:ind w:firstLine="480"/>
        <w:contextualSpacing/>
        <w:rPr>
          <w:rFonts w:ascii="宋体" w:hAnsi="宋体"/>
          <w:sz w:val="24"/>
        </w:rPr>
      </w:pPr>
      <w:r>
        <w:rPr>
          <w:rFonts w:hint="eastAsia" w:ascii="宋体" w:hAnsi="宋体"/>
          <w:sz w:val="24"/>
        </w:rPr>
        <w:t>附：法定代表人身份证明及委托代理人有效身份证正反面复印件</w:t>
      </w:r>
    </w:p>
    <w:p>
      <w:pPr>
        <w:spacing w:line="440" w:lineRule="exact"/>
        <w:contextualSpacing/>
        <w:rPr>
          <w:rFonts w:ascii="宋体" w:hAnsi="宋体"/>
          <w:sz w:val="24"/>
        </w:rPr>
      </w:pPr>
    </w:p>
    <w:p>
      <w:pPr>
        <w:spacing w:line="440" w:lineRule="exact"/>
        <w:contextualSpacing/>
        <w:rPr>
          <w:rFonts w:ascii="宋体" w:hAnsi="宋体"/>
          <w:sz w:val="24"/>
        </w:rPr>
      </w:pPr>
      <w:r>
        <w:rPr>
          <w:rFonts w:hint="eastAsia" w:ascii="宋体" w:hAnsi="宋体"/>
          <w:sz w:val="24"/>
        </w:rPr>
        <w:t>委托代理人（签字或者电子签名）：</w:t>
      </w:r>
      <w:r>
        <w:rPr>
          <w:rFonts w:hint="eastAsia" w:ascii="宋体" w:hAnsi="宋体"/>
          <w:sz w:val="24"/>
          <w:u w:val="single"/>
        </w:rPr>
        <w:t xml:space="preserve">               </w:t>
      </w:r>
      <w:r>
        <w:rPr>
          <w:rFonts w:hint="eastAsia" w:ascii="宋体" w:hAnsi="宋体"/>
          <w:sz w:val="24"/>
        </w:rPr>
        <w:t xml:space="preserve">            </w:t>
      </w:r>
    </w:p>
    <w:p>
      <w:pPr>
        <w:spacing w:line="440" w:lineRule="exact"/>
        <w:contextualSpacing/>
        <w:rPr>
          <w:rFonts w:ascii="宋体" w:hAnsi="宋体"/>
          <w:sz w:val="24"/>
          <w:u w:val="single"/>
        </w:rPr>
      </w:pPr>
      <w:r>
        <w:rPr>
          <w:rFonts w:hint="eastAsia" w:ascii="宋体" w:hAnsi="宋体"/>
          <w:sz w:val="24"/>
        </w:rPr>
        <w:t>委托代理人身份证号码：</w:t>
      </w:r>
      <w:r>
        <w:rPr>
          <w:rFonts w:hint="eastAsia" w:ascii="宋体" w:hAnsi="宋体"/>
          <w:sz w:val="24"/>
          <w:u w:val="single"/>
        </w:rPr>
        <w:t xml:space="preserve">                             </w:t>
      </w:r>
    </w:p>
    <w:p>
      <w:pPr>
        <w:spacing w:line="440" w:lineRule="exact"/>
        <w:contextualSpacing/>
        <w:rPr>
          <w:rFonts w:ascii="宋体" w:hAnsi="宋体"/>
          <w:sz w:val="24"/>
          <w:u w:val="single"/>
        </w:rPr>
      </w:pPr>
      <w:r>
        <w:rPr>
          <w:rFonts w:hint="eastAsia" w:ascii="宋体" w:hAnsi="宋体"/>
          <w:sz w:val="24"/>
        </w:rPr>
        <w:t>法定代表人（签字或者盖章或者电子签名）：</w:t>
      </w:r>
      <w:r>
        <w:rPr>
          <w:rFonts w:hint="eastAsia" w:ascii="宋体" w:hAnsi="宋体"/>
          <w:sz w:val="24"/>
          <w:u w:val="single"/>
        </w:rPr>
        <w:t xml:space="preserve">              </w:t>
      </w:r>
    </w:p>
    <w:p>
      <w:pPr>
        <w:spacing w:line="440" w:lineRule="exact"/>
        <w:contextualSpacing/>
        <w:rPr>
          <w:rFonts w:ascii="宋体" w:hAnsi="宋体"/>
          <w:sz w:val="24"/>
        </w:rPr>
      </w:pPr>
      <w:r>
        <w:rPr>
          <w:rFonts w:hint="eastAsia" w:ascii="宋体" w:hAnsi="宋体"/>
          <w:sz w:val="24"/>
        </w:rPr>
        <w:t xml:space="preserve"> </w:t>
      </w:r>
    </w:p>
    <w:p>
      <w:pPr>
        <w:spacing w:line="440" w:lineRule="exact"/>
        <w:contextualSpacing/>
        <w:jc w:val="center"/>
        <w:rPr>
          <w:rFonts w:ascii="宋体" w:hAnsi="宋体"/>
          <w:sz w:val="24"/>
        </w:rPr>
      </w:pPr>
      <w:r>
        <w:rPr>
          <w:rFonts w:hint="eastAsia" w:ascii="宋体" w:hAnsi="宋体"/>
          <w:sz w:val="24"/>
        </w:rPr>
        <w:t xml:space="preserve">                                                投标人名称（电子签章）：</w:t>
      </w:r>
    </w:p>
    <w:p>
      <w:pPr>
        <w:spacing w:line="440" w:lineRule="exact"/>
        <w:contextualSpacing/>
        <w:jc w:val="center"/>
        <w:rPr>
          <w:rFonts w:ascii="宋体" w:hAnsi="宋体"/>
          <w:sz w:val="24"/>
        </w:rPr>
      </w:pPr>
      <w:r>
        <w:rPr>
          <w:rFonts w:hint="eastAsia" w:ascii="宋体" w:hAnsi="宋体"/>
          <w:sz w:val="24"/>
        </w:rPr>
        <w:t xml:space="preserve">                                              年    月    日</w:t>
      </w:r>
    </w:p>
    <w:p>
      <w:pPr>
        <w:spacing w:line="440" w:lineRule="exact"/>
        <w:contextualSpacing/>
        <w:rPr>
          <w:rFonts w:ascii="宋体" w:hAnsi="宋体" w:cs="仿宋_GB2312"/>
          <w:sz w:val="24"/>
        </w:rPr>
      </w:pPr>
      <w:r>
        <w:rPr>
          <w:rFonts w:hint="eastAsia" w:ascii="宋体" w:hAnsi="宋体" w:cs="仿宋_GB2312"/>
          <w:sz w:val="24"/>
        </w:rPr>
        <w:t>注：1.</w:t>
      </w:r>
      <w:bookmarkStart w:id="203" w:name="_Hlk65851555"/>
      <w:bookmarkStart w:id="204" w:name="_Hlk65851620"/>
      <w:r>
        <w:rPr>
          <w:rFonts w:hint="eastAsia" w:ascii="宋体" w:hAnsi="宋体" w:cs="仿宋_GB2312"/>
          <w:sz w:val="24"/>
        </w:rPr>
        <w:t>法定代表人必须在授权委托书上签字或者盖章</w:t>
      </w:r>
      <w:r>
        <w:rPr>
          <w:rFonts w:hint="eastAsia" w:ascii="宋体" w:hAnsi="宋体"/>
          <w:sz w:val="24"/>
        </w:rPr>
        <w:t>或者电子签名</w:t>
      </w:r>
      <w:r>
        <w:rPr>
          <w:rFonts w:hint="eastAsia" w:ascii="宋体" w:hAnsi="宋体" w:cs="仿宋_GB2312"/>
          <w:sz w:val="24"/>
        </w:rPr>
        <w:t>，</w:t>
      </w:r>
      <w:bookmarkEnd w:id="203"/>
      <w:r>
        <w:rPr>
          <w:rFonts w:hint="eastAsia" w:ascii="宋体" w:hAnsi="宋体" w:cs="仿宋_GB2312"/>
          <w:sz w:val="24"/>
        </w:rPr>
        <w:t>委托代理人必须在授权委托书上签字</w:t>
      </w:r>
      <w:r>
        <w:rPr>
          <w:rFonts w:hint="eastAsia" w:ascii="宋体" w:hAnsi="宋体"/>
          <w:sz w:val="24"/>
        </w:rPr>
        <w:t>或者电子签名</w:t>
      </w:r>
      <w:r>
        <w:rPr>
          <w:rFonts w:hint="eastAsia" w:ascii="宋体" w:hAnsi="宋体" w:cs="仿宋_GB2312"/>
          <w:sz w:val="24"/>
        </w:rPr>
        <w:t>，</w:t>
      </w:r>
      <w:r>
        <w:rPr>
          <w:rFonts w:hint="eastAsia" w:ascii="宋体" w:hAnsi="宋体" w:cs="仿宋_GB2312"/>
          <w:b/>
          <w:bCs/>
          <w:sz w:val="24"/>
        </w:rPr>
        <w:t>否则按无效投标处理</w:t>
      </w:r>
      <w:r>
        <w:rPr>
          <w:rFonts w:hint="eastAsia" w:ascii="宋体" w:hAnsi="宋体" w:cs="仿宋_GB2312"/>
          <w:sz w:val="24"/>
        </w:rPr>
        <w:t>；</w:t>
      </w:r>
      <w:bookmarkEnd w:id="204"/>
    </w:p>
    <w:p>
      <w:pPr>
        <w:spacing w:line="440" w:lineRule="exact"/>
        <w:ind w:firstLine="480" w:firstLineChars="200"/>
        <w:contextualSpacing/>
        <w:jc w:val="left"/>
        <w:rPr>
          <w:rFonts w:ascii="宋体" w:hAnsi="宋体"/>
          <w:sz w:val="24"/>
        </w:rPr>
      </w:pPr>
      <w:r>
        <w:rPr>
          <w:rFonts w:hint="eastAsia" w:ascii="宋体" w:hAnsi="宋体" w:cs="仿宋_GB2312"/>
          <w:sz w:val="24"/>
        </w:rPr>
        <w:t>2.法人、其他组织投标时“我方”是指“我单位”，自然人投标时“我方”是指“本人”。</w:t>
      </w:r>
    </w:p>
    <w:p>
      <w:pPr>
        <w:snapToGrid w:val="0"/>
        <w:spacing w:before="120" w:beforeLines="50" w:after="50"/>
        <w:ind w:firstLine="566" w:firstLineChars="236"/>
        <w:jc w:val="center"/>
        <w:rPr>
          <w:rFonts w:ascii="方正小标宋简体" w:hAnsi="方正小标宋简体" w:eastAsia="方正小标宋简体" w:cs="方正小标宋简体"/>
          <w:sz w:val="44"/>
          <w:szCs w:val="44"/>
        </w:rPr>
      </w:pPr>
      <w:r>
        <w:rPr>
          <w:rFonts w:ascii="宋体" w:hAnsi="宋体"/>
          <w:sz w:val="24"/>
        </w:rPr>
        <w:br w:type="page"/>
      </w:r>
      <w:r>
        <w:rPr>
          <w:rFonts w:hint="eastAsia" w:ascii="方正小标宋简体" w:hAnsi="方正小标宋简体" w:eastAsia="方正小标宋简体" w:cs="方正小标宋简体"/>
          <w:sz w:val="44"/>
          <w:szCs w:val="44"/>
        </w:rPr>
        <w:t>授权委托书</w:t>
      </w:r>
    </w:p>
    <w:p>
      <w:pPr>
        <w:snapToGrid w:val="0"/>
        <w:spacing w:before="120" w:beforeLines="50" w:after="50"/>
        <w:ind w:firstLine="755" w:firstLineChars="236"/>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（联合体投标格式）</w:t>
      </w:r>
    </w:p>
    <w:p>
      <w:pPr>
        <w:snapToGrid w:val="0"/>
        <w:spacing w:before="120" w:beforeLines="50" w:after="50"/>
        <w:ind w:firstLine="755" w:firstLineChars="236"/>
        <w:jc w:val="center"/>
        <w:rPr>
          <w:rFonts w:ascii="方正小标宋简体" w:hAnsi="方正小标宋简体" w:eastAsia="方正小标宋简体" w:cs="方正小标宋简体"/>
          <w:sz w:val="24"/>
        </w:rPr>
      </w:pPr>
      <w:r>
        <w:rPr>
          <w:rFonts w:hint="eastAsia" w:ascii="方正小标宋简体" w:hAnsi="方正小标宋简体" w:eastAsia="方正小标宋简体" w:cs="方正小标宋简体"/>
          <w:sz w:val="32"/>
          <w:szCs w:val="32"/>
        </w:rPr>
        <w:t>（如有委托时）</w:t>
      </w:r>
    </w:p>
    <w:p>
      <w:pPr>
        <w:spacing w:line="440" w:lineRule="exact"/>
        <w:contextualSpacing/>
        <w:jc w:val="left"/>
        <w:rPr>
          <w:rFonts w:ascii="宋体" w:hAnsi="宋体"/>
          <w:sz w:val="24"/>
        </w:rPr>
      </w:pPr>
      <w:r>
        <w:rPr>
          <w:rFonts w:hint="eastAsia" w:ascii="宋体" w:hAnsi="宋体"/>
          <w:bCs/>
          <w:sz w:val="24"/>
        </w:rPr>
        <w:t>致：</w:t>
      </w:r>
      <w:r>
        <w:rPr>
          <w:rFonts w:hint="eastAsia" w:ascii="宋体" w:hAnsi="宋体"/>
          <w:sz w:val="24"/>
          <w:u w:val="single"/>
        </w:rPr>
        <w:t>采购人名称</w:t>
      </w:r>
      <w:r>
        <w:rPr>
          <w:rFonts w:hint="eastAsia" w:ascii="宋体" w:hAnsi="宋体"/>
          <w:sz w:val="24"/>
        </w:rPr>
        <w:t>：</w:t>
      </w:r>
    </w:p>
    <w:p>
      <w:pPr>
        <w:spacing w:line="440" w:lineRule="exact"/>
        <w:ind w:firstLine="566" w:firstLineChars="236"/>
        <w:contextualSpacing/>
        <w:rPr>
          <w:rFonts w:ascii="宋体" w:hAnsi="宋体"/>
          <w:sz w:val="24"/>
        </w:rPr>
      </w:pPr>
      <w:r>
        <w:rPr>
          <w:rFonts w:hint="eastAsia" w:ascii="宋体" w:hAnsi="宋体"/>
          <w:sz w:val="24"/>
        </w:rPr>
        <w:t xml:space="preserve">根据 </w:t>
      </w:r>
      <w:r>
        <w:rPr>
          <w:rFonts w:hint="eastAsia" w:ascii="宋体" w:hAnsi="宋体"/>
          <w:sz w:val="24"/>
          <w:u w:val="single"/>
        </w:rPr>
        <w:t xml:space="preserve"> （牵头人名称）</w:t>
      </w:r>
      <w:r>
        <w:rPr>
          <w:rFonts w:hint="eastAsia" w:ascii="宋体" w:hAnsi="宋体"/>
          <w:sz w:val="24"/>
        </w:rPr>
        <w:t>与</w:t>
      </w:r>
      <w:r>
        <w:rPr>
          <w:rFonts w:hint="eastAsia" w:ascii="宋体" w:hAnsi="宋体"/>
          <w:sz w:val="24"/>
          <w:u w:val="single"/>
        </w:rPr>
        <w:t>（联合体其他成员名称）</w:t>
      </w:r>
      <w:r>
        <w:rPr>
          <w:rFonts w:hint="eastAsia" w:ascii="宋体" w:hAnsi="宋体"/>
          <w:sz w:val="24"/>
        </w:rPr>
        <w:t>签订的《联合体投标协议书》的内容，</w:t>
      </w:r>
      <w:r>
        <w:rPr>
          <w:rFonts w:hint="eastAsia" w:ascii="宋体" w:hAnsi="宋体"/>
          <w:sz w:val="24"/>
          <w:u w:val="single"/>
        </w:rPr>
        <w:t>（牵头人名称）</w:t>
      </w:r>
      <w:r>
        <w:rPr>
          <w:rFonts w:hint="eastAsia" w:ascii="宋体" w:hAnsi="宋体"/>
          <w:sz w:val="24"/>
        </w:rPr>
        <w:t>的法定代表人</w:t>
      </w:r>
      <w:r>
        <w:rPr>
          <w:rFonts w:hint="eastAsia" w:ascii="宋体" w:hAnsi="宋体"/>
          <w:sz w:val="24"/>
          <w:u w:val="single"/>
        </w:rPr>
        <w:t>（姓名）</w:t>
      </w:r>
      <w:r>
        <w:rPr>
          <w:rFonts w:hint="eastAsia" w:ascii="宋体" w:hAnsi="宋体"/>
          <w:sz w:val="24"/>
        </w:rPr>
        <w:t>现授权委托</w:t>
      </w:r>
      <w:r>
        <w:rPr>
          <w:rFonts w:hint="eastAsia" w:ascii="宋体" w:hAnsi="宋体"/>
          <w:sz w:val="24"/>
          <w:u w:val="single"/>
        </w:rPr>
        <w:t xml:space="preserve">              （姓名）</w:t>
      </w:r>
      <w:r>
        <w:rPr>
          <w:rFonts w:hint="eastAsia" w:ascii="宋体" w:hAnsi="宋体"/>
          <w:sz w:val="24"/>
        </w:rPr>
        <w:t>以我方的名义参加</w:t>
      </w:r>
      <w:r>
        <w:rPr>
          <w:rFonts w:hint="eastAsia" w:ascii="宋体" w:hAnsi="宋体"/>
          <w:sz w:val="24"/>
          <w:u w:val="single"/>
        </w:rPr>
        <w:t xml:space="preserve">              </w:t>
      </w:r>
      <w:r>
        <w:rPr>
          <w:rFonts w:hint="eastAsia" w:ascii="宋体" w:hAnsi="宋体"/>
          <w:sz w:val="24"/>
        </w:rPr>
        <w:t>项目的投标活动，并代表我方全权办理针对上述项目的所有采购程序和环节的具体事务和签署相关文件。</w:t>
      </w:r>
    </w:p>
    <w:p>
      <w:pPr>
        <w:spacing w:line="440" w:lineRule="exact"/>
        <w:ind w:firstLine="566" w:firstLineChars="236"/>
        <w:contextualSpacing/>
        <w:rPr>
          <w:rFonts w:ascii="宋体" w:hAnsi="宋体"/>
          <w:sz w:val="24"/>
        </w:rPr>
      </w:pPr>
      <w:r>
        <w:rPr>
          <w:rFonts w:hint="eastAsia" w:ascii="宋体" w:hAnsi="宋体"/>
          <w:sz w:val="24"/>
        </w:rPr>
        <w:t>我方对委托代理人的签字或者电子签名事项负全部责任。</w:t>
      </w:r>
    </w:p>
    <w:p>
      <w:pPr>
        <w:spacing w:line="440" w:lineRule="exact"/>
        <w:ind w:firstLine="566" w:firstLineChars="236"/>
        <w:contextualSpacing/>
        <w:rPr>
          <w:rFonts w:ascii="宋体" w:hAnsi="宋体"/>
          <w:sz w:val="24"/>
        </w:rPr>
      </w:pPr>
      <w:r>
        <w:rPr>
          <w:rFonts w:hint="eastAsia" w:ascii="宋体" w:hAnsi="宋体"/>
          <w:sz w:val="24"/>
        </w:rPr>
        <w:t>本授权书自签署之日起生效，在撤销授权的书面通知以前，本授权书一直有效。委托代理人在授权书有效期内签署的所有文件不因授权的撤销而失效。</w:t>
      </w:r>
    </w:p>
    <w:p>
      <w:pPr>
        <w:spacing w:line="440" w:lineRule="exact"/>
        <w:ind w:firstLine="566" w:firstLineChars="236"/>
        <w:contextualSpacing/>
        <w:rPr>
          <w:rFonts w:ascii="宋体" w:hAnsi="宋体"/>
          <w:sz w:val="24"/>
        </w:rPr>
      </w:pPr>
      <w:r>
        <w:rPr>
          <w:rFonts w:hint="eastAsia" w:ascii="宋体" w:hAnsi="宋体"/>
          <w:sz w:val="24"/>
        </w:rPr>
        <w:t>委托代理人无转委托权，特此委托。</w:t>
      </w:r>
    </w:p>
    <w:p>
      <w:pPr>
        <w:spacing w:line="440" w:lineRule="exact"/>
        <w:ind w:firstLine="566" w:firstLineChars="236"/>
        <w:contextualSpacing/>
        <w:rPr>
          <w:rFonts w:ascii="宋体" w:hAnsi="宋体"/>
          <w:sz w:val="24"/>
        </w:rPr>
      </w:pPr>
      <w:r>
        <w:rPr>
          <w:rFonts w:hint="eastAsia" w:ascii="宋体" w:hAnsi="宋体"/>
          <w:sz w:val="24"/>
        </w:rPr>
        <w:t>附：牵头人法定代表人身份证明及委托代理人有效身份证正反面复印件</w:t>
      </w:r>
    </w:p>
    <w:p>
      <w:pPr>
        <w:spacing w:line="440" w:lineRule="exact"/>
        <w:ind w:firstLine="566" w:firstLineChars="236"/>
        <w:contextualSpacing/>
        <w:rPr>
          <w:rFonts w:ascii="宋体" w:hAnsi="宋体"/>
          <w:sz w:val="24"/>
        </w:rPr>
      </w:pPr>
    </w:p>
    <w:p>
      <w:pPr>
        <w:spacing w:line="440" w:lineRule="exact"/>
        <w:ind w:firstLine="566" w:firstLineChars="236"/>
        <w:contextualSpacing/>
        <w:rPr>
          <w:rFonts w:ascii="宋体" w:hAnsi="宋体"/>
          <w:sz w:val="24"/>
        </w:rPr>
      </w:pPr>
      <w:r>
        <w:rPr>
          <w:rFonts w:hint="eastAsia" w:ascii="宋体" w:hAnsi="宋体"/>
          <w:sz w:val="24"/>
        </w:rPr>
        <w:t>牵头人法定代表人（签字或者盖章或者电子签名）：</w:t>
      </w:r>
    </w:p>
    <w:p>
      <w:pPr>
        <w:spacing w:line="440" w:lineRule="exact"/>
        <w:ind w:firstLine="566" w:firstLineChars="236"/>
        <w:contextualSpacing/>
        <w:rPr>
          <w:rFonts w:ascii="宋体" w:hAnsi="宋体"/>
          <w:sz w:val="24"/>
        </w:rPr>
      </w:pPr>
      <w:r>
        <w:rPr>
          <w:rFonts w:hint="eastAsia" w:ascii="宋体" w:hAnsi="宋体"/>
          <w:sz w:val="24"/>
        </w:rPr>
        <w:t>牵头人（电子签章）：</w:t>
      </w:r>
    </w:p>
    <w:p>
      <w:pPr>
        <w:spacing w:line="440" w:lineRule="exact"/>
        <w:ind w:firstLine="566" w:firstLineChars="236"/>
        <w:contextualSpacing/>
        <w:rPr>
          <w:rFonts w:ascii="宋体" w:hAnsi="宋体"/>
          <w:sz w:val="24"/>
        </w:rPr>
      </w:pPr>
      <w:r>
        <w:rPr>
          <w:rFonts w:hint="eastAsia" w:ascii="宋体" w:hAnsi="宋体"/>
          <w:sz w:val="24"/>
        </w:rPr>
        <w:t>日期：    年   月   日</w:t>
      </w:r>
    </w:p>
    <w:p>
      <w:pPr>
        <w:spacing w:line="440" w:lineRule="exact"/>
        <w:ind w:firstLine="566" w:firstLineChars="236"/>
        <w:contextualSpacing/>
        <w:rPr>
          <w:rFonts w:ascii="宋体" w:hAnsi="宋体"/>
          <w:sz w:val="24"/>
        </w:rPr>
      </w:pPr>
    </w:p>
    <w:p>
      <w:pPr>
        <w:spacing w:line="440" w:lineRule="exact"/>
        <w:ind w:firstLine="566" w:firstLineChars="236"/>
        <w:contextualSpacing/>
        <w:rPr>
          <w:rFonts w:ascii="宋体" w:hAnsi="宋体"/>
          <w:sz w:val="24"/>
        </w:rPr>
      </w:pPr>
      <w:r>
        <w:rPr>
          <w:rFonts w:hint="eastAsia" w:ascii="宋体" w:hAnsi="宋体"/>
          <w:sz w:val="24"/>
        </w:rPr>
        <w:t>被授权人（签字或者电子签名）：</w:t>
      </w:r>
    </w:p>
    <w:p>
      <w:pPr>
        <w:spacing w:line="440" w:lineRule="exact"/>
        <w:ind w:firstLine="566" w:firstLineChars="236"/>
        <w:contextualSpacing/>
        <w:rPr>
          <w:rFonts w:ascii="宋体" w:hAnsi="宋体" w:cs="仿宋_GB2312"/>
          <w:sz w:val="32"/>
          <w:szCs w:val="32"/>
        </w:rPr>
      </w:pPr>
      <w:r>
        <w:rPr>
          <w:rFonts w:hint="eastAsia" w:ascii="宋体" w:hAnsi="宋体"/>
          <w:sz w:val="24"/>
        </w:rPr>
        <w:t>日期：    年   月   日</w:t>
      </w:r>
    </w:p>
    <w:p>
      <w:pPr>
        <w:spacing w:line="440" w:lineRule="exact"/>
        <w:contextualSpacing/>
        <w:rPr>
          <w:rFonts w:ascii="宋体" w:hAnsi="宋体" w:cs="仿宋_GB2312"/>
          <w:sz w:val="24"/>
        </w:rPr>
      </w:pPr>
      <w:r>
        <w:rPr>
          <w:rFonts w:hint="eastAsia" w:ascii="宋体" w:hAnsi="宋体" w:cs="仿宋_GB2312"/>
          <w:sz w:val="24"/>
        </w:rPr>
        <w:t>注：1.法定代表人必须在授权委托书上签字或者盖章</w:t>
      </w:r>
      <w:r>
        <w:rPr>
          <w:rFonts w:hint="eastAsia" w:ascii="宋体" w:hAnsi="宋体"/>
          <w:sz w:val="24"/>
        </w:rPr>
        <w:t>或者电子签名</w:t>
      </w:r>
      <w:r>
        <w:rPr>
          <w:rFonts w:hint="eastAsia" w:ascii="宋体" w:hAnsi="宋体" w:cs="仿宋_GB2312"/>
          <w:sz w:val="24"/>
        </w:rPr>
        <w:t>，委托代理人必须在授权委托书上签字</w:t>
      </w:r>
      <w:r>
        <w:rPr>
          <w:rFonts w:hint="eastAsia" w:ascii="宋体" w:hAnsi="宋体"/>
          <w:sz w:val="24"/>
        </w:rPr>
        <w:t>或者电子签名</w:t>
      </w:r>
      <w:r>
        <w:rPr>
          <w:rFonts w:hint="eastAsia" w:ascii="宋体" w:hAnsi="宋体" w:cs="仿宋_GB2312"/>
          <w:sz w:val="24"/>
        </w:rPr>
        <w:t>，</w:t>
      </w:r>
      <w:r>
        <w:rPr>
          <w:rFonts w:hint="eastAsia" w:ascii="宋体" w:hAnsi="宋体" w:cs="仿宋_GB2312"/>
          <w:b/>
          <w:bCs/>
          <w:sz w:val="24"/>
        </w:rPr>
        <w:t>否则按无效投标处理</w:t>
      </w:r>
      <w:r>
        <w:rPr>
          <w:rFonts w:hint="eastAsia" w:ascii="宋体" w:hAnsi="宋体" w:cs="仿宋_GB2312"/>
          <w:sz w:val="24"/>
        </w:rPr>
        <w:t>；</w:t>
      </w:r>
    </w:p>
    <w:p>
      <w:pPr>
        <w:spacing w:line="440" w:lineRule="exact"/>
        <w:ind w:firstLine="480" w:firstLineChars="200"/>
        <w:contextualSpacing/>
        <w:jc w:val="left"/>
        <w:rPr>
          <w:rFonts w:ascii="宋体" w:hAnsi="宋体"/>
          <w:sz w:val="24"/>
        </w:rPr>
      </w:pPr>
      <w:r>
        <w:rPr>
          <w:rFonts w:hint="eastAsia" w:ascii="宋体" w:hAnsi="宋体" w:cs="仿宋_GB2312"/>
          <w:sz w:val="24"/>
        </w:rPr>
        <w:t>2.法人、其他组织投标时“我方”是指“我单位”，自然人投标时“我方”是指“本人”。</w:t>
      </w:r>
    </w:p>
    <w:p>
      <w:pPr>
        <w:spacing w:line="440" w:lineRule="exact"/>
        <w:ind w:firstLine="480" w:firstLineChars="200"/>
        <w:contextualSpacing/>
        <w:jc w:val="left"/>
        <w:rPr>
          <w:rFonts w:ascii="宋体" w:hAnsi="宋体"/>
          <w:sz w:val="24"/>
        </w:rPr>
      </w:pPr>
    </w:p>
    <w:p>
      <w:pPr>
        <w:snapToGrid w:val="0"/>
        <w:spacing w:before="120" w:beforeLines="50" w:after="50"/>
        <w:ind w:firstLine="566" w:firstLineChars="236"/>
        <w:jc w:val="center"/>
        <w:rPr>
          <w:rFonts w:ascii="宋体" w:hAnsi="宋体"/>
          <w:sz w:val="24"/>
        </w:rPr>
      </w:pPr>
      <w:r>
        <w:rPr>
          <w:rFonts w:ascii="宋体" w:hAnsi="宋体"/>
          <w:sz w:val="24"/>
        </w:rPr>
        <w:br w:type="page"/>
      </w:r>
    </w:p>
    <w:p>
      <w:pPr>
        <w:rPr>
          <w:rFonts w:ascii="宋体" w:hAnsi="宋体"/>
          <w:b/>
          <w:sz w:val="24"/>
          <w:szCs w:val="20"/>
        </w:rPr>
      </w:pPr>
      <w:r>
        <w:rPr>
          <w:rFonts w:hint="eastAsia" w:ascii="宋体" w:hAnsi="宋体"/>
          <w:b/>
          <w:sz w:val="24"/>
        </w:rPr>
        <w:t>6.商务要求偏离表格式</w:t>
      </w:r>
    </w:p>
    <w:p>
      <w:pPr>
        <w:snapToGrid w:val="0"/>
        <w:spacing w:before="50"/>
        <w:jc w:val="left"/>
        <w:rPr>
          <w:rFonts w:ascii="宋体" w:hAnsi="宋体"/>
          <w:sz w:val="24"/>
        </w:rPr>
      </w:pPr>
    </w:p>
    <w:p>
      <w:pPr>
        <w:pStyle w:val="24"/>
        <w:rPr>
          <w:rFonts w:hAnsi="宋体"/>
          <w:sz w:val="24"/>
          <w:szCs w:val="24"/>
        </w:rPr>
      </w:pPr>
      <w:r>
        <w:rPr>
          <w:rFonts w:hint="eastAsia" w:hAnsi="宋体"/>
          <w:sz w:val="24"/>
          <w:szCs w:val="24"/>
        </w:rPr>
        <w:t>所投分标：</w:t>
      </w:r>
      <w:r>
        <w:rPr>
          <w:rFonts w:hint="eastAsia" w:hAnsi="宋体"/>
          <w:sz w:val="24"/>
          <w:szCs w:val="24"/>
          <w:u w:val="single"/>
        </w:rPr>
        <w:t xml:space="preserve">     </w:t>
      </w:r>
      <w:r>
        <w:rPr>
          <w:rFonts w:hint="eastAsia" w:hAnsi="宋体"/>
          <w:sz w:val="24"/>
          <w:szCs w:val="24"/>
        </w:rPr>
        <w:t>分标</w:t>
      </w:r>
    </w:p>
    <w:p>
      <w:pPr>
        <w:snapToGrid w:val="0"/>
        <w:spacing w:before="50"/>
        <w:jc w:val="left"/>
        <w:rPr>
          <w:rFonts w:ascii="宋体" w:hAnsi="宋体"/>
          <w:sz w:val="24"/>
          <w:u w:val="single"/>
        </w:rPr>
      </w:pPr>
    </w:p>
    <w:tbl>
      <w:tblPr>
        <w:tblStyle w:val="49"/>
        <w:tblW w:w="0" w:type="auto"/>
        <w:tblInd w:w="-11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10"/>
        <w:gridCol w:w="2686"/>
        <w:gridCol w:w="2410"/>
        <w:gridCol w:w="20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851" w:hRule="atLeast"/>
        </w:trPr>
        <w:tc>
          <w:tcPr>
            <w:tcW w:w="151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宋体" w:hAnsi="宋体"/>
                <w:sz w:val="24"/>
              </w:rPr>
            </w:pPr>
            <w:r>
              <w:rPr>
                <w:rFonts w:hint="eastAsia" w:ascii="宋体" w:hAnsi="宋体"/>
                <w:sz w:val="24"/>
              </w:rPr>
              <w:t>商务要求</w:t>
            </w:r>
          </w:p>
        </w:tc>
        <w:tc>
          <w:tcPr>
            <w:tcW w:w="268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宋体" w:hAnsi="宋体"/>
                <w:sz w:val="24"/>
              </w:rPr>
            </w:pPr>
            <w:r>
              <w:rPr>
                <w:rFonts w:hint="eastAsia" w:ascii="宋体" w:hAnsi="宋体"/>
                <w:sz w:val="24"/>
              </w:rPr>
              <w:t>招标文件具体要求</w:t>
            </w:r>
          </w:p>
        </w:tc>
        <w:tc>
          <w:tcPr>
            <w:tcW w:w="241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宋体" w:hAnsi="宋体"/>
                <w:sz w:val="24"/>
              </w:rPr>
            </w:pPr>
            <w:r>
              <w:rPr>
                <w:rFonts w:hint="eastAsia" w:ascii="宋体" w:hAnsi="宋体"/>
                <w:sz w:val="24"/>
              </w:rPr>
              <w:t>投标人的承诺</w:t>
            </w:r>
          </w:p>
        </w:tc>
        <w:tc>
          <w:tcPr>
            <w:tcW w:w="2035"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宋体" w:hAnsi="宋体"/>
                <w:sz w:val="24"/>
              </w:rPr>
            </w:pPr>
            <w:r>
              <w:rPr>
                <w:rFonts w:hint="eastAsia" w:ascii="宋体" w:hAnsi="宋体"/>
                <w:sz w:val="24"/>
              </w:rPr>
              <w:t>偏离说明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15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i/>
                <w:sz w:val="24"/>
              </w:rPr>
            </w:pPr>
          </w:p>
        </w:tc>
        <w:tc>
          <w:tcPr>
            <w:tcW w:w="268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00" w:lineRule="atLeast"/>
              <w:rPr>
                <w:rFonts w:ascii="宋体" w:hAnsi="宋体"/>
                <w:szCs w:val="21"/>
              </w:rPr>
            </w:pPr>
            <w:r>
              <w:rPr>
                <w:rFonts w:ascii="宋体" w:hAnsi="宋体"/>
                <w:szCs w:val="21"/>
              </w:rPr>
              <w:t>1.……</w:t>
            </w:r>
          </w:p>
          <w:p>
            <w:pPr>
              <w:snapToGrid w:val="0"/>
              <w:spacing w:before="120" w:beforeLines="50" w:line="300" w:lineRule="atLeast"/>
              <w:rPr>
                <w:rFonts w:ascii="宋体" w:hAnsi="宋体"/>
                <w:szCs w:val="21"/>
              </w:rPr>
            </w:pPr>
            <w:r>
              <w:rPr>
                <w:rFonts w:ascii="宋体" w:hAnsi="宋体"/>
                <w:szCs w:val="21"/>
              </w:rPr>
              <w:t>2.……</w:t>
            </w:r>
          </w:p>
          <w:p>
            <w:pPr>
              <w:rPr>
                <w:rFonts w:ascii="宋体" w:hAnsi="宋体"/>
                <w:sz w:val="24"/>
              </w:rPr>
            </w:pPr>
            <w:r>
              <w:rPr>
                <w:rFonts w:hint="eastAsia" w:ascii="宋体" w:hAnsi="宋体"/>
                <w:szCs w:val="21"/>
              </w:rPr>
              <w:t>……</w:t>
            </w:r>
          </w:p>
        </w:tc>
        <w:tc>
          <w:tcPr>
            <w:tcW w:w="241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00" w:lineRule="atLeast"/>
              <w:rPr>
                <w:rFonts w:ascii="宋体" w:hAnsi="宋体"/>
                <w:szCs w:val="21"/>
              </w:rPr>
            </w:pPr>
            <w:r>
              <w:rPr>
                <w:rFonts w:ascii="宋体" w:hAnsi="宋体"/>
                <w:szCs w:val="21"/>
              </w:rPr>
              <w:t>1.……</w:t>
            </w:r>
          </w:p>
          <w:p>
            <w:pPr>
              <w:snapToGrid w:val="0"/>
              <w:spacing w:before="120" w:beforeLines="50" w:line="300" w:lineRule="atLeast"/>
              <w:rPr>
                <w:rFonts w:ascii="宋体" w:hAnsi="宋体"/>
                <w:szCs w:val="21"/>
              </w:rPr>
            </w:pPr>
            <w:r>
              <w:rPr>
                <w:rFonts w:ascii="宋体" w:hAnsi="宋体"/>
                <w:szCs w:val="21"/>
              </w:rPr>
              <w:t>2.……</w:t>
            </w:r>
          </w:p>
          <w:p>
            <w:pPr>
              <w:snapToGrid w:val="0"/>
              <w:spacing w:before="120" w:beforeLines="50"/>
              <w:rPr>
                <w:rFonts w:ascii="宋体" w:hAnsi="宋体"/>
                <w:sz w:val="24"/>
              </w:rPr>
            </w:pPr>
            <w:r>
              <w:rPr>
                <w:rFonts w:hint="eastAsia" w:ascii="宋体" w:hAnsi="宋体"/>
                <w:szCs w:val="21"/>
              </w:rPr>
              <w:t>……</w:t>
            </w:r>
          </w:p>
        </w:tc>
        <w:tc>
          <w:tcPr>
            <w:tcW w:w="2035"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15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i/>
                <w:sz w:val="24"/>
              </w:rPr>
            </w:pPr>
          </w:p>
        </w:tc>
        <w:tc>
          <w:tcPr>
            <w:tcW w:w="268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00" w:lineRule="atLeast"/>
              <w:rPr>
                <w:rFonts w:ascii="宋体" w:hAnsi="宋体"/>
                <w:szCs w:val="21"/>
              </w:rPr>
            </w:pPr>
            <w:r>
              <w:rPr>
                <w:rFonts w:ascii="宋体" w:hAnsi="宋体"/>
                <w:szCs w:val="21"/>
              </w:rPr>
              <w:t>1.……</w:t>
            </w:r>
          </w:p>
          <w:p>
            <w:pPr>
              <w:snapToGrid w:val="0"/>
              <w:spacing w:before="120" w:beforeLines="50" w:line="300" w:lineRule="atLeast"/>
              <w:rPr>
                <w:rFonts w:ascii="宋体" w:hAnsi="宋体"/>
                <w:szCs w:val="21"/>
              </w:rPr>
            </w:pPr>
            <w:r>
              <w:rPr>
                <w:rFonts w:ascii="宋体" w:hAnsi="宋体"/>
                <w:szCs w:val="21"/>
              </w:rPr>
              <w:t>2.……</w:t>
            </w:r>
          </w:p>
          <w:p>
            <w:pPr>
              <w:rPr>
                <w:rFonts w:ascii="宋体" w:hAnsi="宋体"/>
                <w:sz w:val="24"/>
              </w:rPr>
            </w:pPr>
            <w:r>
              <w:rPr>
                <w:rFonts w:hint="eastAsia" w:ascii="宋体" w:hAnsi="宋体"/>
                <w:szCs w:val="21"/>
              </w:rPr>
              <w:t>……</w:t>
            </w:r>
          </w:p>
        </w:tc>
        <w:tc>
          <w:tcPr>
            <w:tcW w:w="241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00" w:lineRule="atLeast"/>
              <w:rPr>
                <w:rFonts w:ascii="宋体" w:hAnsi="宋体"/>
                <w:szCs w:val="21"/>
              </w:rPr>
            </w:pPr>
            <w:r>
              <w:rPr>
                <w:rFonts w:ascii="宋体" w:hAnsi="宋体"/>
                <w:szCs w:val="21"/>
              </w:rPr>
              <w:t>1.……</w:t>
            </w:r>
          </w:p>
          <w:p>
            <w:pPr>
              <w:snapToGrid w:val="0"/>
              <w:spacing w:before="120" w:beforeLines="50" w:line="300" w:lineRule="atLeast"/>
              <w:rPr>
                <w:rFonts w:ascii="宋体" w:hAnsi="宋体"/>
                <w:szCs w:val="21"/>
              </w:rPr>
            </w:pPr>
            <w:r>
              <w:rPr>
                <w:rFonts w:ascii="宋体" w:hAnsi="宋体"/>
                <w:szCs w:val="21"/>
              </w:rPr>
              <w:t>2.……</w:t>
            </w:r>
          </w:p>
          <w:p>
            <w:pPr>
              <w:snapToGrid w:val="0"/>
              <w:spacing w:before="120" w:beforeLines="50"/>
              <w:ind w:left="43"/>
              <w:rPr>
                <w:rFonts w:ascii="宋体" w:hAnsi="宋体"/>
                <w:sz w:val="24"/>
              </w:rPr>
            </w:pPr>
            <w:r>
              <w:rPr>
                <w:rFonts w:hint="eastAsia" w:ascii="宋体" w:hAnsi="宋体"/>
                <w:szCs w:val="21"/>
              </w:rPr>
              <w:t>……</w:t>
            </w:r>
          </w:p>
        </w:tc>
        <w:tc>
          <w:tcPr>
            <w:tcW w:w="2035"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ind w:left="43"/>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151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宋体" w:hAnsi="宋体"/>
                <w:sz w:val="24"/>
              </w:rPr>
            </w:pPr>
            <w:r>
              <w:rPr>
                <w:rFonts w:hint="eastAsia" w:ascii="宋体" w:hAnsi="宋体"/>
                <w:sz w:val="24"/>
              </w:rPr>
              <w:t>…</w:t>
            </w:r>
          </w:p>
        </w:tc>
        <w:tc>
          <w:tcPr>
            <w:tcW w:w="268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rPr>
                <w:rFonts w:ascii="宋体" w:hAnsi="宋体"/>
                <w:sz w:val="24"/>
              </w:rPr>
            </w:pPr>
          </w:p>
        </w:tc>
        <w:tc>
          <w:tcPr>
            <w:tcW w:w="241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rPr>
                <w:rFonts w:ascii="宋体" w:hAnsi="宋体"/>
                <w:sz w:val="24"/>
              </w:rPr>
            </w:pPr>
          </w:p>
        </w:tc>
        <w:tc>
          <w:tcPr>
            <w:tcW w:w="2035"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宋体" w:hAnsi="宋体"/>
                <w:sz w:val="24"/>
              </w:rPr>
            </w:pPr>
          </w:p>
        </w:tc>
      </w:tr>
    </w:tbl>
    <w:p>
      <w:pPr>
        <w:pStyle w:val="17"/>
        <w:rPr>
          <w:rFonts w:ascii="宋体" w:hAnsi="宋体"/>
        </w:rPr>
      </w:pPr>
      <w:r>
        <w:rPr>
          <w:rFonts w:hint="eastAsia" w:ascii="宋体" w:hAnsi="宋体"/>
        </w:rPr>
        <w:t>注：</w:t>
      </w:r>
    </w:p>
    <w:p>
      <w:pPr>
        <w:pStyle w:val="19"/>
        <w:spacing w:line="520" w:lineRule="exact"/>
        <w:ind w:firstLine="0" w:firstLineChars="0"/>
        <w:rPr>
          <w:rFonts w:hAnsi="仿宋_GB2312" w:cs="仿宋_GB2312"/>
          <w:szCs w:val="32"/>
        </w:rPr>
      </w:pPr>
      <w:r>
        <w:rPr>
          <w:rFonts w:hint="eastAsia" w:ascii="宋体" w:hAnsi="宋体" w:eastAsia="宋体"/>
          <w:sz w:val="24"/>
          <w:szCs w:val="24"/>
        </w:rPr>
        <w:t>1.</w:t>
      </w:r>
      <w:r>
        <w:rPr>
          <w:rFonts w:hint="eastAsia"/>
        </w:rPr>
        <w:t xml:space="preserve"> </w:t>
      </w:r>
      <w:r>
        <w:rPr>
          <w:rFonts w:hint="eastAsia" w:ascii="宋体" w:hAnsi="宋体" w:eastAsia="宋体"/>
          <w:sz w:val="24"/>
          <w:szCs w:val="24"/>
        </w:rPr>
        <w:t>说明：应对照招标文件“第二章 采购需求”中的商务要求逐条作明确的投标响应，并作出偏离说明。</w:t>
      </w:r>
    </w:p>
    <w:p>
      <w:pPr>
        <w:pStyle w:val="17"/>
        <w:rPr>
          <w:rFonts w:ascii="宋体" w:hAnsi="宋体"/>
          <w:b w:val="0"/>
          <w:bCs w:val="0"/>
        </w:rPr>
      </w:pPr>
      <w:r>
        <w:rPr>
          <w:rFonts w:ascii="宋体" w:hAnsi="宋体"/>
          <w:b w:val="0"/>
          <w:bCs w:val="0"/>
        </w:rPr>
        <w:t>2.</w:t>
      </w:r>
      <w:r>
        <w:rPr>
          <w:rFonts w:hint="eastAsia" w:ascii="宋体" w:hAnsi="宋体"/>
          <w:b w:val="0"/>
          <w:bCs w:val="0"/>
        </w:rPr>
        <w:t>投标人应根据自身的承诺，对照招标文件要求在“偏离说明”中注明“</w:t>
      </w:r>
      <w:r>
        <w:rPr>
          <w:rFonts w:hint="eastAsia" w:ascii="宋体" w:hAnsi="宋体"/>
        </w:rPr>
        <w:t>正偏离</w:t>
      </w:r>
      <w:r>
        <w:rPr>
          <w:rFonts w:hint="eastAsia" w:ascii="宋体" w:hAnsi="宋体"/>
          <w:b w:val="0"/>
          <w:bCs w:val="0"/>
        </w:rPr>
        <w:t>”、“</w:t>
      </w:r>
      <w:r>
        <w:rPr>
          <w:rFonts w:hint="eastAsia" w:ascii="宋体" w:hAnsi="宋体"/>
        </w:rPr>
        <w:t>负偏离</w:t>
      </w:r>
      <w:r>
        <w:rPr>
          <w:rFonts w:hint="eastAsia" w:ascii="宋体" w:hAnsi="宋体"/>
          <w:b w:val="0"/>
          <w:bCs w:val="0"/>
        </w:rPr>
        <w:t>”或者“</w:t>
      </w:r>
      <w:r>
        <w:rPr>
          <w:rFonts w:hint="eastAsia" w:ascii="宋体" w:hAnsi="宋体"/>
        </w:rPr>
        <w:t>无偏离</w:t>
      </w:r>
      <w:r>
        <w:rPr>
          <w:rFonts w:hint="eastAsia" w:ascii="宋体" w:hAnsi="宋体"/>
          <w:b w:val="0"/>
          <w:bCs w:val="0"/>
        </w:rPr>
        <w:t>”。既不属于“</w:t>
      </w:r>
      <w:r>
        <w:rPr>
          <w:rFonts w:hint="eastAsia" w:ascii="宋体" w:hAnsi="宋体"/>
        </w:rPr>
        <w:t>正偏离</w:t>
      </w:r>
      <w:r>
        <w:rPr>
          <w:rFonts w:hint="eastAsia" w:ascii="宋体" w:hAnsi="宋体"/>
          <w:b w:val="0"/>
          <w:bCs w:val="0"/>
        </w:rPr>
        <w:t>”也不属于“</w:t>
      </w:r>
      <w:r>
        <w:rPr>
          <w:rFonts w:hint="eastAsia" w:ascii="宋体" w:hAnsi="宋体"/>
        </w:rPr>
        <w:t>负偏离</w:t>
      </w:r>
      <w:r>
        <w:rPr>
          <w:rFonts w:hint="eastAsia" w:ascii="宋体" w:hAnsi="宋体"/>
          <w:b w:val="0"/>
          <w:bCs w:val="0"/>
        </w:rPr>
        <w:t>”即为“</w:t>
      </w:r>
      <w:r>
        <w:rPr>
          <w:rFonts w:hint="eastAsia" w:ascii="宋体" w:hAnsi="宋体"/>
        </w:rPr>
        <w:t>无偏离</w:t>
      </w:r>
      <w:r>
        <w:rPr>
          <w:rFonts w:hint="eastAsia" w:ascii="宋体" w:hAnsi="宋体"/>
          <w:b w:val="0"/>
          <w:bCs w:val="0"/>
        </w:rPr>
        <w:t>”。</w:t>
      </w:r>
    </w:p>
    <w:p>
      <w:pPr>
        <w:snapToGrid w:val="0"/>
        <w:spacing w:before="50" w:after="50"/>
        <w:rPr>
          <w:rFonts w:ascii="宋体" w:hAnsi="宋体"/>
          <w:sz w:val="24"/>
        </w:rPr>
      </w:pPr>
    </w:p>
    <w:p>
      <w:pPr>
        <w:snapToGrid w:val="0"/>
        <w:spacing w:before="50" w:after="50"/>
        <w:rPr>
          <w:rFonts w:ascii="宋体" w:hAnsi="宋体"/>
          <w:spacing w:val="20"/>
          <w:sz w:val="24"/>
          <w:u w:val="single"/>
        </w:rPr>
      </w:pPr>
      <w:r>
        <w:rPr>
          <w:rFonts w:hint="eastAsia" w:ascii="宋体" w:hAnsi="宋体"/>
          <w:sz w:val="24"/>
        </w:rPr>
        <w:t>法定代表人或者委托代理人</w:t>
      </w:r>
      <w:r>
        <w:rPr>
          <w:rFonts w:hint="eastAsia" w:ascii="宋体" w:hAnsi="宋体"/>
          <w:spacing w:val="20"/>
          <w:sz w:val="24"/>
        </w:rPr>
        <w:t>（签字或者电子签名）：</w:t>
      </w:r>
      <w:r>
        <w:rPr>
          <w:rFonts w:hint="eastAsia" w:ascii="宋体" w:hAnsi="宋体"/>
          <w:spacing w:val="20"/>
          <w:sz w:val="24"/>
          <w:u w:val="single"/>
        </w:rPr>
        <w:t xml:space="preserve">        </w:t>
      </w:r>
    </w:p>
    <w:p>
      <w:pPr>
        <w:snapToGrid w:val="0"/>
        <w:spacing w:before="120" w:beforeLines="50"/>
        <w:rPr>
          <w:rFonts w:ascii="宋体" w:hAnsi="宋体"/>
          <w:spacing w:val="20"/>
          <w:sz w:val="24"/>
        </w:rPr>
      </w:pPr>
      <w:r>
        <w:rPr>
          <w:rFonts w:hint="eastAsia" w:ascii="宋体" w:hAnsi="宋体"/>
          <w:spacing w:val="20"/>
          <w:sz w:val="24"/>
        </w:rPr>
        <w:t>投标人名称（电子签章）：</w:t>
      </w:r>
      <w:r>
        <w:rPr>
          <w:rFonts w:hint="eastAsia" w:ascii="宋体" w:hAnsi="宋体"/>
          <w:spacing w:val="20"/>
          <w:sz w:val="24"/>
          <w:u w:val="single"/>
        </w:rPr>
        <w:t xml:space="preserve">            </w:t>
      </w:r>
      <w:r>
        <w:rPr>
          <w:rFonts w:hint="eastAsia" w:ascii="宋体" w:hAnsi="宋体"/>
          <w:spacing w:val="20"/>
          <w:sz w:val="24"/>
        </w:rPr>
        <w:t xml:space="preserve">   </w:t>
      </w:r>
    </w:p>
    <w:p>
      <w:pPr>
        <w:snapToGrid w:val="0"/>
        <w:spacing w:before="120" w:beforeLines="50"/>
        <w:rPr>
          <w:rFonts w:ascii="宋体" w:hAnsi="宋体"/>
          <w:sz w:val="24"/>
          <w:szCs w:val="20"/>
        </w:rPr>
      </w:pPr>
      <w:r>
        <w:rPr>
          <w:rFonts w:hint="eastAsia" w:ascii="宋体" w:hAnsi="宋体"/>
          <w:spacing w:val="20"/>
          <w:sz w:val="24"/>
        </w:rPr>
        <w:t>日  期：</w:t>
      </w:r>
      <w:r>
        <w:rPr>
          <w:rFonts w:hint="eastAsia" w:ascii="宋体" w:hAnsi="宋体"/>
          <w:spacing w:val="20"/>
          <w:sz w:val="24"/>
          <w:u w:val="single"/>
        </w:rPr>
        <w:t xml:space="preserve">         </w:t>
      </w:r>
    </w:p>
    <w:p>
      <w:pPr>
        <w:snapToGrid w:val="0"/>
        <w:spacing w:before="120" w:beforeLines="50" w:after="50"/>
        <w:rPr>
          <w:rFonts w:ascii="宋体" w:hAnsi="宋体"/>
          <w:b/>
          <w:sz w:val="24"/>
        </w:rPr>
      </w:pPr>
      <w:r>
        <w:rPr>
          <w:rFonts w:ascii="宋体" w:hAnsi="宋体"/>
          <w:sz w:val="24"/>
          <w:szCs w:val="20"/>
        </w:rPr>
        <w:br w:type="page"/>
      </w:r>
      <w:r>
        <w:rPr>
          <w:rFonts w:ascii="宋体" w:hAnsi="宋体"/>
          <w:sz w:val="24"/>
          <w:szCs w:val="20"/>
        </w:rPr>
        <w:t>7</w:t>
      </w:r>
      <w:r>
        <w:rPr>
          <w:rFonts w:hint="eastAsia" w:ascii="宋体" w:hAnsi="宋体"/>
          <w:b/>
          <w:sz w:val="24"/>
        </w:rPr>
        <w:t>.投标人业绩证明材料</w:t>
      </w:r>
    </w:p>
    <w:p>
      <w:pPr>
        <w:pStyle w:val="35"/>
        <w:snapToGrid w:val="0"/>
        <w:ind w:left="480" w:hanging="480"/>
        <w:rPr>
          <w:rFonts w:ascii="宋体" w:hAnsi="宋体"/>
          <w:sz w:val="24"/>
        </w:rPr>
      </w:pPr>
    </w:p>
    <w:p>
      <w:pPr>
        <w:pStyle w:val="35"/>
        <w:snapToGrid w:val="0"/>
        <w:ind w:left="480" w:hanging="480"/>
        <w:rPr>
          <w:rFonts w:ascii="宋体" w:hAnsi="宋体"/>
          <w:sz w:val="24"/>
        </w:rPr>
      </w:pPr>
      <w:r>
        <w:rPr>
          <w:rFonts w:hint="eastAsia" w:ascii="宋体" w:hAnsi="宋体"/>
          <w:sz w:val="24"/>
        </w:rPr>
        <w:t xml:space="preserve">投标人业绩情况一览表格式： </w:t>
      </w:r>
    </w:p>
    <w:tbl>
      <w:tblPr>
        <w:tblStyle w:val="49"/>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132"/>
        <w:gridCol w:w="1770"/>
        <w:gridCol w:w="1770"/>
        <w:gridCol w:w="285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1250" w:type="pct"/>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sz w:val="24"/>
              </w:rPr>
            </w:pPr>
            <w:r>
              <w:rPr>
                <w:rFonts w:hint="eastAsia" w:ascii="宋体" w:hAnsi="宋体"/>
                <w:sz w:val="24"/>
              </w:rPr>
              <w:t>采购人名称</w:t>
            </w:r>
          </w:p>
        </w:tc>
        <w:tc>
          <w:tcPr>
            <w:tcW w:w="1038" w:type="pct"/>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sz w:val="24"/>
              </w:rPr>
            </w:pPr>
            <w:r>
              <w:rPr>
                <w:rFonts w:hint="eastAsia" w:ascii="宋体" w:hAnsi="宋体"/>
                <w:sz w:val="24"/>
              </w:rPr>
              <w:t>项目名称</w:t>
            </w:r>
          </w:p>
        </w:tc>
        <w:tc>
          <w:tcPr>
            <w:tcW w:w="1038" w:type="pct"/>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sz w:val="24"/>
              </w:rPr>
            </w:pPr>
            <w:r>
              <w:rPr>
                <w:rFonts w:hint="eastAsia" w:ascii="宋体" w:hAnsi="宋体"/>
                <w:sz w:val="24"/>
              </w:rPr>
              <w:t>合同金额</w:t>
            </w:r>
          </w:p>
          <w:p>
            <w:pPr>
              <w:snapToGrid w:val="0"/>
              <w:spacing w:line="240" w:lineRule="exact"/>
              <w:jc w:val="center"/>
              <w:rPr>
                <w:rFonts w:ascii="宋体" w:hAnsi="宋体"/>
                <w:sz w:val="24"/>
              </w:rPr>
            </w:pPr>
            <w:r>
              <w:rPr>
                <w:rFonts w:hint="eastAsia" w:ascii="宋体" w:hAnsi="宋体"/>
                <w:sz w:val="24"/>
              </w:rPr>
              <w:t>（万元）</w:t>
            </w:r>
          </w:p>
        </w:tc>
        <w:tc>
          <w:tcPr>
            <w:tcW w:w="1674" w:type="pct"/>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sz w:val="24"/>
              </w:rPr>
            </w:pPr>
            <w:r>
              <w:rPr>
                <w:rFonts w:hint="eastAsia" w:ascii="宋体" w:hAnsi="宋体"/>
                <w:sz w:val="24"/>
              </w:rPr>
              <w:t>采购人联系人及</w:t>
            </w:r>
          </w:p>
          <w:p>
            <w:pPr>
              <w:snapToGrid w:val="0"/>
              <w:spacing w:line="240" w:lineRule="exact"/>
              <w:jc w:val="center"/>
              <w:rPr>
                <w:rFonts w:ascii="宋体" w:hAnsi="宋体"/>
                <w:sz w:val="24"/>
              </w:rPr>
            </w:pPr>
            <w:r>
              <w:rPr>
                <w:rFonts w:hint="eastAsia" w:ascii="宋体" w:hAnsi="宋体"/>
                <w:sz w:val="24"/>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1250" w:type="pct"/>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sz w:val="24"/>
              </w:rPr>
            </w:pPr>
          </w:p>
        </w:tc>
        <w:tc>
          <w:tcPr>
            <w:tcW w:w="1038" w:type="pct"/>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sz w:val="24"/>
              </w:rPr>
            </w:pPr>
          </w:p>
        </w:tc>
        <w:tc>
          <w:tcPr>
            <w:tcW w:w="1038" w:type="pct"/>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sz w:val="24"/>
              </w:rPr>
            </w:pPr>
          </w:p>
        </w:tc>
        <w:tc>
          <w:tcPr>
            <w:tcW w:w="1674" w:type="pct"/>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1250" w:type="pct"/>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sz w:val="24"/>
              </w:rPr>
            </w:pPr>
          </w:p>
        </w:tc>
        <w:tc>
          <w:tcPr>
            <w:tcW w:w="1038" w:type="pct"/>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sz w:val="24"/>
              </w:rPr>
            </w:pPr>
          </w:p>
        </w:tc>
        <w:tc>
          <w:tcPr>
            <w:tcW w:w="1038" w:type="pct"/>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sz w:val="24"/>
              </w:rPr>
            </w:pPr>
          </w:p>
        </w:tc>
        <w:tc>
          <w:tcPr>
            <w:tcW w:w="1674" w:type="pct"/>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sz w:val="24"/>
              </w:rPr>
            </w:pPr>
          </w:p>
        </w:tc>
        <w:tc>
          <w:tcPr>
            <w:tcW w:w="1038" w:type="pct"/>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sz w:val="24"/>
              </w:rPr>
            </w:pPr>
          </w:p>
        </w:tc>
        <w:tc>
          <w:tcPr>
            <w:tcW w:w="1038" w:type="pct"/>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sz w:val="24"/>
              </w:rPr>
            </w:pPr>
          </w:p>
        </w:tc>
        <w:tc>
          <w:tcPr>
            <w:tcW w:w="1674" w:type="pct"/>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1250" w:type="pct"/>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sz w:val="24"/>
              </w:rPr>
            </w:pPr>
          </w:p>
        </w:tc>
        <w:tc>
          <w:tcPr>
            <w:tcW w:w="1038" w:type="pct"/>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sz w:val="24"/>
              </w:rPr>
            </w:pPr>
          </w:p>
        </w:tc>
        <w:tc>
          <w:tcPr>
            <w:tcW w:w="1038" w:type="pct"/>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sz w:val="24"/>
              </w:rPr>
            </w:pPr>
          </w:p>
        </w:tc>
        <w:tc>
          <w:tcPr>
            <w:tcW w:w="1674" w:type="pct"/>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sz w:val="24"/>
              </w:rPr>
            </w:pPr>
          </w:p>
        </w:tc>
        <w:tc>
          <w:tcPr>
            <w:tcW w:w="1038" w:type="pct"/>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sz w:val="24"/>
              </w:rPr>
            </w:pPr>
          </w:p>
        </w:tc>
        <w:tc>
          <w:tcPr>
            <w:tcW w:w="1038" w:type="pct"/>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sz w:val="24"/>
              </w:rPr>
            </w:pPr>
          </w:p>
        </w:tc>
        <w:tc>
          <w:tcPr>
            <w:tcW w:w="1674" w:type="pct"/>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sz w:val="24"/>
              </w:rPr>
            </w:pPr>
          </w:p>
        </w:tc>
        <w:tc>
          <w:tcPr>
            <w:tcW w:w="1038" w:type="pct"/>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sz w:val="24"/>
              </w:rPr>
            </w:pPr>
          </w:p>
        </w:tc>
        <w:tc>
          <w:tcPr>
            <w:tcW w:w="1038" w:type="pct"/>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sz w:val="24"/>
              </w:rPr>
            </w:pPr>
          </w:p>
        </w:tc>
        <w:tc>
          <w:tcPr>
            <w:tcW w:w="1674" w:type="pct"/>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sz w:val="24"/>
              </w:rPr>
            </w:pPr>
          </w:p>
        </w:tc>
      </w:tr>
    </w:tbl>
    <w:p>
      <w:pPr>
        <w:pStyle w:val="14"/>
        <w:spacing w:before="0" w:after="0" w:line="360" w:lineRule="auto"/>
        <w:contextualSpacing/>
        <w:rPr>
          <w:rFonts w:ascii="宋体" w:hAnsi="宋体" w:eastAsia="宋体"/>
          <w:sz w:val="24"/>
          <w:szCs w:val="24"/>
        </w:rPr>
      </w:pPr>
    </w:p>
    <w:p>
      <w:pPr>
        <w:pStyle w:val="14"/>
        <w:spacing w:before="0" w:after="0" w:line="360" w:lineRule="auto"/>
        <w:contextualSpacing/>
        <w:rPr>
          <w:rFonts w:ascii="宋体" w:hAnsi="宋体" w:eastAsia="宋体"/>
          <w:sz w:val="24"/>
          <w:szCs w:val="24"/>
        </w:rPr>
      </w:pPr>
      <w:r>
        <w:rPr>
          <w:rFonts w:hint="eastAsia" w:ascii="宋体" w:hAnsi="宋体" w:eastAsia="宋体"/>
          <w:sz w:val="24"/>
          <w:szCs w:val="24"/>
        </w:rPr>
        <w:t>注：</w:t>
      </w:r>
      <w:r>
        <w:rPr>
          <w:rFonts w:hint="eastAsia" w:ascii="宋体" w:hAnsi="宋体"/>
          <w:sz w:val="24"/>
        </w:rPr>
        <w:t>投标人根据评标标准具体要求附业绩证明材料。</w:t>
      </w:r>
    </w:p>
    <w:p>
      <w:pPr>
        <w:pStyle w:val="14"/>
        <w:spacing w:before="0" w:after="0" w:line="360" w:lineRule="auto"/>
        <w:contextualSpacing/>
        <w:jc w:val="left"/>
        <w:rPr>
          <w:rFonts w:ascii="宋体" w:hAnsi="宋体" w:eastAsia="宋体"/>
          <w:sz w:val="24"/>
          <w:szCs w:val="24"/>
          <w:u w:val="single"/>
        </w:rPr>
      </w:pPr>
      <w:r>
        <w:rPr>
          <w:rFonts w:hint="eastAsia" w:ascii="宋体" w:hAnsi="宋体" w:eastAsia="宋体"/>
          <w:sz w:val="24"/>
          <w:szCs w:val="24"/>
        </w:rPr>
        <w:t>法定代表人或者委托代理人（签字或者电子签名）：</w:t>
      </w:r>
      <w:r>
        <w:rPr>
          <w:rFonts w:hint="eastAsia" w:ascii="宋体" w:hAnsi="宋体" w:eastAsia="宋体"/>
          <w:sz w:val="24"/>
          <w:szCs w:val="24"/>
          <w:u w:val="single"/>
        </w:rPr>
        <w:t>　　　　　</w:t>
      </w:r>
    </w:p>
    <w:p>
      <w:pPr>
        <w:spacing w:line="360" w:lineRule="auto"/>
        <w:ind w:right="480"/>
        <w:contextualSpacing/>
        <w:jc w:val="left"/>
        <w:rPr>
          <w:rFonts w:ascii="宋体" w:hAnsi="宋体"/>
          <w:sz w:val="24"/>
          <w:szCs w:val="20"/>
        </w:rPr>
      </w:pPr>
      <w:r>
        <w:rPr>
          <w:rFonts w:hint="eastAsia" w:ascii="宋体" w:hAnsi="宋体" w:cs="Arial"/>
          <w:sz w:val="24"/>
        </w:rPr>
        <w:t xml:space="preserve">投标人名称（电子签章）： </w:t>
      </w:r>
      <w:r>
        <w:rPr>
          <w:rFonts w:hint="eastAsia" w:ascii="宋体" w:hAnsi="宋体"/>
          <w:sz w:val="24"/>
          <w:u w:val="single"/>
        </w:rPr>
        <w:t xml:space="preserve">                </w:t>
      </w:r>
      <w:r>
        <w:rPr>
          <w:rFonts w:hint="eastAsia" w:ascii="宋体" w:hAnsi="宋体"/>
          <w:sz w:val="24"/>
        </w:rPr>
        <w:t xml:space="preserve">                                                              年    月    日</w:t>
      </w:r>
    </w:p>
    <w:p>
      <w:pPr>
        <w:snapToGrid w:val="0"/>
        <w:spacing w:before="50"/>
        <w:ind w:firstLine="480" w:firstLineChars="200"/>
        <w:jc w:val="left"/>
        <w:rPr>
          <w:rFonts w:ascii="宋体" w:hAnsi="宋体"/>
          <w:sz w:val="24"/>
          <w:szCs w:val="20"/>
        </w:rPr>
      </w:pPr>
    </w:p>
    <w:p>
      <w:pPr>
        <w:snapToGrid w:val="0"/>
        <w:spacing w:before="50"/>
        <w:jc w:val="left"/>
        <w:rPr>
          <w:rFonts w:ascii="宋体" w:hAnsi="宋体"/>
          <w:sz w:val="24"/>
        </w:rPr>
      </w:pPr>
    </w:p>
    <w:p>
      <w:pPr>
        <w:snapToGrid w:val="0"/>
        <w:spacing w:before="120" w:beforeLines="50"/>
        <w:rPr>
          <w:rFonts w:ascii="宋体" w:hAnsi="宋体"/>
          <w:sz w:val="24"/>
          <w:szCs w:val="20"/>
        </w:rPr>
        <w:sectPr>
          <w:footerReference r:id="rId9" w:type="first"/>
          <w:headerReference r:id="rId6" w:type="default"/>
          <w:footerReference r:id="rId7" w:type="default"/>
          <w:footerReference r:id="rId8" w:type="even"/>
          <w:pgSz w:w="11906" w:h="16838"/>
          <w:pgMar w:top="1440" w:right="1797" w:bottom="1440" w:left="1797" w:header="851" w:footer="992" w:gutter="0"/>
          <w:cols w:space="720" w:num="1"/>
          <w:docGrid w:linePitch="312" w:charSpace="0"/>
        </w:sectPr>
      </w:pPr>
    </w:p>
    <w:p>
      <w:pPr>
        <w:snapToGrid w:val="0"/>
        <w:spacing w:before="120" w:beforeLines="50" w:after="50"/>
        <w:ind w:left="142"/>
        <w:jc w:val="left"/>
        <w:rPr>
          <w:rFonts w:ascii="宋体" w:hAnsi="宋体"/>
          <w:b/>
          <w:sz w:val="24"/>
        </w:rPr>
      </w:pPr>
      <w:r>
        <w:rPr>
          <w:rFonts w:hint="eastAsia" w:ascii="宋体" w:hAnsi="宋体"/>
          <w:b/>
          <w:sz w:val="24"/>
        </w:rPr>
        <w:t>8. 代理服务费承诺书</w:t>
      </w:r>
    </w:p>
    <w:p>
      <w:pPr>
        <w:snapToGrid w:val="0"/>
        <w:spacing w:before="120" w:beforeLines="50" w:after="50"/>
        <w:jc w:val="left"/>
        <w:rPr>
          <w:rFonts w:ascii="方正小标宋简体" w:hAnsi="方正小标宋简体" w:eastAsia="方正小标宋简体" w:cs="方正小标宋简体"/>
          <w:bCs/>
          <w:szCs w:val="21"/>
        </w:rPr>
      </w:pPr>
    </w:p>
    <w:p>
      <w:pPr>
        <w:snapToGrid w:val="0"/>
        <w:spacing w:before="120" w:beforeLines="50" w:after="5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代理服务费承诺书</w:t>
      </w:r>
    </w:p>
    <w:p>
      <w:pPr>
        <w:snapToGrid w:val="0"/>
        <w:spacing w:before="120" w:beforeLines="50" w:after="50"/>
        <w:jc w:val="center"/>
        <w:rPr>
          <w:rFonts w:ascii="宋体" w:hAnsi="宋体"/>
          <w:b/>
          <w:sz w:val="24"/>
        </w:rPr>
      </w:pPr>
    </w:p>
    <w:p>
      <w:pPr>
        <w:spacing w:line="360" w:lineRule="auto"/>
        <w:rPr>
          <w:rFonts w:ascii="宋体" w:hAnsi="宋体"/>
          <w:b/>
          <w:bCs/>
          <w:sz w:val="24"/>
        </w:rPr>
      </w:pPr>
      <w:r>
        <w:rPr>
          <w:rFonts w:hint="eastAsia" w:ascii="宋体" w:hAnsi="宋体"/>
          <w:bCs/>
          <w:sz w:val="24"/>
        </w:rPr>
        <w:t>致：</w:t>
      </w:r>
      <w:r>
        <w:rPr>
          <w:rFonts w:hint="eastAsia" w:ascii="宋体" w:hAnsi="宋体"/>
          <w:sz w:val="24"/>
          <w:u w:val="single"/>
        </w:rPr>
        <w:t>代理机构名称</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本单位参加了贵方组织的</w:t>
      </w:r>
      <w:r>
        <w:rPr>
          <w:rFonts w:hint="eastAsia" w:ascii="宋体" w:hAnsi="宋体"/>
          <w:sz w:val="24"/>
          <w:u w:val="single"/>
        </w:rPr>
        <w:t xml:space="preserve">  项目名称（项目编号）  </w:t>
      </w:r>
      <w:r>
        <w:rPr>
          <w:rFonts w:hint="eastAsia" w:ascii="宋体" w:hAnsi="宋体"/>
          <w:sz w:val="24"/>
        </w:rPr>
        <w:t>项目， 在此说明如下：</w:t>
      </w:r>
    </w:p>
    <w:p>
      <w:pPr>
        <w:spacing w:line="440" w:lineRule="exact"/>
        <w:ind w:firstLine="360" w:firstLineChars="150"/>
        <w:rPr>
          <w:rFonts w:ascii="宋体" w:hAnsi="宋体"/>
          <w:sz w:val="24"/>
        </w:rPr>
      </w:pPr>
      <w:r>
        <w:rPr>
          <w:rFonts w:hint="eastAsia" w:ascii="宋体" w:hAnsi="宋体"/>
          <w:sz w:val="24"/>
        </w:rPr>
        <w:t>1.我方承诺，若本单位中标，保证在发出中标通知书之后，按本项目招标文件的规定标准向贵单位一次性足额支付代理服务费， 在领取中标通知书后，由于被质疑、投诉或者其他原因而导致中标结果改变，我方将放弃对已缴纳的中标服务费追还的一切权利。</w:t>
      </w:r>
    </w:p>
    <w:p>
      <w:pPr>
        <w:spacing w:line="440" w:lineRule="exact"/>
        <w:ind w:firstLine="360" w:firstLineChars="150"/>
        <w:rPr>
          <w:rFonts w:ascii="宋体" w:hAnsi="宋体"/>
          <w:sz w:val="24"/>
        </w:rPr>
      </w:pPr>
      <w:r>
        <w:rPr>
          <w:rFonts w:hint="eastAsia" w:ascii="宋体" w:hAnsi="宋体"/>
          <w:sz w:val="24"/>
        </w:rPr>
        <w:t>2.本单位选择第</w:t>
      </w:r>
      <w:r>
        <w:rPr>
          <w:rFonts w:hint="eastAsia" w:ascii="宋体" w:hAnsi="宋体"/>
          <w:sz w:val="24"/>
          <w:u w:val="single"/>
        </w:rPr>
        <w:t xml:space="preserve">     </w:t>
      </w:r>
      <w:r>
        <w:rPr>
          <w:rFonts w:hint="eastAsia" w:ascii="宋体" w:hAnsi="宋体"/>
          <w:sz w:val="24"/>
        </w:rPr>
        <w:t>种方式作为代理服务费开票类型：</w:t>
      </w:r>
    </w:p>
    <w:p>
      <w:pPr>
        <w:spacing w:line="440" w:lineRule="exact"/>
        <w:ind w:firstLine="360" w:firstLineChars="150"/>
        <w:rPr>
          <w:rFonts w:ascii="宋体" w:hAnsi="宋体"/>
          <w:sz w:val="24"/>
        </w:rPr>
      </w:pPr>
      <w:r>
        <w:rPr>
          <w:rFonts w:hint="eastAsia" w:ascii="宋体" w:hAnsi="宋体"/>
          <w:sz w:val="24"/>
        </w:rPr>
        <w:t>第一种方式：开具增值税普通发票。开票信息如下：</w:t>
      </w:r>
    </w:p>
    <w:p>
      <w:pPr>
        <w:spacing w:line="440" w:lineRule="exact"/>
        <w:ind w:firstLine="360" w:firstLineChars="150"/>
        <w:rPr>
          <w:rFonts w:ascii="宋体" w:hAnsi="宋体"/>
          <w:sz w:val="24"/>
        </w:rPr>
      </w:pPr>
      <w:r>
        <w:rPr>
          <w:rFonts w:hint="eastAsia" w:ascii="宋体" w:hAnsi="宋体"/>
          <w:sz w:val="24"/>
        </w:rPr>
        <w:t>（1）公司名称</w:t>
      </w:r>
      <w:r>
        <w:rPr>
          <w:rFonts w:hint="eastAsia" w:ascii="宋体" w:hAnsi="宋体"/>
          <w:sz w:val="24"/>
          <w:u w:val="single"/>
        </w:rPr>
        <w:t xml:space="preserve">_                       </w:t>
      </w:r>
      <w:r>
        <w:rPr>
          <w:rFonts w:hint="eastAsia" w:ascii="宋体" w:hAnsi="宋体"/>
          <w:sz w:val="24"/>
        </w:rPr>
        <w:t>；</w:t>
      </w:r>
    </w:p>
    <w:p>
      <w:pPr>
        <w:spacing w:line="440" w:lineRule="exact"/>
        <w:ind w:firstLine="360" w:firstLineChars="150"/>
        <w:rPr>
          <w:rFonts w:ascii="宋体" w:hAnsi="宋体"/>
          <w:sz w:val="24"/>
        </w:rPr>
      </w:pPr>
      <w:r>
        <w:rPr>
          <w:rFonts w:hint="eastAsia" w:ascii="宋体" w:hAnsi="宋体"/>
          <w:sz w:val="24"/>
        </w:rPr>
        <w:t>（2）纳税人识别号</w:t>
      </w:r>
      <w:r>
        <w:rPr>
          <w:rFonts w:hint="eastAsia" w:ascii="宋体" w:hAnsi="宋体"/>
          <w:sz w:val="24"/>
          <w:u w:val="single"/>
        </w:rPr>
        <w:t xml:space="preserve">                    </w:t>
      </w:r>
      <w:r>
        <w:rPr>
          <w:rFonts w:hint="eastAsia" w:ascii="宋体" w:hAnsi="宋体"/>
          <w:sz w:val="24"/>
        </w:rPr>
        <w:t>。</w:t>
      </w:r>
    </w:p>
    <w:p>
      <w:pPr>
        <w:spacing w:line="440" w:lineRule="exact"/>
        <w:ind w:firstLine="360" w:firstLineChars="150"/>
        <w:rPr>
          <w:rFonts w:ascii="宋体" w:hAnsi="宋体"/>
          <w:sz w:val="24"/>
        </w:rPr>
      </w:pPr>
      <w:r>
        <w:rPr>
          <w:rFonts w:hint="eastAsia" w:ascii="宋体" w:hAnsi="宋体"/>
          <w:sz w:val="24"/>
        </w:rPr>
        <w:t>第二种方式：开具增值税专用发票，开票信息如下：</w:t>
      </w:r>
    </w:p>
    <w:p>
      <w:pPr>
        <w:spacing w:line="440" w:lineRule="exact"/>
        <w:ind w:firstLine="360" w:firstLineChars="150"/>
        <w:rPr>
          <w:rFonts w:ascii="宋体" w:hAnsi="宋体"/>
          <w:sz w:val="24"/>
        </w:rPr>
      </w:pPr>
      <w:r>
        <w:rPr>
          <w:rFonts w:hint="eastAsia" w:ascii="宋体" w:hAnsi="宋体"/>
          <w:sz w:val="24"/>
        </w:rPr>
        <w:t>（1）公司名称</w:t>
      </w:r>
      <w:r>
        <w:rPr>
          <w:rFonts w:hint="eastAsia" w:ascii="宋体" w:hAnsi="宋体"/>
          <w:sz w:val="24"/>
          <w:u w:val="single"/>
        </w:rPr>
        <w:t xml:space="preserve">                              </w:t>
      </w:r>
      <w:r>
        <w:rPr>
          <w:rFonts w:hint="eastAsia" w:ascii="宋体" w:hAnsi="宋体"/>
          <w:sz w:val="24"/>
        </w:rPr>
        <w:t>；</w:t>
      </w:r>
    </w:p>
    <w:p>
      <w:pPr>
        <w:spacing w:line="440" w:lineRule="exact"/>
        <w:ind w:firstLine="360" w:firstLineChars="150"/>
        <w:rPr>
          <w:rFonts w:ascii="宋体" w:hAnsi="宋体"/>
          <w:sz w:val="24"/>
        </w:rPr>
      </w:pPr>
      <w:r>
        <w:rPr>
          <w:rFonts w:hint="eastAsia" w:ascii="宋体" w:hAnsi="宋体"/>
          <w:sz w:val="24"/>
        </w:rPr>
        <w:t>（2）纳税人识别号</w:t>
      </w:r>
      <w:r>
        <w:rPr>
          <w:rFonts w:hint="eastAsia" w:ascii="宋体" w:hAnsi="宋体"/>
          <w:sz w:val="24"/>
          <w:u w:val="single"/>
        </w:rPr>
        <w:t xml:space="preserve">_                         </w:t>
      </w:r>
      <w:r>
        <w:rPr>
          <w:rFonts w:hint="eastAsia" w:ascii="宋体" w:hAnsi="宋体"/>
          <w:sz w:val="24"/>
        </w:rPr>
        <w:t>；</w:t>
      </w:r>
    </w:p>
    <w:p>
      <w:pPr>
        <w:spacing w:line="440" w:lineRule="exact"/>
        <w:ind w:firstLine="360" w:firstLineChars="150"/>
        <w:rPr>
          <w:rFonts w:ascii="宋体" w:hAnsi="宋体"/>
          <w:sz w:val="24"/>
        </w:rPr>
      </w:pPr>
      <w:r>
        <w:rPr>
          <w:rFonts w:hint="eastAsia" w:ascii="宋体" w:hAnsi="宋体"/>
          <w:sz w:val="24"/>
        </w:rPr>
        <w:t>（3）在税务局登记的地址</w:t>
      </w:r>
      <w:r>
        <w:rPr>
          <w:rFonts w:hint="eastAsia" w:ascii="宋体" w:hAnsi="宋体"/>
          <w:sz w:val="24"/>
          <w:u w:val="single"/>
        </w:rPr>
        <w:t xml:space="preserve">_                   </w:t>
      </w:r>
      <w:r>
        <w:rPr>
          <w:rFonts w:hint="eastAsia" w:ascii="宋体" w:hAnsi="宋体"/>
          <w:sz w:val="24"/>
        </w:rPr>
        <w:t>；</w:t>
      </w:r>
    </w:p>
    <w:p>
      <w:pPr>
        <w:spacing w:line="440" w:lineRule="exact"/>
        <w:ind w:firstLine="360" w:firstLineChars="150"/>
        <w:rPr>
          <w:rFonts w:ascii="宋体" w:hAnsi="宋体"/>
          <w:sz w:val="24"/>
        </w:rPr>
      </w:pPr>
      <w:r>
        <w:rPr>
          <w:rFonts w:hint="eastAsia" w:ascii="宋体" w:hAnsi="宋体"/>
          <w:sz w:val="24"/>
        </w:rPr>
        <w:t>（4）在税务局登记的电话</w:t>
      </w:r>
      <w:r>
        <w:rPr>
          <w:rFonts w:hint="eastAsia" w:ascii="宋体" w:hAnsi="宋体"/>
          <w:sz w:val="24"/>
          <w:u w:val="single"/>
        </w:rPr>
        <w:t xml:space="preserve">_                   </w:t>
      </w:r>
      <w:r>
        <w:rPr>
          <w:rFonts w:hint="eastAsia" w:ascii="宋体" w:hAnsi="宋体"/>
          <w:sz w:val="24"/>
        </w:rPr>
        <w:t>；</w:t>
      </w:r>
    </w:p>
    <w:p>
      <w:pPr>
        <w:spacing w:line="440" w:lineRule="exact"/>
        <w:ind w:firstLine="360" w:firstLineChars="150"/>
        <w:rPr>
          <w:rFonts w:ascii="宋体" w:hAnsi="宋体"/>
          <w:sz w:val="24"/>
        </w:rPr>
      </w:pPr>
      <w:r>
        <w:rPr>
          <w:rFonts w:hint="eastAsia" w:ascii="宋体" w:hAnsi="宋体"/>
          <w:sz w:val="24"/>
        </w:rPr>
        <w:t>（5）开户银行</w:t>
      </w:r>
      <w:r>
        <w:rPr>
          <w:rFonts w:hint="eastAsia" w:ascii="宋体" w:hAnsi="宋体"/>
          <w:sz w:val="24"/>
          <w:u w:val="single"/>
        </w:rPr>
        <w:t xml:space="preserve">                              </w:t>
      </w:r>
      <w:r>
        <w:rPr>
          <w:rFonts w:hint="eastAsia" w:ascii="宋体" w:hAnsi="宋体"/>
          <w:sz w:val="24"/>
        </w:rPr>
        <w:t>；</w:t>
      </w:r>
    </w:p>
    <w:p>
      <w:pPr>
        <w:spacing w:line="440" w:lineRule="exact"/>
        <w:ind w:firstLine="360" w:firstLineChars="150"/>
        <w:rPr>
          <w:rFonts w:ascii="宋体" w:hAnsi="宋体"/>
          <w:sz w:val="24"/>
        </w:rPr>
      </w:pPr>
      <w:r>
        <w:rPr>
          <w:rFonts w:hint="eastAsia" w:ascii="宋体" w:hAnsi="宋体"/>
          <w:sz w:val="24"/>
        </w:rPr>
        <w:t>（6）银行账户</w:t>
      </w:r>
      <w:r>
        <w:rPr>
          <w:rFonts w:hint="eastAsia" w:ascii="宋体" w:hAnsi="宋体"/>
          <w:sz w:val="24"/>
          <w:u w:val="single"/>
        </w:rPr>
        <w:t xml:space="preserve">                              </w:t>
      </w:r>
      <w:r>
        <w:rPr>
          <w:rFonts w:hint="eastAsia" w:ascii="宋体" w:hAnsi="宋体"/>
          <w:sz w:val="24"/>
        </w:rPr>
        <w:t>。</w:t>
      </w:r>
    </w:p>
    <w:p>
      <w:pPr>
        <w:spacing w:line="440" w:lineRule="exact"/>
        <w:rPr>
          <w:rFonts w:ascii="宋体" w:hAnsi="宋体"/>
          <w:sz w:val="24"/>
        </w:rPr>
      </w:pPr>
      <w:r>
        <w:rPr>
          <w:rFonts w:hint="eastAsia" w:ascii="宋体" w:hAnsi="宋体"/>
          <w:sz w:val="24"/>
        </w:rPr>
        <w:t xml:space="preserve"> </w:t>
      </w:r>
    </w:p>
    <w:p>
      <w:pPr>
        <w:spacing w:line="440" w:lineRule="exact"/>
        <w:rPr>
          <w:rFonts w:ascii="宋体" w:hAnsi="宋体"/>
          <w:sz w:val="24"/>
        </w:rPr>
      </w:pPr>
    </w:p>
    <w:p>
      <w:pPr>
        <w:spacing w:line="440" w:lineRule="exact"/>
        <w:rPr>
          <w:rFonts w:ascii="宋体" w:hAnsi="宋体"/>
          <w:sz w:val="24"/>
        </w:rPr>
      </w:pPr>
    </w:p>
    <w:p>
      <w:pPr>
        <w:snapToGrid w:val="0"/>
        <w:spacing w:line="360" w:lineRule="auto"/>
        <w:ind w:left="-2" w:leftChars="-1" w:right="-817" w:rightChars="-389" w:firstLine="1920" w:firstLineChars="800"/>
        <w:rPr>
          <w:rFonts w:ascii="宋体" w:hAnsi="宋体"/>
          <w:sz w:val="24"/>
        </w:rPr>
      </w:pPr>
      <w:r>
        <w:rPr>
          <w:rFonts w:hint="eastAsia" w:ascii="宋体" w:hAnsi="宋体"/>
          <w:sz w:val="24"/>
        </w:rPr>
        <w:t xml:space="preserve">法定代表人或者委托代理人（签字或者电子签名）： </w:t>
      </w:r>
    </w:p>
    <w:p>
      <w:pPr>
        <w:snapToGrid w:val="0"/>
        <w:spacing w:line="360" w:lineRule="auto"/>
        <w:ind w:left="-3" w:leftChars="-15" w:right="-817" w:rightChars="-389" w:hanging="28" w:hangingChars="12"/>
        <w:rPr>
          <w:rFonts w:ascii="宋体" w:hAnsi="宋体"/>
          <w:sz w:val="24"/>
        </w:rPr>
      </w:pPr>
      <w:r>
        <w:rPr>
          <w:rFonts w:hint="eastAsia" w:ascii="宋体" w:hAnsi="宋体"/>
          <w:sz w:val="24"/>
        </w:rPr>
        <w:t xml:space="preserve">                                      供应商公章（电子签章）：</w:t>
      </w:r>
    </w:p>
    <w:p>
      <w:pPr>
        <w:snapToGrid w:val="0"/>
        <w:spacing w:line="360" w:lineRule="auto"/>
        <w:ind w:right="480" w:firstLine="240" w:firstLineChars="100"/>
        <w:jc w:val="left"/>
        <w:rPr>
          <w:rFonts w:ascii="宋体" w:hAnsi="宋体"/>
          <w:szCs w:val="21"/>
        </w:rPr>
      </w:pPr>
      <w:r>
        <w:rPr>
          <w:rFonts w:hint="eastAsia" w:ascii="宋体" w:hAnsi="宋体"/>
          <w:sz w:val="24"/>
        </w:rPr>
        <w:t xml:space="preserve">                                    日期：    年   月   日</w:t>
      </w:r>
    </w:p>
    <w:p>
      <w:pPr>
        <w:snapToGrid w:val="0"/>
        <w:spacing w:before="120" w:beforeLines="50" w:after="50"/>
        <w:ind w:firstLine="645"/>
        <w:jc w:val="center"/>
        <w:rPr>
          <w:rFonts w:ascii="宋体" w:hAnsi="宋体"/>
          <w:sz w:val="24"/>
          <w:szCs w:val="20"/>
        </w:rPr>
      </w:pPr>
    </w:p>
    <w:p>
      <w:pPr>
        <w:snapToGrid w:val="0"/>
        <w:spacing w:before="120" w:beforeLines="50" w:after="50"/>
        <w:ind w:left="142"/>
        <w:jc w:val="left"/>
        <w:rPr>
          <w:rFonts w:ascii="宋体" w:hAnsi="宋体"/>
          <w:b/>
          <w:sz w:val="24"/>
        </w:rPr>
      </w:pPr>
      <w:r>
        <w:rPr>
          <w:rFonts w:ascii="宋体" w:hAnsi="宋体"/>
          <w:b/>
          <w:bCs/>
          <w:sz w:val="24"/>
        </w:rPr>
        <w:br w:type="page"/>
      </w:r>
      <w:r>
        <w:rPr>
          <w:rFonts w:ascii="宋体" w:hAnsi="宋体"/>
          <w:b/>
          <w:bCs/>
          <w:sz w:val="24"/>
        </w:rPr>
        <w:t>9</w:t>
      </w:r>
      <w:r>
        <w:rPr>
          <w:rFonts w:hint="eastAsia" w:ascii="宋体" w:hAnsi="宋体"/>
          <w:b/>
          <w:sz w:val="24"/>
        </w:rPr>
        <w:t>. 设备性能配置清单格式</w:t>
      </w:r>
    </w:p>
    <w:p>
      <w:pPr>
        <w:snapToGrid w:val="0"/>
        <w:spacing w:before="120" w:beforeLines="50" w:after="50"/>
        <w:ind w:left="142"/>
        <w:jc w:val="left"/>
        <w:rPr>
          <w:rFonts w:ascii="宋体" w:hAnsi="宋体"/>
          <w:b/>
          <w:sz w:val="24"/>
        </w:rPr>
      </w:pPr>
    </w:p>
    <w:p>
      <w:pPr>
        <w:snapToGrid w:val="0"/>
        <w:spacing w:before="120" w:beforeLines="50" w:after="50"/>
        <w:ind w:left="142"/>
        <w:jc w:val="center"/>
        <w:rPr>
          <w:rFonts w:ascii="宋体" w:hAnsi="宋体"/>
          <w:b/>
          <w:sz w:val="32"/>
          <w:szCs w:val="32"/>
        </w:rPr>
      </w:pPr>
      <w:r>
        <w:rPr>
          <w:rFonts w:hint="eastAsia" w:ascii="宋体" w:hAnsi="宋体"/>
          <w:b/>
          <w:sz w:val="32"/>
          <w:szCs w:val="32"/>
        </w:rPr>
        <w:t>设备性能配置清单</w:t>
      </w:r>
    </w:p>
    <w:p>
      <w:pPr>
        <w:pStyle w:val="24"/>
        <w:rPr>
          <w:sz w:val="24"/>
          <w:szCs w:val="24"/>
        </w:rPr>
      </w:pPr>
    </w:p>
    <w:p>
      <w:pPr>
        <w:pStyle w:val="24"/>
        <w:rPr>
          <w:sz w:val="24"/>
          <w:szCs w:val="24"/>
        </w:rPr>
      </w:pPr>
      <w:r>
        <w:rPr>
          <w:rFonts w:hint="eastAsia"/>
          <w:sz w:val="24"/>
          <w:szCs w:val="24"/>
        </w:rPr>
        <w:t>所投分标：</w:t>
      </w:r>
      <w:r>
        <w:rPr>
          <w:rFonts w:hint="eastAsia"/>
          <w:sz w:val="24"/>
          <w:szCs w:val="24"/>
          <w:u w:val="single"/>
        </w:rPr>
        <w:t xml:space="preserve">     </w:t>
      </w:r>
      <w:r>
        <w:rPr>
          <w:rFonts w:hint="eastAsia"/>
          <w:sz w:val="24"/>
          <w:szCs w:val="24"/>
        </w:rPr>
        <w:t>分标</w:t>
      </w:r>
    </w:p>
    <w:tbl>
      <w:tblPr>
        <w:tblStyle w:val="49"/>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534"/>
        <w:gridCol w:w="1559"/>
        <w:gridCol w:w="851"/>
        <w:gridCol w:w="992"/>
        <w:gridCol w:w="1393"/>
        <w:gridCol w:w="1214"/>
        <w:gridCol w:w="719"/>
        <w:gridCol w:w="145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306"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sz w:val="24"/>
              </w:rPr>
            </w:pPr>
            <w:r>
              <w:rPr>
                <w:rFonts w:hint="eastAsia" w:ascii="宋体" w:hAnsi="宋体"/>
                <w:sz w:val="24"/>
              </w:rPr>
              <w:t>序号</w:t>
            </w:r>
          </w:p>
        </w:tc>
        <w:tc>
          <w:tcPr>
            <w:tcW w:w="894"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sz w:val="24"/>
              </w:rPr>
            </w:pPr>
            <w:r>
              <w:rPr>
                <w:rFonts w:hint="eastAsia" w:ascii="宋体" w:hAnsi="宋体"/>
                <w:sz w:val="24"/>
              </w:rPr>
              <w:t>标的名称</w:t>
            </w:r>
          </w:p>
        </w:tc>
        <w:tc>
          <w:tcPr>
            <w:tcW w:w="488"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sz w:val="24"/>
              </w:rPr>
            </w:pPr>
            <w:r>
              <w:rPr>
                <w:rFonts w:hint="eastAsia" w:ascii="宋体" w:hAnsi="宋体"/>
                <w:sz w:val="24"/>
              </w:rPr>
              <w:t>数量及单位</w:t>
            </w:r>
          </w:p>
        </w:tc>
        <w:tc>
          <w:tcPr>
            <w:tcW w:w="569"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sz w:val="24"/>
              </w:rPr>
            </w:pPr>
            <w:r>
              <w:rPr>
                <w:rFonts w:hint="eastAsia" w:ascii="宋体" w:hAnsi="宋体"/>
                <w:sz w:val="24"/>
              </w:rPr>
              <w:t>品牌</w:t>
            </w:r>
          </w:p>
        </w:tc>
        <w:tc>
          <w:tcPr>
            <w:tcW w:w="799" w:type="pct"/>
            <w:tcBorders>
              <w:top w:val="single" w:color="auto" w:sz="4" w:space="0"/>
              <w:left w:val="single" w:color="auto" w:sz="4" w:space="0"/>
              <w:bottom w:val="single" w:color="auto" w:sz="4" w:space="0"/>
              <w:right w:val="single" w:color="auto" w:sz="4" w:space="0"/>
            </w:tcBorders>
          </w:tcPr>
          <w:p>
            <w:pPr>
              <w:snapToGrid w:val="0"/>
              <w:spacing w:before="50" w:after="50"/>
              <w:jc w:val="center"/>
              <w:rPr>
                <w:rFonts w:ascii="宋体" w:hAnsi="宋体"/>
                <w:sz w:val="24"/>
              </w:rPr>
            </w:pPr>
          </w:p>
          <w:p>
            <w:pPr>
              <w:snapToGrid w:val="0"/>
              <w:spacing w:before="50" w:after="50"/>
              <w:jc w:val="center"/>
              <w:rPr>
                <w:rFonts w:ascii="宋体" w:hAnsi="宋体"/>
                <w:sz w:val="24"/>
              </w:rPr>
            </w:pPr>
            <w:r>
              <w:rPr>
                <w:rFonts w:hint="eastAsia" w:ascii="宋体" w:hAnsi="宋体"/>
                <w:sz w:val="24"/>
              </w:rPr>
              <w:t>规格型号</w:t>
            </w:r>
          </w:p>
        </w:tc>
        <w:tc>
          <w:tcPr>
            <w:tcW w:w="696"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sz w:val="24"/>
              </w:rPr>
            </w:pPr>
            <w:r>
              <w:rPr>
                <w:rFonts w:hint="eastAsia" w:ascii="宋体" w:hAnsi="宋体"/>
                <w:sz w:val="24"/>
              </w:rPr>
              <w:t>制造商</w:t>
            </w:r>
          </w:p>
        </w:tc>
        <w:tc>
          <w:tcPr>
            <w:tcW w:w="412"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sz w:val="24"/>
              </w:rPr>
            </w:pPr>
            <w:r>
              <w:rPr>
                <w:rFonts w:hint="eastAsia" w:ascii="宋体" w:hAnsi="宋体"/>
                <w:sz w:val="24"/>
              </w:rPr>
              <w:t>原产地</w:t>
            </w:r>
          </w:p>
        </w:tc>
        <w:tc>
          <w:tcPr>
            <w:tcW w:w="836"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sz w:val="24"/>
              </w:rPr>
            </w:pPr>
            <w:r>
              <w:rPr>
                <w:rFonts w:hint="eastAsia" w:ascii="宋体" w:hAnsi="宋体"/>
                <w:sz w:val="24"/>
              </w:rPr>
              <w:t>参数性能、指标及配置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306"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sz w:val="24"/>
              </w:rPr>
            </w:pPr>
          </w:p>
        </w:tc>
        <w:tc>
          <w:tcPr>
            <w:tcW w:w="894"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sz w:val="24"/>
              </w:rPr>
            </w:pPr>
          </w:p>
        </w:tc>
        <w:tc>
          <w:tcPr>
            <w:tcW w:w="488"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sz w:val="24"/>
              </w:rPr>
            </w:pPr>
          </w:p>
        </w:tc>
        <w:tc>
          <w:tcPr>
            <w:tcW w:w="569"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sz w:val="24"/>
              </w:rPr>
            </w:pPr>
          </w:p>
        </w:tc>
        <w:tc>
          <w:tcPr>
            <w:tcW w:w="799" w:type="pct"/>
            <w:tcBorders>
              <w:top w:val="single" w:color="auto" w:sz="4" w:space="0"/>
              <w:left w:val="single" w:color="auto" w:sz="4" w:space="0"/>
              <w:bottom w:val="single" w:color="auto" w:sz="4" w:space="0"/>
              <w:right w:val="single" w:color="auto" w:sz="4" w:space="0"/>
            </w:tcBorders>
          </w:tcPr>
          <w:p>
            <w:pPr>
              <w:snapToGrid w:val="0"/>
              <w:spacing w:before="50" w:after="50"/>
              <w:jc w:val="center"/>
              <w:rPr>
                <w:rFonts w:ascii="宋体" w:hAnsi="宋体"/>
                <w:sz w:val="24"/>
              </w:rPr>
            </w:pPr>
          </w:p>
        </w:tc>
        <w:tc>
          <w:tcPr>
            <w:tcW w:w="696"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sz w:val="24"/>
              </w:rPr>
            </w:pPr>
          </w:p>
        </w:tc>
        <w:tc>
          <w:tcPr>
            <w:tcW w:w="412"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sz w:val="24"/>
              </w:rPr>
            </w:pPr>
          </w:p>
        </w:tc>
        <w:tc>
          <w:tcPr>
            <w:tcW w:w="836"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306"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sz w:val="24"/>
              </w:rPr>
            </w:pPr>
          </w:p>
        </w:tc>
        <w:tc>
          <w:tcPr>
            <w:tcW w:w="894"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sz w:val="24"/>
              </w:rPr>
            </w:pPr>
          </w:p>
        </w:tc>
        <w:tc>
          <w:tcPr>
            <w:tcW w:w="488"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sz w:val="24"/>
              </w:rPr>
            </w:pPr>
          </w:p>
        </w:tc>
        <w:tc>
          <w:tcPr>
            <w:tcW w:w="569"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sz w:val="24"/>
              </w:rPr>
            </w:pPr>
          </w:p>
        </w:tc>
        <w:tc>
          <w:tcPr>
            <w:tcW w:w="799" w:type="pct"/>
            <w:tcBorders>
              <w:top w:val="single" w:color="auto" w:sz="4" w:space="0"/>
              <w:left w:val="single" w:color="auto" w:sz="4" w:space="0"/>
              <w:bottom w:val="single" w:color="auto" w:sz="4" w:space="0"/>
              <w:right w:val="single" w:color="auto" w:sz="4" w:space="0"/>
            </w:tcBorders>
          </w:tcPr>
          <w:p>
            <w:pPr>
              <w:snapToGrid w:val="0"/>
              <w:spacing w:before="50" w:after="50"/>
              <w:jc w:val="center"/>
              <w:rPr>
                <w:rFonts w:ascii="宋体" w:hAnsi="宋体"/>
                <w:sz w:val="24"/>
              </w:rPr>
            </w:pPr>
          </w:p>
        </w:tc>
        <w:tc>
          <w:tcPr>
            <w:tcW w:w="696"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sz w:val="24"/>
              </w:rPr>
            </w:pPr>
          </w:p>
        </w:tc>
        <w:tc>
          <w:tcPr>
            <w:tcW w:w="412"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sz w:val="24"/>
              </w:rPr>
            </w:pPr>
          </w:p>
        </w:tc>
        <w:tc>
          <w:tcPr>
            <w:tcW w:w="836"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306"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sz w:val="24"/>
              </w:rPr>
            </w:pPr>
          </w:p>
        </w:tc>
        <w:tc>
          <w:tcPr>
            <w:tcW w:w="894"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sz w:val="24"/>
              </w:rPr>
            </w:pPr>
          </w:p>
        </w:tc>
        <w:tc>
          <w:tcPr>
            <w:tcW w:w="488"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sz w:val="24"/>
              </w:rPr>
            </w:pPr>
          </w:p>
        </w:tc>
        <w:tc>
          <w:tcPr>
            <w:tcW w:w="569"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sz w:val="24"/>
              </w:rPr>
            </w:pPr>
          </w:p>
        </w:tc>
        <w:tc>
          <w:tcPr>
            <w:tcW w:w="799" w:type="pct"/>
            <w:tcBorders>
              <w:top w:val="single" w:color="auto" w:sz="4" w:space="0"/>
              <w:left w:val="single" w:color="auto" w:sz="4" w:space="0"/>
              <w:bottom w:val="single" w:color="auto" w:sz="4" w:space="0"/>
              <w:right w:val="single" w:color="auto" w:sz="4" w:space="0"/>
            </w:tcBorders>
          </w:tcPr>
          <w:p>
            <w:pPr>
              <w:snapToGrid w:val="0"/>
              <w:spacing w:before="50" w:after="50"/>
              <w:jc w:val="center"/>
              <w:rPr>
                <w:rFonts w:ascii="宋体" w:hAnsi="宋体"/>
                <w:sz w:val="24"/>
              </w:rPr>
            </w:pPr>
          </w:p>
        </w:tc>
        <w:tc>
          <w:tcPr>
            <w:tcW w:w="696"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sz w:val="24"/>
              </w:rPr>
            </w:pPr>
          </w:p>
        </w:tc>
        <w:tc>
          <w:tcPr>
            <w:tcW w:w="412"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sz w:val="24"/>
              </w:rPr>
            </w:pPr>
          </w:p>
        </w:tc>
        <w:tc>
          <w:tcPr>
            <w:tcW w:w="836"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sz w:val="24"/>
              </w:rPr>
            </w:pPr>
          </w:p>
        </w:tc>
      </w:tr>
    </w:tbl>
    <w:p>
      <w:pPr>
        <w:spacing w:line="360" w:lineRule="auto"/>
        <w:contextualSpacing/>
        <w:rPr>
          <w:rFonts w:ascii="宋体" w:hAnsi="宋体"/>
          <w:sz w:val="24"/>
        </w:rPr>
      </w:pPr>
      <w:r>
        <w:rPr>
          <w:rFonts w:hint="eastAsia" w:ascii="宋体" w:hAnsi="宋体"/>
          <w:sz w:val="24"/>
        </w:rPr>
        <w:t>备注：</w:t>
      </w:r>
    </w:p>
    <w:p>
      <w:pPr>
        <w:spacing w:line="360" w:lineRule="auto"/>
        <w:ind w:firstLine="480" w:firstLineChars="200"/>
        <w:contextualSpacing/>
        <w:rPr>
          <w:rFonts w:ascii="宋体" w:hAnsi="宋体"/>
          <w:b/>
          <w:sz w:val="24"/>
        </w:rPr>
      </w:pPr>
      <w:r>
        <w:rPr>
          <w:rFonts w:hint="eastAsia" w:ascii="宋体" w:hAnsi="宋体"/>
          <w:sz w:val="24"/>
        </w:rPr>
        <w:t>以上货物性能配置清单中“货物名称、数量及单位、品牌、规格型号、制造商、原产地、参数性能、指标及配置”必须如实填写完整，品牌、规格型号没有则填无，填写有缺漏</w:t>
      </w:r>
      <w:r>
        <w:rPr>
          <w:rFonts w:hint="eastAsia" w:ascii="宋体" w:hAnsi="宋体"/>
          <w:bCs/>
          <w:sz w:val="24"/>
        </w:rPr>
        <w:t>的，</w:t>
      </w:r>
      <w:r>
        <w:rPr>
          <w:rFonts w:hint="eastAsia" w:ascii="宋体" w:hAnsi="宋体"/>
          <w:b/>
          <w:sz w:val="24"/>
        </w:rPr>
        <w:t>作无效投标处理。</w:t>
      </w:r>
      <w:r>
        <w:rPr>
          <w:rFonts w:hint="eastAsia" w:ascii="宋体" w:hAnsi="宋体"/>
          <w:sz w:val="24"/>
        </w:rPr>
        <w:t>标的名称、数量及单位、品牌必须与“开标一览表”一致，</w:t>
      </w:r>
      <w:r>
        <w:rPr>
          <w:rFonts w:hint="eastAsia" w:ascii="宋体" w:hAnsi="宋体"/>
          <w:b/>
          <w:sz w:val="24"/>
        </w:rPr>
        <w:t>否则按无效投标处理。</w:t>
      </w:r>
    </w:p>
    <w:p>
      <w:pPr>
        <w:spacing w:line="360" w:lineRule="auto"/>
        <w:ind w:firstLine="480" w:firstLineChars="200"/>
        <w:contextualSpacing/>
        <w:rPr>
          <w:rFonts w:ascii="宋体" w:hAnsi="宋体"/>
          <w:sz w:val="24"/>
        </w:rPr>
      </w:pPr>
    </w:p>
    <w:p>
      <w:pPr>
        <w:spacing w:line="360" w:lineRule="auto"/>
        <w:contextualSpacing/>
        <w:rPr>
          <w:rFonts w:ascii="宋体" w:hAnsi="宋体"/>
          <w:spacing w:val="20"/>
          <w:sz w:val="24"/>
          <w:u w:val="single"/>
        </w:rPr>
      </w:pPr>
      <w:r>
        <w:rPr>
          <w:rFonts w:hint="eastAsia" w:ascii="宋体" w:hAnsi="宋体"/>
          <w:sz w:val="24"/>
        </w:rPr>
        <w:t>法定代表人或者委托代理人</w:t>
      </w:r>
      <w:r>
        <w:rPr>
          <w:rFonts w:hint="eastAsia" w:ascii="宋体" w:hAnsi="宋体"/>
          <w:spacing w:val="20"/>
          <w:sz w:val="24"/>
        </w:rPr>
        <w:t>（签字或者电子签名）：</w:t>
      </w:r>
      <w:r>
        <w:rPr>
          <w:rFonts w:hint="eastAsia" w:ascii="宋体" w:hAnsi="宋体"/>
          <w:spacing w:val="20"/>
          <w:sz w:val="24"/>
          <w:u w:val="single"/>
        </w:rPr>
        <w:t xml:space="preserve">        </w:t>
      </w:r>
    </w:p>
    <w:p>
      <w:pPr>
        <w:spacing w:line="360" w:lineRule="auto"/>
        <w:contextualSpacing/>
        <w:rPr>
          <w:rFonts w:ascii="宋体" w:hAnsi="宋体"/>
          <w:spacing w:val="20"/>
          <w:sz w:val="24"/>
        </w:rPr>
      </w:pPr>
      <w:r>
        <w:rPr>
          <w:rFonts w:hint="eastAsia" w:ascii="宋体" w:hAnsi="宋体"/>
          <w:spacing w:val="20"/>
          <w:sz w:val="24"/>
        </w:rPr>
        <w:t>投标人名称（电子签章）：</w:t>
      </w:r>
      <w:r>
        <w:rPr>
          <w:rFonts w:hint="eastAsia" w:ascii="宋体" w:hAnsi="宋体"/>
          <w:spacing w:val="20"/>
          <w:sz w:val="24"/>
          <w:u w:val="single"/>
        </w:rPr>
        <w:t xml:space="preserve">            </w:t>
      </w:r>
      <w:r>
        <w:rPr>
          <w:rFonts w:hint="eastAsia" w:ascii="宋体" w:hAnsi="宋体"/>
          <w:spacing w:val="20"/>
          <w:sz w:val="24"/>
        </w:rPr>
        <w:t xml:space="preserve">              </w:t>
      </w:r>
    </w:p>
    <w:p>
      <w:pPr>
        <w:spacing w:line="360" w:lineRule="auto"/>
        <w:contextualSpacing/>
        <w:rPr>
          <w:rFonts w:ascii="宋体" w:hAnsi="宋体"/>
          <w:sz w:val="24"/>
          <w:szCs w:val="20"/>
        </w:rPr>
      </w:pPr>
      <w:r>
        <w:rPr>
          <w:rFonts w:hint="eastAsia" w:ascii="宋体" w:hAnsi="宋体"/>
          <w:spacing w:val="20"/>
          <w:sz w:val="24"/>
        </w:rPr>
        <w:t>日  期：</w:t>
      </w:r>
      <w:r>
        <w:rPr>
          <w:rFonts w:hint="eastAsia" w:ascii="宋体" w:hAnsi="宋体"/>
          <w:spacing w:val="20"/>
          <w:sz w:val="24"/>
          <w:u w:val="single"/>
        </w:rPr>
        <w:t xml:space="preserve">          </w:t>
      </w:r>
    </w:p>
    <w:p>
      <w:pPr>
        <w:snapToGrid w:val="0"/>
        <w:spacing w:before="50" w:after="120" w:afterLines="50"/>
        <w:jc w:val="left"/>
        <w:rPr>
          <w:rFonts w:ascii="宋体" w:hAnsi="宋体"/>
          <w:sz w:val="24"/>
          <w:szCs w:val="20"/>
        </w:rPr>
      </w:pPr>
    </w:p>
    <w:p>
      <w:pPr>
        <w:snapToGrid w:val="0"/>
        <w:spacing w:before="50" w:after="120" w:afterLines="50"/>
        <w:jc w:val="left"/>
        <w:rPr>
          <w:rFonts w:ascii="宋体" w:hAnsi="宋体"/>
          <w:sz w:val="24"/>
          <w:szCs w:val="20"/>
        </w:rPr>
      </w:pPr>
    </w:p>
    <w:p>
      <w:pPr>
        <w:snapToGrid w:val="0"/>
        <w:spacing w:before="120" w:beforeLines="50" w:after="50"/>
        <w:ind w:left="142"/>
        <w:jc w:val="left"/>
        <w:rPr>
          <w:rFonts w:ascii="宋体" w:hAnsi="宋体"/>
          <w:b/>
          <w:sz w:val="24"/>
        </w:rPr>
      </w:pPr>
      <w:r>
        <w:rPr>
          <w:rFonts w:ascii="宋体" w:hAnsi="宋体"/>
          <w:b/>
          <w:sz w:val="24"/>
        </w:rPr>
        <w:br w:type="page"/>
      </w:r>
      <w:r>
        <w:rPr>
          <w:rFonts w:ascii="宋体" w:hAnsi="宋体"/>
          <w:b/>
          <w:sz w:val="24"/>
        </w:rPr>
        <w:t>10</w:t>
      </w:r>
      <w:r>
        <w:rPr>
          <w:rFonts w:hint="eastAsia" w:ascii="宋体" w:hAnsi="宋体"/>
          <w:b/>
          <w:sz w:val="24"/>
        </w:rPr>
        <w:t>. 技术要求偏离表格式</w:t>
      </w:r>
    </w:p>
    <w:p>
      <w:pPr>
        <w:snapToGrid w:val="0"/>
        <w:spacing w:before="120" w:beforeLines="50" w:after="50"/>
        <w:ind w:left="142"/>
        <w:jc w:val="left"/>
        <w:rPr>
          <w:rFonts w:ascii="宋体" w:hAnsi="宋体"/>
          <w:b/>
          <w:sz w:val="24"/>
        </w:rPr>
      </w:pPr>
    </w:p>
    <w:p>
      <w:pPr>
        <w:snapToGrid w:val="0"/>
        <w:spacing w:before="120" w:beforeLines="50" w:after="50"/>
        <w:ind w:left="142"/>
        <w:jc w:val="center"/>
        <w:rPr>
          <w:rFonts w:ascii="宋体" w:hAnsi="宋体"/>
          <w:b/>
          <w:sz w:val="32"/>
          <w:szCs w:val="32"/>
        </w:rPr>
      </w:pPr>
      <w:r>
        <w:rPr>
          <w:rFonts w:hint="eastAsia" w:ascii="宋体" w:hAnsi="宋体"/>
          <w:b/>
          <w:sz w:val="32"/>
          <w:szCs w:val="32"/>
        </w:rPr>
        <w:t>技术要求偏离表</w:t>
      </w:r>
    </w:p>
    <w:p>
      <w:pPr>
        <w:pStyle w:val="24"/>
        <w:rPr>
          <w:rFonts w:hAnsi="宋体"/>
          <w:sz w:val="24"/>
          <w:szCs w:val="24"/>
        </w:rPr>
      </w:pPr>
    </w:p>
    <w:p>
      <w:pPr>
        <w:pStyle w:val="24"/>
        <w:rPr>
          <w:rFonts w:hAnsi="宋体"/>
          <w:sz w:val="24"/>
          <w:szCs w:val="24"/>
        </w:rPr>
      </w:pPr>
      <w:r>
        <w:rPr>
          <w:rFonts w:hint="eastAsia" w:hAnsi="宋体"/>
          <w:sz w:val="24"/>
          <w:szCs w:val="24"/>
        </w:rPr>
        <w:t>所投分标：</w:t>
      </w:r>
      <w:r>
        <w:rPr>
          <w:rFonts w:hint="eastAsia" w:hAnsi="宋体"/>
          <w:sz w:val="24"/>
          <w:szCs w:val="24"/>
          <w:u w:val="single"/>
        </w:rPr>
        <w:t xml:space="preserve">     </w:t>
      </w:r>
      <w:r>
        <w:rPr>
          <w:rFonts w:hint="eastAsia" w:hAnsi="宋体"/>
          <w:sz w:val="24"/>
          <w:szCs w:val="24"/>
        </w:rPr>
        <w:t>分标</w:t>
      </w:r>
    </w:p>
    <w:tbl>
      <w:tblPr>
        <w:tblStyle w:val="49"/>
        <w:tblW w:w="8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143"/>
        <w:gridCol w:w="1834"/>
        <w:gridCol w:w="2181"/>
        <w:gridCol w:w="1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52" w:type="dxa"/>
            <w:vAlign w:val="center"/>
          </w:tcPr>
          <w:p>
            <w:pPr>
              <w:pStyle w:val="24"/>
              <w:spacing w:line="400" w:lineRule="exact"/>
              <w:jc w:val="center"/>
              <w:rPr>
                <w:rFonts w:hAnsi="宋体" w:cs="Courier New"/>
                <w:kern w:val="2"/>
                <w:sz w:val="24"/>
                <w:szCs w:val="24"/>
              </w:rPr>
            </w:pPr>
            <w:r>
              <w:rPr>
                <w:rFonts w:hint="eastAsia" w:hAnsi="宋体" w:cs="Courier New"/>
                <w:kern w:val="2"/>
                <w:sz w:val="24"/>
                <w:szCs w:val="24"/>
              </w:rPr>
              <w:t>项号</w:t>
            </w:r>
          </w:p>
        </w:tc>
        <w:tc>
          <w:tcPr>
            <w:tcW w:w="2143" w:type="dxa"/>
            <w:vAlign w:val="center"/>
          </w:tcPr>
          <w:p>
            <w:pPr>
              <w:pStyle w:val="24"/>
              <w:spacing w:line="400" w:lineRule="exact"/>
              <w:jc w:val="center"/>
              <w:rPr>
                <w:rFonts w:hAnsi="宋体" w:cs="Courier New"/>
                <w:kern w:val="2"/>
                <w:sz w:val="24"/>
                <w:szCs w:val="24"/>
              </w:rPr>
            </w:pPr>
            <w:r>
              <w:rPr>
                <w:rFonts w:hint="eastAsia" w:hAnsi="宋体" w:cs="Courier New"/>
                <w:kern w:val="2"/>
                <w:sz w:val="24"/>
                <w:szCs w:val="24"/>
              </w:rPr>
              <w:t>标的名称</w:t>
            </w:r>
          </w:p>
        </w:tc>
        <w:tc>
          <w:tcPr>
            <w:tcW w:w="1834" w:type="dxa"/>
            <w:vAlign w:val="center"/>
          </w:tcPr>
          <w:p>
            <w:pPr>
              <w:pStyle w:val="24"/>
              <w:spacing w:line="400" w:lineRule="exact"/>
              <w:jc w:val="center"/>
              <w:rPr>
                <w:rFonts w:hAnsi="宋体" w:cs="Courier New"/>
                <w:kern w:val="2"/>
                <w:sz w:val="24"/>
                <w:szCs w:val="24"/>
              </w:rPr>
            </w:pPr>
            <w:r>
              <w:rPr>
                <w:rFonts w:hint="eastAsia" w:hAnsi="宋体" w:cs="Courier New"/>
                <w:kern w:val="2"/>
                <w:sz w:val="24"/>
                <w:szCs w:val="24"/>
              </w:rPr>
              <w:t>招标文件主要技术参数及性能（配置）要求</w:t>
            </w:r>
          </w:p>
        </w:tc>
        <w:tc>
          <w:tcPr>
            <w:tcW w:w="2181" w:type="dxa"/>
            <w:vAlign w:val="center"/>
          </w:tcPr>
          <w:p>
            <w:pPr>
              <w:pStyle w:val="24"/>
              <w:spacing w:line="400" w:lineRule="exact"/>
              <w:jc w:val="center"/>
              <w:rPr>
                <w:rFonts w:hAnsi="宋体" w:cs="Courier New"/>
                <w:kern w:val="2"/>
                <w:sz w:val="24"/>
                <w:szCs w:val="24"/>
              </w:rPr>
            </w:pPr>
            <w:r>
              <w:rPr>
                <w:rFonts w:hint="eastAsia" w:hAnsi="宋体" w:cs="Courier New"/>
                <w:kern w:val="2"/>
                <w:sz w:val="24"/>
                <w:szCs w:val="24"/>
              </w:rPr>
              <w:t>投标响应</w:t>
            </w:r>
          </w:p>
        </w:tc>
        <w:tc>
          <w:tcPr>
            <w:tcW w:w="1934" w:type="dxa"/>
            <w:vAlign w:val="center"/>
          </w:tcPr>
          <w:p>
            <w:pPr>
              <w:pStyle w:val="24"/>
              <w:spacing w:line="400" w:lineRule="exact"/>
              <w:jc w:val="center"/>
              <w:rPr>
                <w:rFonts w:hAnsi="宋体" w:cs="Courier New"/>
                <w:kern w:val="2"/>
                <w:sz w:val="24"/>
                <w:szCs w:val="24"/>
              </w:rPr>
            </w:pPr>
            <w:r>
              <w:rPr>
                <w:rFonts w:hint="eastAsia" w:hAnsi="宋体" w:cs="Courier New"/>
                <w:kern w:val="2"/>
                <w:sz w:val="24"/>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pPr>
              <w:pStyle w:val="24"/>
              <w:spacing w:line="600" w:lineRule="exact"/>
              <w:jc w:val="center"/>
              <w:rPr>
                <w:rFonts w:hAnsi="宋体" w:cs="Courier New"/>
                <w:kern w:val="2"/>
                <w:sz w:val="24"/>
                <w:szCs w:val="24"/>
              </w:rPr>
            </w:pPr>
          </w:p>
        </w:tc>
        <w:tc>
          <w:tcPr>
            <w:tcW w:w="2143" w:type="dxa"/>
            <w:vAlign w:val="center"/>
          </w:tcPr>
          <w:p>
            <w:pPr>
              <w:pStyle w:val="24"/>
              <w:spacing w:line="600" w:lineRule="exact"/>
              <w:jc w:val="center"/>
              <w:rPr>
                <w:rFonts w:hAnsi="宋体" w:cs="Courier New"/>
                <w:kern w:val="2"/>
                <w:sz w:val="24"/>
                <w:szCs w:val="24"/>
              </w:rPr>
            </w:pPr>
          </w:p>
        </w:tc>
        <w:tc>
          <w:tcPr>
            <w:tcW w:w="1834" w:type="dxa"/>
            <w:vAlign w:val="center"/>
          </w:tcPr>
          <w:p>
            <w:pPr>
              <w:pStyle w:val="24"/>
              <w:spacing w:line="600" w:lineRule="exact"/>
              <w:jc w:val="center"/>
              <w:rPr>
                <w:rFonts w:hAnsi="宋体" w:cs="Courier New"/>
                <w:kern w:val="2"/>
                <w:sz w:val="24"/>
                <w:szCs w:val="24"/>
              </w:rPr>
            </w:pPr>
          </w:p>
        </w:tc>
        <w:tc>
          <w:tcPr>
            <w:tcW w:w="2181" w:type="dxa"/>
            <w:vAlign w:val="center"/>
          </w:tcPr>
          <w:p>
            <w:pPr>
              <w:pStyle w:val="24"/>
              <w:spacing w:line="600" w:lineRule="exact"/>
              <w:jc w:val="center"/>
              <w:rPr>
                <w:rFonts w:hAnsi="宋体" w:cs="Courier New"/>
                <w:kern w:val="2"/>
                <w:sz w:val="24"/>
                <w:szCs w:val="24"/>
              </w:rPr>
            </w:pPr>
          </w:p>
        </w:tc>
        <w:tc>
          <w:tcPr>
            <w:tcW w:w="1934" w:type="dxa"/>
            <w:vAlign w:val="center"/>
          </w:tcPr>
          <w:p>
            <w:pPr>
              <w:pStyle w:val="24"/>
              <w:spacing w:line="600" w:lineRule="exact"/>
              <w:jc w:val="center"/>
              <w:rPr>
                <w:rFonts w:hAnsi="宋体" w:cs="Courier New"/>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pPr>
              <w:pStyle w:val="24"/>
              <w:spacing w:line="600" w:lineRule="exact"/>
              <w:rPr>
                <w:rFonts w:hAnsi="宋体" w:cs="Courier New"/>
                <w:kern w:val="2"/>
                <w:sz w:val="24"/>
                <w:szCs w:val="24"/>
              </w:rPr>
            </w:pPr>
          </w:p>
        </w:tc>
        <w:tc>
          <w:tcPr>
            <w:tcW w:w="2143" w:type="dxa"/>
          </w:tcPr>
          <w:p>
            <w:pPr>
              <w:pStyle w:val="24"/>
              <w:spacing w:line="600" w:lineRule="exact"/>
              <w:rPr>
                <w:rFonts w:hAnsi="宋体" w:cs="Courier New"/>
                <w:kern w:val="2"/>
                <w:sz w:val="24"/>
                <w:szCs w:val="24"/>
              </w:rPr>
            </w:pPr>
          </w:p>
        </w:tc>
        <w:tc>
          <w:tcPr>
            <w:tcW w:w="1834" w:type="dxa"/>
          </w:tcPr>
          <w:p>
            <w:pPr>
              <w:pStyle w:val="24"/>
              <w:spacing w:line="600" w:lineRule="exact"/>
              <w:rPr>
                <w:rFonts w:hAnsi="宋体" w:cs="Courier New"/>
                <w:kern w:val="2"/>
                <w:sz w:val="24"/>
                <w:szCs w:val="24"/>
              </w:rPr>
            </w:pPr>
          </w:p>
        </w:tc>
        <w:tc>
          <w:tcPr>
            <w:tcW w:w="2181" w:type="dxa"/>
          </w:tcPr>
          <w:p>
            <w:pPr>
              <w:pStyle w:val="24"/>
              <w:spacing w:line="600" w:lineRule="exact"/>
              <w:rPr>
                <w:rFonts w:hAnsi="宋体" w:cs="Courier New"/>
                <w:kern w:val="2"/>
                <w:sz w:val="24"/>
                <w:szCs w:val="24"/>
              </w:rPr>
            </w:pPr>
          </w:p>
        </w:tc>
        <w:tc>
          <w:tcPr>
            <w:tcW w:w="1934" w:type="dxa"/>
          </w:tcPr>
          <w:p>
            <w:pPr>
              <w:pStyle w:val="24"/>
              <w:spacing w:line="600" w:lineRule="exact"/>
              <w:rPr>
                <w:rFonts w:hAnsi="宋体" w:cs="Courier New"/>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pPr>
              <w:pStyle w:val="24"/>
              <w:spacing w:line="600" w:lineRule="exact"/>
              <w:rPr>
                <w:rFonts w:hAnsi="宋体" w:cs="Courier New"/>
                <w:kern w:val="2"/>
                <w:sz w:val="24"/>
                <w:szCs w:val="24"/>
              </w:rPr>
            </w:pPr>
          </w:p>
        </w:tc>
        <w:tc>
          <w:tcPr>
            <w:tcW w:w="2143" w:type="dxa"/>
          </w:tcPr>
          <w:p>
            <w:pPr>
              <w:pStyle w:val="24"/>
              <w:spacing w:line="600" w:lineRule="exact"/>
              <w:rPr>
                <w:rFonts w:hAnsi="宋体" w:cs="Courier New"/>
                <w:kern w:val="2"/>
                <w:sz w:val="24"/>
                <w:szCs w:val="24"/>
              </w:rPr>
            </w:pPr>
          </w:p>
        </w:tc>
        <w:tc>
          <w:tcPr>
            <w:tcW w:w="1834" w:type="dxa"/>
          </w:tcPr>
          <w:p>
            <w:pPr>
              <w:pStyle w:val="24"/>
              <w:spacing w:line="600" w:lineRule="exact"/>
              <w:rPr>
                <w:rFonts w:hAnsi="宋体" w:cs="Courier New"/>
                <w:kern w:val="2"/>
                <w:sz w:val="24"/>
                <w:szCs w:val="24"/>
              </w:rPr>
            </w:pPr>
          </w:p>
        </w:tc>
        <w:tc>
          <w:tcPr>
            <w:tcW w:w="2181" w:type="dxa"/>
          </w:tcPr>
          <w:p>
            <w:pPr>
              <w:pStyle w:val="24"/>
              <w:spacing w:line="600" w:lineRule="exact"/>
              <w:rPr>
                <w:rFonts w:hAnsi="宋体" w:cs="Courier New"/>
                <w:kern w:val="2"/>
                <w:sz w:val="24"/>
                <w:szCs w:val="24"/>
              </w:rPr>
            </w:pPr>
          </w:p>
        </w:tc>
        <w:tc>
          <w:tcPr>
            <w:tcW w:w="1934" w:type="dxa"/>
          </w:tcPr>
          <w:p>
            <w:pPr>
              <w:pStyle w:val="24"/>
              <w:spacing w:line="600" w:lineRule="exact"/>
              <w:rPr>
                <w:rFonts w:hAnsi="宋体" w:cs="Courier New"/>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pPr>
              <w:pStyle w:val="24"/>
              <w:spacing w:line="600" w:lineRule="exact"/>
              <w:rPr>
                <w:rFonts w:hAnsi="宋体" w:cs="Courier New"/>
                <w:kern w:val="2"/>
                <w:sz w:val="24"/>
                <w:szCs w:val="24"/>
              </w:rPr>
            </w:pPr>
          </w:p>
        </w:tc>
        <w:tc>
          <w:tcPr>
            <w:tcW w:w="2143" w:type="dxa"/>
          </w:tcPr>
          <w:p>
            <w:pPr>
              <w:pStyle w:val="24"/>
              <w:spacing w:line="600" w:lineRule="exact"/>
              <w:rPr>
                <w:rFonts w:hAnsi="宋体" w:cs="Courier New"/>
                <w:kern w:val="2"/>
                <w:sz w:val="24"/>
                <w:szCs w:val="24"/>
              </w:rPr>
            </w:pPr>
          </w:p>
        </w:tc>
        <w:tc>
          <w:tcPr>
            <w:tcW w:w="1834" w:type="dxa"/>
          </w:tcPr>
          <w:p>
            <w:pPr>
              <w:pStyle w:val="24"/>
              <w:spacing w:line="600" w:lineRule="exact"/>
              <w:rPr>
                <w:rFonts w:hAnsi="宋体" w:cs="Courier New"/>
                <w:kern w:val="2"/>
                <w:sz w:val="24"/>
                <w:szCs w:val="24"/>
              </w:rPr>
            </w:pPr>
          </w:p>
        </w:tc>
        <w:tc>
          <w:tcPr>
            <w:tcW w:w="2181" w:type="dxa"/>
          </w:tcPr>
          <w:p>
            <w:pPr>
              <w:pStyle w:val="24"/>
              <w:spacing w:line="600" w:lineRule="exact"/>
              <w:rPr>
                <w:rFonts w:hAnsi="宋体" w:cs="Courier New"/>
                <w:kern w:val="2"/>
                <w:sz w:val="24"/>
                <w:szCs w:val="24"/>
              </w:rPr>
            </w:pPr>
          </w:p>
        </w:tc>
        <w:tc>
          <w:tcPr>
            <w:tcW w:w="1934" w:type="dxa"/>
          </w:tcPr>
          <w:p>
            <w:pPr>
              <w:pStyle w:val="24"/>
              <w:spacing w:line="600" w:lineRule="exact"/>
              <w:rPr>
                <w:rFonts w:hAnsi="宋体" w:cs="Courier New"/>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pPr>
              <w:pStyle w:val="24"/>
              <w:spacing w:line="600" w:lineRule="exact"/>
              <w:rPr>
                <w:rFonts w:hAnsi="宋体" w:cs="Courier New"/>
                <w:kern w:val="2"/>
                <w:sz w:val="24"/>
                <w:szCs w:val="24"/>
              </w:rPr>
            </w:pPr>
          </w:p>
        </w:tc>
        <w:tc>
          <w:tcPr>
            <w:tcW w:w="2143" w:type="dxa"/>
          </w:tcPr>
          <w:p>
            <w:pPr>
              <w:pStyle w:val="24"/>
              <w:spacing w:line="600" w:lineRule="exact"/>
              <w:rPr>
                <w:rFonts w:hAnsi="宋体" w:cs="Courier New"/>
                <w:kern w:val="2"/>
                <w:sz w:val="24"/>
                <w:szCs w:val="24"/>
              </w:rPr>
            </w:pPr>
          </w:p>
        </w:tc>
        <w:tc>
          <w:tcPr>
            <w:tcW w:w="1834" w:type="dxa"/>
          </w:tcPr>
          <w:p>
            <w:pPr>
              <w:pStyle w:val="24"/>
              <w:spacing w:line="600" w:lineRule="exact"/>
              <w:rPr>
                <w:rFonts w:hAnsi="宋体" w:cs="Courier New"/>
                <w:kern w:val="2"/>
                <w:sz w:val="24"/>
                <w:szCs w:val="24"/>
              </w:rPr>
            </w:pPr>
          </w:p>
        </w:tc>
        <w:tc>
          <w:tcPr>
            <w:tcW w:w="2181" w:type="dxa"/>
          </w:tcPr>
          <w:p>
            <w:pPr>
              <w:pStyle w:val="24"/>
              <w:spacing w:line="600" w:lineRule="exact"/>
              <w:rPr>
                <w:rFonts w:hAnsi="宋体" w:cs="Courier New"/>
                <w:kern w:val="2"/>
                <w:sz w:val="24"/>
                <w:szCs w:val="24"/>
              </w:rPr>
            </w:pPr>
          </w:p>
        </w:tc>
        <w:tc>
          <w:tcPr>
            <w:tcW w:w="1934" w:type="dxa"/>
          </w:tcPr>
          <w:p>
            <w:pPr>
              <w:pStyle w:val="24"/>
              <w:spacing w:line="600" w:lineRule="exact"/>
              <w:rPr>
                <w:rFonts w:hAnsi="宋体" w:cs="Courier New"/>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pPr>
              <w:pStyle w:val="24"/>
              <w:spacing w:line="600" w:lineRule="exact"/>
              <w:rPr>
                <w:rFonts w:hAnsi="宋体" w:cs="Courier New"/>
                <w:kern w:val="2"/>
                <w:sz w:val="24"/>
                <w:szCs w:val="24"/>
              </w:rPr>
            </w:pPr>
          </w:p>
        </w:tc>
        <w:tc>
          <w:tcPr>
            <w:tcW w:w="2143" w:type="dxa"/>
          </w:tcPr>
          <w:p>
            <w:pPr>
              <w:pStyle w:val="24"/>
              <w:spacing w:line="600" w:lineRule="exact"/>
              <w:rPr>
                <w:rFonts w:hAnsi="宋体" w:cs="Courier New"/>
                <w:kern w:val="2"/>
                <w:sz w:val="24"/>
                <w:szCs w:val="24"/>
              </w:rPr>
            </w:pPr>
          </w:p>
        </w:tc>
        <w:tc>
          <w:tcPr>
            <w:tcW w:w="1834" w:type="dxa"/>
          </w:tcPr>
          <w:p>
            <w:pPr>
              <w:pStyle w:val="24"/>
              <w:spacing w:line="600" w:lineRule="exact"/>
              <w:rPr>
                <w:rFonts w:hAnsi="宋体" w:cs="Courier New"/>
                <w:kern w:val="2"/>
                <w:sz w:val="24"/>
                <w:szCs w:val="24"/>
              </w:rPr>
            </w:pPr>
          </w:p>
        </w:tc>
        <w:tc>
          <w:tcPr>
            <w:tcW w:w="2181" w:type="dxa"/>
          </w:tcPr>
          <w:p>
            <w:pPr>
              <w:pStyle w:val="24"/>
              <w:spacing w:line="600" w:lineRule="exact"/>
              <w:rPr>
                <w:rFonts w:hAnsi="宋体" w:cs="Courier New"/>
                <w:kern w:val="2"/>
                <w:sz w:val="24"/>
                <w:szCs w:val="24"/>
              </w:rPr>
            </w:pPr>
          </w:p>
        </w:tc>
        <w:tc>
          <w:tcPr>
            <w:tcW w:w="1934" w:type="dxa"/>
          </w:tcPr>
          <w:p>
            <w:pPr>
              <w:pStyle w:val="24"/>
              <w:spacing w:line="600" w:lineRule="exact"/>
              <w:rPr>
                <w:rFonts w:hAnsi="宋体" w:cs="Courier New"/>
                <w:kern w:val="2"/>
                <w:sz w:val="24"/>
                <w:szCs w:val="24"/>
              </w:rPr>
            </w:pPr>
          </w:p>
        </w:tc>
      </w:tr>
    </w:tbl>
    <w:p>
      <w:pPr>
        <w:pStyle w:val="17"/>
        <w:rPr>
          <w:rFonts w:ascii="宋体" w:hAnsi="宋体"/>
        </w:rPr>
      </w:pPr>
      <w:r>
        <w:rPr>
          <w:rFonts w:hint="eastAsia" w:ascii="宋体" w:hAnsi="宋体"/>
        </w:rPr>
        <w:t>注：</w:t>
      </w:r>
    </w:p>
    <w:p>
      <w:pPr>
        <w:pStyle w:val="19"/>
        <w:spacing w:line="360" w:lineRule="auto"/>
        <w:ind w:firstLine="0" w:firstLineChars="0"/>
        <w:rPr>
          <w:rFonts w:hAnsi="仿宋_GB2312" w:cs="仿宋_GB2312"/>
          <w:szCs w:val="32"/>
        </w:rPr>
      </w:pPr>
      <w:r>
        <w:rPr>
          <w:rFonts w:hint="eastAsia" w:ascii="宋体" w:hAnsi="宋体" w:eastAsia="宋体"/>
          <w:sz w:val="24"/>
          <w:szCs w:val="24"/>
        </w:rPr>
        <w:t>1.说明：应对照招标文件“第二章 采购需求”中的“主要技术参数及性能（配置）要求”逐条做出明确的投标响应，并作出偏离说明。</w:t>
      </w:r>
    </w:p>
    <w:p>
      <w:pPr>
        <w:pStyle w:val="17"/>
        <w:spacing w:line="360" w:lineRule="auto"/>
        <w:rPr>
          <w:rFonts w:ascii="宋体" w:hAnsi="宋体"/>
          <w:b w:val="0"/>
          <w:bCs w:val="0"/>
        </w:rPr>
      </w:pPr>
      <w:r>
        <w:rPr>
          <w:rFonts w:ascii="宋体" w:hAnsi="宋体"/>
          <w:b w:val="0"/>
          <w:bCs w:val="0"/>
        </w:rPr>
        <w:t>2.</w:t>
      </w:r>
      <w:r>
        <w:rPr>
          <w:rFonts w:hint="eastAsia" w:ascii="宋体" w:hAnsi="宋体"/>
          <w:b w:val="0"/>
          <w:bCs w:val="0"/>
        </w:rPr>
        <w:t>投标人根据投标货物的性能指标，对照招标文件主要技术参数及性能（配置）要求，在“偏离说明”中注明“</w:t>
      </w:r>
      <w:r>
        <w:rPr>
          <w:rFonts w:hint="eastAsia" w:ascii="宋体" w:hAnsi="宋体"/>
        </w:rPr>
        <w:t>正偏离</w:t>
      </w:r>
      <w:r>
        <w:rPr>
          <w:rFonts w:hint="eastAsia" w:ascii="宋体" w:hAnsi="宋体"/>
          <w:b w:val="0"/>
          <w:bCs w:val="0"/>
        </w:rPr>
        <w:t>”、“</w:t>
      </w:r>
      <w:r>
        <w:rPr>
          <w:rFonts w:hint="eastAsia" w:ascii="宋体" w:hAnsi="宋体"/>
        </w:rPr>
        <w:t>负偏离</w:t>
      </w:r>
      <w:r>
        <w:rPr>
          <w:rFonts w:hint="eastAsia" w:ascii="宋体" w:hAnsi="宋体"/>
          <w:b w:val="0"/>
          <w:bCs w:val="0"/>
        </w:rPr>
        <w:t>”或者“</w:t>
      </w:r>
      <w:r>
        <w:rPr>
          <w:rFonts w:hint="eastAsia" w:ascii="宋体" w:hAnsi="宋体"/>
        </w:rPr>
        <w:t>无偏离</w:t>
      </w:r>
      <w:r>
        <w:rPr>
          <w:rFonts w:hint="eastAsia" w:ascii="宋体" w:hAnsi="宋体"/>
          <w:b w:val="0"/>
          <w:bCs w:val="0"/>
        </w:rPr>
        <w:t>”。既不属于“</w:t>
      </w:r>
      <w:r>
        <w:rPr>
          <w:rFonts w:hint="eastAsia" w:ascii="宋体" w:hAnsi="宋体"/>
        </w:rPr>
        <w:t>正偏离</w:t>
      </w:r>
      <w:r>
        <w:rPr>
          <w:rFonts w:hint="eastAsia" w:ascii="宋体" w:hAnsi="宋体"/>
          <w:b w:val="0"/>
          <w:bCs w:val="0"/>
        </w:rPr>
        <w:t>”也不属于“</w:t>
      </w:r>
      <w:r>
        <w:rPr>
          <w:rFonts w:hint="eastAsia" w:ascii="宋体" w:hAnsi="宋体"/>
        </w:rPr>
        <w:t>负偏离</w:t>
      </w:r>
      <w:r>
        <w:rPr>
          <w:rFonts w:hint="eastAsia" w:ascii="宋体" w:hAnsi="宋体"/>
          <w:b w:val="0"/>
          <w:bCs w:val="0"/>
        </w:rPr>
        <w:t>”即为“</w:t>
      </w:r>
      <w:r>
        <w:rPr>
          <w:rFonts w:hint="eastAsia" w:ascii="宋体" w:hAnsi="宋体"/>
        </w:rPr>
        <w:t>无偏离</w:t>
      </w:r>
      <w:r>
        <w:rPr>
          <w:rFonts w:hint="eastAsia" w:ascii="宋体" w:hAnsi="宋体"/>
          <w:b w:val="0"/>
          <w:bCs w:val="0"/>
        </w:rPr>
        <w:t>”。</w:t>
      </w:r>
    </w:p>
    <w:p>
      <w:pPr>
        <w:pStyle w:val="19"/>
        <w:spacing w:line="360" w:lineRule="auto"/>
        <w:ind w:firstLine="0" w:firstLineChars="0"/>
        <w:rPr>
          <w:rFonts w:ascii="宋体" w:hAnsi="宋体" w:eastAsia="宋体"/>
          <w:sz w:val="24"/>
          <w:szCs w:val="24"/>
        </w:rPr>
      </w:pPr>
      <w:r>
        <w:rPr>
          <w:rFonts w:hint="eastAsia" w:ascii="宋体" w:hAnsi="宋体" w:eastAsia="宋体"/>
          <w:sz w:val="24"/>
          <w:szCs w:val="24"/>
        </w:rPr>
        <w:t>3.如技术要求偏离表中的投标响应与佐证材料不一致的，以佐证材料为准。</w:t>
      </w:r>
    </w:p>
    <w:p>
      <w:pPr>
        <w:snapToGrid w:val="0"/>
        <w:spacing w:before="50" w:after="50" w:line="360" w:lineRule="auto"/>
        <w:rPr>
          <w:rFonts w:ascii="宋体" w:hAnsi="宋体"/>
          <w:sz w:val="24"/>
        </w:rPr>
      </w:pPr>
    </w:p>
    <w:p>
      <w:pPr>
        <w:snapToGrid w:val="0"/>
        <w:spacing w:before="50" w:after="50" w:line="360" w:lineRule="auto"/>
        <w:rPr>
          <w:rFonts w:ascii="宋体" w:hAnsi="宋体"/>
          <w:spacing w:val="20"/>
          <w:sz w:val="24"/>
          <w:u w:val="single"/>
        </w:rPr>
      </w:pPr>
      <w:r>
        <w:rPr>
          <w:rFonts w:hint="eastAsia" w:ascii="宋体" w:hAnsi="宋体"/>
          <w:sz w:val="24"/>
        </w:rPr>
        <w:t>法定代表人或者委托代理人</w:t>
      </w:r>
      <w:r>
        <w:rPr>
          <w:rFonts w:hint="eastAsia" w:ascii="宋体" w:hAnsi="宋体"/>
          <w:spacing w:val="20"/>
          <w:sz w:val="24"/>
        </w:rPr>
        <w:t>（签字或者电子签名）：</w:t>
      </w:r>
      <w:r>
        <w:rPr>
          <w:rFonts w:hint="eastAsia" w:ascii="宋体" w:hAnsi="宋体"/>
          <w:spacing w:val="20"/>
          <w:sz w:val="24"/>
          <w:u w:val="single"/>
        </w:rPr>
        <w:t xml:space="preserve">        </w:t>
      </w:r>
    </w:p>
    <w:p>
      <w:pPr>
        <w:snapToGrid w:val="0"/>
        <w:spacing w:before="50" w:after="50" w:line="360" w:lineRule="auto"/>
        <w:rPr>
          <w:rFonts w:ascii="宋体" w:hAnsi="宋体"/>
          <w:spacing w:val="20"/>
          <w:sz w:val="24"/>
        </w:rPr>
      </w:pPr>
      <w:r>
        <w:rPr>
          <w:rFonts w:hint="eastAsia" w:ascii="宋体" w:hAnsi="宋体"/>
          <w:spacing w:val="20"/>
          <w:sz w:val="24"/>
        </w:rPr>
        <w:t>投标人名称（电子签章）：</w:t>
      </w:r>
      <w:r>
        <w:rPr>
          <w:rFonts w:hint="eastAsia" w:ascii="宋体" w:hAnsi="宋体"/>
          <w:spacing w:val="20"/>
          <w:sz w:val="24"/>
          <w:u w:val="single"/>
        </w:rPr>
        <w:t xml:space="preserve">            </w:t>
      </w:r>
      <w:r>
        <w:rPr>
          <w:rFonts w:hint="eastAsia" w:ascii="宋体" w:hAnsi="宋体"/>
          <w:spacing w:val="20"/>
          <w:sz w:val="24"/>
        </w:rPr>
        <w:t xml:space="preserve">              </w:t>
      </w:r>
    </w:p>
    <w:p>
      <w:pPr>
        <w:snapToGrid w:val="0"/>
        <w:spacing w:before="50" w:after="50" w:line="360" w:lineRule="auto"/>
        <w:rPr>
          <w:rFonts w:ascii="宋体" w:hAnsi="宋体"/>
          <w:sz w:val="24"/>
          <w:szCs w:val="20"/>
        </w:rPr>
      </w:pPr>
      <w:r>
        <w:rPr>
          <w:rFonts w:hint="eastAsia" w:ascii="宋体" w:hAnsi="宋体"/>
          <w:spacing w:val="20"/>
          <w:sz w:val="24"/>
        </w:rPr>
        <w:t>日 期：</w:t>
      </w:r>
      <w:r>
        <w:rPr>
          <w:rFonts w:hint="eastAsia" w:ascii="宋体" w:hAnsi="宋体"/>
          <w:spacing w:val="20"/>
          <w:sz w:val="24"/>
          <w:u w:val="single"/>
        </w:rPr>
        <w:t xml:space="preserve">        </w:t>
      </w:r>
      <w:r>
        <w:rPr>
          <w:rFonts w:ascii="宋体" w:hAnsi="宋体"/>
          <w:sz w:val="24"/>
          <w:szCs w:val="20"/>
        </w:rPr>
        <w:br w:type="page"/>
      </w:r>
    </w:p>
    <w:p>
      <w:pPr>
        <w:snapToGrid w:val="0"/>
        <w:spacing w:before="120" w:beforeLines="50" w:after="50"/>
        <w:ind w:left="142"/>
        <w:jc w:val="left"/>
        <w:rPr>
          <w:rFonts w:ascii="宋体" w:hAnsi="宋体"/>
          <w:b/>
          <w:sz w:val="24"/>
        </w:rPr>
      </w:pPr>
      <w:r>
        <w:rPr>
          <w:rFonts w:ascii="宋体" w:hAnsi="宋体"/>
          <w:b/>
          <w:sz w:val="24"/>
        </w:rPr>
        <w:t>11</w:t>
      </w:r>
      <w:r>
        <w:rPr>
          <w:rFonts w:hint="eastAsia" w:ascii="宋体" w:hAnsi="宋体"/>
          <w:b/>
          <w:sz w:val="24"/>
        </w:rPr>
        <w:t>. 项目实施人员一览表格式</w:t>
      </w:r>
    </w:p>
    <w:p>
      <w:pPr>
        <w:snapToGrid w:val="0"/>
        <w:spacing w:before="120" w:beforeLines="50" w:after="50"/>
        <w:ind w:left="142"/>
        <w:jc w:val="left"/>
        <w:rPr>
          <w:rFonts w:ascii="宋体" w:hAnsi="宋体"/>
          <w:b/>
          <w:sz w:val="24"/>
        </w:rPr>
      </w:pPr>
    </w:p>
    <w:p>
      <w:pPr>
        <w:snapToGrid w:val="0"/>
        <w:spacing w:before="120" w:beforeLines="50" w:after="50"/>
        <w:ind w:left="142"/>
        <w:jc w:val="center"/>
        <w:rPr>
          <w:rFonts w:ascii="宋体" w:hAnsi="宋体"/>
          <w:b/>
          <w:sz w:val="32"/>
          <w:szCs w:val="32"/>
        </w:rPr>
      </w:pPr>
      <w:r>
        <w:rPr>
          <w:rFonts w:hint="eastAsia" w:ascii="宋体" w:hAnsi="宋体"/>
          <w:b/>
          <w:sz w:val="32"/>
          <w:szCs w:val="32"/>
        </w:rPr>
        <w:t>项目实施人员一览表</w:t>
      </w:r>
    </w:p>
    <w:p>
      <w:pPr>
        <w:pStyle w:val="24"/>
        <w:rPr>
          <w:sz w:val="24"/>
          <w:szCs w:val="24"/>
        </w:rPr>
      </w:pPr>
    </w:p>
    <w:p>
      <w:pPr>
        <w:pStyle w:val="24"/>
        <w:rPr>
          <w:sz w:val="24"/>
          <w:szCs w:val="24"/>
        </w:rPr>
      </w:pPr>
      <w:r>
        <w:rPr>
          <w:rFonts w:hint="eastAsia"/>
          <w:sz w:val="24"/>
          <w:szCs w:val="24"/>
        </w:rPr>
        <w:t>所投分标：</w:t>
      </w:r>
      <w:r>
        <w:rPr>
          <w:rFonts w:hint="eastAsia"/>
          <w:sz w:val="24"/>
          <w:szCs w:val="24"/>
          <w:u w:val="single"/>
        </w:rPr>
        <w:t xml:space="preserve">     </w:t>
      </w:r>
      <w:r>
        <w:rPr>
          <w:rFonts w:hint="eastAsia"/>
          <w:sz w:val="24"/>
          <w:szCs w:val="24"/>
        </w:rPr>
        <w:t>分标</w:t>
      </w:r>
    </w:p>
    <w:tbl>
      <w:tblPr>
        <w:tblStyle w:val="4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696"/>
        <w:gridCol w:w="696"/>
        <w:gridCol w:w="696"/>
        <w:gridCol w:w="785"/>
        <w:gridCol w:w="1122"/>
        <w:gridCol w:w="1575"/>
        <w:gridCol w:w="1162"/>
        <w:gridCol w:w="1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Align w:val="center"/>
          </w:tcPr>
          <w:p>
            <w:pPr>
              <w:snapToGrid w:val="0"/>
              <w:spacing w:before="50" w:after="120" w:afterLines="50"/>
              <w:jc w:val="center"/>
              <w:rPr>
                <w:rFonts w:ascii="宋体" w:hAnsi="宋体"/>
                <w:sz w:val="24"/>
                <w:szCs w:val="20"/>
              </w:rPr>
            </w:pPr>
            <w:r>
              <w:rPr>
                <w:rFonts w:hint="eastAsia" w:ascii="宋体" w:hAnsi="宋体"/>
                <w:sz w:val="24"/>
                <w:szCs w:val="20"/>
              </w:rPr>
              <w:t>姓名</w:t>
            </w:r>
          </w:p>
        </w:tc>
        <w:tc>
          <w:tcPr>
            <w:tcW w:w="281" w:type="pct"/>
            <w:vAlign w:val="center"/>
          </w:tcPr>
          <w:p>
            <w:pPr>
              <w:snapToGrid w:val="0"/>
              <w:spacing w:before="50" w:after="120" w:afterLines="50"/>
              <w:jc w:val="center"/>
              <w:rPr>
                <w:rFonts w:ascii="宋体" w:hAnsi="宋体"/>
                <w:sz w:val="24"/>
                <w:szCs w:val="20"/>
              </w:rPr>
            </w:pPr>
            <w:r>
              <w:rPr>
                <w:rFonts w:hint="eastAsia" w:ascii="宋体" w:hAnsi="宋体"/>
                <w:sz w:val="24"/>
                <w:szCs w:val="20"/>
              </w:rPr>
              <w:t>性别</w:t>
            </w:r>
          </w:p>
        </w:tc>
        <w:tc>
          <w:tcPr>
            <w:tcW w:w="311" w:type="pct"/>
            <w:vAlign w:val="center"/>
          </w:tcPr>
          <w:p>
            <w:pPr>
              <w:snapToGrid w:val="0"/>
              <w:spacing w:before="50" w:after="120" w:afterLines="50"/>
              <w:jc w:val="center"/>
              <w:rPr>
                <w:rFonts w:ascii="宋体" w:hAnsi="宋体"/>
                <w:sz w:val="24"/>
                <w:szCs w:val="20"/>
              </w:rPr>
            </w:pPr>
            <w:r>
              <w:rPr>
                <w:rFonts w:hint="eastAsia" w:ascii="宋体" w:hAnsi="宋体"/>
                <w:sz w:val="24"/>
                <w:szCs w:val="20"/>
              </w:rPr>
              <w:t>职务</w:t>
            </w:r>
          </w:p>
        </w:tc>
        <w:tc>
          <w:tcPr>
            <w:tcW w:w="317" w:type="pct"/>
            <w:vAlign w:val="center"/>
          </w:tcPr>
          <w:p>
            <w:pPr>
              <w:snapToGrid w:val="0"/>
              <w:spacing w:before="50" w:after="120" w:afterLines="50"/>
              <w:jc w:val="center"/>
              <w:rPr>
                <w:rFonts w:ascii="宋体" w:hAnsi="宋体"/>
                <w:sz w:val="24"/>
                <w:szCs w:val="20"/>
              </w:rPr>
            </w:pPr>
            <w:r>
              <w:rPr>
                <w:rFonts w:hint="eastAsia" w:ascii="宋体" w:hAnsi="宋体"/>
                <w:sz w:val="24"/>
                <w:szCs w:val="20"/>
              </w:rPr>
              <w:t>学历</w:t>
            </w:r>
          </w:p>
        </w:tc>
        <w:tc>
          <w:tcPr>
            <w:tcW w:w="498" w:type="pct"/>
            <w:vAlign w:val="center"/>
          </w:tcPr>
          <w:p>
            <w:pPr>
              <w:snapToGrid w:val="0"/>
              <w:spacing w:before="50" w:after="120" w:afterLines="50"/>
              <w:jc w:val="center"/>
              <w:rPr>
                <w:rFonts w:ascii="宋体" w:hAnsi="宋体"/>
                <w:sz w:val="24"/>
                <w:szCs w:val="20"/>
              </w:rPr>
            </w:pPr>
            <w:r>
              <w:rPr>
                <w:rFonts w:hint="eastAsia" w:ascii="宋体" w:hAnsi="宋体"/>
                <w:sz w:val="24"/>
                <w:szCs w:val="20"/>
              </w:rPr>
              <w:t>工作年限</w:t>
            </w:r>
          </w:p>
        </w:tc>
        <w:tc>
          <w:tcPr>
            <w:tcW w:w="691" w:type="pct"/>
            <w:vAlign w:val="center"/>
          </w:tcPr>
          <w:p>
            <w:pPr>
              <w:snapToGrid w:val="0"/>
              <w:spacing w:before="50" w:after="120" w:afterLines="50"/>
              <w:jc w:val="center"/>
              <w:rPr>
                <w:rFonts w:ascii="宋体" w:hAnsi="宋体"/>
                <w:sz w:val="24"/>
                <w:szCs w:val="20"/>
              </w:rPr>
            </w:pPr>
            <w:r>
              <w:rPr>
                <w:rFonts w:hint="eastAsia" w:ascii="宋体" w:hAnsi="宋体"/>
                <w:sz w:val="24"/>
                <w:szCs w:val="20"/>
              </w:rPr>
              <w:t>联系电话</w:t>
            </w:r>
          </w:p>
        </w:tc>
        <w:tc>
          <w:tcPr>
            <w:tcW w:w="951" w:type="pct"/>
            <w:vAlign w:val="center"/>
          </w:tcPr>
          <w:p>
            <w:pPr>
              <w:snapToGrid w:val="0"/>
              <w:spacing w:before="50" w:after="120" w:afterLines="50"/>
              <w:jc w:val="center"/>
              <w:rPr>
                <w:rFonts w:ascii="宋体" w:hAnsi="宋体"/>
                <w:sz w:val="24"/>
                <w:szCs w:val="20"/>
              </w:rPr>
            </w:pPr>
            <w:r>
              <w:rPr>
                <w:rFonts w:hint="eastAsia" w:ascii="宋体" w:hAnsi="宋体"/>
                <w:sz w:val="24"/>
                <w:szCs w:val="20"/>
              </w:rPr>
              <w:t>专业技术资格（职称）或者职业资格或者执业资格证或者其他证书</w:t>
            </w:r>
          </w:p>
        </w:tc>
        <w:tc>
          <w:tcPr>
            <w:tcW w:w="714" w:type="pct"/>
            <w:vAlign w:val="center"/>
          </w:tcPr>
          <w:p>
            <w:pPr>
              <w:snapToGrid w:val="0"/>
              <w:spacing w:before="50" w:after="120" w:afterLines="50"/>
              <w:jc w:val="center"/>
              <w:rPr>
                <w:rFonts w:ascii="宋体" w:hAnsi="宋体"/>
                <w:sz w:val="24"/>
                <w:szCs w:val="20"/>
              </w:rPr>
            </w:pPr>
            <w:r>
              <w:rPr>
                <w:rFonts w:hint="eastAsia" w:ascii="宋体" w:hAnsi="宋体"/>
                <w:sz w:val="24"/>
                <w:szCs w:val="20"/>
              </w:rPr>
              <w:t>在本项目中的职责分工</w:t>
            </w:r>
          </w:p>
        </w:tc>
        <w:tc>
          <w:tcPr>
            <w:tcW w:w="737" w:type="pct"/>
            <w:vAlign w:val="center"/>
          </w:tcPr>
          <w:p>
            <w:pPr>
              <w:snapToGrid w:val="0"/>
              <w:spacing w:before="50" w:after="120" w:afterLines="50"/>
              <w:jc w:val="center"/>
              <w:rPr>
                <w:rFonts w:ascii="宋体" w:hAnsi="宋体"/>
                <w:sz w:val="24"/>
                <w:szCs w:val="20"/>
              </w:rPr>
            </w:pPr>
            <w:r>
              <w:rPr>
                <w:rFonts w:hint="eastAsia" w:ascii="宋体" w:hAnsi="宋体"/>
                <w:sz w:val="24"/>
                <w:szCs w:val="20"/>
              </w:rPr>
              <w:t>项目经历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Align w:val="center"/>
          </w:tcPr>
          <w:p>
            <w:pPr>
              <w:snapToGrid w:val="0"/>
              <w:spacing w:before="50" w:after="120" w:afterLines="50"/>
              <w:jc w:val="center"/>
              <w:rPr>
                <w:rFonts w:ascii="宋体" w:hAnsi="宋体"/>
                <w:sz w:val="24"/>
                <w:szCs w:val="20"/>
              </w:rPr>
            </w:pPr>
          </w:p>
        </w:tc>
        <w:tc>
          <w:tcPr>
            <w:tcW w:w="281" w:type="pct"/>
            <w:vAlign w:val="center"/>
          </w:tcPr>
          <w:p>
            <w:pPr>
              <w:snapToGrid w:val="0"/>
              <w:spacing w:before="50" w:after="120" w:afterLines="50"/>
              <w:jc w:val="center"/>
              <w:rPr>
                <w:rFonts w:ascii="宋体" w:hAnsi="宋体"/>
                <w:sz w:val="24"/>
                <w:szCs w:val="20"/>
              </w:rPr>
            </w:pPr>
          </w:p>
        </w:tc>
        <w:tc>
          <w:tcPr>
            <w:tcW w:w="311" w:type="pct"/>
            <w:vAlign w:val="center"/>
          </w:tcPr>
          <w:p>
            <w:pPr>
              <w:snapToGrid w:val="0"/>
              <w:spacing w:before="50" w:after="120" w:afterLines="50"/>
              <w:jc w:val="center"/>
              <w:rPr>
                <w:rFonts w:ascii="宋体" w:hAnsi="宋体"/>
                <w:sz w:val="24"/>
                <w:szCs w:val="20"/>
              </w:rPr>
            </w:pPr>
          </w:p>
        </w:tc>
        <w:tc>
          <w:tcPr>
            <w:tcW w:w="317" w:type="pct"/>
            <w:vAlign w:val="center"/>
          </w:tcPr>
          <w:p>
            <w:pPr>
              <w:snapToGrid w:val="0"/>
              <w:spacing w:before="50" w:after="120" w:afterLines="50"/>
              <w:jc w:val="center"/>
              <w:rPr>
                <w:rFonts w:ascii="宋体" w:hAnsi="宋体"/>
                <w:sz w:val="24"/>
                <w:szCs w:val="20"/>
              </w:rPr>
            </w:pPr>
          </w:p>
        </w:tc>
        <w:tc>
          <w:tcPr>
            <w:tcW w:w="498" w:type="pct"/>
            <w:vAlign w:val="center"/>
          </w:tcPr>
          <w:p>
            <w:pPr>
              <w:snapToGrid w:val="0"/>
              <w:spacing w:before="50" w:after="120" w:afterLines="50"/>
              <w:jc w:val="center"/>
              <w:rPr>
                <w:rFonts w:ascii="宋体" w:hAnsi="宋体"/>
                <w:sz w:val="24"/>
                <w:szCs w:val="20"/>
              </w:rPr>
            </w:pPr>
          </w:p>
        </w:tc>
        <w:tc>
          <w:tcPr>
            <w:tcW w:w="691" w:type="pct"/>
            <w:vAlign w:val="center"/>
          </w:tcPr>
          <w:p>
            <w:pPr>
              <w:snapToGrid w:val="0"/>
              <w:spacing w:before="50" w:after="120" w:afterLines="50"/>
              <w:jc w:val="center"/>
              <w:rPr>
                <w:rFonts w:ascii="宋体" w:hAnsi="宋体"/>
                <w:sz w:val="24"/>
                <w:szCs w:val="20"/>
              </w:rPr>
            </w:pPr>
          </w:p>
        </w:tc>
        <w:tc>
          <w:tcPr>
            <w:tcW w:w="951" w:type="pct"/>
            <w:vAlign w:val="center"/>
          </w:tcPr>
          <w:p>
            <w:pPr>
              <w:snapToGrid w:val="0"/>
              <w:spacing w:before="50" w:after="120" w:afterLines="50"/>
              <w:jc w:val="center"/>
              <w:rPr>
                <w:rFonts w:ascii="宋体" w:hAnsi="宋体"/>
                <w:sz w:val="24"/>
                <w:szCs w:val="20"/>
              </w:rPr>
            </w:pPr>
          </w:p>
        </w:tc>
        <w:tc>
          <w:tcPr>
            <w:tcW w:w="714" w:type="pct"/>
            <w:vAlign w:val="center"/>
          </w:tcPr>
          <w:p>
            <w:pPr>
              <w:snapToGrid w:val="0"/>
              <w:spacing w:before="50" w:after="120" w:afterLines="50"/>
              <w:jc w:val="center"/>
              <w:rPr>
                <w:rFonts w:ascii="宋体" w:hAnsi="宋体"/>
                <w:sz w:val="24"/>
                <w:szCs w:val="20"/>
              </w:rPr>
            </w:pPr>
          </w:p>
        </w:tc>
        <w:tc>
          <w:tcPr>
            <w:tcW w:w="737" w:type="pct"/>
            <w:vAlign w:val="center"/>
          </w:tcPr>
          <w:p>
            <w:pPr>
              <w:snapToGrid w:val="0"/>
              <w:spacing w:before="50" w:after="120" w:afterLines="50"/>
              <w:jc w:val="center"/>
              <w:rPr>
                <w:rFonts w:ascii="宋体" w:hAnsi="宋体"/>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Align w:val="center"/>
          </w:tcPr>
          <w:p>
            <w:pPr>
              <w:snapToGrid w:val="0"/>
              <w:spacing w:before="50" w:after="120" w:afterLines="50"/>
              <w:jc w:val="center"/>
              <w:rPr>
                <w:rFonts w:ascii="宋体" w:hAnsi="宋体"/>
                <w:sz w:val="24"/>
                <w:szCs w:val="20"/>
              </w:rPr>
            </w:pPr>
          </w:p>
        </w:tc>
        <w:tc>
          <w:tcPr>
            <w:tcW w:w="281" w:type="pct"/>
            <w:vAlign w:val="center"/>
          </w:tcPr>
          <w:p>
            <w:pPr>
              <w:snapToGrid w:val="0"/>
              <w:spacing w:before="50" w:after="120" w:afterLines="50"/>
              <w:jc w:val="center"/>
              <w:rPr>
                <w:rFonts w:ascii="宋体" w:hAnsi="宋体"/>
                <w:sz w:val="24"/>
                <w:szCs w:val="20"/>
              </w:rPr>
            </w:pPr>
          </w:p>
        </w:tc>
        <w:tc>
          <w:tcPr>
            <w:tcW w:w="311" w:type="pct"/>
            <w:vAlign w:val="center"/>
          </w:tcPr>
          <w:p>
            <w:pPr>
              <w:snapToGrid w:val="0"/>
              <w:spacing w:before="50" w:after="120" w:afterLines="50"/>
              <w:jc w:val="center"/>
              <w:rPr>
                <w:rFonts w:ascii="宋体" w:hAnsi="宋体"/>
                <w:sz w:val="24"/>
                <w:szCs w:val="20"/>
              </w:rPr>
            </w:pPr>
          </w:p>
        </w:tc>
        <w:tc>
          <w:tcPr>
            <w:tcW w:w="317" w:type="pct"/>
            <w:vAlign w:val="center"/>
          </w:tcPr>
          <w:p>
            <w:pPr>
              <w:snapToGrid w:val="0"/>
              <w:spacing w:before="50" w:after="120" w:afterLines="50"/>
              <w:jc w:val="center"/>
              <w:rPr>
                <w:rFonts w:ascii="宋体" w:hAnsi="宋体"/>
                <w:sz w:val="24"/>
                <w:szCs w:val="20"/>
              </w:rPr>
            </w:pPr>
          </w:p>
        </w:tc>
        <w:tc>
          <w:tcPr>
            <w:tcW w:w="498" w:type="pct"/>
            <w:vAlign w:val="center"/>
          </w:tcPr>
          <w:p>
            <w:pPr>
              <w:snapToGrid w:val="0"/>
              <w:spacing w:before="50" w:after="120" w:afterLines="50"/>
              <w:jc w:val="center"/>
              <w:rPr>
                <w:rFonts w:ascii="宋体" w:hAnsi="宋体"/>
                <w:sz w:val="24"/>
                <w:szCs w:val="20"/>
              </w:rPr>
            </w:pPr>
          </w:p>
        </w:tc>
        <w:tc>
          <w:tcPr>
            <w:tcW w:w="691" w:type="pct"/>
            <w:vAlign w:val="center"/>
          </w:tcPr>
          <w:p>
            <w:pPr>
              <w:snapToGrid w:val="0"/>
              <w:spacing w:before="50" w:after="120" w:afterLines="50"/>
              <w:jc w:val="center"/>
              <w:rPr>
                <w:rFonts w:ascii="宋体" w:hAnsi="宋体"/>
                <w:sz w:val="24"/>
                <w:szCs w:val="20"/>
              </w:rPr>
            </w:pPr>
          </w:p>
        </w:tc>
        <w:tc>
          <w:tcPr>
            <w:tcW w:w="951" w:type="pct"/>
            <w:vAlign w:val="center"/>
          </w:tcPr>
          <w:p>
            <w:pPr>
              <w:snapToGrid w:val="0"/>
              <w:spacing w:before="50" w:after="120" w:afterLines="50"/>
              <w:jc w:val="center"/>
              <w:rPr>
                <w:rFonts w:ascii="宋体" w:hAnsi="宋体"/>
                <w:sz w:val="24"/>
                <w:szCs w:val="20"/>
              </w:rPr>
            </w:pPr>
          </w:p>
        </w:tc>
        <w:tc>
          <w:tcPr>
            <w:tcW w:w="714" w:type="pct"/>
            <w:vAlign w:val="center"/>
          </w:tcPr>
          <w:p>
            <w:pPr>
              <w:snapToGrid w:val="0"/>
              <w:spacing w:before="50" w:after="120" w:afterLines="50"/>
              <w:jc w:val="center"/>
              <w:rPr>
                <w:rFonts w:ascii="宋体" w:hAnsi="宋体"/>
                <w:sz w:val="24"/>
                <w:szCs w:val="20"/>
              </w:rPr>
            </w:pPr>
          </w:p>
        </w:tc>
        <w:tc>
          <w:tcPr>
            <w:tcW w:w="737" w:type="pct"/>
            <w:vAlign w:val="center"/>
          </w:tcPr>
          <w:p>
            <w:pPr>
              <w:snapToGrid w:val="0"/>
              <w:spacing w:before="50" w:after="120" w:afterLines="50"/>
              <w:jc w:val="center"/>
              <w:rPr>
                <w:rFonts w:ascii="宋体" w:hAnsi="宋体"/>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Align w:val="center"/>
          </w:tcPr>
          <w:p>
            <w:pPr>
              <w:snapToGrid w:val="0"/>
              <w:spacing w:before="50" w:after="120" w:afterLines="50"/>
              <w:jc w:val="center"/>
              <w:rPr>
                <w:rFonts w:ascii="宋体" w:hAnsi="宋体"/>
                <w:sz w:val="24"/>
                <w:szCs w:val="20"/>
              </w:rPr>
            </w:pPr>
          </w:p>
        </w:tc>
        <w:tc>
          <w:tcPr>
            <w:tcW w:w="281" w:type="pct"/>
            <w:vAlign w:val="center"/>
          </w:tcPr>
          <w:p>
            <w:pPr>
              <w:snapToGrid w:val="0"/>
              <w:spacing w:before="50" w:after="120" w:afterLines="50"/>
              <w:jc w:val="center"/>
              <w:rPr>
                <w:rFonts w:ascii="宋体" w:hAnsi="宋体"/>
                <w:sz w:val="24"/>
                <w:szCs w:val="20"/>
              </w:rPr>
            </w:pPr>
          </w:p>
        </w:tc>
        <w:tc>
          <w:tcPr>
            <w:tcW w:w="311" w:type="pct"/>
            <w:vAlign w:val="center"/>
          </w:tcPr>
          <w:p>
            <w:pPr>
              <w:snapToGrid w:val="0"/>
              <w:spacing w:before="50" w:after="120" w:afterLines="50"/>
              <w:jc w:val="center"/>
              <w:rPr>
                <w:rFonts w:ascii="宋体" w:hAnsi="宋体"/>
                <w:sz w:val="24"/>
                <w:szCs w:val="20"/>
              </w:rPr>
            </w:pPr>
          </w:p>
        </w:tc>
        <w:tc>
          <w:tcPr>
            <w:tcW w:w="317" w:type="pct"/>
            <w:vAlign w:val="center"/>
          </w:tcPr>
          <w:p>
            <w:pPr>
              <w:snapToGrid w:val="0"/>
              <w:spacing w:before="50" w:after="120" w:afterLines="50"/>
              <w:jc w:val="center"/>
              <w:rPr>
                <w:rFonts w:ascii="宋体" w:hAnsi="宋体"/>
                <w:sz w:val="24"/>
                <w:szCs w:val="20"/>
              </w:rPr>
            </w:pPr>
          </w:p>
        </w:tc>
        <w:tc>
          <w:tcPr>
            <w:tcW w:w="498" w:type="pct"/>
            <w:vAlign w:val="center"/>
          </w:tcPr>
          <w:p>
            <w:pPr>
              <w:snapToGrid w:val="0"/>
              <w:spacing w:before="50" w:after="120" w:afterLines="50"/>
              <w:jc w:val="center"/>
              <w:rPr>
                <w:rFonts w:ascii="宋体" w:hAnsi="宋体"/>
                <w:sz w:val="24"/>
                <w:szCs w:val="20"/>
              </w:rPr>
            </w:pPr>
          </w:p>
        </w:tc>
        <w:tc>
          <w:tcPr>
            <w:tcW w:w="691" w:type="pct"/>
            <w:vAlign w:val="center"/>
          </w:tcPr>
          <w:p>
            <w:pPr>
              <w:snapToGrid w:val="0"/>
              <w:spacing w:before="50" w:after="120" w:afterLines="50"/>
              <w:jc w:val="center"/>
              <w:rPr>
                <w:rFonts w:ascii="宋体" w:hAnsi="宋体"/>
                <w:sz w:val="24"/>
                <w:szCs w:val="20"/>
              </w:rPr>
            </w:pPr>
          </w:p>
        </w:tc>
        <w:tc>
          <w:tcPr>
            <w:tcW w:w="951" w:type="pct"/>
            <w:vAlign w:val="center"/>
          </w:tcPr>
          <w:p>
            <w:pPr>
              <w:snapToGrid w:val="0"/>
              <w:spacing w:before="50" w:after="120" w:afterLines="50"/>
              <w:jc w:val="center"/>
              <w:rPr>
                <w:rFonts w:ascii="宋体" w:hAnsi="宋体"/>
                <w:sz w:val="24"/>
                <w:szCs w:val="20"/>
              </w:rPr>
            </w:pPr>
          </w:p>
        </w:tc>
        <w:tc>
          <w:tcPr>
            <w:tcW w:w="714" w:type="pct"/>
            <w:vAlign w:val="center"/>
          </w:tcPr>
          <w:p>
            <w:pPr>
              <w:snapToGrid w:val="0"/>
              <w:spacing w:before="50" w:after="120" w:afterLines="50"/>
              <w:jc w:val="center"/>
              <w:rPr>
                <w:rFonts w:ascii="宋体" w:hAnsi="宋体"/>
                <w:sz w:val="24"/>
                <w:szCs w:val="20"/>
              </w:rPr>
            </w:pPr>
          </w:p>
        </w:tc>
        <w:tc>
          <w:tcPr>
            <w:tcW w:w="737" w:type="pct"/>
            <w:vAlign w:val="center"/>
          </w:tcPr>
          <w:p>
            <w:pPr>
              <w:snapToGrid w:val="0"/>
              <w:spacing w:before="50" w:after="120" w:afterLines="50"/>
              <w:jc w:val="center"/>
              <w:rPr>
                <w:rFonts w:ascii="宋体" w:hAnsi="宋体"/>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8" w:type="pct"/>
            <w:vAlign w:val="center"/>
          </w:tcPr>
          <w:p>
            <w:pPr>
              <w:snapToGrid w:val="0"/>
              <w:spacing w:before="50" w:after="120" w:afterLines="50"/>
              <w:jc w:val="center"/>
              <w:rPr>
                <w:rFonts w:ascii="宋体" w:hAnsi="宋体"/>
                <w:sz w:val="24"/>
                <w:szCs w:val="20"/>
              </w:rPr>
            </w:pPr>
            <w:r>
              <w:rPr>
                <w:rFonts w:ascii="宋体" w:hAnsi="宋体"/>
                <w:sz w:val="24"/>
                <w:szCs w:val="20"/>
              </w:rPr>
              <w:t>……</w:t>
            </w:r>
          </w:p>
        </w:tc>
        <w:tc>
          <w:tcPr>
            <w:tcW w:w="281" w:type="pct"/>
            <w:vAlign w:val="center"/>
          </w:tcPr>
          <w:p>
            <w:pPr>
              <w:snapToGrid w:val="0"/>
              <w:spacing w:before="50" w:after="120" w:afterLines="50"/>
              <w:jc w:val="center"/>
              <w:rPr>
                <w:rFonts w:ascii="宋体" w:hAnsi="宋体"/>
                <w:sz w:val="24"/>
                <w:szCs w:val="20"/>
              </w:rPr>
            </w:pPr>
            <w:r>
              <w:rPr>
                <w:rFonts w:ascii="宋体" w:hAnsi="宋体"/>
                <w:sz w:val="24"/>
                <w:szCs w:val="20"/>
              </w:rPr>
              <w:t>……</w:t>
            </w:r>
          </w:p>
        </w:tc>
        <w:tc>
          <w:tcPr>
            <w:tcW w:w="311" w:type="pct"/>
            <w:vAlign w:val="center"/>
          </w:tcPr>
          <w:p>
            <w:pPr>
              <w:snapToGrid w:val="0"/>
              <w:spacing w:before="50" w:after="120" w:afterLines="50"/>
              <w:jc w:val="center"/>
              <w:rPr>
                <w:rFonts w:ascii="宋体" w:hAnsi="宋体"/>
                <w:sz w:val="24"/>
                <w:szCs w:val="20"/>
              </w:rPr>
            </w:pPr>
            <w:r>
              <w:rPr>
                <w:rFonts w:ascii="宋体" w:hAnsi="宋体"/>
                <w:sz w:val="24"/>
                <w:szCs w:val="20"/>
              </w:rPr>
              <w:t>……</w:t>
            </w:r>
          </w:p>
        </w:tc>
        <w:tc>
          <w:tcPr>
            <w:tcW w:w="317" w:type="pct"/>
            <w:vAlign w:val="center"/>
          </w:tcPr>
          <w:p>
            <w:pPr>
              <w:snapToGrid w:val="0"/>
              <w:spacing w:before="50" w:after="120" w:afterLines="50"/>
              <w:jc w:val="center"/>
              <w:rPr>
                <w:rFonts w:ascii="宋体" w:hAnsi="宋体"/>
                <w:sz w:val="24"/>
                <w:szCs w:val="20"/>
              </w:rPr>
            </w:pPr>
            <w:r>
              <w:rPr>
                <w:rFonts w:ascii="宋体" w:hAnsi="宋体"/>
                <w:sz w:val="24"/>
                <w:szCs w:val="20"/>
              </w:rPr>
              <w:t>……</w:t>
            </w:r>
          </w:p>
        </w:tc>
        <w:tc>
          <w:tcPr>
            <w:tcW w:w="498" w:type="pct"/>
            <w:vAlign w:val="center"/>
          </w:tcPr>
          <w:p>
            <w:pPr>
              <w:snapToGrid w:val="0"/>
              <w:spacing w:before="50" w:after="120" w:afterLines="50"/>
              <w:jc w:val="center"/>
              <w:rPr>
                <w:rFonts w:ascii="宋体" w:hAnsi="宋体"/>
                <w:sz w:val="24"/>
                <w:szCs w:val="20"/>
              </w:rPr>
            </w:pPr>
            <w:r>
              <w:rPr>
                <w:rFonts w:ascii="宋体" w:hAnsi="宋体"/>
                <w:sz w:val="24"/>
                <w:szCs w:val="20"/>
              </w:rPr>
              <w:t>……</w:t>
            </w:r>
          </w:p>
        </w:tc>
        <w:tc>
          <w:tcPr>
            <w:tcW w:w="691" w:type="pct"/>
            <w:vAlign w:val="center"/>
          </w:tcPr>
          <w:p>
            <w:pPr>
              <w:snapToGrid w:val="0"/>
              <w:spacing w:before="50" w:after="120" w:afterLines="50"/>
              <w:jc w:val="center"/>
              <w:rPr>
                <w:rFonts w:ascii="宋体" w:hAnsi="宋体"/>
                <w:sz w:val="24"/>
                <w:szCs w:val="20"/>
              </w:rPr>
            </w:pPr>
            <w:r>
              <w:rPr>
                <w:rFonts w:ascii="宋体" w:hAnsi="宋体"/>
                <w:sz w:val="24"/>
                <w:szCs w:val="20"/>
              </w:rPr>
              <w:t>……</w:t>
            </w:r>
          </w:p>
        </w:tc>
        <w:tc>
          <w:tcPr>
            <w:tcW w:w="951" w:type="pct"/>
            <w:vAlign w:val="center"/>
          </w:tcPr>
          <w:p>
            <w:pPr>
              <w:snapToGrid w:val="0"/>
              <w:spacing w:before="50" w:after="120" w:afterLines="50"/>
              <w:jc w:val="center"/>
              <w:rPr>
                <w:rFonts w:ascii="宋体" w:hAnsi="宋体"/>
                <w:sz w:val="24"/>
                <w:szCs w:val="20"/>
              </w:rPr>
            </w:pPr>
            <w:r>
              <w:rPr>
                <w:rFonts w:ascii="宋体" w:hAnsi="宋体"/>
                <w:sz w:val="24"/>
                <w:szCs w:val="20"/>
              </w:rPr>
              <w:t>……</w:t>
            </w:r>
          </w:p>
        </w:tc>
        <w:tc>
          <w:tcPr>
            <w:tcW w:w="714" w:type="pct"/>
            <w:vAlign w:val="center"/>
          </w:tcPr>
          <w:p>
            <w:pPr>
              <w:snapToGrid w:val="0"/>
              <w:spacing w:before="50" w:after="120" w:afterLines="50"/>
              <w:jc w:val="center"/>
              <w:rPr>
                <w:rFonts w:ascii="宋体" w:hAnsi="宋体"/>
                <w:sz w:val="24"/>
                <w:szCs w:val="20"/>
              </w:rPr>
            </w:pPr>
            <w:r>
              <w:rPr>
                <w:rFonts w:ascii="宋体" w:hAnsi="宋体"/>
                <w:sz w:val="24"/>
                <w:szCs w:val="20"/>
              </w:rPr>
              <w:t>……</w:t>
            </w:r>
          </w:p>
        </w:tc>
        <w:tc>
          <w:tcPr>
            <w:tcW w:w="737" w:type="pct"/>
            <w:vAlign w:val="center"/>
          </w:tcPr>
          <w:p>
            <w:pPr>
              <w:snapToGrid w:val="0"/>
              <w:spacing w:before="50" w:after="120" w:afterLines="50"/>
              <w:jc w:val="center"/>
              <w:rPr>
                <w:rFonts w:ascii="宋体" w:hAnsi="宋体"/>
                <w:sz w:val="24"/>
                <w:szCs w:val="20"/>
              </w:rPr>
            </w:pPr>
            <w:r>
              <w:rPr>
                <w:rFonts w:ascii="宋体" w:hAnsi="宋体"/>
                <w:sz w:val="24"/>
                <w:szCs w:val="20"/>
              </w:rPr>
              <w:t>……</w:t>
            </w:r>
          </w:p>
        </w:tc>
      </w:tr>
    </w:tbl>
    <w:p>
      <w:pPr>
        <w:spacing w:line="360" w:lineRule="auto"/>
        <w:contextualSpacing/>
        <w:jc w:val="left"/>
        <w:rPr>
          <w:rFonts w:ascii="宋体" w:hAnsi="宋体"/>
          <w:sz w:val="24"/>
          <w:szCs w:val="20"/>
        </w:rPr>
      </w:pPr>
      <w:r>
        <w:rPr>
          <w:rFonts w:hint="eastAsia" w:ascii="宋体" w:hAnsi="宋体"/>
          <w:sz w:val="24"/>
          <w:szCs w:val="20"/>
        </w:rPr>
        <w:t>注：</w:t>
      </w:r>
    </w:p>
    <w:p>
      <w:pPr>
        <w:spacing w:line="360" w:lineRule="auto"/>
        <w:contextualSpacing/>
        <w:jc w:val="left"/>
        <w:rPr>
          <w:rFonts w:ascii="宋体" w:hAnsi="宋体"/>
          <w:sz w:val="24"/>
          <w:szCs w:val="20"/>
        </w:rPr>
      </w:pPr>
      <w:r>
        <w:rPr>
          <w:rFonts w:hint="eastAsia" w:ascii="宋体" w:hAnsi="宋体"/>
          <w:sz w:val="24"/>
          <w:szCs w:val="20"/>
        </w:rPr>
        <w:t>1</w:t>
      </w:r>
      <w:r>
        <w:rPr>
          <w:rFonts w:ascii="宋体" w:hAnsi="宋体"/>
          <w:sz w:val="24"/>
          <w:szCs w:val="20"/>
        </w:rPr>
        <w:t>.</w:t>
      </w:r>
      <w:r>
        <w:rPr>
          <w:rFonts w:hint="eastAsia" w:ascii="宋体" w:hAnsi="宋体"/>
          <w:sz w:val="24"/>
          <w:szCs w:val="20"/>
        </w:rPr>
        <w:t>在填写时，如本表格不适合投标单位的实际情况，可自行制表填写。</w:t>
      </w:r>
    </w:p>
    <w:p>
      <w:pPr>
        <w:spacing w:line="360" w:lineRule="auto"/>
        <w:contextualSpacing/>
        <w:jc w:val="left"/>
        <w:rPr>
          <w:rFonts w:ascii="宋体" w:hAnsi="宋体"/>
          <w:sz w:val="24"/>
          <w:szCs w:val="20"/>
        </w:rPr>
      </w:pPr>
      <w:r>
        <w:rPr>
          <w:rFonts w:ascii="宋体" w:hAnsi="宋体"/>
          <w:sz w:val="24"/>
          <w:szCs w:val="20"/>
        </w:rPr>
        <w:t>2.</w:t>
      </w:r>
      <w:r>
        <w:rPr>
          <w:rFonts w:hint="eastAsia" w:ascii="宋体" w:hAnsi="宋体"/>
          <w:sz w:val="24"/>
          <w:szCs w:val="20"/>
        </w:rPr>
        <w:t>采购需求或评标办法如有要求，投标人根据要求提供人员证明材料。</w:t>
      </w:r>
    </w:p>
    <w:p>
      <w:pPr>
        <w:spacing w:line="360" w:lineRule="auto"/>
        <w:contextualSpacing/>
        <w:jc w:val="left"/>
        <w:rPr>
          <w:rFonts w:ascii="宋体" w:hAnsi="宋体"/>
          <w:sz w:val="24"/>
          <w:szCs w:val="20"/>
        </w:rPr>
      </w:pPr>
    </w:p>
    <w:p>
      <w:pPr>
        <w:spacing w:line="360" w:lineRule="auto"/>
        <w:contextualSpacing/>
        <w:jc w:val="left"/>
        <w:rPr>
          <w:rFonts w:ascii="宋体" w:hAnsi="宋体"/>
          <w:sz w:val="24"/>
          <w:szCs w:val="20"/>
        </w:rPr>
      </w:pPr>
    </w:p>
    <w:p>
      <w:pPr>
        <w:spacing w:line="360" w:lineRule="auto"/>
        <w:contextualSpacing/>
        <w:rPr>
          <w:rFonts w:ascii="宋体" w:hAnsi="宋体"/>
          <w:spacing w:val="20"/>
          <w:sz w:val="24"/>
          <w:szCs w:val="20"/>
          <w:u w:val="single"/>
        </w:rPr>
      </w:pPr>
      <w:r>
        <w:rPr>
          <w:rFonts w:hint="eastAsia" w:ascii="宋体" w:hAnsi="宋体"/>
          <w:sz w:val="24"/>
        </w:rPr>
        <w:t>法定代表人或者委托代理人</w:t>
      </w:r>
      <w:r>
        <w:rPr>
          <w:rFonts w:hint="eastAsia" w:ascii="宋体" w:hAnsi="宋体"/>
          <w:spacing w:val="20"/>
          <w:sz w:val="24"/>
        </w:rPr>
        <w:t>（签字或者电子签名）：</w:t>
      </w:r>
      <w:r>
        <w:rPr>
          <w:rFonts w:hint="eastAsia" w:ascii="宋体" w:hAnsi="宋体"/>
          <w:spacing w:val="20"/>
          <w:sz w:val="24"/>
          <w:u w:val="single"/>
        </w:rPr>
        <w:t xml:space="preserve">        </w:t>
      </w:r>
    </w:p>
    <w:p>
      <w:pPr>
        <w:spacing w:line="360" w:lineRule="auto"/>
        <w:contextualSpacing/>
        <w:jc w:val="left"/>
        <w:rPr>
          <w:rFonts w:ascii="宋体" w:hAnsi="宋体"/>
          <w:spacing w:val="20"/>
          <w:sz w:val="24"/>
        </w:rPr>
      </w:pPr>
      <w:r>
        <w:rPr>
          <w:rFonts w:hint="eastAsia" w:ascii="宋体" w:hAnsi="宋体"/>
          <w:spacing w:val="20"/>
          <w:sz w:val="24"/>
        </w:rPr>
        <w:t>投标人名称（电子签章）：</w:t>
      </w:r>
      <w:r>
        <w:rPr>
          <w:rFonts w:hint="eastAsia" w:ascii="宋体" w:hAnsi="宋体"/>
          <w:spacing w:val="20"/>
          <w:sz w:val="24"/>
          <w:u w:val="single"/>
        </w:rPr>
        <w:t xml:space="preserve">            </w:t>
      </w:r>
      <w:r>
        <w:rPr>
          <w:rFonts w:hint="eastAsia" w:ascii="宋体" w:hAnsi="宋体"/>
          <w:spacing w:val="20"/>
          <w:sz w:val="24"/>
        </w:rPr>
        <w:t xml:space="preserve">              </w:t>
      </w:r>
    </w:p>
    <w:p>
      <w:pPr>
        <w:spacing w:line="360" w:lineRule="auto"/>
        <w:contextualSpacing/>
        <w:jc w:val="left"/>
        <w:rPr>
          <w:rFonts w:ascii="宋体" w:hAnsi="宋体"/>
          <w:sz w:val="24"/>
          <w:szCs w:val="20"/>
        </w:rPr>
      </w:pPr>
      <w:r>
        <w:rPr>
          <w:rFonts w:hint="eastAsia" w:ascii="宋体" w:hAnsi="宋体"/>
          <w:spacing w:val="20"/>
          <w:sz w:val="24"/>
        </w:rPr>
        <w:t>日 期：</w:t>
      </w:r>
      <w:r>
        <w:rPr>
          <w:rFonts w:hint="eastAsia" w:ascii="宋体" w:hAnsi="宋体"/>
          <w:spacing w:val="20"/>
          <w:sz w:val="24"/>
          <w:u w:val="single"/>
        </w:rPr>
        <w:t xml:space="preserve">         </w:t>
      </w:r>
    </w:p>
    <w:p>
      <w:pPr>
        <w:snapToGrid w:val="0"/>
        <w:spacing w:before="50" w:after="120" w:afterLines="50"/>
        <w:jc w:val="left"/>
        <w:rPr>
          <w:rFonts w:ascii="宋体" w:hAnsi="宋体"/>
          <w:sz w:val="24"/>
          <w:szCs w:val="20"/>
        </w:rPr>
      </w:pPr>
    </w:p>
    <w:p>
      <w:pPr>
        <w:snapToGrid w:val="0"/>
        <w:spacing w:before="120" w:beforeLines="50" w:after="50"/>
        <w:ind w:left="142"/>
        <w:jc w:val="left"/>
        <w:rPr>
          <w:rFonts w:ascii="宋体" w:hAnsi="宋体"/>
          <w:b/>
          <w:sz w:val="24"/>
        </w:rPr>
      </w:pPr>
      <w:r>
        <w:rPr>
          <w:rFonts w:ascii="宋体" w:hAnsi="宋体"/>
          <w:b/>
          <w:sz w:val="24"/>
        </w:rPr>
        <w:br w:type="page"/>
      </w:r>
      <w:r>
        <w:rPr>
          <w:rFonts w:ascii="宋体" w:hAnsi="宋体"/>
          <w:b/>
          <w:sz w:val="24"/>
        </w:rPr>
        <w:t>12</w:t>
      </w:r>
      <w:r>
        <w:rPr>
          <w:rFonts w:hint="eastAsia" w:ascii="宋体" w:hAnsi="宋体"/>
          <w:b/>
          <w:sz w:val="24"/>
        </w:rPr>
        <w:t>. 选配件、专用耗材、售后服务优惠表格式</w:t>
      </w:r>
    </w:p>
    <w:p>
      <w:pPr>
        <w:snapToGrid w:val="0"/>
        <w:spacing w:before="120" w:beforeLines="50" w:after="50"/>
        <w:ind w:left="142"/>
        <w:jc w:val="left"/>
        <w:rPr>
          <w:rFonts w:ascii="宋体" w:hAnsi="宋体"/>
          <w:b/>
          <w:sz w:val="24"/>
        </w:rPr>
      </w:pPr>
    </w:p>
    <w:p>
      <w:pPr>
        <w:snapToGrid w:val="0"/>
        <w:spacing w:before="120" w:beforeLines="50" w:after="50"/>
        <w:ind w:left="142"/>
        <w:jc w:val="center"/>
        <w:rPr>
          <w:rFonts w:ascii="宋体" w:hAnsi="宋体"/>
          <w:b/>
          <w:sz w:val="32"/>
          <w:szCs w:val="32"/>
        </w:rPr>
      </w:pPr>
      <w:r>
        <w:rPr>
          <w:rFonts w:hint="eastAsia" w:ascii="宋体" w:hAnsi="宋体"/>
          <w:b/>
          <w:sz w:val="32"/>
          <w:szCs w:val="32"/>
        </w:rPr>
        <w:t>选配件、专用耗材、售后服务优惠表</w:t>
      </w:r>
    </w:p>
    <w:p>
      <w:pPr>
        <w:pStyle w:val="24"/>
        <w:rPr>
          <w:sz w:val="24"/>
          <w:szCs w:val="24"/>
        </w:rPr>
      </w:pPr>
      <w:r>
        <w:rPr>
          <w:rFonts w:hint="eastAsia"/>
          <w:sz w:val="24"/>
          <w:szCs w:val="24"/>
        </w:rPr>
        <w:t>所投分标：</w:t>
      </w:r>
      <w:r>
        <w:rPr>
          <w:rFonts w:hint="eastAsia"/>
          <w:sz w:val="24"/>
          <w:szCs w:val="24"/>
          <w:u w:val="single"/>
        </w:rPr>
        <w:t xml:space="preserve">     </w:t>
      </w:r>
      <w:r>
        <w:rPr>
          <w:rFonts w:hint="eastAsia"/>
          <w:sz w:val="24"/>
          <w:szCs w:val="24"/>
        </w:rPr>
        <w:t>分标</w:t>
      </w:r>
    </w:p>
    <w:tbl>
      <w:tblPr>
        <w:tblStyle w:val="49"/>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35"/>
        <w:gridCol w:w="2700"/>
        <w:gridCol w:w="1440"/>
        <w:gridCol w:w="1440"/>
        <w:gridCol w:w="23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1" w:hRule="atLeast"/>
        </w:trPr>
        <w:tc>
          <w:tcPr>
            <w:tcW w:w="73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24"/>
              <w:snapToGrid w:val="0"/>
              <w:spacing w:before="295" w:after="295"/>
              <w:jc w:val="center"/>
              <w:rPr>
                <w:rFonts w:hAnsi="宋体" w:cs="Courier New"/>
                <w:kern w:val="2"/>
                <w:sz w:val="24"/>
                <w:szCs w:val="24"/>
              </w:rPr>
            </w:pPr>
            <w:r>
              <w:rPr>
                <w:rFonts w:hint="eastAsia" w:hAnsi="宋体" w:cs="Courier New"/>
                <w:kern w:val="2"/>
                <w:sz w:val="24"/>
                <w:szCs w:val="24"/>
              </w:rPr>
              <w:t>序号</w:t>
            </w:r>
          </w:p>
        </w:tc>
        <w:tc>
          <w:tcPr>
            <w:tcW w:w="2700" w:type="dxa"/>
            <w:tcBorders>
              <w:top w:val="single" w:color="auto" w:sz="4" w:space="0"/>
              <w:left w:val="single" w:color="auto" w:sz="4" w:space="0"/>
              <w:bottom w:val="single" w:color="auto" w:sz="2" w:space="0"/>
              <w:right w:val="single" w:color="auto" w:sz="4" w:space="0"/>
            </w:tcBorders>
            <w:vAlign w:val="center"/>
          </w:tcPr>
          <w:p>
            <w:pPr>
              <w:pStyle w:val="24"/>
              <w:snapToGrid w:val="0"/>
              <w:spacing w:before="295" w:after="295"/>
              <w:jc w:val="center"/>
              <w:rPr>
                <w:rFonts w:hAnsi="宋体" w:cs="Courier New"/>
                <w:kern w:val="2"/>
                <w:sz w:val="24"/>
                <w:szCs w:val="24"/>
              </w:rPr>
            </w:pPr>
            <w:r>
              <w:rPr>
                <w:rFonts w:hint="eastAsia" w:hAnsi="宋体" w:cs="Courier New"/>
                <w:kern w:val="2"/>
                <w:sz w:val="24"/>
                <w:szCs w:val="24"/>
              </w:rPr>
              <w:t>优惠内容</w:t>
            </w:r>
          </w:p>
        </w:tc>
        <w:tc>
          <w:tcPr>
            <w:tcW w:w="1440" w:type="dxa"/>
            <w:tcBorders>
              <w:top w:val="single" w:color="auto" w:sz="4" w:space="0"/>
              <w:left w:val="single" w:color="auto" w:sz="4" w:space="0"/>
              <w:bottom w:val="single" w:color="auto" w:sz="2" w:space="0"/>
              <w:right w:val="single" w:color="auto" w:sz="4" w:space="0"/>
            </w:tcBorders>
            <w:vAlign w:val="center"/>
          </w:tcPr>
          <w:p>
            <w:pPr>
              <w:pStyle w:val="24"/>
              <w:snapToGrid w:val="0"/>
              <w:spacing w:before="295" w:after="295"/>
              <w:jc w:val="center"/>
              <w:rPr>
                <w:rFonts w:hAnsi="宋体" w:cs="Courier New"/>
                <w:kern w:val="2"/>
                <w:sz w:val="24"/>
                <w:szCs w:val="24"/>
              </w:rPr>
            </w:pPr>
            <w:r>
              <w:rPr>
                <w:rFonts w:hint="eastAsia" w:hAnsi="宋体" w:cs="Courier New"/>
                <w:kern w:val="2"/>
                <w:sz w:val="24"/>
                <w:szCs w:val="24"/>
              </w:rPr>
              <w:t>适用机型</w:t>
            </w:r>
          </w:p>
        </w:tc>
        <w:tc>
          <w:tcPr>
            <w:tcW w:w="1440" w:type="dxa"/>
            <w:tcBorders>
              <w:top w:val="single" w:color="auto" w:sz="4" w:space="0"/>
              <w:left w:val="single" w:color="auto" w:sz="4" w:space="0"/>
              <w:bottom w:val="single" w:color="auto" w:sz="2" w:space="0"/>
              <w:right w:val="single" w:color="auto" w:sz="4" w:space="0"/>
            </w:tcBorders>
            <w:tcMar>
              <w:top w:w="15" w:type="dxa"/>
              <w:left w:w="15" w:type="dxa"/>
              <w:bottom w:w="0" w:type="dxa"/>
              <w:right w:w="15" w:type="dxa"/>
            </w:tcMar>
            <w:vAlign w:val="center"/>
          </w:tcPr>
          <w:p>
            <w:pPr>
              <w:pStyle w:val="24"/>
              <w:snapToGrid w:val="0"/>
              <w:spacing w:before="295" w:after="295"/>
              <w:jc w:val="center"/>
              <w:rPr>
                <w:rFonts w:hAnsi="宋体" w:cs="Courier New"/>
                <w:kern w:val="2"/>
                <w:sz w:val="24"/>
                <w:szCs w:val="24"/>
              </w:rPr>
            </w:pPr>
            <w:r>
              <w:rPr>
                <w:rFonts w:hint="eastAsia" w:hAnsi="宋体" w:cs="Courier New"/>
                <w:kern w:val="2"/>
                <w:sz w:val="24"/>
                <w:szCs w:val="24"/>
              </w:rPr>
              <w:t>单价</w:t>
            </w:r>
          </w:p>
        </w:tc>
        <w:tc>
          <w:tcPr>
            <w:tcW w:w="2340" w:type="dxa"/>
            <w:tcBorders>
              <w:top w:val="single" w:color="auto" w:sz="4" w:space="0"/>
              <w:left w:val="single" w:color="auto" w:sz="4" w:space="0"/>
              <w:bottom w:val="single" w:color="auto" w:sz="2" w:space="0"/>
              <w:right w:val="single" w:color="auto" w:sz="4" w:space="0"/>
            </w:tcBorders>
            <w:vAlign w:val="center"/>
          </w:tcPr>
          <w:p>
            <w:pPr>
              <w:pStyle w:val="24"/>
              <w:snapToGrid w:val="0"/>
              <w:spacing w:before="295" w:after="295"/>
              <w:jc w:val="center"/>
              <w:rPr>
                <w:rFonts w:hAnsi="宋体" w:cs="Courier New"/>
                <w:kern w:val="2"/>
                <w:sz w:val="24"/>
                <w:szCs w:val="24"/>
              </w:rPr>
            </w:pPr>
            <w:r>
              <w:rPr>
                <w:rFonts w:hint="eastAsia" w:hAnsi="宋体" w:cs="Courier New"/>
                <w:kern w:val="2"/>
                <w:sz w:val="24"/>
                <w:szCs w:val="24"/>
              </w:rPr>
              <w:t>比市场价优惠率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pPr>
              <w:pStyle w:val="24"/>
              <w:snapToGrid w:val="0"/>
              <w:spacing w:before="295" w:after="295"/>
              <w:jc w:val="center"/>
              <w:rPr>
                <w:rFonts w:hAnsi="宋体"/>
                <w:kern w:val="2"/>
                <w:sz w:val="24"/>
                <w:szCs w:val="24"/>
              </w:rPr>
            </w:pPr>
            <w:r>
              <w:rPr>
                <w:rFonts w:hint="eastAsia" w:hAnsi="宋体"/>
                <w:kern w:val="2"/>
                <w:sz w:val="24"/>
                <w:szCs w:val="24"/>
              </w:rPr>
              <w:t>1</w:t>
            </w:r>
          </w:p>
        </w:tc>
        <w:tc>
          <w:tcPr>
            <w:tcW w:w="2700" w:type="dxa"/>
            <w:tcBorders>
              <w:top w:val="single" w:color="auto" w:sz="2" w:space="0"/>
              <w:left w:val="single" w:color="auto" w:sz="2" w:space="0"/>
              <w:bottom w:val="single" w:color="auto" w:sz="6" w:space="0"/>
              <w:right w:val="single" w:color="auto" w:sz="4" w:space="0"/>
            </w:tcBorders>
            <w:vAlign w:val="center"/>
          </w:tcPr>
          <w:p>
            <w:pPr>
              <w:pStyle w:val="24"/>
              <w:snapToGrid w:val="0"/>
              <w:spacing w:before="295" w:after="295"/>
              <w:jc w:val="center"/>
              <w:rPr>
                <w:rFonts w:hAnsi="宋体"/>
                <w:kern w:val="2"/>
                <w:sz w:val="24"/>
                <w:szCs w:val="24"/>
              </w:rPr>
            </w:pPr>
          </w:p>
        </w:tc>
        <w:tc>
          <w:tcPr>
            <w:tcW w:w="1440" w:type="dxa"/>
            <w:tcBorders>
              <w:top w:val="single" w:color="auto" w:sz="2" w:space="0"/>
              <w:left w:val="single" w:color="auto" w:sz="4" w:space="0"/>
              <w:bottom w:val="single" w:color="auto" w:sz="6" w:space="0"/>
              <w:right w:val="single" w:color="auto" w:sz="6" w:space="0"/>
            </w:tcBorders>
            <w:vAlign w:val="center"/>
          </w:tcPr>
          <w:p>
            <w:pPr>
              <w:pStyle w:val="24"/>
              <w:snapToGrid w:val="0"/>
              <w:spacing w:before="295" w:after="295"/>
              <w:jc w:val="center"/>
              <w:rPr>
                <w:rFonts w:hAnsi="宋体"/>
                <w:kern w:val="2"/>
                <w:sz w:val="24"/>
                <w:szCs w:val="24"/>
              </w:rPr>
            </w:pPr>
          </w:p>
        </w:tc>
        <w:tc>
          <w:tcPr>
            <w:tcW w:w="1440" w:type="dxa"/>
            <w:tcBorders>
              <w:top w:val="single" w:color="auto" w:sz="2" w:space="0"/>
              <w:left w:val="single" w:color="auto" w:sz="6" w:space="0"/>
              <w:bottom w:val="single" w:color="auto" w:sz="6" w:space="0"/>
              <w:right w:val="single" w:color="auto" w:sz="6" w:space="0"/>
            </w:tcBorders>
            <w:tcMar>
              <w:top w:w="15" w:type="dxa"/>
              <w:left w:w="15" w:type="dxa"/>
              <w:bottom w:w="0" w:type="dxa"/>
              <w:right w:w="15" w:type="dxa"/>
            </w:tcMar>
            <w:vAlign w:val="center"/>
          </w:tcPr>
          <w:p>
            <w:pPr>
              <w:pStyle w:val="24"/>
              <w:snapToGrid w:val="0"/>
              <w:spacing w:before="295" w:after="295"/>
              <w:jc w:val="center"/>
              <w:rPr>
                <w:rFonts w:hAnsi="宋体"/>
                <w:kern w:val="2"/>
                <w:sz w:val="24"/>
                <w:szCs w:val="24"/>
              </w:rPr>
            </w:pPr>
          </w:p>
        </w:tc>
        <w:tc>
          <w:tcPr>
            <w:tcW w:w="2340" w:type="dxa"/>
            <w:tcBorders>
              <w:top w:val="single" w:color="auto" w:sz="2" w:space="0"/>
              <w:left w:val="single" w:color="auto" w:sz="6" w:space="0"/>
              <w:bottom w:val="single" w:color="auto" w:sz="6" w:space="0"/>
              <w:right w:val="single" w:color="auto" w:sz="2" w:space="0"/>
            </w:tcBorders>
            <w:vAlign w:val="center"/>
          </w:tcPr>
          <w:p>
            <w:pPr>
              <w:pStyle w:val="24"/>
              <w:snapToGrid w:val="0"/>
              <w:spacing w:before="295" w:after="295"/>
              <w:jc w:val="center"/>
              <w:rPr>
                <w:rFonts w:hAnsi="宋体"/>
                <w:kern w:val="2"/>
                <w:sz w:val="24"/>
                <w:szCs w:val="24"/>
              </w:rPr>
            </w:pPr>
            <w:r>
              <w:rPr>
                <w:rFonts w:hint="eastAsia" w:hAnsi="宋体"/>
                <w:kern w:val="2"/>
                <w:sz w:val="24"/>
                <w:szCs w:val="24"/>
              </w:rPr>
              <w:t xml:space="preserve"> </w:t>
            </w:r>
            <w:r>
              <w:rPr>
                <w:rFonts w:hint="eastAsia" w:hAnsi="宋体"/>
                <w:kern w:val="2"/>
                <w:sz w:val="24"/>
                <w:szCs w:val="24"/>
                <w:u w:val="single"/>
              </w:rPr>
              <w:t xml:space="preserve">           </w:t>
            </w:r>
            <w:r>
              <w:rPr>
                <w:rFonts w:hint="eastAsia" w:hAnsi="宋体"/>
                <w:kern w:val="2"/>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pPr>
              <w:pStyle w:val="24"/>
              <w:snapToGrid w:val="0"/>
              <w:spacing w:before="295" w:after="295"/>
              <w:jc w:val="center"/>
              <w:rPr>
                <w:rFonts w:hAnsi="宋体"/>
                <w:kern w:val="2"/>
                <w:sz w:val="24"/>
                <w:szCs w:val="24"/>
              </w:rPr>
            </w:pPr>
            <w:r>
              <w:rPr>
                <w:rFonts w:hint="eastAsia" w:hAnsi="宋体"/>
                <w:kern w:val="2"/>
                <w:sz w:val="24"/>
                <w:szCs w:val="24"/>
              </w:rPr>
              <w:t>2</w:t>
            </w:r>
          </w:p>
        </w:tc>
        <w:tc>
          <w:tcPr>
            <w:tcW w:w="2700" w:type="dxa"/>
            <w:tcBorders>
              <w:top w:val="single" w:color="auto" w:sz="6" w:space="0"/>
              <w:left w:val="single" w:color="auto" w:sz="2" w:space="0"/>
              <w:bottom w:val="single" w:color="auto" w:sz="6" w:space="0"/>
              <w:right w:val="single" w:color="auto" w:sz="4" w:space="0"/>
            </w:tcBorders>
            <w:vAlign w:val="center"/>
          </w:tcPr>
          <w:p>
            <w:pPr>
              <w:pStyle w:val="24"/>
              <w:snapToGrid w:val="0"/>
              <w:spacing w:before="295" w:after="295"/>
              <w:jc w:val="center"/>
              <w:rPr>
                <w:rFonts w:hAnsi="宋体"/>
                <w:kern w:val="2"/>
                <w:sz w:val="24"/>
                <w:szCs w:val="24"/>
              </w:rPr>
            </w:pPr>
          </w:p>
        </w:tc>
        <w:tc>
          <w:tcPr>
            <w:tcW w:w="1440" w:type="dxa"/>
            <w:tcBorders>
              <w:top w:val="single" w:color="auto" w:sz="6" w:space="0"/>
              <w:left w:val="single" w:color="auto" w:sz="4" w:space="0"/>
              <w:bottom w:val="single" w:color="auto" w:sz="6" w:space="0"/>
              <w:right w:val="single" w:color="auto" w:sz="6" w:space="0"/>
            </w:tcBorders>
            <w:vAlign w:val="center"/>
          </w:tcPr>
          <w:p>
            <w:pPr>
              <w:pStyle w:val="24"/>
              <w:snapToGrid w:val="0"/>
              <w:spacing w:before="295" w:after="295"/>
              <w:jc w:val="center"/>
              <w:rPr>
                <w:rFonts w:hAnsi="宋体"/>
                <w:kern w:val="2"/>
                <w:sz w:val="24"/>
                <w:szCs w:val="24"/>
              </w:rPr>
            </w:pPr>
          </w:p>
        </w:tc>
        <w:tc>
          <w:tcPr>
            <w:tcW w:w="1440"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pPr>
              <w:pStyle w:val="24"/>
              <w:snapToGrid w:val="0"/>
              <w:spacing w:before="295" w:after="295"/>
              <w:jc w:val="center"/>
              <w:rPr>
                <w:rFonts w:hAnsi="宋体"/>
                <w:kern w:val="2"/>
                <w:sz w:val="24"/>
                <w:szCs w:val="24"/>
              </w:rPr>
            </w:pPr>
          </w:p>
        </w:tc>
        <w:tc>
          <w:tcPr>
            <w:tcW w:w="2340" w:type="dxa"/>
            <w:tcBorders>
              <w:top w:val="single" w:color="auto" w:sz="6" w:space="0"/>
              <w:left w:val="single" w:color="auto" w:sz="6" w:space="0"/>
              <w:bottom w:val="single" w:color="auto" w:sz="6" w:space="0"/>
              <w:right w:val="single" w:color="auto" w:sz="2" w:space="0"/>
            </w:tcBorders>
            <w:vAlign w:val="center"/>
          </w:tcPr>
          <w:p>
            <w:pPr>
              <w:pStyle w:val="24"/>
              <w:snapToGrid w:val="0"/>
              <w:spacing w:before="295" w:after="295"/>
              <w:jc w:val="center"/>
              <w:rPr>
                <w:rFonts w:hAnsi="宋体"/>
                <w:kern w:val="2"/>
                <w:sz w:val="24"/>
                <w:szCs w:val="24"/>
              </w:rPr>
            </w:pPr>
            <w:r>
              <w:rPr>
                <w:rFonts w:hint="eastAsia" w:hAnsi="宋体"/>
                <w:kern w:val="2"/>
                <w:sz w:val="24"/>
                <w:szCs w:val="24"/>
              </w:rPr>
              <w:t xml:space="preserve"> </w:t>
            </w:r>
            <w:r>
              <w:rPr>
                <w:rFonts w:hint="eastAsia" w:hAnsi="宋体"/>
                <w:kern w:val="2"/>
                <w:sz w:val="24"/>
                <w:szCs w:val="24"/>
                <w:u w:val="single"/>
              </w:rPr>
              <w:t xml:space="preserve">           </w:t>
            </w:r>
            <w:r>
              <w:rPr>
                <w:rFonts w:hint="eastAsia" w:hAnsi="宋体"/>
                <w:kern w:val="2"/>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pPr>
              <w:pStyle w:val="24"/>
              <w:snapToGrid w:val="0"/>
              <w:spacing w:before="295" w:after="295"/>
              <w:jc w:val="center"/>
              <w:rPr>
                <w:rFonts w:hAnsi="宋体"/>
                <w:kern w:val="2"/>
                <w:sz w:val="24"/>
                <w:szCs w:val="24"/>
              </w:rPr>
            </w:pPr>
            <w:r>
              <w:rPr>
                <w:rFonts w:hint="eastAsia" w:hAnsi="宋体"/>
                <w:kern w:val="2"/>
                <w:sz w:val="24"/>
                <w:szCs w:val="24"/>
              </w:rPr>
              <w:t>3</w:t>
            </w:r>
          </w:p>
        </w:tc>
        <w:tc>
          <w:tcPr>
            <w:tcW w:w="2700" w:type="dxa"/>
            <w:tcBorders>
              <w:top w:val="single" w:color="auto" w:sz="6" w:space="0"/>
              <w:left w:val="single" w:color="auto" w:sz="2" w:space="0"/>
              <w:bottom w:val="single" w:color="auto" w:sz="6" w:space="0"/>
              <w:right w:val="single" w:color="auto" w:sz="4" w:space="0"/>
            </w:tcBorders>
            <w:vAlign w:val="center"/>
          </w:tcPr>
          <w:p>
            <w:pPr>
              <w:pStyle w:val="24"/>
              <w:snapToGrid w:val="0"/>
              <w:spacing w:before="295" w:after="295"/>
              <w:jc w:val="center"/>
              <w:rPr>
                <w:rFonts w:hAnsi="宋体"/>
                <w:kern w:val="2"/>
                <w:sz w:val="24"/>
                <w:szCs w:val="24"/>
              </w:rPr>
            </w:pPr>
          </w:p>
        </w:tc>
        <w:tc>
          <w:tcPr>
            <w:tcW w:w="1440" w:type="dxa"/>
            <w:tcBorders>
              <w:top w:val="single" w:color="auto" w:sz="6" w:space="0"/>
              <w:left w:val="single" w:color="auto" w:sz="4" w:space="0"/>
              <w:bottom w:val="single" w:color="auto" w:sz="6" w:space="0"/>
              <w:right w:val="single" w:color="auto" w:sz="6" w:space="0"/>
            </w:tcBorders>
            <w:vAlign w:val="center"/>
          </w:tcPr>
          <w:p>
            <w:pPr>
              <w:pStyle w:val="24"/>
              <w:snapToGrid w:val="0"/>
              <w:spacing w:before="295" w:after="295"/>
              <w:jc w:val="center"/>
              <w:rPr>
                <w:rFonts w:hAnsi="宋体"/>
                <w:kern w:val="2"/>
                <w:sz w:val="24"/>
                <w:szCs w:val="24"/>
              </w:rPr>
            </w:pPr>
          </w:p>
        </w:tc>
        <w:tc>
          <w:tcPr>
            <w:tcW w:w="1440"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pPr>
              <w:pStyle w:val="24"/>
              <w:snapToGrid w:val="0"/>
              <w:spacing w:before="295" w:after="295"/>
              <w:jc w:val="center"/>
              <w:rPr>
                <w:rFonts w:hAnsi="宋体"/>
                <w:kern w:val="2"/>
                <w:sz w:val="24"/>
                <w:szCs w:val="24"/>
              </w:rPr>
            </w:pPr>
          </w:p>
        </w:tc>
        <w:tc>
          <w:tcPr>
            <w:tcW w:w="2340" w:type="dxa"/>
            <w:tcBorders>
              <w:top w:val="single" w:color="auto" w:sz="6" w:space="0"/>
              <w:left w:val="single" w:color="auto" w:sz="6" w:space="0"/>
              <w:bottom w:val="single" w:color="auto" w:sz="6" w:space="0"/>
              <w:right w:val="single" w:color="auto" w:sz="2" w:space="0"/>
            </w:tcBorders>
            <w:vAlign w:val="center"/>
          </w:tcPr>
          <w:p>
            <w:pPr>
              <w:pStyle w:val="24"/>
              <w:snapToGrid w:val="0"/>
              <w:spacing w:before="295" w:after="295"/>
              <w:jc w:val="center"/>
              <w:rPr>
                <w:rFonts w:hAnsi="宋体"/>
                <w:kern w:val="2"/>
                <w:sz w:val="24"/>
                <w:szCs w:val="24"/>
              </w:rPr>
            </w:pPr>
            <w:r>
              <w:rPr>
                <w:rFonts w:hint="eastAsia" w:hAnsi="宋体"/>
                <w:kern w:val="2"/>
                <w:sz w:val="24"/>
                <w:szCs w:val="24"/>
              </w:rPr>
              <w:t xml:space="preserve"> </w:t>
            </w:r>
            <w:r>
              <w:rPr>
                <w:rFonts w:hint="eastAsia" w:hAnsi="宋体"/>
                <w:kern w:val="2"/>
                <w:sz w:val="24"/>
                <w:szCs w:val="24"/>
                <w:u w:val="single"/>
              </w:rPr>
              <w:t xml:space="preserve">           </w:t>
            </w:r>
            <w:r>
              <w:rPr>
                <w:rFonts w:hint="eastAsia" w:hAnsi="宋体"/>
                <w:kern w:val="2"/>
                <w:sz w:val="24"/>
                <w:szCs w:val="24"/>
              </w:rPr>
              <w:t>%</w:t>
            </w:r>
          </w:p>
        </w:tc>
      </w:tr>
    </w:tbl>
    <w:p>
      <w:pPr>
        <w:spacing w:line="360" w:lineRule="auto"/>
        <w:contextualSpacing/>
        <w:rPr>
          <w:rFonts w:ascii="宋体" w:hAnsi="宋体"/>
          <w:sz w:val="24"/>
        </w:rPr>
      </w:pPr>
    </w:p>
    <w:p>
      <w:pPr>
        <w:spacing w:line="360" w:lineRule="auto"/>
        <w:contextualSpacing/>
        <w:rPr>
          <w:rFonts w:ascii="宋体" w:hAnsi="宋体"/>
          <w:spacing w:val="20"/>
          <w:sz w:val="24"/>
          <w:u w:val="single"/>
        </w:rPr>
      </w:pPr>
      <w:r>
        <w:rPr>
          <w:rFonts w:hint="eastAsia" w:ascii="宋体" w:hAnsi="宋体"/>
          <w:sz w:val="24"/>
        </w:rPr>
        <w:t>法定代表人或者委托代理人</w:t>
      </w:r>
      <w:r>
        <w:rPr>
          <w:rFonts w:hint="eastAsia" w:ascii="宋体" w:hAnsi="宋体"/>
          <w:spacing w:val="20"/>
          <w:sz w:val="24"/>
        </w:rPr>
        <w:t>（签字或者电子签名）：</w:t>
      </w:r>
      <w:r>
        <w:rPr>
          <w:rFonts w:hint="eastAsia" w:ascii="宋体" w:hAnsi="宋体"/>
          <w:spacing w:val="20"/>
          <w:sz w:val="24"/>
          <w:u w:val="single"/>
        </w:rPr>
        <w:t xml:space="preserve">        </w:t>
      </w:r>
    </w:p>
    <w:p>
      <w:pPr>
        <w:spacing w:line="360" w:lineRule="auto"/>
        <w:contextualSpacing/>
        <w:jc w:val="left"/>
        <w:rPr>
          <w:rFonts w:ascii="宋体" w:hAnsi="宋体"/>
          <w:spacing w:val="20"/>
          <w:sz w:val="24"/>
        </w:rPr>
      </w:pPr>
      <w:r>
        <w:rPr>
          <w:rFonts w:hint="eastAsia" w:ascii="宋体" w:hAnsi="宋体"/>
          <w:spacing w:val="20"/>
          <w:sz w:val="24"/>
        </w:rPr>
        <w:t>投标人名称（电子签章）：</w:t>
      </w:r>
      <w:r>
        <w:rPr>
          <w:rFonts w:hint="eastAsia" w:ascii="宋体" w:hAnsi="宋体"/>
          <w:spacing w:val="20"/>
          <w:sz w:val="24"/>
          <w:u w:val="single"/>
        </w:rPr>
        <w:t xml:space="preserve">            </w:t>
      </w:r>
      <w:r>
        <w:rPr>
          <w:rFonts w:hint="eastAsia" w:ascii="宋体" w:hAnsi="宋体"/>
          <w:spacing w:val="20"/>
          <w:sz w:val="24"/>
        </w:rPr>
        <w:t xml:space="preserve">              </w:t>
      </w:r>
    </w:p>
    <w:p>
      <w:pPr>
        <w:spacing w:line="360" w:lineRule="auto"/>
        <w:contextualSpacing/>
        <w:jc w:val="left"/>
        <w:rPr>
          <w:rFonts w:ascii="宋体" w:hAnsi="宋体"/>
          <w:sz w:val="24"/>
          <w:szCs w:val="20"/>
        </w:rPr>
      </w:pPr>
      <w:r>
        <w:rPr>
          <w:rFonts w:hint="eastAsia" w:ascii="宋体" w:hAnsi="宋体"/>
          <w:spacing w:val="20"/>
          <w:sz w:val="24"/>
        </w:rPr>
        <w:t>日 期：</w:t>
      </w:r>
      <w:r>
        <w:rPr>
          <w:rFonts w:hint="eastAsia" w:ascii="宋体" w:hAnsi="宋体"/>
          <w:spacing w:val="20"/>
          <w:sz w:val="24"/>
          <w:u w:val="single"/>
        </w:rPr>
        <w:t xml:space="preserve">            </w:t>
      </w:r>
    </w:p>
    <w:p>
      <w:pPr>
        <w:snapToGrid w:val="0"/>
        <w:spacing w:before="50" w:after="120" w:afterLines="50"/>
        <w:jc w:val="left"/>
        <w:rPr>
          <w:rFonts w:ascii="宋体" w:hAnsi="宋体"/>
          <w:sz w:val="24"/>
          <w:szCs w:val="20"/>
        </w:rPr>
      </w:pPr>
    </w:p>
    <w:p>
      <w:pPr>
        <w:rPr>
          <w:b/>
          <w:sz w:val="28"/>
          <w:szCs w:val="28"/>
        </w:rPr>
      </w:pPr>
      <w:r>
        <w:rPr>
          <w:rFonts w:ascii="宋体" w:hAnsi="宋体"/>
          <w:b/>
          <w:bCs/>
          <w:sz w:val="24"/>
        </w:rPr>
        <w:br w:type="page"/>
      </w:r>
      <w:r>
        <w:rPr>
          <w:rFonts w:hint="eastAsia"/>
          <w:b/>
          <w:sz w:val="28"/>
          <w:szCs w:val="28"/>
        </w:rPr>
        <w:t>四、其他文书、文件格式</w:t>
      </w:r>
    </w:p>
    <w:p>
      <w:pPr>
        <w:snapToGrid w:val="0"/>
        <w:spacing w:before="120" w:beforeLines="50" w:after="50"/>
        <w:ind w:left="142"/>
        <w:jc w:val="left"/>
        <w:rPr>
          <w:rFonts w:ascii="宋体" w:hAnsi="宋体"/>
          <w:b/>
          <w:spacing w:val="20"/>
          <w:sz w:val="24"/>
        </w:rPr>
      </w:pPr>
      <w:r>
        <w:rPr>
          <w:rFonts w:hint="eastAsia" w:ascii="宋体" w:hAnsi="宋体"/>
          <w:b/>
          <w:spacing w:val="20"/>
          <w:sz w:val="24"/>
        </w:rPr>
        <w:t>1.联合投标协议书格式</w:t>
      </w:r>
    </w:p>
    <w:p>
      <w:pPr>
        <w:pStyle w:val="7"/>
        <w:overflowPunct w:val="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联合体协议书</w:t>
      </w:r>
    </w:p>
    <w:p>
      <w:pPr>
        <w:pStyle w:val="7"/>
        <w:overflowPunct w:val="0"/>
        <w:rPr>
          <w:rFonts w:ascii="宋体" w:hAnsi="宋体"/>
          <w:sz w:val="24"/>
        </w:rPr>
      </w:pPr>
    </w:p>
    <w:p>
      <w:pPr>
        <w:pStyle w:val="7"/>
        <w:overflowPunct w:val="0"/>
        <w:spacing w:line="360" w:lineRule="auto"/>
        <w:contextualSpacing/>
        <w:rPr>
          <w:rFonts w:ascii="宋体" w:hAnsi="宋体"/>
          <w:sz w:val="24"/>
        </w:rPr>
      </w:pPr>
      <w:r>
        <w:rPr>
          <w:rFonts w:ascii="宋体" w:hAnsi="宋体"/>
          <w:sz w:val="24"/>
          <w:u w:val="single"/>
        </w:rPr>
        <w:t xml:space="preserve"> </w:t>
      </w:r>
      <w:r>
        <w:rPr>
          <w:rFonts w:ascii="宋体" w:hAnsi="宋体"/>
          <w:sz w:val="24"/>
          <w:u w:val="single"/>
        </w:rPr>
        <w:tab/>
      </w:r>
      <w:r>
        <w:rPr>
          <w:rFonts w:hint="eastAsia" w:ascii="宋体" w:hAnsi="宋体"/>
          <w:sz w:val="24"/>
        </w:rPr>
        <w:t>（所有成员单位名称）自愿组成</w:t>
      </w:r>
      <w:r>
        <w:rPr>
          <w:rFonts w:ascii="宋体" w:hAnsi="宋体"/>
          <w:sz w:val="24"/>
          <w:u w:val="single"/>
        </w:rPr>
        <w:t xml:space="preserve"> </w:t>
      </w:r>
      <w:r>
        <w:rPr>
          <w:rFonts w:ascii="宋体" w:hAnsi="宋体"/>
          <w:sz w:val="24"/>
          <w:u w:val="single"/>
        </w:rPr>
        <w:tab/>
      </w:r>
      <w:r>
        <w:rPr>
          <w:rFonts w:hint="eastAsia" w:ascii="宋体" w:hAnsi="宋体"/>
          <w:sz w:val="24"/>
        </w:rPr>
        <w:t>（联合体名称）联合体，共同参加</w:t>
      </w:r>
      <w:r>
        <w:rPr>
          <w:rFonts w:ascii="宋体" w:hAnsi="宋体"/>
          <w:sz w:val="24"/>
          <w:u w:val="single"/>
        </w:rPr>
        <w:t xml:space="preserve"> </w:t>
      </w:r>
      <w:r>
        <w:rPr>
          <w:rFonts w:ascii="宋体" w:hAnsi="宋体"/>
          <w:sz w:val="24"/>
          <w:u w:val="single"/>
        </w:rPr>
        <w:tab/>
      </w:r>
      <w:r>
        <w:rPr>
          <w:rFonts w:hint="eastAsia" w:ascii="宋体" w:hAnsi="宋体"/>
          <w:sz w:val="24"/>
          <w:u w:val="single"/>
        </w:rPr>
        <w:t>（项目名称）</w:t>
      </w:r>
      <w:r>
        <w:rPr>
          <w:rFonts w:hint="eastAsia" w:ascii="宋体" w:hAnsi="宋体"/>
          <w:sz w:val="24"/>
        </w:rPr>
        <w:t>采购招标项目投标。现就联合体投标事宜订立如下协议。</w:t>
      </w:r>
    </w:p>
    <w:p>
      <w:pPr>
        <w:pStyle w:val="7"/>
        <w:overflowPunct w:val="0"/>
        <w:spacing w:line="360" w:lineRule="auto"/>
        <w:ind w:firstLineChars="175"/>
        <w:contextualSpacing/>
        <w:rPr>
          <w:rFonts w:ascii="宋体" w:hAnsi="宋体"/>
          <w:sz w:val="24"/>
        </w:rPr>
      </w:pPr>
      <w:r>
        <w:rPr>
          <w:rFonts w:ascii="宋体" w:hAnsi="宋体"/>
          <w:sz w:val="24"/>
        </w:rPr>
        <w:t xml:space="preserve">1.  </w:t>
      </w:r>
      <w:r>
        <w:rPr>
          <w:rFonts w:ascii="宋体" w:hAnsi="宋体"/>
          <w:sz w:val="24"/>
          <w:u w:val="single"/>
        </w:rPr>
        <w:t xml:space="preserve"> </w:t>
      </w:r>
      <w:r>
        <w:rPr>
          <w:rFonts w:ascii="宋体" w:hAnsi="宋体"/>
          <w:sz w:val="24"/>
          <w:u w:val="single"/>
        </w:rPr>
        <w:tab/>
      </w:r>
      <w:r>
        <w:rPr>
          <w:rFonts w:hint="eastAsia" w:ascii="宋体" w:hAnsi="宋体"/>
          <w:sz w:val="24"/>
        </w:rPr>
        <w:t>（某成员单位名称）为</w:t>
      </w:r>
      <w:r>
        <w:rPr>
          <w:rFonts w:ascii="宋体" w:hAnsi="宋体"/>
          <w:sz w:val="24"/>
          <w:u w:val="single"/>
        </w:rPr>
        <w:t xml:space="preserve"> </w:t>
      </w:r>
      <w:r>
        <w:rPr>
          <w:rFonts w:ascii="宋体" w:hAnsi="宋体"/>
          <w:sz w:val="24"/>
          <w:u w:val="single"/>
        </w:rPr>
        <w:tab/>
      </w:r>
      <w:r>
        <w:rPr>
          <w:rFonts w:hint="eastAsia" w:ascii="宋体" w:hAnsi="宋体"/>
          <w:sz w:val="24"/>
        </w:rPr>
        <w:t>（联合体名称）牵头人。</w:t>
      </w:r>
    </w:p>
    <w:p>
      <w:pPr>
        <w:pStyle w:val="7"/>
        <w:overflowPunct w:val="0"/>
        <w:spacing w:line="360" w:lineRule="auto"/>
        <w:ind w:firstLineChars="175"/>
        <w:contextualSpacing/>
        <w:rPr>
          <w:rFonts w:ascii="宋体" w:hAnsi="宋体"/>
          <w:sz w:val="24"/>
        </w:rPr>
      </w:pPr>
      <w:r>
        <w:rPr>
          <w:rFonts w:ascii="宋体" w:hAnsi="宋体"/>
          <w:sz w:val="24"/>
        </w:rPr>
        <w:t>2.</w:t>
      </w:r>
      <w:r>
        <w:rPr>
          <w:rFonts w:hint="eastAsia" w:ascii="宋体" w:hAnsi="宋体"/>
          <w:sz w:val="24"/>
        </w:rPr>
        <w:t>联合体各成员授权牵头人代表联合体参加投标活动，签署文件及对文件的盖章，提交和接收相关的资料、信息及指示，进行合同签订活动，负责合同实施阶段的组织和协调工作，以及处理与本招标项目有关的一切事宜。</w:t>
      </w:r>
    </w:p>
    <w:p>
      <w:pPr>
        <w:pStyle w:val="7"/>
        <w:overflowPunct w:val="0"/>
        <w:spacing w:line="360" w:lineRule="auto"/>
        <w:ind w:firstLineChars="175"/>
        <w:contextualSpacing/>
        <w:rPr>
          <w:rFonts w:ascii="宋体" w:hAnsi="宋体"/>
          <w:sz w:val="24"/>
        </w:rPr>
      </w:pPr>
      <w:r>
        <w:rPr>
          <w:rFonts w:ascii="宋体" w:hAnsi="宋体"/>
          <w:sz w:val="24"/>
        </w:rPr>
        <w:t>3.</w:t>
      </w:r>
      <w:r>
        <w:rPr>
          <w:rFonts w:hint="eastAsia" w:ascii="宋体" w:hAnsi="宋体"/>
          <w:sz w:val="24"/>
        </w:rPr>
        <w:t>联合体牵头人在本项目中签署和盖章的一切文件和处理的一切事宜，联合体各成员均予以承认。联合体各成员将严格按照招标文件、投标文件和合同的要求全面履行义务，并向招标人承担连带责任。</w:t>
      </w:r>
    </w:p>
    <w:p>
      <w:pPr>
        <w:pStyle w:val="7"/>
        <w:overflowPunct w:val="0"/>
        <w:spacing w:line="380" w:lineRule="exact"/>
        <w:ind w:firstLineChars="175"/>
        <w:contextualSpacing/>
        <w:rPr>
          <w:rFonts w:ascii="宋体" w:hAnsi="宋体"/>
          <w:sz w:val="24"/>
        </w:rPr>
      </w:pPr>
      <w:r>
        <w:rPr>
          <w:rFonts w:ascii="宋体" w:hAnsi="宋体"/>
          <w:sz w:val="24"/>
        </w:rPr>
        <w:t>4.</w:t>
      </w:r>
      <w:r>
        <w:rPr>
          <w:rFonts w:hint="eastAsia" w:ascii="宋体" w:hAnsi="宋体"/>
          <w:sz w:val="24"/>
        </w:rPr>
        <w:t>联合体各成员单位内部的职责分工如下：</w:t>
      </w:r>
    </w:p>
    <w:p>
      <w:pPr>
        <w:pStyle w:val="7"/>
        <w:overflowPunct w:val="0"/>
        <w:spacing w:line="380" w:lineRule="exact"/>
        <w:ind w:firstLine="480" w:firstLineChars="200"/>
        <w:contextualSpacing/>
        <w:rPr>
          <w:rFonts w:ascii="宋体" w:hAnsi="宋体" w:cs="仿宋_GB2312"/>
          <w:sz w:val="24"/>
          <w:szCs w:val="24"/>
        </w:rPr>
      </w:pPr>
      <w:r>
        <w:rPr>
          <w:rFonts w:hint="eastAsia" w:ascii="宋体" w:hAnsi="宋体" w:cs="仿宋_GB2312"/>
          <w:sz w:val="24"/>
          <w:szCs w:val="24"/>
          <w:u w:val="single"/>
        </w:rPr>
        <w:t xml:space="preserve">                               </w:t>
      </w:r>
      <w:r>
        <w:rPr>
          <w:rFonts w:hint="eastAsia" w:ascii="宋体" w:hAnsi="宋体" w:cs="仿宋_GB2312"/>
          <w:sz w:val="24"/>
          <w:szCs w:val="24"/>
        </w:rPr>
        <w:t>。</w:t>
      </w:r>
    </w:p>
    <w:p>
      <w:pPr>
        <w:pStyle w:val="7"/>
        <w:overflowPunct w:val="0"/>
        <w:spacing w:line="380" w:lineRule="exact"/>
        <w:ind w:firstLine="480" w:firstLineChars="200"/>
        <w:contextualSpacing/>
        <w:rPr>
          <w:rFonts w:ascii="宋体" w:hAnsi="宋体" w:cs="仿宋_GB2312"/>
          <w:sz w:val="24"/>
          <w:szCs w:val="24"/>
        </w:rPr>
      </w:pPr>
      <w:r>
        <w:rPr>
          <w:rFonts w:hint="eastAsia" w:ascii="宋体" w:hAnsi="宋体" w:cs="仿宋_GB2312"/>
          <w:sz w:val="24"/>
          <w:szCs w:val="24"/>
        </w:rPr>
        <w:t>联合体各成员单位合同金额比例分配如下：</w:t>
      </w:r>
    </w:p>
    <w:p>
      <w:pPr>
        <w:pStyle w:val="7"/>
        <w:overflowPunct w:val="0"/>
        <w:spacing w:line="360" w:lineRule="auto"/>
        <w:ind w:firstLineChars="175"/>
        <w:contextualSpacing/>
        <w:rPr>
          <w:rFonts w:ascii="宋体" w:hAnsi="宋体"/>
          <w:sz w:val="24"/>
        </w:rPr>
      </w:pPr>
      <w:r>
        <w:rPr>
          <w:rFonts w:hint="eastAsia" w:ascii="宋体" w:hAnsi="宋体" w:cs="仿宋_GB2312"/>
          <w:sz w:val="24"/>
          <w:szCs w:val="24"/>
          <w:u w:val="single"/>
        </w:rPr>
        <w:t xml:space="preserve">                               </w:t>
      </w:r>
      <w:r>
        <w:rPr>
          <w:rFonts w:hint="eastAsia" w:ascii="宋体" w:hAnsi="宋体" w:cs="仿宋_GB2312"/>
          <w:sz w:val="24"/>
          <w:szCs w:val="24"/>
        </w:rPr>
        <w:t>。</w:t>
      </w:r>
    </w:p>
    <w:p>
      <w:pPr>
        <w:pStyle w:val="7"/>
        <w:overflowPunct w:val="0"/>
        <w:spacing w:line="360" w:lineRule="auto"/>
        <w:ind w:firstLineChars="175"/>
        <w:contextualSpacing/>
        <w:rPr>
          <w:rFonts w:ascii="宋体" w:hAnsi="宋体"/>
          <w:sz w:val="24"/>
        </w:rPr>
      </w:pPr>
      <w:r>
        <w:rPr>
          <w:rFonts w:ascii="宋体" w:hAnsi="宋体"/>
          <w:sz w:val="24"/>
        </w:rPr>
        <w:t>5.</w:t>
      </w:r>
      <w:r>
        <w:rPr>
          <w:rFonts w:hint="eastAsia" w:ascii="宋体" w:hAnsi="宋体"/>
          <w:sz w:val="24"/>
        </w:rPr>
        <w:t>本协议书自所有成员单位法定代表人或者其委托代理人签字（或者电子签名）或者盖公章之日起生效，合同履行完毕后自动失效。</w:t>
      </w:r>
    </w:p>
    <w:p>
      <w:pPr>
        <w:pStyle w:val="7"/>
        <w:overflowPunct w:val="0"/>
        <w:spacing w:line="360" w:lineRule="auto"/>
        <w:ind w:firstLineChars="175"/>
        <w:contextualSpacing/>
        <w:rPr>
          <w:rFonts w:ascii="宋体" w:hAnsi="宋体"/>
          <w:sz w:val="24"/>
        </w:rPr>
      </w:pPr>
      <w:r>
        <w:rPr>
          <w:rFonts w:ascii="宋体" w:hAnsi="宋体"/>
          <w:sz w:val="24"/>
        </w:rPr>
        <w:t>6.</w:t>
      </w:r>
      <w:r>
        <w:rPr>
          <w:rFonts w:hint="eastAsia" w:ascii="宋体" w:hAnsi="宋体"/>
          <w:sz w:val="24"/>
        </w:rPr>
        <w:t>本协议书一式</w:t>
      </w:r>
      <w:r>
        <w:rPr>
          <w:rFonts w:ascii="宋体" w:hAnsi="宋体"/>
          <w:sz w:val="24"/>
          <w:u w:val="single"/>
        </w:rPr>
        <w:t xml:space="preserve"> </w:t>
      </w:r>
      <w:r>
        <w:rPr>
          <w:rFonts w:ascii="宋体" w:hAnsi="宋体"/>
          <w:sz w:val="24"/>
          <w:u w:val="single"/>
        </w:rPr>
        <w:tab/>
      </w:r>
      <w:r>
        <w:rPr>
          <w:rFonts w:hint="eastAsia" w:ascii="宋体" w:hAnsi="宋体"/>
          <w:sz w:val="24"/>
        </w:rPr>
        <w:t>份，联合体成员和招标人各执一份。</w:t>
      </w:r>
    </w:p>
    <w:p>
      <w:pPr>
        <w:pStyle w:val="7"/>
        <w:overflowPunct w:val="0"/>
        <w:spacing w:line="360" w:lineRule="auto"/>
        <w:ind w:firstLineChars="175"/>
        <w:contextualSpacing/>
        <w:rPr>
          <w:rFonts w:ascii="宋体" w:hAnsi="宋体"/>
          <w:sz w:val="24"/>
        </w:rPr>
      </w:pPr>
      <w:r>
        <w:rPr>
          <w:rFonts w:hint="eastAsia" w:ascii="宋体" w:hAnsi="宋体"/>
          <w:sz w:val="24"/>
        </w:rPr>
        <w:t>注：本协议书应附法定代表人身份证明；有委托代理的，应附授权委托书</w:t>
      </w:r>
      <w:r>
        <w:rPr>
          <w:rFonts w:hint="eastAsia" w:ascii="宋体" w:hAnsi="宋体" w:cs="仿宋_GB2312"/>
          <w:sz w:val="24"/>
        </w:rPr>
        <w:t>（格式自拟）</w:t>
      </w:r>
      <w:r>
        <w:rPr>
          <w:rFonts w:hint="eastAsia" w:ascii="宋体" w:hAnsi="宋体"/>
          <w:sz w:val="24"/>
        </w:rPr>
        <w:t>。</w:t>
      </w:r>
    </w:p>
    <w:p>
      <w:pPr>
        <w:pStyle w:val="7"/>
        <w:overflowPunct w:val="0"/>
        <w:spacing w:line="360" w:lineRule="auto"/>
        <w:ind w:firstLineChars="175"/>
        <w:contextualSpacing/>
        <w:rPr>
          <w:rFonts w:ascii="宋体" w:hAnsi="宋体"/>
          <w:sz w:val="24"/>
        </w:rPr>
      </w:pPr>
      <w:r>
        <w:rPr>
          <w:rFonts w:hint="eastAsia" w:ascii="宋体" w:hAnsi="宋体"/>
          <w:sz w:val="24"/>
        </w:rPr>
        <w:t>联合体牵头人名称（电子签章）：</w:t>
      </w:r>
    </w:p>
    <w:p>
      <w:pPr>
        <w:pStyle w:val="7"/>
        <w:overflowPunct w:val="0"/>
        <w:spacing w:line="360" w:lineRule="auto"/>
        <w:ind w:firstLineChars="175"/>
        <w:contextualSpacing/>
        <w:rPr>
          <w:rFonts w:ascii="宋体" w:hAnsi="宋体"/>
          <w:sz w:val="24"/>
        </w:rPr>
      </w:pPr>
      <w:r>
        <w:rPr>
          <w:rFonts w:hint="eastAsia" w:ascii="宋体" w:hAnsi="宋体"/>
          <w:sz w:val="24"/>
        </w:rPr>
        <w:t>法定代表人或者其委托代理人：</w:t>
      </w:r>
      <w:r>
        <w:rPr>
          <w:rFonts w:ascii="宋体" w:hAnsi="宋体"/>
          <w:sz w:val="24"/>
        </w:rPr>
        <w:t xml:space="preserve"> </w:t>
      </w:r>
      <w:r>
        <w:rPr>
          <w:rFonts w:ascii="宋体" w:hAnsi="宋体"/>
          <w:sz w:val="24"/>
        </w:rPr>
        <w:tab/>
      </w:r>
      <w:r>
        <w:rPr>
          <w:rFonts w:hint="eastAsia" w:ascii="宋体" w:hAnsi="宋体"/>
          <w:sz w:val="24"/>
        </w:rPr>
        <w:t>（签字或者电子签名）</w:t>
      </w:r>
    </w:p>
    <w:p>
      <w:pPr>
        <w:pStyle w:val="7"/>
        <w:overflowPunct w:val="0"/>
        <w:spacing w:line="360" w:lineRule="auto"/>
        <w:ind w:firstLineChars="175"/>
        <w:contextualSpacing/>
        <w:rPr>
          <w:rFonts w:ascii="宋体" w:hAnsi="宋体"/>
          <w:sz w:val="24"/>
        </w:rPr>
      </w:pPr>
    </w:p>
    <w:p>
      <w:pPr>
        <w:pStyle w:val="7"/>
        <w:overflowPunct w:val="0"/>
        <w:spacing w:line="360" w:lineRule="auto"/>
        <w:ind w:firstLineChars="175"/>
        <w:contextualSpacing/>
        <w:rPr>
          <w:rFonts w:ascii="宋体" w:hAnsi="宋体"/>
          <w:sz w:val="24"/>
        </w:rPr>
      </w:pPr>
      <w:r>
        <w:rPr>
          <w:rFonts w:hint="eastAsia" w:ascii="宋体" w:hAnsi="宋体"/>
          <w:sz w:val="24"/>
        </w:rPr>
        <w:t>联合体成员名称（</w:t>
      </w:r>
      <w:r>
        <w:rPr>
          <w:rFonts w:hint="eastAsia" w:ascii="宋体" w:hAnsi="宋体" w:cs="仿宋_GB2312"/>
          <w:sz w:val="24"/>
        </w:rPr>
        <w:t>盖公章或者电子签章</w:t>
      </w:r>
      <w:r>
        <w:rPr>
          <w:rFonts w:hint="eastAsia" w:ascii="宋体" w:hAnsi="宋体"/>
          <w:sz w:val="24"/>
        </w:rPr>
        <w:t>）：</w:t>
      </w:r>
    </w:p>
    <w:p>
      <w:pPr>
        <w:pStyle w:val="7"/>
        <w:overflowPunct w:val="0"/>
        <w:spacing w:line="360" w:lineRule="auto"/>
        <w:ind w:firstLineChars="175"/>
        <w:contextualSpacing/>
        <w:rPr>
          <w:rFonts w:ascii="宋体" w:hAnsi="宋体"/>
          <w:sz w:val="24"/>
        </w:rPr>
      </w:pPr>
      <w:r>
        <w:rPr>
          <w:rFonts w:hint="eastAsia" w:ascii="宋体" w:hAnsi="宋体"/>
          <w:sz w:val="24"/>
        </w:rPr>
        <w:t>法定代表人或者其委托代理人：</w:t>
      </w:r>
      <w:r>
        <w:rPr>
          <w:rFonts w:ascii="宋体" w:hAnsi="宋体"/>
          <w:sz w:val="24"/>
        </w:rPr>
        <w:t xml:space="preserve"> </w:t>
      </w:r>
      <w:r>
        <w:rPr>
          <w:rFonts w:ascii="宋体" w:hAnsi="宋体"/>
          <w:sz w:val="24"/>
        </w:rPr>
        <w:tab/>
      </w:r>
      <w:r>
        <w:rPr>
          <w:rFonts w:hint="eastAsia" w:ascii="宋体" w:hAnsi="宋体"/>
          <w:sz w:val="24"/>
        </w:rPr>
        <w:t>（签字或者电子签名）</w:t>
      </w:r>
    </w:p>
    <w:p>
      <w:pPr>
        <w:pStyle w:val="7"/>
        <w:overflowPunct w:val="0"/>
        <w:spacing w:line="360" w:lineRule="auto"/>
        <w:ind w:firstLineChars="175"/>
        <w:contextualSpacing/>
        <w:rPr>
          <w:rFonts w:ascii="宋体" w:hAnsi="宋体"/>
          <w:sz w:val="24"/>
        </w:rPr>
      </w:pPr>
      <w:r>
        <w:rPr>
          <w:rFonts w:ascii="宋体" w:hAnsi="宋体"/>
          <w:sz w:val="24"/>
        </w:rPr>
        <w:t>……</w:t>
      </w:r>
    </w:p>
    <w:p>
      <w:pPr>
        <w:pStyle w:val="7"/>
        <w:overflowPunct w:val="0"/>
        <w:spacing w:line="360" w:lineRule="auto"/>
        <w:ind w:firstLineChars="175"/>
        <w:contextualSpacing/>
        <w:jc w:val="right"/>
        <w:rPr>
          <w:rFonts w:ascii="宋体" w:hAnsi="宋体"/>
          <w:b/>
          <w:sz w:val="24"/>
        </w:rPr>
      </w:pPr>
      <w:r>
        <w:rPr>
          <w:rFonts w:ascii="宋体" w:hAnsi="宋体"/>
          <w:sz w:val="24"/>
        </w:rPr>
        <w:t xml:space="preserve"> </w:t>
      </w:r>
      <w:r>
        <w:rPr>
          <w:rFonts w:ascii="宋体" w:hAnsi="宋体"/>
          <w:sz w:val="24"/>
        </w:rPr>
        <w:tab/>
      </w:r>
      <w:r>
        <w:rPr>
          <w:rFonts w:hint="eastAsia" w:ascii="宋体" w:hAnsi="宋体"/>
          <w:sz w:val="24"/>
        </w:rPr>
        <w:t>年</w:t>
      </w:r>
      <w:r>
        <w:rPr>
          <w:rFonts w:ascii="宋体" w:hAnsi="宋体"/>
          <w:sz w:val="24"/>
        </w:rPr>
        <w:t xml:space="preserve"> </w:t>
      </w:r>
      <w:r>
        <w:rPr>
          <w:rFonts w:ascii="宋体" w:hAnsi="宋体"/>
          <w:sz w:val="24"/>
        </w:rPr>
        <w:tab/>
      </w:r>
      <w:r>
        <w:rPr>
          <w:rFonts w:hint="eastAsia" w:ascii="宋体" w:hAnsi="宋体"/>
          <w:sz w:val="24"/>
        </w:rPr>
        <w:t>月</w:t>
      </w:r>
      <w:r>
        <w:rPr>
          <w:rFonts w:ascii="宋体" w:hAnsi="宋体"/>
          <w:sz w:val="24"/>
        </w:rPr>
        <w:t xml:space="preserve"> </w:t>
      </w:r>
      <w:r>
        <w:rPr>
          <w:rFonts w:ascii="宋体" w:hAnsi="宋体"/>
          <w:sz w:val="24"/>
        </w:rPr>
        <w:tab/>
      </w:r>
      <w:r>
        <w:rPr>
          <w:rFonts w:hint="eastAsia" w:ascii="宋体" w:hAnsi="宋体"/>
          <w:sz w:val="24"/>
        </w:rPr>
        <w:t>日</w:t>
      </w:r>
    </w:p>
    <w:p>
      <w:pPr>
        <w:snapToGrid w:val="0"/>
        <w:spacing w:before="120" w:beforeLines="50" w:after="50"/>
        <w:jc w:val="left"/>
        <w:rPr>
          <w:rFonts w:ascii="宋体" w:hAnsi="宋体"/>
          <w:b/>
          <w:sz w:val="24"/>
        </w:rPr>
      </w:pPr>
    </w:p>
    <w:p>
      <w:pPr>
        <w:snapToGrid w:val="0"/>
        <w:spacing w:before="120" w:beforeLines="50" w:after="50"/>
        <w:jc w:val="left"/>
        <w:rPr>
          <w:rFonts w:ascii="宋体" w:hAnsi="宋体"/>
          <w:b/>
          <w:sz w:val="24"/>
        </w:rPr>
      </w:pPr>
      <w:r>
        <w:rPr>
          <w:rFonts w:ascii="宋体" w:hAnsi="宋体"/>
          <w:b/>
          <w:sz w:val="24"/>
        </w:rPr>
        <w:t>2</w:t>
      </w:r>
      <w:r>
        <w:rPr>
          <w:rFonts w:hint="eastAsia" w:ascii="宋体" w:hAnsi="宋体"/>
          <w:b/>
          <w:sz w:val="24"/>
        </w:rPr>
        <w:t>.中小企业声明函格式</w:t>
      </w:r>
    </w:p>
    <w:p>
      <w:pPr>
        <w:snapToGrid w:val="0"/>
        <w:spacing w:before="120" w:beforeLines="50" w:after="50"/>
        <w:jc w:val="left"/>
        <w:rPr>
          <w:rFonts w:ascii="宋体" w:hAnsi="宋体"/>
          <w:b/>
          <w:sz w:val="24"/>
        </w:rPr>
      </w:pPr>
    </w:p>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中小企业声明函（货物）</w:t>
      </w:r>
    </w:p>
    <w:p>
      <w:pPr>
        <w:spacing w:before="2" w:line="500" w:lineRule="exact"/>
        <w:rPr>
          <w:rFonts w:ascii="宋体" w:hAnsi="宋体" w:cs="宋体"/>
          <w:b/>
          <w:bCs/>
          <w:sz w:val="27"/>
          <w:szCs w:val="27"/>
        </w:rPr>
      </w:pPr>
    </w:p>
    <w:p>
      <w:pPr>
        <w:pStyle w:val="18"/>
        <w:spacing w:line="360" w:lineRule="auto"/>
        <w:ind w:left="-426" w:leftChars="-203" w:right="142" w:firstLine="480" w:firstLineChars="200"/>
        <w:contextualSpacing/>
        <w:rPr>
          <w:rFonts w:ascii="宋体" w:hAnsi="宋体"/>
          <w:kern w:val="24"/>
        </w:rPr>
      </w:pPr>
      <w:r>
        <w:rPr>
          <w:rFonts w:ascii="宋体" w:hAnsi="宋体"/>
          <w:kern w:val="24"/>
        </w:rPr>
        <w:t>本公司郑重声明，根据《政府采购促进中小企业发展管理办法》（财库﹝2020﹞46号）的规定，本公司参加</w:t>
      </w:r>
      <w:r>
        <w:rPr>
          <w:rFonts w:ascii="宋体" w:hAnsi="宋体"/>
          <w:kern w:val="24"/>
          <w:u w:val="single"/>
        </w:rPr>
        <w:t>（单位名称）</w:t>
      </w:r>
      <w:r>
        <w:rPr>
          <w:rFonts w:ascii="宋体" w:hAnsi="宋体"/>
          <w:kern w:val="24"/>
        </w:rPr>
        <w:t>的</w:t>
      </w:r>
      <w:r>
        <w:rPr>
          <w:rFonts w:ascii="宋体" w:hAnsi="宋体"/>
          <w:kern w:val="24"/>
          <w:u w:val="single"/>
        </w:rPr>
        <w:t>（项目名称）</w:t>
      </w:r>
      <w:r>
        <w:rPr>
          <w:rFonts w:ascii="宋体" w:hAnsi="宋体"/>
          <w:kern w:val="24"/>
        </w:rPr>
        <w:t>采购活动，提供的货物全部由符合政策要求的中小企业制造。相关企业的具体情况如下：</w:t>
      </w:r>
    </w:p>
    <w:p>
      <w:pPr>
        <w:tabs>
          <w:tab w:val="left" w:pos="1384"/>
          <w:tab w:val="left" w:pos="4562"/>
          <w:tab w:val="left" w:pos="6803"/>
        </w:tabs>
        <w:spacing w:line="360" w:lineRule="auto"/>
        <w:ind w:left="-426" w:right="-58" w:firstLine="655"/>
        <w:contextualSpacing/>
        <w:rPr>
          <w:rFonts w:ascii="宋体" w:hAnsi="宋体"/>
          <w:kern w:val="24"/>
          <w:sz w:val="24"/>
        </w:rPr>
      </w:pPr>
      <w:r>
        <w:rPr>
          <w:rFonts w:ascii="宋体" w:hAnsi="宋体"/>
          <w:kern w:val="24"/>
          <w:sz w:val="24"/>
        </w:rPr>
        <w:t>1.</w:t>
      </w:r>
      <w:r>
        <w:rPr>
          <w:rFonts w:ascii="宋体" w:hAnsi="宋体"/>
          <w:kern w:val="24"/>
          <w:sz w:val="24"/>
          <w:u w:val="single"/>
        </w:rPr>
        <w:t>（标的名称）</w:t>
      </w:r>
      <w:r>
        <w:rPr>
          <w:rFonts w:ascii="宋体" w:hAnsi="宋体"/>
          <w:kern w:val="24"/>
          <w:sz w:val="24"/>
        </w:rPr>
        <w:t>，属于</w:t>
      </w:r>
      <w:r>
        <w:rPr>
          <w:rFonts w:ascii="宋体" w:hAnsi="宋体"/>
          <w:kern w:val="24"/>
          <w:sz w:val="24"/>
          <w:u w:val="single"/>
        </w:rPr>
        <w:t>（采购文件中明确的所属行业）</w:t>
      </w:r>
      <w:r>
        <w:rPr>
          <w:rFonts w:ascii="宋体" w:hAnsi="宋体"/>
          <w:kern w:val="24"/>
          <w:sz w:val="24"/>
        </w:rPr>
        <w:t>行业；制造商为</w:t>
      </w:r>
      <w:r>
        <w:rPr>
          <w:rFonts w:ascii="宋体" w:hAnsi="宋体"/>
          <w:kern w:val="24"/>
          <w:sz w:val="24"/>
          <w:u w:val="single"/>
        </w:rPr>
        <w:t>（企业名称）</w:t>
      </w:r>
      <w:r>
        <w:rPr>
          <w:rFonts w:ascii="宋体" w:hAnsi="宋体"/>
          <w:kern w:val="24"/>
          <w:sz w:val="24"/>
        </w:rPr>
        <w:t>，从业人员</w:t>
      </w:r>
      <w:r>
        <w:rPr>
          <w:rFonts w:hint="eastAsia" w:ascii="宋体" w:hAnsi="宋体"/>
          <w:kern w:val="24"/>
          <w:sz w:val="24"/>
          <w:u w:val="single"/>
        </w:rPr>
        <w:t xml:space="preserve"> </w:t>
      </w:r>
      <w:r>
        <w:rPr>
          <w:rFonts w:ascii="宋体" w:hAnsi="宋体"/>
          <w:kern w:val="24"/>
          <w:sz w:val="24"/>
          <w:u w:val="single"/>
        </w:rPr>
        <w:t xml:space="preserve">     </w:t>
      </w:r>
      <w:r>
        <w:rPr>
          <w:rFonts w:ascii="宋体" w:hAnsi="宋体"/>
          <w:kern w:val="24"/>
          <w:sz w:val="24"/>
        </w:rPr>
        <w:t>人，营业收入为</w:t>
      </w:r>
      <w:r>
        <w:rPr>
          <w:rFonts w:hint="eastAsia" w:ascii="宋体" w:hAnsi="宋体"/>
          <w:kern w:val="24"/>
          <w:sz w:val="24"/>
          <w:u w:val="single"/>
        </w:rPr>
        <w:t xml:space="preserve"> </w:t>
      </w:r>
      <w:r>
        <w:rPr>
          <w:rFonts w:ascii="宋体" w:hAnsi="宋体"/>
          <w:kern w:val="24"/>
          <w:sz w:val="24"/>
          <w:u w:val="single"/>
        </w:rPr>
        <w:t xml:space="preserve">     </w:t>
      </w:r>
      <w:r>
        <w:rPr>
          <w:rFonts w:ascii="宋体" w:hAnsi="宋体"/>
          <w:kern w:val="24"/>
          <w:sz w:val="24"/>
        </w:rPr>
        <w:t>万元，资产总额为</w:t>
      </w:r>
      <w:r>
        <w:rPr>
          <w:rFonts w:hint="eastAsia" w:ascii="宋体" w:hAnsi="宋体"/>
          <w:kern w:val="24"/>
          <w:sz w:val="24"/>
          <w:u w:val="single"/>
        </w:rPr>
        <w:t xml:space="preserve"> </w:t>
      </w:r>
      <w:r>
        <w:rPr>
          <w:rFonts w:ascii="宋体" w:hAnsi="宋体"/>
          <w:kern w:val="24"/>
          <w:sz w:val="24"/>
          <w:u w:val="single"/>
        </w:rPr>
        <w:t xml:space="preserve">     </w:t>
      </w:r>
      <w:r>
        <w:rPr>
          <w:rFonts w:ascii="宋体" w:hAnsi="宋体"/>
          <w:kern w:val="24"/>
          <w:sz w:val="24"/>
        </w:rPr>
        <w:t>万元，属于</w:t>
      </w:r>
      <w:r>
        <w:rPr>
          <w:rFonts w:ascii="宋体" w:hAnsi="宋体"/>
          <w:kern w:val="24"/>
          <w:sz w:val="24"/>
          <w:u w:val="single"/>
        </w:rPr>
        <w:t>（中型企业、小型企业、微型企业）</w:t>
      </w:r>
      <w:r>
        <w:rPr>
          <w:rFonts w:ascii="宋体" w:hAnsi="宋体"/>
          <w:kern w:val="24"/>
          <w:sz w:val="24"/>
        </w:rPr>
        <w:t>；</w:t>
      </w:r>
    </w:p>
    <w:p>
      <w:pPr>
        <w:tabs>
          <w:tab w:val="left" w:pos="1065"/>
          <w:tab w:val="left" w:pos="6477"/>
        </w:tabs>
        <w:spacing w:line="360" w:lineRule="auto"/>
        <w:ind w:left="-426" w:right="-58" w:firstLine="655"/>
        <w:contextualSpacing/>
        <w:rPr>
          <w:rFonts w:ascii="宋体" w:hAnsi="宋体"/>
          <w:kern w:val="24"/>
          <w:sz w:val="24"/>
        </w:rPr>
      </w:pPr>
      <w:r>
        <w:rPr>
          <w:rFonts w:ascii="宋体" w:hAnsi="宋体"/>
          <w:kern w:val="24"/>
          <w:sz w:val="24"/>
        </w:rPr>
        <w:t>2.</w:t>
      </w:r>
      <w:r>
        <w:rPr>
          <w:rFonts w:ascii="宋体" w:hAnsi="宋体"/>
          <w:kern w:val="24"/>
          <w:sz w:val="24"/>
          <w:u w:val="single"/>
        </w:rPr>
        <w:t>（标的名称）</w:t>
      </w:r>
      <w:r>
        <w:rPr>
          <w:rFonts w:ascii="宋体" w:hAnsi="宋体"/>
          <w:kern w:val="24"/>
          <w:sz w:val="24"/>
        </w:rPr>
        <w:t>，属于</w:t>
      </w:r>
      <w:r>
        <w:rPr>
          <w:rFonts w:ascii="宋体" w:hAnsi="宋体"/>
          <w:kern w:val="24"/>
          <w:sz w:val="24"/>
          <w:u w:val="single"/>
        </w:rPr>
        <w:t>（采购文件中明确的所属行业）</w:t>
      </w:r>
      <w:r>
        <w:rPr>
          <w:rFonts w:ascii="宋体" w:hAnsi="宋体"/>
          <w:kern w:val="24"/>
          <w:sz w:val="24"/>
        </w:rPr>
        <w:t>行业；制造商为</w:t>
      </w:r>
      <w:r>
        <w:rPr>
          <w:rFonts w:ascii="宋体" w:hAnsi="宋体"/>
          <w:kern w:val="24"/>
          <w:sz w:val="24"/>
          <w:u w:val="single"/>
        </w:rPr>
        <w:t>（企业名称）</w:t>
      </w:r>
      <w:r>
        <w:rPr>
          <w:rFonts w:ascii="宋体" w:hAnsi="宋体"/>
          <w:kern w:val="24"/>
          <w:sz w:val="24"/>
        </w:rPr>
        <w:t>，从业人员</w:t>
      </w:r>
      <w:r>
        <w:rPr>
          <w:rFonts w:hint="eastAsia" w:ascii="宋体" w:hAnsi="宋体"/>
          <w:kern w:val="24"/>
          <w:sz w:val="24"/>
          <w:u w:val="single"/>
        </w:rPr>
        <w:t xml:space="preserve"> </w:t>
      </w:r>
      <w:r>
        <w:rPr>
          <w:rFonts w:ascii="宋体" w:hAnsi="宋体"/>
          <w:kern w:val="24"/>
          <w:sz w:val="24"/>
          <w:u w:val="single"/>
        </w:rPr>
        <w:t xml:space="preserve">     </w:t>
      </w:r>
      <w:r>
        <w:rPr>
          <w:rFonts w:ascii="宋体" w:hAnsi="宋体"/>
          <w:kern w:val="24"/>
          <w:sz w:val="24"/>
        </w:rPr>
        <w:t>人，营业收入为</w:t>
      </w:r>
      <w:r>
        <w:rPr>
          <w:rFonts w:hint="eastAsia" w:ascii="宋体" w:hAnsi="宋体"/>
          <w:kern w:val="24"/>
          <w:sz w:val="24"/>
          <w:u w:val="single"/>
        </w:rPr>
        <w:t xml:space="preserve"> </w:t>
      </w:r>
      <w:r>
        <w:rPr>
          <w:rFonts w:ascii="宋体" w:hAnsi="宋体"/>
          <w:kern w:val="24"/>
          <w:sz w:val="24"/>
          <w:u w:val="single"/>
        </w:rPr>
        <w:t xml:space="preserve">     </w:t>
      </w:r>
      <w:r>
        <w:rPr>
          <w:rFonts w:ascii="宋体" w:hAnsi="宋体"/>
          <w:kern w:val="24"/>
          <w:sz w:val="24"/>
        </w:rPr>
        <w:t>万元，资产总额为</w:t>
      </w:r>
      <w:r>
        <w:rPr>
          <w:rFonts w:hint="eastAsia" w:ascii="宋体" w:hAnsi="宋体"/>
          <w:kern w:val="24"/>
          <w:sz w:val="24"/>
          <w:u w:val="single"/>
        </w:rPr>
        <w:t xml:space="preserve"> </w:t>
      </w:r>
      <w:r>
        <w:rPr>
          <w:rFonts w:ascii="宋体" w:hAnsi="宋体"/>
          <w:kern w:val="24"/>
          <w:sz w:val="24"/>
          <w:u w:val="single"/>
        </w:rPr>
        <w:t xml:space="preserve">     </w:t>
      </w:r>
      <w:r>
        <w:rPr>
          <w:rFonts w:ascii="宋体" w:hAnsi="宋体"/>
          <w:kern w:val="24"/>
          <w:sz w:val="24"/>
        </w:rPr>
        <w:t>万元，属于</w:t>
      </w:r>
      <w:r>
        <w:rPr>
          <w:rFonts w:ascii="宋体" w:hAnsi="宋体"/>
          <w:kern w:val="24"/>
          <w:sz w:val="24"/>
          <w:u w:val="single"/>
        </w:rPr>
        <w:t>（中型企业、小型企业、微型企业）</w:t>
      </w:r>
      <w:r>
        <w:rPr>
          <w:rFonts w:ascii="宋体" w:hAnsi="宋体"/>
          <w:kern w:val="24"/>
          <w:sz w:val="24"/>
        </w:rPr>
        <w:t>；</w:t>
      </w:r>
    </w:p>
    <w:p>
      <w:pPr>
        <w:pStyle w:val="18"/>
        <w:spacing w:line="360" w:lineRule="auto"/>
        <w:ind w:left="142" w:right="142"/>
        <w:contextualSpacing/>
        <w:rPr>
          <w:rFonts w:ascii="宋体" w:hAnsi="宋体"/>
          <w:kern w:val="24"/>
        </w:rPr>
      </w:pPr>
      <w:r>
        <w:rPr>
          <w:rFonts w:ascii="宋体" w:hAnsi="宋体"/>
          <w:kern w:val="24"/>
        </w:rPr>
        <w:t xml:space="preserve">…… </w:t>
      </w:r>
    </w:p>
    <w:p>
      <w:pPr>
        <w:pStyle w:val="18"/>
        <w:spacing w:line="360" w:lineRule="auto"/>
        <w:ind w:left="-405" w:leftChars="-193" w:right="142" w:firstLine="453" w:firstLineChars="189"/>
        <w:contextualSpacing/>
        <w:rPr>
          <w:rFonts w:ascii="宋体" w:hAnsi="宋体"/>
          <w:kern w:val="24"/>
        </w:rPr>
      </w:pPr>
      <w:r>
        <w:rPr>
          <w:rFonts w:ascii="宋体" w:hAnsi="宋体"/>
          <w:kern w:val="24"/>
        </w:rPr>
        <w:t>以上企业，不属于大企业的分支机构，不存在控股股东为大企业的情形，也不存在与大企业的负责人为同一人的情形。</w:t>
      </w:r>
    </w:p>
    <w:p>
      <w:pPr>
        <w:pStyle w:val="18"/>
        <w:spacing w:line="360" w:lineRule="auto"/>
        <w:ind w:left="-426" w:right="142" w:firstLine="567"/>
        <w:contextualSpacing/>
        <w:rPr>
          <w:rFonts w:ascii="宋体" w:hAnsi="宋体"/>
          <w:kern w:val="24"/>
        </w:rPr>
      </w:pPr>
      <w:r>
        <w:rPr>
          <w:rFonts w:ascii="宋体" w:hAnsi="宋体"/>
          <w:kern w:val="24"/>
        </w:rPr>
        <w:t>本企业对上述声明内容的真实性负责。如有虚假，将依法承担相应责任。</w:t>
      </w:r>
    </w:p>
    <w:p>
      <w:pPr>
        <w:pStyle w:val="18"/>
        <w:spacing w:line="360" w:lineRule="auto"/>
        <w:ind w:left="3960" w:right="1808"/>
        <w:contextualSpacing/>
        <w:rPr>
          <w:rFonts w:ascii="宋体" w:hAnsi="宋体"/>
          <w:kern w:val="24"/>
        </w:rPr>
      </w:pPr>
    </w:p>
    <w:p>
      <w:pPr>
        <w:pStyle w:val="18"/>
        <w:spacing w:line="360" w:lineRule="auto"/>
        <w:ind w:left="3960" w:right="1808"/>
        <w:contextualSpacing/>
        <w:rPr>
          <w:rFonts w:ascii="宋体" w:hAnsi="宋体"/>
          <w:kern w:val="24"/>
        </w:rPr>
      </w:pPr>
      <w:r>
        <w:rPr>
          <w:rFonts w:ascii="宋体" w:hAnsi="宋体"/>
          <w:kern w:val="24"/>
        </w:rPr>
        <w:t>企业名称（</w:t>
      </w:r>
      <w:r>
        <w:rPr>
          <w:rFonts w:hint="eastAsia" w:ascii="宋体" w:hAnsi="宋体"/>
          <w:kern w:val="24"/>
        </w:rPr>
        <w:t>电子签章</w:t>
      </w:r>
      <w:r>
        <w:rPr>
          <w:rFonts w:ascii="宋体" w:hAnsi="宋体"/>
          <w:kern w:val="24"/>
        </w:rPr>
        <w:t xml:space="preserve">）： </w:t>
      </w:r>
    </w:p>
    <w:p>
      <w:pPr>
        <w:pStyle w:val="18"/>
        <w:spacing w:line="360" w:lineRule="auto"/>
        <w:ind w:left="3960" w:right="1808"/>
        <w:contextualSpacing/>
        <w:rPr>
          <w:rFonts w:ascii="宋体" w:hAnsi="宋体"/>
          <w:kern w:val="24"/>
        </w:rPr>
      </w:pPr>
      <w:r>
        <w:rPr>
          <w:rFonts w:ascii="宋体" w:hAnsi="宋体"/>
          <w:kern w:val="24"/>
        </w:rPr>
        <w:t>日</w:t>
      </w:r>
      <w:r>
        <w:rPr>
          <w:rFonts w:hint="eastAsia" w:ascii="宋体" w:hAnsi="宋体"/>
          <w:kern w:val="24"/>
        </w:rPr>
        <w:t xml:space="preserve"> </w:t>
      </w:r>
      <w:r>
        <w:rPr>
          <w:rFonts w:ascii="宋体" w:hAnsi="宋体"/>
          <w:kern w:val="24"/>
        </w:rPr>
        <w:t>期：</w:t>
      </w:r>
    </w:p>
    <w:p>
      <w:pPr>
        <w:pStyle w:val="18"/>
        <w:spacing w:line="360" w:lineRule="auto"/>
        <w:ind w:left="3960" w:right="1808"/>
        <w:contextualSpacing/>
        <w:rPr>
          <w:rFonts w:ascii="宋体" w:hAnsi="宋体"/>
          <w:kern w:val="24"/>
        </w:rPr>
      </w:pPr>
    </w:p>
    <w:p>
      <w:pPr>
        <w:pStyle w:val="18"/>
        <w:spacing w:line="360" w:lineRule="auto"/>
        <w:ind w:left="-426" w:right="142" w:firstLine="567"/>
        <w:contextualSpacing/>
        <w:rPr>
          <w:rFonts w:ascii="宋体" w:hAnsi="宋体"/>
          <w:kern w:val="24"/>
        </w:rPr>
      </w:pPr>
      <w:r>
        <w:rPr>
          <w:rFonts w:hint="eastAsia" w:ascii="宋体" w:hAnsi="宋体"/>
          <w:kern w:val="24"/>
        </w:rPr>
        <w:t>注：享受《政府采购促进中小企业发展管理办法》（财库〔2020〕46号）规定的中小企业扶持政策的，采购人、采购代理机构应当随中标结果公开中标供应商的《中小企业声明函》。从业人员、营业收入、资产总额填报上一年度数据，无上一年度数据的新成立企业可不填报。</w:t>
      </w:r>
    </w:p>
    <w:p>
      <w:pPr>
        <w:rPr>
          <w:rFonts w:ascii="宋体" w:hAnsi="宋体"/>
          <w:b/>
          <w:sz w:val="24"/>
        </w:rPr>
      </w:pPr>
      <w:r>
        <w:rPr>
          <w:rFonts w:ascii="宋体" w:hAnsi="宋体"/>
          <w:kern w:val="24"/>
        </w:rPr>
        <w:br w:type="page"/>
      </w:r>
    </w:p>
    <w:p>
      <w:pPr>
        <w:snapToGrid w:val="0"/>
        <w:spacing w:before="120" w:beforeLines="50" w:after="50"/>
        <w:ind w:left="142"/>
        <w:jc w:val="left"/>
        <w:rPr>
          <w:rFonts w:ascii="宋体" w:hAnsi="宋体"/>
          <w:b/>
          <w:sz w:val="24"/>
        </w:rPr>
      </w:pPr>
      <w:r>
        <w:rPr>
          <w:rFonts w:ascii="宋体" w:hAnsi="宋体"/>
          <w:b/>
          <w:sz w:val="24"/>
        </w:rPr>
        <w:t>3</w:t>
      </w:r>
      <w:r>
        <w:rPr>
          <w:rFonts w:hint="eastAsia" w:ascii="宋体" w:hAnsi="宋体"/>
          <w:b/>
          <w:sz w:val="24"/>
        </w:rPr>
        <w:t>.残疾人福利性单位声明函格式</w:t>
      </w:r>
    </w:p>
    <w:p>
      <w:pPr>
        <w:spacing w:line="588" w:lineRule="exact"/>
        <w:jc w:val="center"/>
        <w:rPr>
          <w:rFonts w:ascii="仿宋_GB2312" w:eastAsia="仿宋_GB2312"/>
          <w:b/>
          <w:spacing w:val="6"/>
          <w:sz w:val="32"/>
          <w:szCs w:val="32"/>
        </w:rPr>
      </w:pPr>
    </w:p>
    <w:p>
      <w:pPr>
        <w:spacing w:line="588" w:lineRule="exact"/>
        <w:jc w:val="center"/>
        <w:rPr>
          <w:rFonts w:ascii="方正小标宋简体" w:hAnsi="方正小标宋简体" w:eastAsia="方正小标宋简体" w:cs="方正小标宋简体"/>
          <w:bCs/>
          <w:spacing w:val="6"/>
          <w:sz w:val="44"/>
          <w:szCs w:val="44"/>
        </w:rPr>
      </w:pPr>
      <w:r>
        <w:rPr>
          <w:rFonts w:hint="eastAsia" w:ascii="方正小标宋简体" w:hAnsi="方正小标宋简体" w:eastAsia="方正小标宋简体" w:cs="方正小标宋简体"/>
          <w:bCs/>
          <w:spacing w:val="6"/>
          <w:sz w:val="44"/>
          <w:szCs w:val="44"/>
        </w:rPr>
        <w:t>残疾人福利性单位声明函</w:t>
      </w:r>
    </w:p>
    <w:p>
      <w:pPr>
        <w:spacing w:line="360" w:lineRule="auto"/>
        <w:contextualSpacing/>
        <w:rPr>
          <w:rFonts w:ascii="仿宋_GB2312" w:eastAsia="仿宋_GB2312"/>
          <w:bCs/>
          <w:spacing w:val="6"/>
          <w:sz w:val="30"/>
          <w:szCs w:val="30"/>
        </w:rPr>
      </w:pPr>
    </w:p>
    <w:p>
      <w:pPr>
        <w:spacing w:line="360" w:lineRule="auto"/>
        <w:ind w:firstLine="504" w:firstLineChars="200"/>
        <w:contextualSpacing/>
        <w:rPr>
          <w:rFonts w:ascii="宋体" w:hAnsi="宋体"/>
          <w:spacing w:val="6"/>
          <w:sz w:val="24"/>
        </w:rPr>
      </w:pPr>
      <w:r>
        <w:rPr>
          <w:rFonts w:hint="eastAsia" w:ascii="宋体" w:hAnsi="宋体"/>
          <w:spacing w:val="6"/>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w:t>
      </w:r>
      <w:r>
        <w:rPr>
          <w:rFonts w:hint="eastAsia" w:ascii="宋体" w:hAnsi="宋体"/>
          <w:spacing w:val="-6"/>
          <w:sz w:val="24"/>
        </w:rPr>
        <w:t>疾人福利性单位制造的货物（不包括使用非残疾人福利性单位注册商标的货物）。</w:t>
      </w:r>
    </w:p>
    <w:p>
      <w:pPr>
        <w:spacing w:line="360" w:lineRule="auto"/>
        <w:ind w:firstLine="504" w:firstLineChars="200"/>
        <w:contextualSpacing/>
        <w:rPr>
          <w:rFonts w:ascii="宋体" w:hAnsi="宋体"/>
          <w:spacing w:val="6"/>
          <w:sz w:val="24"/>
        </w:rPr>
      </w:pPr>
      <w:r>
        <w:rPr>
          <w:rFonts w:hint="eastAsia" w:ascii="宋体" w:hAnsi="宋体"/>
          <w:spacing w:val="6"/>
          <w:sz w:val="24"/>
        </w:rPr>
        <w:t>本单位对上述声明的真实性负责。如有虚假，将依法承担相应责任。</w:t>
      </w:r>
    </w:p>
    <w:p>
      <w:pPr>
        <w:spacing w:line="360" w:lineRule="auto"/>
        <w:ind w:firstLine="504" w:firstLineChars="200"/>
        <w:contextualSpacing/>
        <w:rPr>
          <w:rFonts w:ascii="宋体" w:hAnsi="宋体"/>
          <w:spacing w:val="6"/>
          <w:sz w:val="24"/>
        </w:rPr>
      </w:pPr>
    </w:p>
    <w:p>
      <w:pPr>
        <w:spacing w:line="360" w:lineRule="auto"/>
        <w:ind w:firstLine="504" w:firstLineChars="200"/>
        <w:contextualSpacing/>
        <w:rPr>
          <w:rFonts w:ascii="宋体" w:hAnsi="宋体"/>
          <w:spacing w:val="6"/>
          <w:sz w:val="24"/>
        </w:rPr>
      </w:pPr>
    </w:p>
    <w:p>
      <w:pPr>
        <w:tabs>
          <w:tab w:val="left" w:pos="4860"/>
        </w:tabs>
        <w:spacing w:line="360" w:lineRule="auto"/>
        <w:ind w:right="1560" w:firstLine="504" w:firstLineChars="200"/>
        <w:contextualSpacing/>
        <w:jc w:val="center"/>
        <w:rPr>
          <w:rFonts w:ascii="宋体" w:hAnsi="宋体"/>
          <w:spacing w:val="6"/>
          <w:sz w:val="24"/>
        </w:rPr>
      </w:pPr>
      <w:r>
        <w:rPr>
          <w:rFonts w:hint="eastAsia" w:ascii="宋体" w:hAnsi="宋体"/>
          <w:spacing w:val="6"/>
          <w:sz w:val="24"/>
        </w:rPr>
        <w:t>单位名称（电子签章）：</w:t>
      </w:r>
    </w:p>
    <w:p>
      <w:pPr>
        <w:tabs>
          <w:tab w:val="left" w:pos="4860"/>
        </w:tabs>
        <w:spacing w:line="360" w:lineRule="auto"/>
        <w:ind w:right="1560" w:firstLine="504" w:firstLineChars="200"/>
        <w:contextualSpacing/>
        <w:jc w:val="center"/>
        <w:rPr>
          <w:rFonts w:ascii="宋体" w:hAnsi="宋体"/>
          <w:spacing w:val="6"/>
          <w:sz w:val="24"/>
        </w:rPr>
      </w:pPr>
      <w:r>
        <w:rPr>
          <w:rFonts w:hint="eastAsia" w:ascii="宋体" w:hAnsi="宋体"/>
          <w:spacing w:val="6"/>
          <w:sz w:val="24"/>
        </w:rPr>
        <w:t>日  期：</w:t>
      </w:r>
    </w:p>
    <w:p>
      <w:pPr>
        <w:spacing w:line="360" w:lineRule="auto"/>
        <w:contextualSpacing/>
        <w:rPr>
          <w:rFonts w:ascii="宋体" w:hAnsi="宋体"/>
          <w:sz w:val="24"/>
        </w:rPr>
      </w:pPr>
    </w:p>
    <w:p>
      <w:pPr>
        <w:spacing w:line="360" w:lineRule="auto"/>
        <w:contextualSpacing/>
        <w:rPr>
          <w:rFonts w:ascii="宋体" w:hAnsi="宋体"/>
          <w:sz w:val="24"/>
        </w:rPr>
      </w:pPr>
    </w:p>
    <w:p>
      <w:pPr>
        <w:spacing w:line="360" w:lineRule="auto"/>
        <w:contextualSpacing/>
        <w:rPr>
          <w:rFonts w:ascii="宋体" w:hAnsi="宋体"/>
          <w:sz w:val="24"/>
        </w:rPr>
      </w:pPr>
    </w:p>
    <w:p>
      <w:pPr>
        <w:spacing w:line="360" w:lineRule="auto"/>
        <w:contextualSpacing/>
        <w:rPr>
          <w:rFonts w:ascii="宋体" w:hAnsi="宋体"/>
          <w:sz w:val="24"/>
        </w:rPr>
      </w:pPr>
      <w:r>
        <w:rPr>
          <w:rFonts w:hint="eastAsia" w:ascii="宋体" w:hAnsi="宋体"/>
          <w:sz w:val="24"/>
        </w:rPr>
        <w:t>注：请根据自己的真实情况出具《残疾人福利性单位声明函》。依法享受中小企业优惠政策的，采购人或者采购代理机构在公告中标结果时，同时公告其《残疾人福利性单位声明函》，接受社会监督。</w:t>
      </w:r>
    </w:p>
    <w:p>
      <w:pPr>
        <w:pStyle w:val="18"/>
        <w:rPr>
          <w:rFonts w:ascii="宋体" w:hAnsi="宋体"/>
          <w:b/>
        </w:rPr>
      </w:pPr>
      <w:r>
        <w:rPr>
          <w:rFonts w:hint="eastAsia" w:ascii="宋体" w:hAnsi="宋体"/>
        </w:rPr>
        <w:br w:type="page"/>
      </w:r>
      <w:r>
        <w:rPr>
          <w:rFonts w:ascii="宋体" w:hAnsi="宋体"/>
          <w:b/>
        </w:rPr>
        <w:t>4</w:t>
      </w:r>
      <w:r>
        <w:rPr>
          <w:rFonts w:hint="eastAsia" w:ascii="宋体" w:hAnsi="宋体"/>
          <w:b/>
        </w:rPr>
        <w:t>.关于符合本国产品标准的声明函格式</w:t>
      </w:r>
    </w:p>
    <w:p>
      <w:pPr>
        <w:pStyle w:val="18"/>
      </w:pPr>
    </w:p>
    <w:p>
      <w:pPr>
        <w:widowControl/>
        <w:shd w:val="clear" w:color="auto" w:fill="FFFFFF"/>
        <w:jc w:val="center"/>
        <w:rPr>
          <w:rFonts w:ascii="宋体" w:hAnsi="宋体" w:cs="宋体"/>
          <w:kern w:val="0"/>
          <w:sz w:val="36"/>
          <w:szCs w:val="36"/>
        </w:rPr>
      </w:pPr>
      <w:r>
        <w:rPr>
          <w:rFonts w:hint="eastAsia" w:ascii="宋体" w:hAnsi="宋体" w:cs="宋体"/>
          <w:b/>
          <w:bCs/>
          <w:kern w:val="0"/>
          <w:sz w:val="36"/>
          <w:szCs w:val="36"/>
        </w:rPr>
        <w:t>关于符合本国产品标准的声明函</w:t>
      </w:r>
    </w:p>
    <w:p>
      <w:pPr>
        <w:widowControl/>
        <w:shd w:val="clear" w:color="auto" w:fill="FFFFFF"/>
        <w:spacing w:before="30" w:after="30"/>
        <w:ind w:firstLine="480"/>
        <w:jc w:val="left"/>
        <w:rPr>
          <w:rFonts w:ascii="宋体" w:hAnsi="宋体" w:cs="宋体"/>
          <w:kern w:val="0"/>
          <w:sz w:val="24"/>
        </w:rPr>
      </w:pPr>
      <w:r>
        <w:rPr>
          <w:rFonts w:hint="eastAsia" w:ascii="宋体" w:hAnsi="宋体" w:cs="宋体"/>
          <w:kern w:val="0"/>
          <w:sz w:val="24"/>
        </w:rPr>
        <w:t> </w:t>
      </w:r>
    </w:p>
    <w:p>
      <w:pPr>
        <w:widowControl/>
        <w:shd w:val="clear" w:color="auto" w:fill="FFFFFF"/>
        <w:spacing w:before="30" w:after="30"/>
        <w:ind w:firstLine="480"/>
        <w:jc w:val="left"/>
        <w:rPr>
          <w:rFonts w:ascii="宋体" w:hAnsi="宋体" w:cs="宋体"/>
          <w:kern w:val="0"/>
          <w:sz w:val="24"/>
        </w:rPr>
      </w:pPr>
      <w:r>
        <w:rPr>
          <w:rFonts w:hint="eastAsia" w:ascii="宋体" w:hAnsi="宋体" w:cs="宋体"/>
          <w:kern w:val="0"/>
          <w:sz w:val="24"/>
        </w:rPr>
        <w:t>本公司（单位）郑重声明，根据《国务院办公厅关于在政府采购中实施本国产品标准及相关政策的通知》（国办发〔2025〕34号）的规定，本公司（单位）提供的以下产品属于本国产品。具体情况如下：</w:t>
      </w:r>
    </w:p>
    <w:p>
      <w:pPr>
        <w:widowControl/>
        <w:shd w:val="clear" w:color="auto" w:fill="FFFFFF"/>
        <w:ind w:firstLine="480"/>
        <w:jc w:val="left"/>
        <w:rPr>
          <w:rFonts w:ascii="宋体" w:hAnsi="宋体" w:cs="宋体"/>
          <w:kern w:val="0"/>
          <w:sz w:val="24"/>
        </w:rPr>
      </w:pPr>
      <w:r>
        <w:rPr>
          <w:rFonts w:hint="eastAsia" w:ascii="宋体" w:hAnsi="宋体" w:cs="宋体"/>
          <w:kern w:val="0"/>
          <w:sz w:val="24"/>
        </w:rPr>
        <w:t>1.</w:t>
      </w:r>
      <w:r>
        <w:rPr>
          <w:rFonts w:hint="eastAsia" w:ascii="宋体" w:hAnsi="宋体" w:cs="宋体"/>
          <w:i/>
          <w:iCs/>
          <w:kern w:val="0"/>
          <w:sz w:val="24"/>
        </w:rPr>
        <w:t>（产品名称1）</w:t>
      </w:r>
      <w:r>
        <w:rPr>
          <w:rFonts w:hint="eastAsia" w:ascii="宋体" w:hAnsi="宋体" w:cs="宋体"/>
          <w:i/>
          <w:iCs/>
          <w:kern w:val="0"/>
          <w:sz w:val="18"/>
          <w:szCs w:val="18"/>
          <w:vertAlign w:val="superscript"/>
        </w:rPr>
        <w:t>1</w:t>
      </w:r>
      <w:r>
        <w:rPr>
          <w:rFonts w:hint="eastAsia" w:ascii="宋体" w:hAnsi="宋体" w:cs="宋体"/>
          <w:kern w:val="0"/>
          <w:sz w:val="24"/>
        </w:rPr>
        <w:t>，生产厂为</w:t>
      </w:r>
      <w:r>
        <w:rPr>
          <w:rFonts w:hint="eastAsia" w:ascii="宋体" w:hAnsi="宋体" w:cs="宋体"/>
          <w:i/>
          <w:iCs/>
          <w:kern w:val="0"/>
          <w:sz w:val="24"/>
        </w:rPr>
        <w:t>（厂名）</w:t>
      </w:r>
      <w:r>
        <w:rPr>
          <w:rFonts w:hint="eastAsia" w:ascii="宋体" w:hAnsi="宋体" w:cs="宋体"/>
          <w:i/>
          <w:iCs/>
          <w:kern w:val="0"/>
          <w:sz w:val="18"/>
          <w:szCs w:val="18"/>
          <w:vertAlign w:val="superscript"/>
        </w:rPr>
        <w:t>2</w:t>
      </w:r>
      <w:r>
        <w:rPr>
          <w:rFonts w:hint="eastAsia" w:ascii="宋体" w:hAnsi="宋体" w:cs="宋体"/>
          <w:kern w:val="0"/>
          <w:sz w:val="24"/>
        </w:rPr>
        <w:t>，厂址为</w:t>
      </w:r>
      <w:r>
        <w:rPr>
          <w:rFonts w:hint="eastAsia" w:ascii="宋体" w:hAnsi="宋体" w:cs="宋体"/>
          <w:i/>
          <w:iCs/>
          <w:kern w:val="0"/>
          <w:sz w:val="24"/>
        </w:rPr>
        <w:t>（生产厂址）</w:t>
      </w:r>
      <w:r>
        <w:rPr>
          <w:rFonts w:hint="eastAsia" w:ascii="宋体" w:hAnsi="宋体" w:cs="宋体"/>
          <w:kern w:val="0"/>
          <w:sz w:val="24"/>
        </w:rPr>
        <w:t>。</w:t>
      </w:r>
      <w:r>
        <w:rPr>
          <w:rFonts w:hint="eastAsia" w:ascii="宋体" w:hAnsi="宋体" w:cs="宋体"/>
          <w:i/>
          <w:iCs/>
          <w:kern w:val="0"/>
          <w:sz w:val="24"/>
        </w:rPr>
        <w:t>（产品名称1）</w:t>
      </w:r>
      <w:r>
        <w:rPr>
          <w:rFonts w:hint="eastAsia" w:ascii="宋体" w:hAnsi="宋体" w:cs="宋体"/>
          <w:kern w:val="0"/>
          <w:sz w:val="24"/>
        </w:rPr>
        <w:t>的中国境内生产的组件成本占比≥</w:t>
      </w:r>
      <w:r>
        <w:rPr>
          <w:rFonts w:hint="eastAsia" w:ascii="宋体" w:hAnsi="宋体" w:cs="宋体"/>
          <w:i/>
          <w:iCs/>
          <w:kern w:val="0"/>
          <w:sz w:val="24"/>
        </w:rPr>
        <w:t>（规定比例）</w:t>
      </w:r>
      <w:r>
        <w:rPr>
          <w:rFonts w:hint="eastAsia" w:ascii="宋体" w:hAnsi="宋体" w:cs="宋体"/>
          <w:i/>
          <w:iCs/>
          <w:kern w:val="0"/>
          <w:sz w:val="18"/>
          <w:szCs w:val="18"/>
          <w:vertAlign w:val="superscript"/>
        </w:rPr>
        <w:t>3</w:t>
      </w:r>
      <w:r>
        <w:rPr>
          <w:rFonts w:hint="eastAsia" w:ascii="宋体" w:hAnsi="宋体" w:cs="宋体"/>
          <w:kern w:val="0"/>
          <w:sz w:val="24"/>
        </w:rPr>
        <w:t>。</w:t>
      </w:r>
      <w:r>
        <w:rPr>
          <w:rFonts w:hint="eastAsia" w:ascii="宋体" w:hAnsi="宋体" w:cs="宋体"/>
          <w:i/>
          <w:iCs/>
          <w:kern w:val="0"/>
          <w:sz w:val="24"/>
        </w:rPr>
        <w:t>（产品名称1）</w:t>
      </w:r>
      <w:r>
        <w:rPr>
          <w:rFonts w:hint="eastAsia" w:ascii="宋体" w:hAnsi="宋体" w:cs="宋体"/>
          <w:kern w:val="0"/>
          <w:sz w:val="24"/>
        </w:rPr>
        <w:t>的</w:t>
      </w:r>
      <w:r>
        <w:rPr>
          <w:rFonts w:hint="eastAsia" w:ascii="宋体" w:hAnsi="宋体" w:cs="宋体"/>
          <w:i/>
          <w:iCs/>
          <w:kern w:val="0"/>
          <w:sz w:val="24"/>
        </w:rPr>
        <w:t>（关键组件）</w:t>
      </w:r>
      <w:r>
        <w:rPr>
          <w:rFonts w:hint="eastAsia" w:ascii="宋体" w:hAnsi="宋体" w:cs="宋体"/>
          <w:i/>
          <w:iCs/>
          <w:kern w:val="0"/>
          <w:sz w:val="18"/>
          <w:szCs w:val="18"/>
          <w:vertAlign w:val="superscript"/>
        </w:rPr>
        <w:t>4</w:t>
      </w:r>
      <w:r>
        <w:rPr>
          <w:rFonts w:hint="eastAsia" w:ascii="宋体" w:hAnsi="宋体" w:cs="宋体"/>
          <w:kern w:val="0"/>
          <w:sz w:val="24"/>
        </w:rPr>
        <w:t>在中国境内生产。</w:t>
      </w:r>
      <w:r>
        <w:rPr>
          <w:rFonts w:hint="eastAsia" w:ascii="宋体" w:hAnsi="宋体" w:cs="宋体"/>
          <w:i/>
          <w:iCs/>
          <w:kern w:val="0"/>
          <w:sz w:val="24"/>
        </w:rPr>
        <w:t>（产品名称1）</w:t>
      </w:r>
      <w:r>
        <w:rPr>
          <w:rFonts w:hint="eastAsia" w:ascii="宋体" w:hAnsi="宋体" w:cs="宋体"/>
          <w:kern w:val="0"/>
          <w:sz w:val="24"/>
        </w:rPr>
        <w:t>的</w:t>
      </w:r>
      <w:r>
        <w:rPr>
          <w:rFonts w:hint="eastAsia" w:ascii="宋体" w:hAnsi="宋体" w:cs="宋体"/>
          <w:i/>
          <w:iCs/>
          <w:kern w:val="0"/>
          <w:sz w:val="24"/>
        </w:rPr>
        <w:t>（关键工序）</w:t>
      </w:r>
      <w:r>
        <w:rPr>
          <w:rFonts w:hint="eastAsia" w:ascii="宋体" w:hAnsi="宋体" w:cs="宋体"/>
          <w:i/>
          <w:iCs/>
          <w:kern w:val="0"/>
          <w:sz w:val="18"/>
          <w:szCs w:val="18"/>
          <w:vertAlign w:val="superscript"/>
        </w:rPr>
        <w:t>5</w:t>
      </w:r>
      <w:r>
        <w:rPr>
          <w:rFonts w:hint="eastAsia" w:ascii="宋体" w:hAnsi="宋体" w:cs="宋体"/>
          <w:kern w:val="0"/>
          <w:sz w:val="24"/>
        </w:rPr>
        <w:t>在中国境内完成。</w:t>
      </w:r>
    </w:p>
    <w:p>
      <w:pPr>
        <w:widowControl/>
        <w:shd w:val="clear" w:color="auto" w:fill="FFFFFF"/>
        <w:ind w:firstLine="480"/>
        <w:jc w:val="left"/>
        <w:rPr>
          <w:rFonts w:ascii="宋体" w:hAnsi="宋体" w:cs="宋体"/>
          <w:kern w:val="0"/>
          <w:sz w:val="24"/>
        </w:rPr>
      </w:pPr>
      <w:r>
        <w:rPr>
          <w:rFonts w:hint="eastAsia" w:ascii="宋体" w:hAnsi="宋体" w:cs="宋体"/>
          <w:kern w:val="0"/>
          <w:sz w:val="24"/>
        </w:rPr>
        <w:t>2.</w:t>
      </w:r>
      <w:r>
        <w:rPr>
          <w:rFonts w:hint="eastAsia" w:ascii="宋体" w:hAnsi="宋体" w:cs="宋体"/>
          <w:i/>
          <w:iCs/>
          <w:kern w:val="0"/>
          <w:sz w:val="24"/>
        </w:rPr>
        <w:t>（产品名称2）</w:t>
      </w:r>
      <w:r>
        <w:rPr>
          <w:rFonts w:hint="eastAsia" w:ascii="宋体" w:hAnsi="宋体" w:cs="宋体"/>
          <w:kern w:val="0"/>
          <w:sz w:val="24"/>
        </w:rPr>
        <w:t>，生产厂为</w:t>
      </w:r>
      <w:r>
        <w:rPr>
          <w:rFonts w:hint="eastAsia" w:ascii="宋体" w:hAnsi="宋体" w:cs="宋体"/>
          <w:i/>
          <w:iCs/>
          <w:kern w:val="0"/>
          <w:sz w:val="24"/>
        </w:rPr>
        <w:t>（厂名）</w:t>
      </w:r>
      <w:r>
        <w:rPr>
          <w:rFonts w:hint="eastAsia" w:ascii="宋体" w:hAnsi="宋体" w:cs="宋体"/>
          <w:kern w:val="0"/>
          <w:sz w:val="24"/>
        </w:rPr>
        <w:t>，厂址为</w:t>
      </w:r>
      <w:r>
        <w:rPr>
          <w:rFonts w:hint="eastAsia" w:ascii="宋体" w:hAnsi="宋体" w:cs="宋体"/>
          <w:i/>
          <w:iCs/>
          <w:kern w:val="0"/>
          <w:sz w:val="24"/>
        </w:rPr>
        <w:t>（生产厂址）</w:t>
      </w:r>
      <w:r>
        <w:rPr>
          <w:rFonts w:hint="eastAsia" w:ascii="宋体" w:hAnsi="宋体" w:cs="宋体"/>
          <w:kern w:val="0"/>
          <w:sz w:val="24"/>
        </w:rPr>
        <w:t>。</w:t>
      </w:r>
      <w:r>
        <w:rPr>
          <w:rFonts w:hint="eastAsia" w:ascii="宋体" w:hAnsi="宋体" w:cs="宋体"/>
          <w:i/>
          <w:iCs/>
          <w:kern w:val="0"/>
          <w:sz w:val="24"/>
        </w:rPr>
        <w:t>（产品名称2）</w:t>
      </w:r>
      <w:r>
        <w:rPr>
          <w:rFonts w:hint="eastAsia" w:ascii="宋体" w:hAnsi="宋体" w:cs="宋体"/>
          <w:kern w:val="0"/>
          <w:sz w:val="24"/>
        </w:rPr>
        <w:t>的中国境内生产的组件成本占比≥</w:t>
      </w:r>
      <w:r>
        <w:rPr>
          <w:rFonts w:hint="eastAsia" w:ascii="宋体" w:hAnsi="宋体" w:cs="宋体"/>
          <w:i/>
          <w:iCs/>
          <w:kern w:val="0"/>
          <w:sz w:val="24"/>
        </w:rPr>
        <w:t>（规定比例）</w:t>
      </w:r>
      <w:r>
        <w:rPr>
          <w:rFonts w:hint="eastAsia" w:ascii="宋体" w:hAnsi="宋体" w:cs="宋体"/>
          <w:kern w:val="0"/>
          <w:sz w:val="24"/>
        </w:rPr>
        <w:t>。</w:t>
      </w:r>
      <w:r>
        <w:rPr>
          <w:rFonts w:hint="eastAsia" w:ascii="宋体" w:hAnsi="宋体" w:cs="宋体"/>
          <w:i/>
          <w:iCs/>
          <w:kern w:val="0"/>
          <w:sz w:val="24"/>
        </w:rPr>
        <w:t>（产品名称2）</w:t>
      </w:r>
      <w:r>
        <w:rPr>
          <w:rFonts w:hint="eastAsia" w:ascii="宋体" w:hAnsi="宋体" w:cs="宋体"/>
          <w:kern w:val="0"/>
          <w:sz w:val="24"/>
        </w:rPr>
        <w:t>的</w:t>
      </w:r>
      <w:r>
        <w:rPr>
          <w:rFonts w:hint="eastAsia" w:ascii="宋体" w:hAnsi="宋体" w:cs="宋体"/>
          <w:i/>
          <w:iCs/>
          <w:kern w:val="0"/>
          <w:sz w:val="24"/>
        </w:rPr>
        <w:t>（关键组件）</w:t>
      </w:r>
      <w:r>
        <w:rPr>
          <w:rFonts w:hint="eastAsia" w:ascii="宋体" w:hAnsi="宋体" w:cs="宋体"/>
          <w:kern w:val="0"/>
          <w:sz w:val="24"/>
        </w:rPr>
        <w:t>在中国境内生产。</w:t>
      </w:r>
      <w:r>
        <w:rPr>
          <w:rFonts w:hint="eastAsia" w:ascii="宋体" w:hAnsi="宋体" w:cs="宋体"/>
          <w:i/>
          <w:iCs/>
          <w:kern w:val="0"/>
          <w:sz w:val="24"/>
        </w:rPr>
        <w:t>（产品名称2）</w:t>
      </w:r>
      <w:r>
        <w:rPr>
          <w:rFonts w:hint="eastAsia" w:ascii="宋体" w:hAnsi="宋体" w:cs="宋体"/>
          <w:kern w:val="0"/>
          <w:sz w:val="24"/>
        </w:rPr>
        <w:t>的</w:t>
      </w:r>
      <w:r>
        <w:rPr>
          <w:rFonts w:hint="eastAsia" w:ascii="宋体" w:hAnsi="宋体" w:cs="宋体"/>
          <w:i/>
          <w:iCs/>
          <w:kern w:val="0"/>
          <w:sz w:val="24"/>
        </w:rPr>
        <w:t>（关键工序）</w:t>
      </w:r>
      <w:r>
        <w:rPr>
          <w:rFonts w:hint="eastAsia" w:ascii="宋体" w:hAnsi="宋体" w:cs="宋体"/>
          <w:kern w:val="0"/>
          <w:sz w:val="24"/>
        </w:rPr>
        <w:t>在中国境内完成。</w:t>
      </w:r>
    </w:p>
    <w:p>
      <w:pPr>
        <w:widowControl/>
        <w:shd w:val="clear" w:color="auto" w:fill="FFFFFF"/>
        <w:spacing w:before="30" w:after="30"/>
        <w:ind w:firstLine="480"/>
        <w:jc w:val="left"/>
        <w:rPr>
          <w:rFonts w:ascii="宋体" w:hAnsi="宋体" w:cs="宋体"/>
          <w:kern w:val="0"/>
          <w:sz w:val="24"/>
        </w:rPr>
      </w:pPr>
      <w:r>
        <w:rPr>
          <w:rFonts w:hint="eastAsia" w:ascii="宋体" w:hAnsi="宋体" w:cs="宋体"/>
          <w:kern w:val="0"/>
          <w:sz w:val="24"/>
        </w:rPr>
        <w:t>……</w:t>
      </w:r>
    </w:p>
    <w:p>
      <w:pPr>
        <w:widowControl/>
        <w:shd w:val="clear" w:color="auto" w:fill="FFFFFF"/>
        <w:spacing w:before="30" w:after="30"/>
        <w:ind w:firstLine="480"/>
        <w:jc w:val="left"/>
        <w:rPr>
          <w:rFonts w:ascii="宋体" w:hAnsi="宋体" w:cs="宋体"/>
          <w:kern w:val="0"/>
          <w:sz w:val="24"/>
        </w:rPr>
      </w:pPr>
      <w:r>
        <w:rPr>
          <w:rFonts w:hint="eastAsia" w:ascii="宋体" w:hAnsi="宋体" w:cs="宋体"/>
          <w:kern w:val="0"/>
          <w:sz w:val="24"/>
        </w:rPr>
        <w:t>本公司（单位）对上述声明内容的真实性负责。如有虚假，愿承担相应法律责任。</w:t>
      </w:r>
    </w:p>
    <w:p>
      <w:pPr>
        <w:widowControl/>
        <w:shd w:val="clear" w:color="auto" w:fill="FFFFFF"/>
        <w:spacing w:before="30" w:after="30"/>
        <w:jc w:val="left"/>
        <w:rPr>
          <w:rFonts w:ascii="宋体" w:hAnsi="宋体" w:cs="宋体"/>
          <w:kern w:val="0"/>
          <w:sz w:val="24"/>
        </w:rPr>
      </w:pPr>
      <w:r>
        <w:rPr>
          <w:rFonts w:hint="eastAsia" w:ascii="宋体" w:hAnsi="宋体" w:cs="宋体"/>
          <w:kern w:val="0"/>
          <w:sz w:val="24"/>
        </w:rPr>
        <w:t> </w:t>
      </w:r>
    </w:p>
    <w:p>
      <w:pPr>
        <w:widowControl/>
        <w:shd w:val="clear" w:color="auto" w:fill="FFFFFF"/>
        <w:spacing w:before="30" w:after="30"/>
        <w:jc w:val="right"/>
        <w:rPr>
          <w:rFonts w:ascii="宋体" w:hAnsi="宋体" w:cs="宋体"/>
          <w:kern w:val="0"/>
          <w:sz w:val="24"/>
        </w:rPr>
      </w:pPr>
      <w:r>
        <w:rPr>
          <w:rFonts w:hint="eastAsia" w:ascii="宋体" w:hAnsi="宋体" w:cs="宋体"/>
          <w:kern w:val="0"/>
          <w:sz w:val="24"/>
        </w:rPr>
        <w:t>公司（单位）名称（盖章）：　        </w:t>
      </w:r>
    </w:p>
    <w:p>
      <w:pPr>
        <w:widowControl/>
        <w:shd w:val="clear" w:color="auto" w:fill="FFFFFF"/>
        <w:jc w:val="right"/>
        <w:rPr>
          <w:rFonts w:ascii="宋体" w:hAnsi="宋体" w:cs="宋体"/>
          <w:kern w:val="0"/>
          <w:sz w:val="24"/>
        </w:rPr>
      </w:pPr>
      <w:r>
        <w:rPr>
          <w:rFonts w:hint="eastAsia" w:ascii="宋体" w:hAnsi="宋体" w:cs="宋体"/>
          <w:kern w:val="0"/>
          <w:sz w:val="24"/>
        </w:rPr>
        <w:t>日期：　     年　  月　  日         </w:t>
      </w:r>
    </w:p>
    <w:p>
      <w:pPr>
        <w:widowControl/>
        <w:shd w:val="clear" w:color="auto" w:fill="FFFFFF"/>
        <w:spacing w:before="30" w:after="30"/>
        <w:jc w:val="left"/>
        <w:rPr>
          <w:rFonts w:ascii="宋体" w:hAnsi="宋体" w:cs="宋体"/>
          <w:kern w:val="0"/>
          <w:sz w:val="24"/>
        </w:rPr>
      </w:pPr>
      <w:r>
        <w:rPr>
          <w:rFonts w:hint="eastAsia" w:ascii="宋体" w:hAnsi="宋体" w:cs="宋体"/>
          <w:kern w:val="0"/>
          <w:sz w:val="24"/>
        </w:rPr>
        <w:t>__________________</w:t>
      </w:r>
    </w:p>
    <w:p>
      <w:pPr>
        <w:widowControl/>
        <w:shd w:val="clear" w:color="auto" w:fill="FFFFFF"/>
        <w:ind w:firstLine="480"/>
        <w:jc w:val="left"/>
        <w:rPr>
          <w:rFonts w:ascii="宋体" w:hAnsi="宋体" w:cs="宋体"/>
          <w:kern w:val="0"/>
          <w:szCs w:val="21"/>
        </w:rPr>
      </w:pPr>
      <w:r>
        <w:rPr>
          <w:rFonts w:hint="eastAsia" w:ascii="宋体" w:hAnsi="宋体" w:cs="宋体"/>
          <w:kern w:val="0"/>
          <w:szCs w:val="21"/>
        </w:rPr>
        <w:t>1.产品如有型号，请在“产品名称”栏一并填写。</w:t>
      </w:r>
    </w:p>
    <w:p>
      <w:pPr>
        <w:widowControl/>
        <w:shd w:val="clear" w:color="auto" w:fill="FFFFFF"/>
        <w:ind w:firstLine="480"/>
        <w:jc w:val="left"/>
        <w:rPr>
          <w:rFonts w:ascii="宋体" w:hAnsi="宋体" w:cs="宋体"/>
          <w:kern w:val="0"/>
          <w:szCs w:val="21"/>
        </w:rPr>
      </w:pPr>
      <w:r>
        <w:rPr>
          <w:rFonts w:hint="eastAsia" w:ascii="宋体" w:hAnsi="宋体" w:cs="宋体"/>
          <w:kern w:val="0"/>
          <w:szCs w:val="21"/>
        </w:rPr>
        <w:t>2.生产厂名与厂址应与生产厂营业执照载明的相关信息保持一致。</w:t>
      </w:r>
    </w:p>
    <w:p>
      <w:pPr>
        <w:widowControl/>
        <w:shd w:val="clear" w:color="auto" w:fill="FFFFFF"/>
        <w:ind w:firstLine="480"/>
        <w:jc w:val="left"/>
        <w:rPr>
          <w:rFonts w:ascii="宋体" w:hAnsi="宋体" w:cs="宋体"/>
          <w:kern w:val="0"/>
          <w:szCs w:val="21"/>
        </w:rPr>
      </w:pPr>
      <w:r>
        <w:rPr>
          <w:rFonts w:hint="eastAsia" w:ascii="宋体" w:hAnsi="宋体" w:cs="宋体"/>
          <w:kern w:val="0"/>
          <w:szCs w:val="21"/>
        </w:rPr>
        <w:t>3.该产品的中国境内生产的组件成本占比相关要求实施前，“规定比例”栏可不填，下同。</w:t>
      </w:r>
    </w:p>
    <w:p>
      <w:pPr>
        <w:widowControl/>
        <w:shd w:val="clear" w:color="auto" w:fill="FFFFFF"/>
        <w:ind w:firstLine="480"/>
        <w:jc w:val="left"/>
        <w:rPr>
          <w:rFonts w:ascii="宋体" w:hAnsi="宋体" w:cs="宋体"/>
          <w:kern w:val="0"/>
          <w:szCs w:val="21"/>
        </w:rPr>
      </w:pPr>
      <w:r>
        <w:rPr>
          <w:rFonts w:hint="eastAsia" w:ascii="宋体" w:hAnsi="宋体" w:cs="宋体"/>
          <w:kern w:val="0"/>
          <w:szCs w:val="21"/>
        </w:rPr>
        <w:t>4.该产品的关键组件要求实施前，“关键组件”栏可不填，下同。</w:t>
      </w:r>
    </w:p>
    <w:p>
      <w:pPr>
        <w:widowControl/>
        <w:shd w:val="clear" w:color="auto" w:fill="FFFFFF"/>
        <w:ind w:firstLine="480"/>
        <w:jc w:val="left"/>
        <w:rPr>
          <w:rFonts w:ascii="宋体" w:hAnsi="宋体" w:cs="宋体"/>
          <w:kern w:val="0"/>
          <w:szCs w:val="21"/>
        </w:rPr>
      </w:pPr>
      <w:r>
        <w:rPr>
          <w:rFonts w:hint="eastAsia" w:ascii="宋体" w:hAnsi="宋体" w:cs="宋体"/>
          <w:kern w:val="0"/>
          <w:szCs w:val="21"/>
        </w:rPr>
        <w:t>5.该产品的关键工序要求实施前，“关键工序”栏可不填，下同。</w:t>
      </w:r>
    </w:p>
    <w:p>
      <w:pPr>
        <w:pStyle w:val="18"/>
      </w:pPr>
    </w:p>
    <w:p>
      <w:pPr>
        <w:spacing w:line="360" w:lineRule="auto"/>
        <w:contextualSpacing/>
        <w:rPr>
          <w:rFonts w:ascii="宋体" w:hAnsi="宋体"/>
          <w:sz w:val="24"/>
        </w:rPr>
      </w:pPr>
    </w:p>
    <w:p>
      <w:pPr>
        <w:spacing w:line="360" w:lineRule="auto"/>
        <w:jc w:val="left"/>
        <w:rPr>
          <w:rFonts w:ascii="宋体" w:hAnsi="宋体"/>
          <w:sz w:val="24"/>
        </w:rPr>
      </w:pPr>
      <w:r>
        <w:rPr>
          <w:rFonts w:ascii="宋体" w:hAnsi="宋体"/>
          <w:sz w:val="24"/>
        </w:rPr>
        <w:br w:type="page"/>
      </w:r>
      <w:r>
        <w:rPr>
          <w:rFonts w:hint="eastAsia" w:ascii="宋体" w:hAnsi="宋体"/>
          <w:sz w:val="24"/>
        </w:rPr>
        <w:t>5</w:t>
      </w:r>
      <w:r>
        <w:rPr>
          <w:rFonts w:hint="eastAsia" w:ascii="宋体" w:hAnsi="宋体"/>
          <w:b/>
          <w:sz w:val="24"/>
        </w:rPr>
        <w:t>.质疑函（格式）</w:t>
      </w:r>
    </w:p>
    <w:p>
      <w:pPr>
        <w:spacing w:line="360" w:lineRule="auto"/>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质疑函（格式）</w:t>
      </w:r>
    </w:p>
    <w:p>
      <w:pPr>
        <w:pStyle w:val="24"/>
        <w:snapToGrid w:val="0"/>
        <w:spacing w:line="360" w:lineRule="auto"/>
        <w:ind w:firstLine="482" w:firstLineChars="200"/>
        <w:rPr>
          <w:rFonts w:hAnsi="宋体"/>
          <w:b/>
          <w:bCs/>
          <w:sz w:val="24"/>
          <w:szCs w:val="24"/>
        </w:rPr>
      </w:pPr>
      <w:r>
        <w:rPr>
          <w:rFonts w:hint="eastAsia" w:hAnsi="宋体"/>
          <w:b/>
          <w:bCs/>
          <w:sz w:val="24"/>
          <w:szCs w:val="24"/>
        </w:rPr>
        <w:t>一、质疑供应商基本信息：</w:t>
      </w:r>
    </w:p>
    <w:p>
      <w:pPr>
        <w:pStyle w:val="24"/>
        <w:snapToGrid w:val="0"/>
        <w:spacing w:line="360" w:lineRule="auto"/>
        <w:ind w:firstLine="480" w:firstLineChars="200"/>
        <w:rPr>
          <w:rFonts w:hAnsi="宋体"/>
          <w:bCs/>
          <w:sz w:val="24"/>
          <w:szCs w:val="24"/>
          <w:u w:val="single"/>
        </w:rPr>
      </w:pPr>
      <w:r>
        <w:rPr>
          <w:rFonts w:hint="eastAsia" w:hAnsi="宋体"/>
          <w:bCs/>
          <w:sz w:val="24"/>
          <w:szCs w:val="24"/>
        </w:rPr>
        <w:t>质疑供应商：</w:t>
      </w:r>
      <w:r>
        <w:rPr>
          <w:rFonts w:hint="eastAsia" w:hAnsi="宋体"/>
          <w:bCs/>
          <w:sz w:val="24"/>
          <w:szCs w:val="24"/>
          <w:u w:val="single"/>
        </w:rPr>
        <w:t xml:space="preserve">                                       </w:t>
      </w:r>
      <w:r>
        <w:rPr>
          <w:rFonts w:hint="eastAsia" w:hAnsi="宋体"/>
          <w:bCs/>
          <w:sz w:val="24"/>
          <w:szCs w:val="24"/>
        </w:rPr>
        <w:t xml:space="preserve">                 </w:t>
      </w:r>
    </w:p>
    <w:p>
      <w:pPr>
        <w:pStyle w:val="24"/>
        <w:snapToGrid w:val="0"/>
        <w:spacing w:line="360" w:lineRule="auto"/>
        <w:ind w:firstLine="480" w:firstLineChars="200"/>
        <w:rPr>
          <w:rFonts w:hAnsi="宋体"/>
          <w:bCs/>
          <w:sz w:val="24"/>
          <w:szCs w:val="24"/>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pPr>
        <w:pStyle w:val="24"/>
        <w:snapToGrid w:val="0"/>
        <w:spacing w:line="360" w:lineRule="auto"/>
        <w:ind w:firstLine="480" w:firstLineChars="200"/>
        <w:rPr>
          <w:rFonts w:hAnsi="宋体"/>
          <w:bCs/>
          <w:sz w:val="24"/>
          <w:szCs w:val="24"/>
        </w:rPr>
      </w:pPr>
      <w:r>
        <w:rPr>
          <w:rFonts w:hAnsi="宋体"/>
          <w:bCs/>
          <w:sz w:val="24"/>
          <w:szCs w:val="24"/>
        </w:rPr>
        <w:t>联系人</w:t>
      </w:r>
      <w:r>
        <w:rPr>
          <w:rFonts w:hint="eastAsia" w:hAnsi="宋体"/>
          <w:bCs/>
          <w:sz w:val="24"/>
          <w:szCs w:val="24"/>
        </w:rPr>
        <w:t>：</w:t>
      </w:r>
      <w:r>
        <w:rPr>
          <w:rFonts w:hint="eastAsia" w:hAnsi="宋体"/>
          <w:bCs/>
          <w:sz w:val="24"/>
          <w:szCs w:val="24"/>
          <w:u w:val="single"/>
        </w:rPr>
        <w:t xml:space="preserve">                     </w:t>
      </w:r>
      <w:r>
        <w:rPr>
          <w:rFonts w:hAnsi="宋体"/>
          <w:bCs/>
          <w:sz w:val="24"/>
          <w:szCs w:val="24"/>
        </w:rPr>
        <w:t>联系电话</w:t>
      </w:r>
      <w:r>
        <w:rPr>
          <w:rFonts w:hint="eastAsia" w:hAnsi="宋体"/>
          <w:bCs/>
          <w:sz w:val="24"/>
          <w:szCs w:val="24"/>
        </w:rPr>
        <w:t>：</w:t>
      </w:r>
      <w:r>
        <w:rPr>
          <w:rFonts w:hint="eastAsia" w:hAnsi="宋体"/>
          <w:bCs/>
          <w:sz w:val="24"/>
          <w:szCs w:val="24"/>
          <w:u w:val="single"/>
        </w:rPr>
        <w:t xml:space="preserve">                 </w:t>
      </w:r>
    </w:p>
    <w:p>
      <w:pPr>
        <w:pStyle w:val="24"/>
        <w:snapToGrid w:val="0"/>
        <w:spacing w:line="360" w:lineRule="auto"/>
        <w:ind w:firstLine="480" w:firstLineChars="200"/>
        <w:rPr>
          <w:rFonts w:hAnsi="宋体"/>
          <w:bCs/>
          <w:sz w:val="24"/>
          <w:szCs w:val="24"/>
        </w:rPr>
      </w:pPr>
      <w:r>
        <w:rPr>
          <w:rFonts w:hint="eastAsia" w:hAnsi="宋体"/>
          <w:bCs/>
          <w:sz w:val="24"/>
          <w:szCs w:val="24"/>
        </w:rPr>
        <w:t>授权代表：</w:t>
      </w:r>
      <w:r>
        <w:rPr>
          <w:rFonts w:hint="eastAsia" w:hAnsi="宋体"/>
          <w:bCs/>
          <w:sz w:val="24"/>
          <w:szCs w:val="24"/>
          <w:u w:val="single"/>
        </w:rPr>
        <w:t xml:space="preserve">                      </w:t>
      </w:r>
    </w:p>
    <w:p>
      <w:pPr>
        <w:pStyle w:val="24"/>
        <w:snapToGrid w:val="0"/>
        <w:spacing w:line="360" w:lineRule="auto"/>
        <w:ind w:firstLine="480" w:firstLineChars="200"/>
        <w:rPr>
          <w:rFonts w:hAnsi="宋体"/>
          <w:bCs/>
          <w:sz w:val="24"/>
          <w:szCs w:val="24"/>
          <w:u w:val="single"/>
        </w:rPr>
      </w:pP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p>
    <w:p>
      <w:pPr>
        <w:pStyle w:val="24"/>
        <w:snapToGrid w:val="0"/>
        <w:spacing w:line="360" w:lineRule="auto"/>
        <w:ind w:firstLine="480" w:firstLineChars="200"/>
        <w:rPr>
          <w:rFonts w:hAnsi="宋体"/>
          <w:bCs/>
          <w:sz w:val="24"/>
          <w:szCs w:val="24"/>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pPr>
        <w:pStyle w:val="24"/>
        <w:snapToGrid w:val="0"/>
        <w:spacing w:line="360" w:lineRule="auto"/>
        <w:ind w:firstLine="482" w:firstLineChars="200"/>
        <w:rPr>
          <w:rFonts w:hAnsi="宋体"/>
          <w:b/>
          <w:bCs/>
          <w:sz w:val="24"/>
          <w:szCs w:val="24"/>
        </w:rPr>
      </w:pPr>
      <w:r>
        <w:rPr>
          <w:rFonts w:hint="eastAsia" w:hAnsi="宋体"/>
          <w:b/>
          <w:bCs/>
          <w:sz w:val="24"/>
          <w:szCs w:val="24"/>
        </w:rPr>
        <w:t>二、质疑项目基本情况：</w:t>
      </w:r>
    </w:p>
    <w:p>
      <w:pPr>
        <w:pStyle w:val="24"/>
        <w:spacing w:line="360" w:lineRule="auto"/>
        <w:ind w:left="25" w:leftChars="12" w:firstLine="472" w:firstLineChars="197"/>
        <w:rPr>
          <w:rFonts w:hAnsi="宋体"/>
          <w:sz w:val="24"/>
          <w:szCs w:val="24"/>
        </w:rPr>
      </w:pPr>
      <w:r>
        <w:rPr>
          <w:rFonts w:hint="eastAsia" w:hAnsi="宋体"/>
          <w:bCs/>
          <w:sz w:val="24"/>
          <w:szCs w:val="24"/>
        </w:rPr>
        <w:t>质疑</w:t>
      </w:r>
      <w:r>
        <w:rPr>
          <w:rFonts w:hint="eastAsia" w:hAnsi="宋体"/>
          <w:sz w:val="24"/>
          <w:szCs w:val="24"/>
        </w:rPr>
        <w:t>项目的名称：</w:t>
      </w:r>
      <w:r>
        <w:rPr>
          <w:rFonts w:hint="eastAsia" w:hAnsi="宋体"/>
          <w:bCs/>
          <w:sz w:val="24"/>
          <w:szCs w:val="24"/>
          <w:u w:val="single"/>
        </w:rPr>
        <w:t xml:space="preserve">                                     </w:t>
      </w:r>
    </w:p>
    <w:p>
      <w:pPr>
        <w:pStyle w:val="24"/>
        <w:spacing w:line="360" w:lineRule="auto"/>
        <w:ind w:left="25" w:leftChars="12" w:firstLine="472" w:firstLineChars="197"/>
        <w:rPr>
          <w:rFonts w:hAnsi="宋体"/>
          <w:sz w:val="24"/>
          <w:szCs w:val="24"/>
        </w:rPr>
      </w:pPr>
      <w:r>
        <w:rPr>
          <w:rFonts w:hint="eastAsia" w:hAnsi="宋体"/>
          <w:bCs/>
          <w:sz w:val="24"/>
          <w:szCs w:val="24"/>
        </w:rPr>
        <w:t>质疑</w:t>
      </w:r>
      <w:r>
        <w:rPr>
          <w:rFonts w:hint="eastAsia" w:hAnsi="宋体"/>
          <w:sz w:val="24"/>
          <w:szCs w:val="24"/>
        </w:rPr>
        <w:t>项目的编号：</w:t>
      </w:r>
      <w:r>
        <w:rPr>
          <w:rFonts w:hint="eastAsia" w:hAnsi="宋体"/>
          <w:bCs/>
          <w:sz w:val="24"/>
          <w:szCs w:val="24"/>
          <w:u w:val="single"/>
        </w:rPr>
        <w:t xml:space="preserve">                                     </w:t>
      </w:r>
    </w:p>
    <w:p>
      <w:pPr>
        <w:pStyle w:val="24"/>
        <w:spacing w:line="360" w:lineRule="auto"/>
        <w:ind w:left="25" w:leftChars="12" w:firstLine="472" w:firstLineChars="197"/>
        <w:rPr>
          <w:rFonts w:hAnsi="宋体"/>
          <w:sz w:val="24"/>
          <w:szCs w:val="24"/>
        </w:rPr>
      </w:pPr>
      <w:r>
        <w:rPr>
          <w:rFonts w:hint="eastAsia" w:hAnsi="宋体"/>
          <w:sz w:val="24"/>
          <w:szCs w:val="24"/>
        </w:rPr>
        <w:t>采购人名称：</w:t>
      </w:r>
      <w:r>
        <w:rPr>
          <w:rFonts w:hint="eastAsia" w:hAnsi="宋体"/>
          <w:bCs/>
          <w:sz w:val="24"/>
          <w:szCs w:val="24"/>
          <w:u w:val="single"/>
        </w:rPr>
        <w:t xml:space="preserve">                                         </w:t>
      </w:r>
    </w:p>
    <w:p>
      <w:pPr>
        <w:pStyle w:val="24"/>
        <w:spacing w:line="360" w:lineRule="auto"/>
        <w:ind w:left="25" w:leftChars="12" w:firstLine="472" w:firstLineChars="197"/>
        <w:rPr>
          <w:rFonts w:hAnsi="宋体"/>
          <w:sz w:val="24"/>
          <w:szCs w:val="24"/>
        </w:rPr>
      </w:pPr>
      <w:r>
        <w:rPr>
          <w:rFonts w:hint="eastAsia" w:hAnsi="宋体"/>
          <w:sz w:val="24"/>
          <w:szCs w:val="24"/>
        </w:rPr>
        <w:t>质疑事项：</w:t>
      </w:r>
    </w:p>
    <w:p>
      <w:pPr>
        <w:pStyle w:val="24"/>
        <w:spacing w:line="360" w:lineRule="auto"/>
        <w:ind w:left="25" w:leftChars="12" w:firstLine="352" w:firstLineChars="147"/>
        <w:rPr>
          <w:rFonts w:hAnsi="宋体"/>
          <w:sz w:val="24"/>
          <w:szCs w:val="24"/>
        </w:rPr>
      </w:pPr>
      <w:r>
        <w:rPr>
          <w:rFonts w:hint="eastAsia" w:hAnsi="宋体"/>
          <w:sz w:val="24"/>
          <w:szCs w:val="24"/>
        </w:rPr>
        <w:t>□招标文件   招标文件获取日期：</w:t>
      </w:r>
      <w:r>
        <w:rPr>
          <w:rFonts w:hint="eastAsia" w:hAnsi="宋体"/>
          <w:bCs/>
          <w:sz w:val="24"/>
          <w:szCs w:val="24"/>
          <w:u w:val="single"/>
        </w:rPr>
        <w:t xml:space="preserve">                                   </w:t>
      </w:r>
    </w:p>
    <w:p>
      <w:pPr>
        <w:pStyle w:val="24"/>
        <w:spacing w:line="360" w:lineRule="auto"/>
        <w:ind w:left="25" w:leftChars="12" w:firstLine="352" w:firstLineChars="147"/>
        <w:rPr>
          <w:rFonts w:hAnsi="宋体"/>
          <w:sz w:val="24"/>
          <w:szCs w:val="24"/>
        </w:rPr>
      </w:pPr>
      <w:r>
        <w:rPr>
          <w:rFonts w:hint="eastAsia" w:hAnsi="宋体"/>
          <w:sz w:val="24"/>
          <w:szCs w:val="24"/>
        </w:rPr>
        <w:t xml:space="preserve">□招标过程   </w:t>
      </w:r>
    </w:p>
    <w:p>
      <w:pPr>
        <w:pStyle w:val="24"/>
        <w:spacing w:line="360" w:lineRule="auto"/>
        <w:ind w:left="25" w:leftChars="12" w:firstLine="352" w:firstLineChars="147"/>
        <w:rPr>
          <w:rFonts w:hAnsi="宋体"/>
          <w:bCs/>
          <w:sz w:val="24"/>
          <w:szCs w:val="24"/>
          <w:u w:val="single"/>
        </w:rPr>
      </w:pPr>
      <w:r>
        <w:rPr>
          <w:rFonts w:hint="eastAsia" w:hAnsi="宋体"/>
          <w:sz w:val="24"/>
          <w:szCs w:val="24"/>
        </w:rPr>
        <w:t xml:space="preserve">□招标结果   </w:t>
      </w:r>
    </w:p>
    <w:p>
      <w:pPr>
        <w:pStyle w:val="24"/>
        <w:spacing w:line="360" w:lineRule="auto"/>
        <w:ind w:left="25" w:leftChars="12" w:firstLine="472" w:firstLineChars="196"/>
        <w:rPr>
          <w:rFonts w:hAnsi="宋体"/>
          <w:b/>
          <w:sz w:val="24"/>
          <w:szCs w:val="24"/>
        </w:rPr>
      </w:pPr>
      <w:r>
        <w:rPr>
          <w:rFonts w:hint="eastAsia" w:hAnsi="宋体"/>
          <w:b/>
          <w:sz w:val="24"/>
          <w:szCs w:val="24"/>
        </w:rPr>
        <w:t>三、质疑事项具体内容</w:t>
      </w:r>
    </w:p>
    <w:p>
      <w:pPr>
        <w:pStyle w:val="24"/>
        <w:spacing w:line="360" w:lineRule="auto"/>
        <w:ind w:left="25" w:leftChars="12" w:firstLine="472" w:firstLineChars="197"/>
        <w:rPr>
          <w:rFonts w:hAnsi="宋体"/>
          <w:sz w:val="24"/>
          <w:szCs w:val="24"/>
        </w:rPr>
      </w:pPr>
      <w:r>
        <w:rPr>
          <w:rFonts w:hint="eastAsia" w:hAnsi="宋体"/>
          <w:sz w:val="24"/>
          <w:szCs w:val="24"/>
        </w:rPr>
        <w:t>质疑事项1：</w:t>
      </w:r>
      <w:r>
        <w:rPr>
          <w:rFonts w:hint="eastAsia" w:hAnsi="宋体"/>
          <w:bCs/>
          <w:sz w:val="24"/>
          <w:szCs w:val="24"/>
          <w:u w:val="single"/>
        </w:rPr>
        <w:t xml:space="preserve">                                                                    </w:t>
      </w:r>
    </w:p>
    <w:p>
      <w:pPr>
        <w:pStyle w:val="24"/>
        <w:spacing w:line="360" w:lineRule="auto"/>
        <w:ind w:left="25" w:leftChars="12" w:firstLine="472" w:firstLineChars="197"/>
        <w:rPr>
          <w:rFonts w:hAnsi="宋体"/>
          <w:sz w:val="24"/>
          <w:szCs w:val="24"/>
        </w:rPr>
      </w:pPr>
      <w:r>
        <w:rPr>
          <w:rFonts w:hint="eastAsia" w:hAnsi="宋体"/>
          <w:sz w:val="24"/>
          <w:szCs w:val="24"/>
        </w:rPr>
        <w:t>事实依据：</w:t>
      </w:r>
      <w:r>
        <w:rPr>
          <w:rFonts w:hint="eastAsia" w:hAnsi="宋体"/>
          <w:bCs/>
          <w:sz w:val="24"/>
          <w:szCs w:val="24"/>
          <w:u w:val="single"/>
        </w:rPr>
        <w:t xml:space="preserve">                                                                      </w:t>
      </w:r>
    </w:p>
    <w:p>
      <w:pPr>
        <w:pStyle w:val="24"/>
        <w:spacing w:line="360" w:lineRule="auto"/>
        <w:ind w:left="25" w:leftChars="12" w:firstLine="472" w:firstLineChars="197"/>
        <w:rPr>
          <w:rFonts w:hAnsi="宋体"/>
          <w:sz w:val="24"/>
          <w:szCs w:val="24"/>
        </w:rPr>
      </w:pPr>
      <w:r>
        <w:rPr>
          <w:rFonts w:hint="eastAsia" w:hAnsi="宋体"/>
          <w:sz w:val="24"/>
          <w:szCs w:val="24"/>
        </w:rPr>
        <w:t>法律依据：</w:t>
      </w:r>
      <w:r>
        <w:rPr>
          <w:rFonts w:hint="eastAsia" w:hAnsi="宋体"/>
          <w:sz w:val="24"/>
          <w:szCs w:val="24"/>
          <w:u w:val="single"/>
        </w:rPr>
        <w:t xml:space="preserve">                                                        </w:t>
      </w:r>
      <w:r>
        <w:rPr>
          <w:rFonts w:hint="eastAsia" w:hAnsi="宋体"/>
          <w:bCs/>
          <w:sz w:val="24"/>
          <w:szCs w:val="24"/>
          <w:u w:val="single"/>
        </w:rPr>
        <w:t xml:space="preserve">               </w:t>
      </w:r>
    </w:p>
    <w:p>
      <w:pPr>
        <w:pStyle w:val="24"/>
        <w:spacing w:line="360" w:lineRule="auto"/>
        <w:ind w:left="25" w:leftChars="12" w:firstLine="472" w:firstLineChars="197"/>
        <w:rPr>
          <w:rFonts w:hAnsi="宋体"/>
          <w:sz w:val="24"/>
          <w:szCs w:val="24"/>
        </w:rPr>
      </w:pPr>
      <w:r>
        <w:rPr>
          <w:rFonts w:hint="eastAsia" w:hAnsi="宋体"/>
          <w:sz w:val="24"/>
          <w:szCs w:val="24"/>
        </w:rPr>
        <w:t>质疑事项2</w:t>
      </w:r>
    </w:p>
    <w:p>
      <w:pPr>
        <w:pStyle w:val="24"/>
        <w:spacing w:line="360" w:lineRule="auto"/>
        <w:ind w:left="25" w:leftChars="12" w:firstLine="472" w:firstLineChars="197"/>
        <w:rPr>
          <w:rFonts w:hAnsi="宋体"/>
          <w:sz w:val="24"/>
          <w:szCs w:val="24"/>
        </w:rPr>
      </w:pPr>
      <w:r>
        <w:rPr>
          <w:rFonts w:hAnsi="宋体"/>
          <w:sz w:val="24"/>
          <w:szCs w:val="24"/>
        </w:rPr>
        <w:t>……</w:t>
      </w:r>
    </w:p>
    <w:p>
      <w:pPr>
        <w:pStyle w:val="24"/>
        <w:spacing w:line="360" w:lineRule="auto"/>
        <w:ind w:left="25" w:leftChars="12" w:firstLine="472" w:firstLineChars="197"/>
        <w:rPr>
          <w:rFonts w:hAnsi="宋体"/>
          <w:sz w:val="24"/>
          <w:szCs w:val="24"/>
        </w:rPr>
      </w:pPr>
      <w:r>
        <w:rPr>
          <w:rFonts w:hint="eastAsia" w:hAnsi="宋体"/>
          <w:sz w:val="24"/>
          <w:szCs w:val="24"/>
        </w:rPr>
        <w:t>四、与质疑事项相关的质疑请求：</w:t>
      </w:r>
    </w:p>
    <w:p>
      <w:pPr>
        <w:pStyle w:val="24"/>
        <w:spacing w:line="360" w:lineRule="auto"/>
        <w:ind w:left="25" w:leftChars="12" w:firstLine="472" w:firstLineChars="197"/>
        <w:rPr>
          <w:rFonts w:hAnsi="宋体"/>
          <w:sz w:val="24"/>
          <w:szCs w:val="24"/>
        </w:rPr>
      </w:pPr>
      <w:r>
        <w:rPr>
          <w:rFonts w:hint="eastAsia" w:hAnsi="宋体"/>
          <w:sz w:val="24"/>
          <w:szCs w:val="24"/>
        </w:rPr>
        <w:t>请求：</w:t>
      </w:r>
      <w:r>
        <w:rPr>
          <w:rFonts w:hint="eastAsia" w:hAnsi="宋体"/>
          <w:bCs/>
          <w:sz w:val="24"/>
          <w:szCs w:val="24"/>
          <w:u w:val="single"/>
        </w:rPr>
        <w:t xml:space="preserve">                                                                </w:t>
      </w:r>
    </w:p>
    <w:p>
      <w:pPr>
        <w:pStyle w:val="24"/>
        <w:spacing w:line="360" w:lineRule="auto"/>
        <w:ind w:left="25" w:leftChars="12" w:firstLine="352" w:firstLineChars="147"/>
        <w:rPr>
          <w:rFonts w:hAnsi="宋体"/>
          <w:sz w:val="24"/>
          <w:szCs w:val="24"/>
        </w:rPr>
      </w:pPr>
    </w:p>
    <w:p>
      <w:pPr>
        <w:pStyle w:val="24"/>
        <w:spacing w:line="360" w:lineRule="auto"/>
        <w:ind w:left="25" w:leftChars="12" w:firstLine="472" w:firstLineChars="197"/>
        <w:rPr>
          <w:rFonts w:hAnsi="宋体"/>
          <w:sz w:val="24"/>
          <w:szCs w:val="24"/>
        </w:rPr>
      </w:pPr>
      <w:r>
        <w:rPr>
          <w:rFonts w:hint="eastAsia" w:hAnsi="宋体"/>
          <w:sz w:val="24"/>
          <w:szCs w:val="24"/>
        </w:rPr>
        <w:t>签字（签章）：                                       公章：</w:t>
      </w:r>
    </w:p>
    <w:p>
      <w:pPr>
        <w:pStyle w:val="24"/>
        <w:spacing w:line="360" w:lineRule="auto"/>
        <w:ind w:left="25" w:leftChars="12" w:firstLine="352" w:firstLineChars="147"/>
        <w:rPr>
          <w:rFonts w:hAnsi="宋体"/>
          <w:sz w:val="24"/>
          <w:szCs w:val="24"/>
        </w:rPr>
      </w:pPr>
    </w:p>
    <w:p>
      <w:pPr>
        <w:pStyle w:val="24"/>
        <w:spacing w:line="360" w:lineRule="auto"/>
        <w:ind w:left="25" w:leftChars="12" w:firstLine="472" w:firstLineChars="197"/>
        <w:rPr>
          <w:rFonts w:hAnsi="宋体"/>
          <w:sz w:val="24"/>
          <w:szCs w:val="24"/>
        </w:rPr>
      </w:pPr>
      <w:r>
        <w:rPr>
          <w:rFonts w:hint="eastAsia" w:hAnsi="宋体"/>
          <w:sz w:val="24"/>
          <w:szCs w:val="24"/>
        </w:rPr>
        <w:t>日期：</w:t>
      </w:r>
    </w:p>
    <w:p>
      <w:pPr>
        <w:pStyle w:val="24"/>
        <w:snapToGrid w:val="0"/>
        <w:spacing w:line="360" w:lineRule="auto"/>
        <w:rPr>
          <w:rFonts w:hAnsi="宋体"/>
          <w:b/>
          <w:sz w:val="24"/>
          <w:szCs w:val="24"/>
        </w:rPr>
      </w:pPr>
    </w:p>
    <w:p>
      <w:pPr>
        <w:pStyle w:val="24"/>
        <w:snapToGrid w:val="0"/>
        <w:spacing w:line="360" w:lineRule="auto"/>
        <w:rPr>
          <w:rFonts w:hAnsi="宋体"/>
          <w:b/>
          <w:sz w:val="24"/>
          <w:szCs w:val="24"/>
        </w:rPr>
      </w:pPr>
      <w:r>
        <w:rPr>
          <w:rFonts w:hint="eastAsia" w:hAnsi="宋体"/>
          <w:b/>
          <w:sz w:val="24"/>
          <w:szCs w:val="24"/>
        </w:rPr>
        <w:t>说明：</w:t>
      </w:r>
    </w:p>
    <w:p>
      <w:pPr>
        <w:pStyle w:val="24"/>
        <w:spacing w:line="360" w:lineRule="auto"/>
        <w:ind w:left="25" w:leftChars="12" w:firstLine="354" w:firstLineChars="147"/>
        <w:rPr>
          <w:rFonts w:hAnsi="宋体"/>
          <w:b/>
          <w:bCs/>
          <w:sz w:val="24"/>
          <w:szCs w:val="24"/>
        </w:rPr>
      </w:pPr>
      <w:r>
        <w:rPr>
          <w:rFonts w:hint="eastAsia" w:hAnsi="宋体"/>
          <w:b/>
          <w:sz w:val="24"/>
          <w:szCs w:val="24"/>
        </w:rPr>
        <w:t>1.供应商提出质疑时，应提交质疑函和必要的证明材料</w:t>
      </w:r>
      <w:r>
        <w:rPr>
          <w:rFonts w:hint="eastAsia" w:hAnsi="宋体"/>
          <w:b/>
          <w:bCs/>
          <w:sz w:val="24"/>
          <w:szCs w:val="24"/>
        </w:rPr>
        <w:t>。</w:t>
      </w:r>
    </w:p>
    <w:p>
      <w:pPr>
        <w:pStyle w:val="24"/>
        <w:spacing w:line="360" w:lineRule="auto"/>
        <w:ind w:left="25" w:leftChars="12" w:firstLine="354" w:firstLineChars="147"/>
        <w:rPr>
          <w:rFonts w:hAnsi="宋体"/>
          <w:b/>
          <w:sz w:val="24"/>
          <w:szCs w:val="24"/>
        </w:rPr>
      </w:pPr>
      <w:r>
        <w:rPr>
          <w:rFonts w:hint="eastAsia" w:hAnsi="宋体"/>
          <w:b/>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pStyle w:val="24"/>
        <w:spacing w:line="360" w:lineRule="auto"/>
        <w:ind w:left="25" w:leftChars="12" w:firstLine="354" w:firstLineChars="147"/>
        <w:rPr>
          <w:rFonts w:hAnsi="宋体"/>
          <w:b/>
          <w:sz w:val="24"/>
          <w:szCs w:val="24"/>
        </w:rPr>
      </w:pPr>
      <w:r>
        <w:rPr>
          <w:rFonts w:hint="eastAsia" w:hAnsi="宋体"/>
          <w:b/>
          <w:sz w:val="24"/>
          <w:szCs w:val="24"/>
        </w:rPr>
        <w:t>3.质疑函的质疑事项应具体、明确，并有必要的事实依据和法律依据。</w:t>
      </w:r>
    </w:p>
    <w:p>
      <w:pPr>
        <w:pStyle w:val="24"/>
        <w:spacing w:line="360" w:lineRule="auto"/>
        <w:ind w:left="25" w:leftChars="12" w:firstLine="354" w:firstLineChars="147"/>
        <w:rPr>
          <w:rFonts w:hAnsi="宋体"/>
          <w:b/>
          <w:sz w:val="24"/>
          <w:szCs w:val="24"/>
        </w:rPr>
      </w:pPr>
      <w:r>
        <w:rPr>
          <w:rFonts w:hint="eastAsia" w:hAnsi="宋体"/>
          <w:b/>
          <w:sz w:val="24"/>
          <w:szCs w:val="24"/>
        </w:rPr>
        <w:t>4.质疑函的质疑请求应与质疑事项相关。</w:t>
      </w:r>
    </w:p>
    <w:p>
      <w:pPr>
        <w:pStyle w:val="24"/>
        <w:spacing w:line="360" w:lineRule="auto"/>
        <w:ind w:left="25" w:leftChars="12" w:firstLine="354" w:firstLineChars="147"/>
        <w:rPr>
          <w:rFonts w:hAnsi="宋体"/>
          <w:b/>
        </w:rPr>
      </w:pPr>
      <w:r>
        <w:rPr>
          <w:rFonts w:hint="eastAsia" w:hAnsi="宋体"/>
          <w:b/>
          <w:sz w:val="24"/>
          <w:szCs w:val="24"/>
        </w:rPr>
        <w:t>5.质疑供应商为法人或者其他组织的，质疑函应由法定代表人、主要负责人，或者其授权代表签字或者盖章，并加盖公章。</w:t>
      </w:r>
    </w:p>
    <w:p>
      <w:pPr>
        <w:pStyle w:val="24"/>
        <w:snapToGrid w:val="0"/>
        <w:rPr>
          <w:b/>
          <w:sz w:val="24"/>
          <w:szCs w:val="24"/>
        </w:rPr>
      </w:pPr>
    </w:p>
    <w:p>
      <w:pPr>
        <w:spacing w:line="360" w:lineRule="auto"/>
        <w:jc w:val="left"/>
        <w:rPr>
          <w:rFonts w:ascii="宋体" w:hAnsi="宋体"/>
          <w:b/>
          <w:bCs/>
          <w:sz w:val="32"/>
          <w:szCs w:val="32"/>
        </w:rPr>
      </w:pPr>
      <w:r>
        <w:rPr>
          <w:rFonts w:eastAsia="隶书"/>
          <w:sz w:val="44"/>
        </w:rPr>
        <w:br w:type="page"/>
      </w:r>
      <w:r>
        <w:rPr>
          <w:rFonts w:hint="eastAsia" w:ascii="宋体" w:hAnsi="宋体"/>
          <w:b/>
          <w:sz w:val="24"/>
        </w:rPr>
        <w:t>6.投诉书（格式）</w:t>
      </w:r>
    </w:p>
    <w:p>
      <w:pPr>
        <w:spacing w:line="360" w:lineRule="auto"/>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投诉书（格式）</w:t>
      </w:r>
    </w:p>
    <w:p>
      <w:pPr>
        <w:pStyle w:val="24"/>
        <w:snapToGrid w:val="0"/>
        <w:spacing w:line="360" w:lineRule="auto"/>
        <w:ind w:firstLine="482" w:firstLineChars="200"/>
        <w:rPr>
          <w:rFonts w:hAnsi="宋体"/>
          <w:b/>
          <w:bCs/>
          <w:sz w:val="24"/>
          <w:szCs w:val="24"/>
        </w:rPr>
      </w:pPr>
      <w:r>
        <w:rPr>
          <w:rFonts w:hint="eastAsia" w:hAnsi="宋体"/>
          <w:b/>
          <w:bCs/>
          <w:sz w:val="24"/>
          <w:szCs w:val="24"/>
        </w:rPr>
        <w:t>一、投诉相关主体基本情况：</w:t>
      </w:r>
    </w:p>
    <w:p>
      <w:pPr>
        <w:pStyle w:val="24"/>
        <w:snapToGrid w:val="0"/>
        <w:spacing w:line="360" w:lineRule="auto"/>
        <w:ind w:firstLine="480" w:firstLineChars="200"/>
        <w:jc w:val="left"/>
        <w:rPr>
          <w:rFonts w:hAnsi="宋体"/>
          <w:bCs/>
          <w:sz w:val="24"/>
          <w:szCs w:val="24"/>
          <w:u w:val="single"/>
        </w:rPr>
      </w:pPr>
      <w:r>
        <w:rPr>
          <w:rFonts w:hint="eastAsia" w:hAnsi="宋体"/>
          <w:bCs/>
          <w:sz w:val="24"/>
          <w:szCs w:val="24"/>
        </w:rPr>
        <w:t>投标人：</w:t>
      </w:r>
      <w:r>
        <w:rPr>
          <w:rFonts w:hint="eastAsia" w:hAnsi="宋体"/>
          <w:bCs/>
          <w:sz w:val="24"/>
          <w:szCs w:val="24"/>
          <w:u w:val="single"/>
        </w:rPr>
        <w:t xml:space="preserve">                                                                        </w:t>
      </w:r>
      <w:r>
        <w:rPr>
          <w:rFonts w:hint="eastAsia" w:hAnsi="宋体"/>
          <w:bCs/>
          <w:sz w:val="24"/>
          <w:szCs w:val="24"/>
        </w:rPr>
        <w:t xml:space="preserve">                 </w:t>
      </w:r>
    </w:p>
    <w:p>
      <w:pPr>
        <w:pStyle w:val="24"/>
        <w:snapToGrid w:val="0"/>
        <w:spacing w:line="360" w:lineRule="auto"/>
        <w:ind w:firstLine="480" w:firstLineChars="200"/>
        <w:jc w:val="left"/>
        <w:rPr>
          <w:rFonts w:hAnsi="宋体"/>
          <w:bCs/>
          <w:sz w:val="24"/>
          <w:szCs w:val="24"/>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pPr>
        <w:pStyle w:val="24"/>
        <w:snapToGrid w:val="0"/>
        <w:spacing w:line="360" w:lineRule="auto"/>
        <w:ind w:firstLine="480" w:firstLineChars="200"/>
        <w:jc w:val="left"/>
        <w:rPr>
          <w:rFonts w:hAnsi="宋体"/>
          <w:bCs/>
          <w:sz w:val="24"/>
          <w:szCs w:val="24"/>
          <w:u w:val="single"/>
        </w:rPr>
      </w:pPr>
      <w:r>
        <w:rPr>
          <w:rFonts w:hint="eastAsia" w:hAnsi="宋体"/>
          <w:bCs/>
          <w:sz w:val="24"/>
          <w:szCs w:val="24"/>
        </w:rPr>
        <w:t>法定代表人/主要负责人：</w:t>
      </w:r>
      <w:r>
        <w:rPr>
          <w:rFonts w:hint="eastAsia" w:hAnsi="宋体"/>
          <w:bCs/>
          <w:sz w:val="24"/>
          <w:szCs w:val="24"/>
          <w:u w:val="single"/>
        </w:rPr>
        <w:t xml:space="preserve">                                                         </w:t>
      </w:r>
    </w:p>
    <w:p>
      <w:pPr>
        <w:pStyle w:val="24"/>
        <w:snapToGrid w:val="0"/>
        <w:spacing w:line="360" w:lineRule="auto"/>
        <w:ind w:firstLine="480" w:firstLineChars="200"/>
        <w:jc w:val="left"/>
        <w:rPr>
          <w:rFonts w:hAnsi="宋体"/>
          <w:bCs/>
          <w:sz w:val="24"/>
          <w:szCs w:val="24"/>
        </w:rPr>
      </w:pPr>
      <w:r>
        <w:rPr>
          <w:rFonts w:hAnsi="宋体"/>
          <w:bCs/>
          <w:sz w:val="24"/>
          <w:szCs w:val="24"/>
        </w:rPr>
        <w:t>联系电话</w:t>
      </w:r>
      <w:r>
        <w:rPr>
          <w:rFonts w:hint="eastAsia" w:hAnsi="宋体"/>
          <w:bCs/>
          <w:sz w:val="24"/>
          <w:szCs w:val="24"/>
        </w:rPr>
        <w:t>：</w:t>
      </w:r>
      <w:r>
        <w:rPr>
          <w:rFonts w:hint="eastAsia" w:hAnsi="宋体"/>
          <w:bCs/>
          <w:sz w:val="24"/>
          <w:szCs w:val="24"/>
          <w:u w:val="single"/>
        </w:rPr>
        <w:t xml:space="preserve">                                         </w:t>
      </w:r>
    </w:p>
    <w:p>
      <w:pPr>
        <w:pStyle w:val="24"/>
        <w:snapToGrid w:val="0"/>
        <w:spacing w:line="360" w:lineRule="auto"/>
        <w:ind w:firstLine="480" w:firstLineChars="200"/>
        <w:jc w:val="left"/>
        <w:rPr>
          <w:rFonts w:hAnsi="宋体"/>
          <w:bCs/>
          <w:sz w:val="24"/>
          <w:szCs w:val="24"/>
          <w:u w:val="single"/>
        </w:rPr>
      </w:pPr>
      <w:r>
        <w:rPr>
          <w:rFonts w:hint="eastAsia" w:hAnsi="宋体"/>
          <w:bCs/>
          <w:sz w:val="24"/>
          <w:szCs w:val="24"/>
        </w:rPr>
        <w:t>授权代表：</w:t>
      </w:r>
      <w:r>
        <w:rPr>
          <w:rFonts w:hint="eastAsia" w:hAnsi="宋体"/>
          <w:bCs/>
          <w:sz w:val="24"/>
          <w:szCs w:val="24"/>
          <w:u w:val="single"/>
        </w:rPr>
        <w:t xml:space="preserve">                                         </w:t>
      </w: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p>
    <w:p>
      <w:pPr>
        <w:pStyle w:val="24"/>
        <w:snapToGrid w:val="0"/>
        <w:spacing w:line="360" w:lineRule="auto"/>
        <w:ind w:firstLine="480" w:firstLineChars="200"/>
        <w:jc w:val="left"/>
        <w:rPr>
          <w:rFonts w:hAnsi="宋体"/>
          <w:bCs/>
          <w:sz w:val="24"/>
          <w:szCs w:val="24"/>
          <w:u w:val="single"/>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p>
    <w:p>
      <w:pPr>
        <w:pStyle w:val="24"/>
        <w:snapToGrid w:val="0"/>
        <w:spacing w:line="360" w:lineRule="auto"/>
        <w:ind w:firstLine="480" w:firstLineChars="200"/>
        <w:jc w:val="left"/>
        <w:rPr>
          <w:rFonts w:hAnsi="宋体"/>
          <w:bCs/>
          <w:sz w:val="24"/>
          <w:szCs w:val="24"/>
        </w:rPr>
      </w:pP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pPr>
        <w:pStyle w:val="24"/>
        <w:snapToGrid w:val="0"/>
        <w:spacing w:line="360" w:lineRule="auto"/>
        <w:ind w:firstLine="480" w:firstLineChars="200"/>
        <w:jc w:val="left"/>
        <w:rPr>
          <w:rFonts w:hAnsi="宋体"/>
          <w:bCs/>
          <w:sz w:val="24"/>
          <w:szCs w:val="24"/>
        </w:rPr>
      </w:pPr>
      <w:r>
        <w:rPr>
          <w:rFonts w:hint="eastAsia" w:hAnsi="宋体"/>
          <w:bCs/>
          <w:sz w:val="24"/>
          <w:szCs w:val="24"/>
        </w:rPr>
        <w:t>被投诉人1：</w:t>
      </w:r>
    </w:p>
    <w:p>
      <w:pPr>
        <w:pStyle w:val="24"/>
        <w:snapToGrid w:val="0"/>
        <w:spacing w:line="360" w:lineRule="auto"/>
        <w:ind w:firstLine="480" w:firstLineChars="200"/>
        <w:jc w:val="left"/>
        <w:rPr>
          <w:rFonts w:hAnsi="宋体"/>
          <w:bCs/>
          <w:sz w:val="24"/>
          <w:szCs w:val="24"/>
          <w:u w:val="single"/>
        </w:rPr>
      </w:pPr>
      <w:r>
        <w:rPr>
          <w:rFonts w:hint="eastAsia" w:hAnsi="宋体"/>
          <w:bCs/>
          <w:sz w:val="24"/>
          <w:szCs w:val="24"/>
        </w:rPr>
        <w:t>地址：</w:t>
      </w:r>
      <w:r>
        <w:rPr>
          <w:rFonts w:hint="eastAsia" w:hAnsi="宋体"/>
          <w:bCs/>
          <w:sz w:val="24"/>
          <w:szCs w:val="24"/>
          <w:u w:val="single"/>
        </w:rPr>
        <w:t xml:space="preserve">                                                            </w:t>
      </w:r>
    </w:p>
    <w:p>
      <w:pPr>
        <w:pStyle w:val="24"/>
        <w:snapToGrid w:val="0"/>
        <w:spacing w:line="360" w:lineRule="auto"/>
        <w:ind w:firstLine="480" w:firstLineChars="200"/>
        <w:jc w:val="left"/>
        <w:rPr>
          <w:rFonts w:hAnsi="宋体"/>
          <w:bCs/>
          <w:sz w:val="24"/>
          <w:szCs w:val="24"/>
        </w:rPr>
      </w:pP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pPr>
        <w:pStyle w:val="24"/>
        <w:snapToGrid w:val="0"/>
        <w:spacing w:line="360" w:lineRule="auto"/>
        <w:ind w:firstLine="480" w:firstLineChars="200"/>
        <w:jc w:val="left"/>
        <w:rPr>
          <w:rFonts w:hAnsi="宋体"/>
          <w:bCs/>
          <w:sz w:val="24"/>
          <w:szCs w:val="24"/>
          <w:u w:val="single"/>
        </w:rPr>
      </w:pPr>
      <w:r>
        <w:rPr>
          <w:rFonts w:hint="eastAsia" w:hAnsi="宋体"/>
          <w:bCs/>
          <w:sz w:val="24"/>
          <w:szCs w:val="24"/>
        </w:rPr>
        <w:t>联系人：</w:t>
      </w:r>
      <w:r>
        <w:rPr>
          <w:rFonts w:hint="eastAsia" w:hAnsi="宋体"/>
          <w:bCs/>
          <w:sz w:val="24"/>
          <w:szCs w:val="24"/>
          <w:u w:val="single"/>
        </w:rPr>
        <w:t xml:space="preserve">                            </w:t>
      </w: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p>
    <w:p>
      <w:pPr>
        <w:pStyle w:val="24"/>
        <w:snapToGrid w:val="0"/>
        <w:spacing w:line="360" w:lineRule="auto"/>
        <w:ind w:firstLine="480" w:firstLineChars="200"/>
        <w:jc w:val="left"/>
        <w:rPr>
          <w:rFonts w:hAnsi="宋体"/>
          <w:bCs/>
          <w:sz w:val="24"/>
          <w:szCs w:val="24"/>
        </w:rPr>
      </w:pPr>
      <w:r>
        <w:rPr>
          <w:rFonts w:hint="eastAsia" w:hAnsi="宋体"/>
          <w:bCs/>
          <w:sz w:val="24"/>
          <w:szCs w:val="24"/>
        </w:rPr>
        <w:t>被投诉人2：</w:t>
      </w:r>
    </w:p>
    <w:p>
      <w:pPr>
        <w:pStyle w:val="24"/>
        <w:snapToGrid w:val="0"/>
        <w:spacing w:line="360" w:lineRule="auto"/>
        <w:ind w:firstLine="480" w:firstLineChars="200"/>
        <w:jc w:val="left"/>
        <w:rPr>
          <w:rFonts w:hAnsi="宋体"/>
          <w:bCs/>
          <w:sz w:val="24"/>
          <w:szCs w:val="24"/>
        </w:rPr>
      </w:pPr>
      <w:r>
        <w:rPr>
          <w:rFonts w:hAnsi="宋体"/>
          <w:bCs/>
          <w:sz w:val="24"/>
          <w:szCs w:val="24"/>
        </w:rPr>
        <w:t>……</w:t>
      </w:r>
    </w:p>
    <w:p>
      <w:pPr>
        <w:pStyle w:val="24"/>
        <w:snapToGrid w:val="0"/>
        <w:spacing w:line="360" w:lineRule="auto"/>
        <w:ind w:firstLine="480" w:firstLineChars="200"/>
        <w:jc w:val="left"/>
        <w:rPr>
          <w:rFonts w:hAnsi="宋体"/>
          <w:bCs/>
          <w:sz w:val="24"/>
          <w:szCs w:val="24"/>
          <w:u w:val="single"/>
        </w:rPr>
      </w:pPr>
      <w:r>
        <w:rPr>
          <w:rFonts w:hint="eastAsia" w:hAnsi="宋体"/>
          <w:bCs/>
          <w:sz w:val="24"/>
          <w:szCs w:val="24"/>
        </w:rPr>
        <w:t>相关供应商：</w:t>
      </w:r>
      <w:r>
        <w:rPr>
          <w:rFonts w:hint="eastAsia" w:hAnsi="宋体"/>
          <w:bCs/>
          <w:sz w:val="24"/>
          <w:szCs w:val="24"/>
          <w:u w:val="single"/>
        </w:rPr>
        <w:t xml:space="preserve">                                                                       </w:t>
      </w:r>
    </w:p>
    <w:p>
      <w:pPr>
        <w:pStyle w:val="24"/>
        <w:snapToGrid w:val="0"/>
        <w:spacing w:line="360" w:lineRule="auto"/>
        <w:ind w:firstLine="480" w:firstLineChars="200"/>
        <w:jc w:val="left"/>
        <w:rPr>
          <w:rFonts w:hAnsi="宋体"/>
          <w:bCs/>
          <w:sz w:val="24"/>
          <w:szCs w:val="24"/>
          <w:u w:val="single"/>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p>
    <w:p>
      <w:pPr>
        <w:pStyle w:val="24"/>
        <w:snapToGrid w:val="0"/>
        <w:spacing w:line="360" w:lineRule="auto"/>
        <w:ind w:firstLine="480" w:firstLineChars="200"/>
        <w:jc w:val="left"/>
        <w:rPr>
          <w:rFonts w:hAnsi="宋体"/>
          <w:bCs/>
          <w:sz w:val="24"/>
          <w:szCs w:val="24"/>
        </w:rPr>
      </w:pPr>
      <w:r>
        <w:rPr>
          <w:rFonts w:hint="eastAsia" w:hAnsi="宋体"/>
          <w:bCs/>
          <w:sz w:val="24"/>
          <w:szCs w:val="24"/>
        </w:rPr>
        <w:t>联系人：</w:t>
      </w:r>
      <w:r>
        <w:rPr>
          <w:rFonts w:hint="eastAsia" w:hAnsi="宋体"/>
          <w:bCs/>
          <w:sz w:val="24"/>
          <w:szCs w:val="24"/>
          <w:u w:val="single"/>
        </w:rPr>
        <w:t xml:space="preserve">                                            </w:t>
      </w: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r>
        <w:rPr>
          <w:rFonts w:hint="eastAsia" w:hAnsi="宋体"/>
          <w:bCs/>
          <w:sz w:val="24"/>
          <w:szCs w:val="24"/>
        </w:rPr>
        <w:t xml:space="preserve">                </w:t>
      </w:r>
    </w:p>
    <w:p>
      <w:pPr>
        <w:pStyle w:val="24"/>
        <w:snapToGrid w:val="0"/>
        <w:spacing w:line="360" w:lineRule="auto"/>
        <w:ind w:firstLine="482" w:firstLineChars="200"/>
        <w:rPr>
          <w:rFonts w:hAnsi="宋体"/>
          <w:b/>
          <w:bCs/>
          <w:sz w:val="24"/>
          <w:szCs w:val="24"/>
        </w:rPr>
      </w:pPr>
      <w:r>
        <w:rPr>
          <w:rFonts w:hint="eastAsia" w:hAnsi="宋体"/>
          <w:b/>
          <w:bCs/>
          <w:sz w:val="24"/>
          <w:szCs w:val="24"/>
        </w:rPr>
        <w:t>二、投诉项目基本情况：</w:t>
      </w:r>
    </w:p>
    <w:p>
      <w:pPr>
        <w:pStyle w:val="24"/>
        <w:spacing w:line="360" w:lineRule="auto"/>
        <w:ind w:left="25" w:leftChars="12" w:firstLine="472" w:firstLineChars="197"/>
        <w:rPr>
          <w:rFonts w:hAnsi="宋体"/>
          <w:sz w:val="24"/>
          <w:szCs w:val="24"/>
        </w:rPr>
      </w:pPr>
      <w:r>
        <w:rPr>
          <w:rFonts w:hint="eastAsia" w:hAnsi="宋体"/>
          <w:sz w:val="24"/>
          <w:szCs w:val="24"/>
        </w:rPr>
        <w:t>招标项目的名称：</w:t>
      </w:r>
      <w:r>
        <w:rPr>
          <w:rFonts w:hint="eastAsia" w:hAnsi="宋体"/>
          <w:bCs/>
          <w:sz w:val="24"/>
          <w:szCs w:val="24"/>
          <w:u w:val="single"/>
        </w:rPr>
        <w:t xml:space="preserve">                                                                   </w:t>
      </w:r>
    </w:p>
    <w:p>
      <w:pPr>
        <w:pStyle w:val="24"/>
        <w:spacing w:line="360" w:lineRule="auto"/>
        <w:ind w:left="25" w:leftChars="12" w:firstLine="472" w:firstLineChars="197"/>
        <w:rPr>
          <w:rFonts w:hAnsi="宋体"/>
          <w:sz w:val="24"/>
          <w:szCs w:val="24"/>
        </w:rPr>
      </w:pPr>
      <w:r>
        <w:rPr>
          <w:rFonts w:hint="eastAsia" w:hAnsi="宋体"/>
          <w:sz w:val="24"/>
          <w:szCs w:val="24"/>
        </w:rPr>
        <w:t>招标项目的编号：</w:t>
      </w:r>
      <w:r>
        <w:rPr>
          <w:rFonts w:hint="eastAsia" w:hAnsi="宋体"/>
          <w:bCs/>
          <w:sz w:val="24"/>
          <w:szCs w:val="24"/>
          <w:u w:val="single"/>
        </w:rPr>
        <w:t xml:space="preserve">                                          </w:t>
      </w:r>
    </w:p>
    <w:p>
      <w:pPr>
        <w:pStyle w:val="24"/>
        <w:spacing w:line="360" w:lineRule="auto"/>
        <w:ind w:left="25" w:leftChars="12" w:firstLine="472" w:firstLineChars="197"/>
        <w:rPr>
          <w:rFonts w:hAnsi="宋体"/>
          <w:bCs/>
          <w:sz w:val="24"/>
          <w:szCs w:val="24"/>
          <w:u w:val="single"/>
        </w:rPr>
      </w:pPr>
      <w:r>
        <w:rPr>
          <w:rFonts w:hint="eastAsia" w:hAnsi="宋体"/>
          <w:sz w:val="24"/>
          <w:szCs w:val="24"/>
        </w:rPr>
        <w:t>采购人名称：</w:t>
      </w:r>
      <w:r>
        <w:rPr>
          <w:rFonts w:hint="eastAsia" w:hAnsi="宋体"/>
          <w:bCs/>
          <w:sz w:val="24"/>
          <w:szCs w:val="24"/>
          <w:u w:val="single"/>
        </w:rPr>
        <w:t xml:space="preserve">                                                                        </w:t>
      </w:r>
    </w:p>
    <w:p>
      <w:pPr>
        <w:pStyle w:val="24"/>
        <w:spacing w:line="360" w:lineRule="auto"/>
        <w:ind w:left="25" w:leftChars="12" w:firstLine="472" w:firstLineChars="197"/>
        <w:rPr>
          <w:rFonts w:hAnsi="宋体"/>
          <w:bCs/>
          <w:sz w:val="24"/>
          <w:szCs w:val="24"/>
          <w:u w:val="single"/>
        </w:rPr>
      </w:pPr>
      <w:r>
        <w:rPr>
          <w:rFonts w:hint="eastAsia" w:hAnsi="宋体"/>
          <w:sz w:val="24"/>
          <w:szCs w:val="24"/>
        </w:rPr>
        <w:t>代理机构名称：</w:t>
      </w:r>
      <w:r>
        <w:rPr>
          <w:rFonts w:hint="eastAsia" w:hAnsi="宋体"/>
          <w:bCs/>
          <w:sz w:val="24"/>
          <w:szCs w:val="24"/>
          <w:u w:val="single"/>
        </w:rPr>
        <w:t xml:space="preserve">                                                                      </w:t>
      </w:r>
    </w:p>
    <w:p>
      <w:pPr>
        <w:pStyle w:val="24"/>
        <w:spacing w:line="360" w:lineRule="auto"/>
        <w:ind w:left="25" w:leftChars="12" w:firstLine="472" w:firstLineChars="197"/>
        <w:rPr>
          <w:rFonts w:hAnsi="宋体"/>
          <w:bCs/>
          <w:sz w:val="24"/>
          <w:szCs w:val="24"/>
          <w:u w:val="single"/>
        </w:rPr>
      </w:pPr>
      <w:r>
        <w:rPr>
          <w:rFonts w:hint="eastAsia" w:hAnsi="宋体"/>
          <w:sz w:val="24"/>
          <w:szCs w:val="24"/>
        </w:rPr>
        <w:t>招标</w:t>
      </w:r>
      <w:r>
        <w:rPr>
          <w:rFonts w:hint="eastAsia" w:hAnsi="宋体"/>
          <w:bCs/>
          <w:sz w:val="24"/>
          <w:szCs w:val="24"/>
        </w:rPr>
        <w:t>文件公告：</w:t>
      </w:r>
      <w:r>
        <w:rPr>
          <w:rFonts w:hint="eastAsia" w:hAnsi="宋体"/>
          <w:bCs/>
          <w:sz w:val="24"/>
          <w:szCs w:val="24"/>
          <w:u w:val="single"/>
        </w:rPr>
        <w:t>是/否</w:t>
      </w:r>
      <w:r>
        <w:rPr>
          <w:rFonts w:hint="eastAsia" w:hAnsi="宋体"/>
          <w:bCs/>
          <w:sz w:val="24"/>
          <w:szCs w:val="24"/>
        </w:rPr>
        <w:t>公告期限：</w:t>
      </w:r>
      <w:r>
        <w:rPr>
          <w:rFonts w:hint="eastAsia" w:hAnsi="宋体"/>
          <w:bCs/>
          <w:sz w:val="24"/>
          <w:szCs w:val="24"/>
          <w:u w:val="single"/>
        </w:rPr>
        <w:t xml:space="preserve">                                                       </w:t>
      </w:r>
    </w:p>
    <w:p>
      <w:pPr>
        <w:pStyle w:val="24"/>
        <w:spacing w:line="360" w:lineRule="auto"/>
        <w:ind w:left="25" w:leftChars="12" w:firstLine="472" w:firstLineChars="197"/>
        <w:rPr>
          <w:rFonts w:hAnsi="宋体"/>
          <w:b/>
          <w:sz w:val="24"/>
          <w:szCs w:val="24"/>
        </w:rPr>
      </w:pPr>
      <w:r>
        <w:rPr>
          <w:rFonts w:hint="eastAsia" w:hAnsi="宋体"/>
          <w:sz w:val="24"/>
          <w:szCs w:val="24"/>
        </w:rPr>
        <w:t>招标</w:t>
      </w:r>
      <w:r>
        <w:rPr>
          <w:rFonts w:hint="eastAsia" w:hAnsi="宋体"/>
          <w:bCs/>
          <w:sz w:val="24"/>
          <w:szCs w:val="24"/>
        </w:rPr>
        <w:t>结果公告：</w:t>
      </w:r>
      <w:r>
        <w:rPr>
          <w:rFonts w:hint="eastAsia" w:hAnsi="宋体"/>
          <w:bCs/>
          <w:sz w:val="24"/>
          <w:szCs w:val="24"/>
          <w:u w:val="single"/>
        </w:rPr>
        <w:t>是/否</w:t>
      </w:r>
      <w:r>
        <w:rPr>
          <w:rFonts w:hint="eastAsia" w:hAnsi="宋体"/>
          <w:bCs/>
          <w:sz w:val="24"/>
          <w:szCs w:val="24"/>
        </w:rPr>
        <w:t>公告期限：</w:t>
      </w:r>
      <w:r>
        <w:rPr>
          <w:rFonts w:hint="eastAsia" w:hAnsi="宋体"/>
          <w:bCs/>
          <w:sz w:val="24"/>
          <w:szCs w:val="24"/>
          <w:u w:val="single"/>
        </w:rPr>
        <w:t xml:space="preserve">                                                       </w:t>
      </w:r>
    </w:p>
    <w:p>
      <w:pPr>
        <w:pStyle w:val="24"/>
        <w:spacing w:line="360" w:lineRule="auto"/>
        <w:ind w:left="25" w:leftChars="12" w:firstLine="472" w:firstLineChars="196"/>
        <w:rPr>
          <w:rFonts w:hAnsi="宋体"/>
          <w:b/>
          <w:sz w:val="24"/>
          <w:szCs w:val="24"/>
        </w:rPr>
      </w:pPr>
      <w:r>
        <w:rPr>
          <w:rFonts w:hint="eastAsia" w:hAnsi="宋体"/>
          <w:b/>
          <w:sz w:val="24"/>
          <w:szCs w:val="24"/>
        </w:rPr>
        <w:t>三、质疑基本情况</w:t>
      </w:r>
    </w:p>
    <w:p>
      <w:pPr>
        <w:pStyle w:val="24"/>
        <w:spacing w:line="360" w:lineRule="auto"/>
        <w:ind w:left="25" w:leftChars="12" w:firstLine="480" w:firstLineChars="200"/>
        <w:rPr>
          <w:rFonts w:hAnsi="宋体"/>
          <w:sz w:val="24"/>
          <w:szCs w:val="24"/>
        </w:rPr>
      </w:pPr>
      <w:r>
        <w:rPr>
          <w:rFonts w:hint="eastAsia" w:hAnsi="宋体"/>
          <w:sz w:val="24"/>
          <w:szCs w:val="24"/>
        </w:rPr>
        <w:t>投诉人于</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日，向</w:t>
      </w:r>
      <w:r>
        <w:rPr>
          <w:rFonts w:hint="eastAsia" w:hAnsi="宋体"/>
          <w:sz w:val="24"/>
          <w:szCs w:val="24"/>
          <w:u w:val="single"/>
        </w:rPr>
        <w:t xml:space="preserve">                                </w:t>
      </w:r>
      <w:r>
        <w:rPr>
          <w:rFonts w:hint="eastAsia" w:hAnsi="宋体"/>
          <w:sz w:val="24"/>
          <w:szCs w:val="24"/>
        </w:rPr>
        <w:t>提出质疑，质疑事项为：</w:t>
      </w:r>
    </w:p>
    <w:p>
      <w:pPr>
        <w:pStyle w:val="24"/>
        <w:spacing w:line="360" w:lineRule="auto"/>
        <w:ind w:firstLine="241"/>
        <w:rPr>
          <w:rFonts w:hAnsi="宋体"/>
          <w:bCs/>
          <w:sz w:val="24"/>
          <w:szCs w:val="24"/>
          <w:u w:val="single"/>
        </w:rPr>
      </w:pPr>
      <w:r>
        <w:rPr>
          <w:rFonts w:hint="eastAsia" w:hAnsi="宋体"/>
          <w:sz w:val="24"/>
          <w:szCs w:val="24"/>
        </w:rPr>
        <w:t xml:space="preserve">    </w:t>
      </w:r>
      <w:r>
        <w:rPr>
          <w:rFonts w:hint="eastAsia" w:hAnsi="宋体"/>
          <w:bCs/>
          <w:sz w:val="24"/>
          <w:szCs w:val="24"/>
          <w:u w:val="single"/>
        </w:rPr>
        <w:t xml:space="preserve">                                                                                      </w:t>
      </w:r>
    </w:p>
    <w:p>
      <w:pPr>
        <w:pStyle w:val="24"/>
        <w:spacing w:line="360" w:lineRule="auto"/>
        <w:ind w:firstLine="241"/>
        <w:rPr>
          <w:rFonts w:hAnsi="宋体"/>
          <w:bCs/>
          <w:sz w:val="24"/>
          <w:szCs w:val="24"/>
          <w:u w:val="single"/>
        </w:rPr>
      </w:pPr>
      <w:r>
        <w:rPr>
          <w:rFonts w:hint="eastAsia" w:hAnsi="宋体"/>
          <w:bCs/>
          <w:sz w:val="24"/>
          <w:szCs w:val="24"/>
        </w:rPr>
        <w:t xml:space="preserve">    </w:t>
      </w:r>
      <w:r>
        <w:rPr>
          <w:rFonts w:hint="eastAsia" w:hAnsi="宋体"/>
          <w:bCs/>
          <w:sz w:val="24"/>
          <w:szCs w:val="24"/>
          <w:u w:val="single"/>
        </w:rPr>
        <w:t xml:space="preserve">                                                                                      </w:t>
      </w:r>
    </w:p>
    <w:p>
      <w:pPr>
        <w:pStyle w:val="24"/>
        <w:spacing w:line="360" w:lineRule="auto"/>
        <w:ind w:firstLine="480" w:firstLineChars="200"/>
        <w:rPr>
          <w:rFonts w:hAnsi="宋体"/>
          <w:sz w:val="24"/>
          <w:szCs w:val="24"/>
        </w:rPr>
      </w:pPr>
      <w:r>
        <w:rPr>
          <w:rFonts w:hint="eastAsia" w:hAnsi="宋体"/>
          <w:bCs/>
          <w:sz w:val="24"/>
          <w:szCs w:val="24"/>
          <w:u w:val="single"/>
        </w:rPr>
        <w:t>采购人/代理机构</w:t>
      </w:r>
      <w:r>
        <w:rPr>
          <w:rFonts w:hint="eastAsia" w:hAnsi="宋体"/>
          <w:bCs/>
          <w:sz w:val="24"/>
          <w:szCs w:val="24"/>
        </w:rPr>
        <w:t>于</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w:t>
      </w:r>
      <w:r>
        <w:rPr>
          <w:rFonts w:hint="eastAsia" w:hAnsi="宋体"/>
          <w:bCs/>
          <w:sz w:val="24"/>
          <w:szCs w:val="24"/>
        </w:rPr>
        <w:t xml:space="preserve">就质疑事项作出了答复/没有在法定期限内作出答复。                                                                                             </w:t>
      </w:r>
    </w:p>
    <w:p>
      <w:pPr>
        <w:pStyle w:val="24"/>
        <w:spacing w:line="360" w:lineRule="auto"/>
        <w:ind w:left="25" w:leftChars="12" w:firstLine="472" w:firstLineChars="196"/>
        <w:rPr>
          <w:rFonts w:hAnsi="宋体"/>
          <w:b/>
          <w:sz w:val="24"/>
          <w:szCs w:val="24"/>
        </w:rPr>
      </w:pPr>
      <w:r>
        <w:rPr>
          <w:rFonts w:hint="eastAsia" w:hAnsi="宋体"/>
          <w:b/>
          <w:sz w:val="24"/>
          <w:szCs w:val="24"/>
        </w:rPr>
        <w:t>四、投诉事项具体内容</w:t>
      </w:r>
    </w:p>
    <w:p>
      <w:pPr>
        <w:pStyle w:val="24"/>
        <w:spacing w:line="360" w:lineRule="auto"/>
        <w:ind w:left="25" w:leftChars="12" w:firstLine="472" w:firstLineChars="197"/>
        <w:rPr>
          <w:rFonts w:hAnsi="宋体"/>
          <w:bCs/>
          <w:sz w:val="24"/>
          <w:szCs w:val="24"/>
          <w:u w:val="single"/>
        </w:rPr>
      </w:pPr>
      <w:r>
        <w:rPr>
          <w:rFonts w:hint="eastAsia" w:hAnsi="宋体"/>
          <w:sz w:val="24"/>
          <w:szCs w:val="24"/>
        </w:rPr>
        <w:t>投诉事项1：</w:t>
      </w:r>
      <w:r>
        <w:rPr>
          <w:rFonts w:hint="eastAsia" w:hAnsi="宋体"/>
          <w:bCs/>
          <w:sz w:val="24"/>
          <w:szCs w:val="24"/>
          <w:u w:val="single"/>
        </w:rPr>
        <w:t xml:space="preserve">                                                                           </w:t>
      </w:r>
    </w:p>
    <w:p>
      <w:pPr>
        <w:pStyle w:val="24"/>
        <w:spacing w:line="360" w:lineRule="auto"/>
        <w:ind w:firstLine="480" w:firstLineChars="200"/>
        <w:rPr>
          <w:rFonts w:hAnsi="宋体"/>
          <w:bCs/>
          <w:sz w:val="24"/>
          <w:szCs w:val="24"/>
          <w:u w:val="single"/>
        </w:rPr>
      </w:pPr>
      <w:r>
        <w:rPr>
          <w:rFonts w:hint="eastAsia" w:hAnsi="宋体"/>
          <w:bCs/>
          <w:sz w:val="24"/>
          <w:szCs w:val="24"/>
        </w:rPr>
        <w:t>事实依据：</w:t>
      </w:r>
      <w:r>
        <w:rPr>
          <w:rFonts w:hint="eastAsia" w:hAnsi="宋体"/>
          <w:sz w:val="24"/>
          <w:szCs w:val="24"/>
        </w:rPr>
        <w:t xml:space="preserve"> </w:t>
      </w:r>
      <w:r>
        <w:rPr>
          <w:rFonts w:hint="eastAsia" w:hAnsi="宋体"/>
          <w:bCs/>
          <w:sz w:val="24"/>
          <w:szCs w:val="24"/>
          <w:u w:val="single"/>
        </w:rPr>
        <w:t xml:space="preserve">                                                                                      </w:t>
      </w:r>
    </w:p>
    <w:p>
      <w:pPr>
        <w:pStyle w:val="24"/>
        <w:spacing w:line="360" w:lineRule="auto"/>
        <w:ind w:left="25" w:leftChars="12" w:firstLine="472" w:firstLineChars="197"/>
        <w:rPr>
          <w:rFonts w:hAnsi="宋体"/>
          <w:sz w:val="24"/>
          <w:szCs w:val="24"/>
        </w:rPr>
      </w:pPr>
      <w:r>
        <w:rPr>
          <w:rFonts w:hint="eastAsia" w:hAnsi="宋体"/>
          <w:bCs/>
          <w:sz w:val="24"/>
          <w:szCs w:val="24"/>
          <w:u w:val="single"/>
        </w:rPr>
        <w:t xml:space="preserve">                                                                                        </w:t>
      </w:r>
    </w:p>
    <w:p>
      <w:pPr>
        <w:pStyle w:val="24"/>
        <w:spacing w:line="360" w:lineRule="auto"/>
        <w:ind w:firstLine="480" w:firstLineChars="200"/>
        <w:rPr>
          <w:rFonts w:hAnsi="宋体"/>
          <w:bCs/>
          <w:sz w:val="24"/>
          <w:szCs w:val="24"/>
          <w:u w:val="single"/>
        </w:rPr>
      </w:pPr>
      <w:r>
        <w:rPr>
          <w:rFonts w:hint="eastAsia" w:hAnsi="宋体"/>
          <w:bCs/>
          <w:sz w:val="24"/>
          <w:szCs w:val="24"/>
        </w:rPr>
        <w:t>法律依据：</w:t>
      </w:r>
      <w:r>
        <w:rPr>
          <w:rFonts w:hint="eastAsia" w:hAnsi="宋体"/>
          <w:sz w:val="24"/>
          <w:szCs w:val="24"/>
        </w:rPr>
        <w:t xml:space="preserve"> </w:t>
      </w:r>
      <w:r>
        <w:rPr>
          <w:rFonts w:hint="eastAsia" w:hAnsi="宋体"/>
          <w:bCs/>
          <w:sz w:val="24"/>
          <w:szCs w:val="24"/>
          <w:u w:val="single"/>
        </w:rPr>
        <w:t xml:space="preserve">                                                                                      </w:t>
      </w:r>
    </w:p>
    <w:p>
      <w:pPr>
        <w:pStyle w:val="24"/>
        <w:spacing w:line="360" w:lineRule="auto"/>
        <w:ind w:left="25" w:leftChars="12" w:firstLine="352" w:firstLineChars="147"/>
        <w:rPr>
          <w:rFonts w:hAnsi="宋体"/>
          <w:bCs/>
          <w:sz w:val="24"/>
          <w:szCs w:val="24"/>
          <w:u w:val="single"/>
        </w:rPr>
      </w:pPr>
      <w:r>
        <w:rPr>
          <w:rFonts w:hint="eastAsia" w:hAnsi="宋体"/>
          <w:bCs/>
          <w:sz w:val="24"/>
          <w:szCs w:val="24"/>
        </w:rPr>
        <w:t xml:space="preserve"> </w:t>
      </w:r>
      <w:r>
        <w:rPr>
          <w:rFonts w:hint="eastAsia" w:hAnsi="宋体"/>
          <w:bCs/>
          <w:sz w:val="24"/>
          <w:szCs w:val="24"/>
          <w:u w:val="single"/>
        </w:rPr>
        <w:t xml:space="preserve">                                                                                        </w:t>
      </w:r>
    </w:p>
    <w:p>
      <w:pPr>
        <w:pStyle w:val="24"/>
        <w:spacing w:line="360" w:lineRule="auto"/>
        <w:ind w:left="25" w:leftChars="12" w:firstLine="472" w:firstLineChars="197"/>
        <w:rPr>
          <w:rFonts w:hAnsi="宋体"/>
          <w:bCs/>
          <w:sz w:val="24"/>
          <w:szCs w:val="24"/>
        </w:rPr>
      </w:pPr>
      <w:r>
        <w:rPr>
          <w:rFonts w:hint="eastAsia" w:hAnsi="宋体"/>
          <w:sz w:val="24"/>
          <w:szCs w:val="24"/>
        </w:rPr>
        <w:t xml:space="preserve">投诉事项2  </w:t>
      </w:r>
      <w:r>
        <w:rPr>
          <w:rFonts w:hint="eastAsia" w:hAnsi="宋体"/>
          <w:bCs/>
          <w:sz w:val="24"/>
          <w:szCs w:val="24"/>
        </w:rPr>
        <w:t xml:space="preserve">   </w:t>
      </w:r>
    </w:p>
    <w:p>
      <w:pPr>
        <w:pStyle w:val="24"/>
        <w:spacing w:line="360" w:lineRule="auto"/>
        <w:ind w:left="25" w:leftChars="12" w:firstLine="472" w:firstLineChars="197"/>
        <w:rPr>
          <w:rFonts w:hAnsi="宋体"/>
          <w:bCs/>
          <w:sz w:val="24"/>
          <w:szCs w:val="24"/>
        </w:rPr>
      </w:pPr>
      <w:r>
        <w:rPr>
          <w:rFonts w:hAnsi="宋体"/>
          <w:bCs/>
          <w:sz w:val="24"/>
          <w:szCs w:val="24"/>
        </w:rPr>
        <w:t>……</w:t>
      </w:r>
    </w:p>
    <w:p>
      <w:pPr>
        <w:pStyle w:val="24"/>
        <w:spacing w:line="360" w:lineRule="auto"/>
        <w:ind w:left="25" w:leftChars="12" w:firstLine="472" w:firstLineChars="196"/>
        <w:rPr>
          <w:rFonts w:hAnsi="宋体"/>
          <w:b/>
          <w:sz w:val="24"/>
          <w:szCs w:val="24"/>
        </w:rPr>
      </w:pPr>
      <w:r>
        <w:rPr>
          <w:rFonts w:hint="eastAsia" w:hAnsi="宋体"/>
          <w:b/>
          <w:sz w:val="24"/>
          <w:szCs w:val="24"/>
        </w:rPr>
        <w:t>五、与投诉事项相关的投诉请求：</w:t>
      </w:r>
    </w:p>
    <w:p>
      <w:pPr>
        <w:pStyle w:val="24"/>
        <w:spacing w:line="360" w:lineRule="auto"/>
        <w:ind w:left="25" w:leftChars="12" w:firstLine="472" w:firstLineChars="197"/>
        <w:rPr>
          <w:rFonts w:hAnsi="宋体"/>
          <w:sz w:val="24"/>
          <w:szCs w:val="24"/>
        </w:rPr>
      </w:pPr>
      <w:r>
        <w:rPr>
          <w:rFonts w:hint="eastAsia" w:hAnsi="宋体"/>
          <w:sz w:val="24"/>
          <w:szCs w:val="24"/>
        </w:rPr>
        <w:t>请求：</w:t>
      </w:r>
      <w:r>
        <w:rPr>
          <w:rFonts w:hint="eastAsia" w:hAnsi="宋体"/>
          <w:bCs/>
          <w:sz w:val="24"/>
          <w:szCs w:val="24"/>
          <w:u w:val="single"/>
        </w:rPr>
        <w:t xml:space="preserve">                                                                                 </w:t>
      </w:r>
    </w:p>
    <w:p>
      <w:pPr>
        <w:pStyle w:val="24"/>
        <w:spacing w:line="360" w:lineRule="auto"/>
        <w:ind w:left="25" w:leftChars="12" w:firstLine="352" w:firstLineChars="147"/>
        <w:rPr>
          <w:rFonts w:hAnsi="宋体"/>
          <w:sz w:val="24"/>
          <w:szCs w:val="24"/>
        </w:rPr>
      </w:pPr>
    </w:p>
    <w:p>
      <w:pPr>
        <w:pStyle w:val="24"/>
        <w:spacing w:line="360" w:lineRule="auto"/>
        <w:ind w:left="25" w:leftChars="12" w:firstLine="472" w:firstLineChars="197"/>
        <w:rPr>
          <w:rFonts w:hAnsi="宋体"/>
          <w:sz w:val="24"/>
          <w:szCs w:val="24"/>
        </w:rPr>
      </w:pPr>
      <w:r>
        <w:rPr>
          <w:rFonts w:hint="eastAsia" w:hAnsi="宋体"/>
          <w:sz w:val="24"/>
          <w:szCs w:val="24"/>
        </w:rPr>
        <w:t>签字（签章）：                                       公章：</w:t>
      </w:r>
    </w:p>
    <w:p>
      <w:pPr>
        <w:pStyle w:val="24"/>
        <w:spacing w:line="360" w:lineRule="auto"/>
        <w:ind w:left="25" w:leftChars="12" w:firstLine="352" w:firstLineChars="147"/>
        <w:rPr>
          <w:rFonts w:hAnsi="宋体"/>
          <w:sz w:val="24"/>
          <w:szCs w:val="24"/>
        </w:rPr>
      </w:pPr>
    </w:p>
    <w:p>
      <w:pPr>
        <w:pStyle w:val="24"/>
        <w:spacing w:line="360" w:lineRule="auto"/>
        <w:ind w:left="25" w:leftChars="12" w:firstLine="472" w:firstLineChars="197"/>
        <w:rPr>
          <w:rFonts w:hAnsi="宋体"/>
          <w:sz w:val="24"/>
          <w:szCs w:val="24"/>
        </w:rPr>
      </w:pPr>
      <w:r>
        <w:rPr>
          <w:rFonts w:hint="eastAsia" w:hAnsi="宋体"/>
          <w:sz w:val="24"/>
          <w:szCs w:val="24"/>
        </w:rPr>
        <w:t>日期：</w:t>
      </w:r>
    </w:p>
    <w:p>
      <w:pPr>
        <w:pStyle w:val="24"/>
        <w:spacing w:line="360" w:lineRule="auto"/>
        <w:ind w:left="25" w:leftChars="12" w:firstLine="472" w:firstLineChars="197"/>
        <w:rPr>
          <w:rFonts w:hAnsi="宋体"/>
          <w:sz w:val="24"/>
          <w:szCs w:val="24"/>
        </w:rPr>
      </w:pPr>
      <w:r>
        <w:rPr>
          <w:rFonts w:hint="eastAsia" w:hAnsi="宋体"/>
          <w:bCs/>
          <w:sz w:val="24"/>
          <w:szCs w:val="24"/>
        </w:rPr>
        <w:t xml:space="preserve">                                                                              </w:t>
      </w:r>
    </w:p>
    <w:p>
      <w:pPr>
        <w:pStyle w:val="24"/>
        <w:snapToGrid w:val="0"/>
        <w:spacing w:line="360" w:lineRule="auto"/>
        <w:rPr>
          <w:rFonts w:hAnsi="宋体"/>
          <w:b/>
          <w:sz w:val="24"/>
          <w:szCs w:val="24"/>
        </w:rPr>
      </w:pPr>
      <w:r>
        <w:rPr>
          <w:rFonts w:hint="eastAsia" w:hAnsi="宋体"/>
          <w:b/>
          <w:sz w:val="24"/>
          <w:szCs w:val="24"/>
        </w:rPr>
        <w:t>说明：</w:t>
      </w:r>
    </w:p>
    <w:p>
      <w:pPr>
        <w:pStyle w:val="24"/>
        <w:spacing w:line="360" w:lineRule="auto"/>
        <w:ind w:left="25" w:leftChars="12" w:firstLine="354" w:firstLineChars="147"/>
        <w:rPr>
          <w:rFonts w:hAnsi="宋体"/>
          <w:b/>
          <w:bCs/>
          <w:sz w:val="24"/>
          <w:szCs w:val="24"/>
        </w:rPr>
      </w:pPr>
      <w:r>
        <w:rPr>
          <w:rFonts w:hint="eastAsia" w:hAnsi="宋体"/>
          <w:b/>
          <w:sz w:val="24"/>
          <w:szCs w:val="24"/>
        </w:rPr>
        <w:t>1.投诉人提起投诉时，应当提交投诉书和必要的证明材料，并按照被投诉人和与投诉事项有关的供应商数量提供投诉书副本</w:t>
      </w:r>
      <w:r>
        <w:rPr>
          <w:rFonts w:hint="eastAsia" w:hAnsi="宋体"/>
          <w:b/>
          <w:bCs/>
          <w:sz w:val="24"/>
          <w:szCs w:val="24"/>
        </w:rPr>
        <w:t>。</w:t>
      </w:r>
    </w:p>
    <w:p>
      <w:pPr>
        <w:pStyle w:val="24"/>
        <w:spacing w:line="360" w:lineRule="auto"/>
        <w:ind w:left="25" w:leftChars="12" w:firstLine="354" w:firstLineChars="147"/>
        <w:rPr>
          <w:rFonts w:hAnsi="宋体"/>
          <w:b/>
          <w:sz w:val="24"/>
          <w:szCs w:val="24"/>
        </w:rPr>
      </w:pPr>
      <w:r>
        <w:rPr>
          <w:rFonts w:hint="eastAsia" w:hAnsi="宋体"/>
          <w:b/>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pPr>
        <w:pStyle w:val="24"/>
        <w:spacing w:line="360" w:lineRule="auto"/>
        <w:ind w:left="25" w:leftChars="12" w:firstLine="354" w:firstLineChars="147"/>
        <w:rPr>
          <w:rFonts w:hAnsi="宋体"/>
          <w:b/>
          <w:sz w:val="24"/>
          <w:szCs w:val="24"/>
        </w:rPr>
      </w:pPr>
      <w:r>
        <w:rPr>
          <w:rFonts w:hint="eastAsia" w:hAnsi="宋体"/>
          <w:b/>
          <w:sz w:val="24"/>
          <w:szCs w:val="24"/>
        </w:rPr>
        <w:t>3.投诉书应简要列明质疑事项，质疑函、质疑答复等作为附件材料提供。</w:t>
      </w:r>
    </w:p>
    <w:p>
      <w:pPr>
        <w:pStyle w:val="24"/>
        <w:spacing w:line="360" w:lineRule="auto"/>
        <w:ind w:left="25" w:leftChars="12" w:firstLine="354" w:firstLineChars="147"/>
        <w:rPr>
          <w:rFonts w:hAnsi="宋体"/>
          <w:b/>
          <w:sz w:val="24"/>
          <w:szCs w:val="24"/>
        </w:rPr>
      </w:pPr>
      <w:r>
        <w:rPr>
          <w:rFonts w:hint="eastAsia" w:hAnsi="宋体"/>
          <w:b/>
          <w:sz w:val="24"/>
          <w:szCs w:val="24"/>
        </w:rPr>
        <w:t>4.投诉书的投诉事项应具体、明确，并有必要的事实依据和法律依据。</w:t>
      </w:r>
    </w:p>
    <w:p>
      <w:pPr>
        <w:pStyle w:val="24"/>
        <w:spacing w:line="360" w:lineRule="auto"/>
        <w:ind w:left="25" w:leftChars="12" w:firstLine="354" w:firstLineChars="147"/>
        <w:rPr>
          <w:rFonts w:hAnsi="宋体"/>
          <w:b/>
          <w:sz w:val="24"/>
          <w:szCs w:val="24"/>
        </w:rPr>
      </w:pPr>
      <w:r>
        <w:rPr>
          <w:rFonts w:hint="eastAsia" w:hAnsi="宋体"/>
          <w:b/>
          <w:sz w:val="24"/>
          <w:szCs w:val="24"/>
        </w:rPr>
        <w:t>5.投诉书的投诉请求应与投诉事项相关。</w:t>
      </w:r>
    </w:p>
    <w:p>
      <w:pPr>
        <w:pStyle w:val="24"/>
        <w:spacing w:line="360" w:lineRule="auto"/>
        <w:ind w:left="25" w:leftChars="12" w:firstLine="354" w:firstLineChars="147"/>
        <w:rPr>
          <w:rFonts w:hAnsi="宋体"/>
          <w:b/>
        </w:rPr>
      </w:pPr>
      <w:r>
        <w:rPr>
          <w:rFonts w:hint="eastAsia" w:hAnsi="宋体"/>
          <w:b/>
          <w:sz w:val="24"/>
          <w:szCs w:val="24"/>
        </w:rPr>
        <w:t>6.投诉人为法人或者其他组织的，投诉书应由法定代表人、主要负责人，或者其授权代表签字或者盖章，并加盖公章。</w:t>
      </w:r>
    </w:p>
    <w:p>
      <w:pPr>
        <w:rPr>
          <w:rFonts w:hAnsi="宋体"/>
          <w:b/>
        </w:rPr>
      </w:pPr>
    </w:p>
    <w:sectPr>
      <w:footerReference r:id="rId13" w:type="first"/>
      <w:headerReference r:id="rId10" w:type="default"/>
      <w:footerReference r:id="rId11" w:type="default"/>
      <w:footerReference r:id="rId12" w:type="even"/>
      <w:pgSz w:w="11906" w:h="16838"/>
      <w:pgMar w:top="1701" w:right="1701" w:bottom="1701" w:left="1701"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78FDF77-D4E6-46A0-B8A3-8F25BBD9377C}"/>
  </w:font>
  <w:font w:name="黑体">
    <w:panose1 w:val="02010609060101010101"/>
    <w:charset w:val="86"/>
    <w:family w:val="auto"/>
    <w:pitch w:val="default"/>
    <w:sig w:usb0="800002BF" w:usb1="38CF7CFA" w:usb2="00000016" w:usb3="00000000" w:csb0="00040001" w:csb1="00000000"/>
    <w:embedRegular r:id="rId2" w:fontKey="{40AEFE00-F532-4B18-9B27-034BA1B2C748}"/>
  </w:font>
  <w:font w:name="Courier New">
    <w:panose1 w:val="02070309020205020404"/>
    <w:charset w:val="01"/>
    <w:family w:val="modern"/>
    <w:pitch w:val="default"/>
    <w:sig w:usb0="E0002EFF" w:usb1="C0007843" w:usb2="00000009" w:usb3="00000000" w:csb0="400001FF" w:csb1="FFFF0000"/>
    <w:embedRegular r:id="rId3" w:fontKey="{0BD24930-C9C1-4C59-B200-5807AE0A863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FFF331AD-E24B-4853-92CD-E8E4A274CD01}"/>
  </w:font>
  <w:font w:name="Calibri Light">
    <w:panose1 w:val="020F03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5" w:fontKey="{4A87AF17-BF2F-4EF7-BAB9-2309D1E53B2F}"/>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_x000B__x000C_">
    <w:altName w:val="Arial Unicode MS"/>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roman"/>
    <w:pitch w:val="default"/>
    <w:sig w:usb0="FFFFFFFF" w:usb1="E9FFFFFF" w:usb2="0000003F" w:usb3="00000000" w:csb0="603F01FF" w:csb1="FFFF0000"/>
    <w:embedRegular r:id="rId6" w:fontKey="{0E5C23DA-1C47-4B39-AC08-60C9F4DE2B24}"/>
  </w:font>
  <w:font w:name="Century">
    <w:panose1 w:val="02040604050505020304"/>
    <w:charset w:val="00"/>
    <w:family w:val="roman"/>
    <w:pitch w:val="default"/>
    <w:sig w:usb0="00000287" w:usb1="00000000" w:usb2="00000000" w:usb3="00000000" w:csb0="2000009F" w:csb1="DFD70000"/>
  </w:font>
  <w:font w:name="仿宋">
    <w:panose1 w:val="02010609060101010101"/>
    <w:charset w:val="86"/>
    <w:family w:val="modern"/>
    <w:pitch w:val="default"/>
    <w:sig w:usb0="800002BF" w:usb1="38CF7CFA" w:usb2="00000016" w:usb3="00000000" w:csb0="00040001" w:csb1="00000000"/>
    <w:embedRegular r:id="rId7" w:fontKey="{CC0EF571-528C-41A0-824A-6E8B5AB15460}"/>
  </w:font>
  <w:font w:name="等线">
    <w:panose1 w:val="02010600030101010101"/>
    <w:charset w:val="86"/>
    <w:family w:val="auto"/>
    <w:pitch w:val="default"/>
    <w:sig w:usb0="A00002BF" w:usb1="38CF7CFA" w:usb2="00000016" w:usb3="00000000" w:csb0="0004000F" w:csb1="00000000"/>
    <w:embedRegular r:id="rId8" w:fontKey="{285BA943-C11D-4E84-8D25-D40FC60E856A}"/>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embedRegular r:id="rId9" w:fontKey="{0D4306F2-0690-42C8-AFD5-4811BFB50001}"/>
  </w:font>
  <w:font w:name="华文楷体">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00000001" w:usb1="08000000" w:usb2="00000000" w:usb3="00000000" w:csb0="00040000" w:csb1="00000000"/>
    <w:embedRegular r:id="rId10" w:fontKey="{01D5860B-513A-40BE-9659-0FB064EB6CF6}"/>
  </w:font>
  <w:font w:name="华文新魏">
    <w:panose1 w:val="02010800040101010101"/>
    <w:charset w:val="86"/>
    <w:family w:val="auto"/>
    <w:pitch w:val="default"/>
    <w:sig w:usb0="00000001" w:usb1="080F0000" w:usb2="00000000" w:usb3="00000000" w:csb0="00040000" w:csb1="00000000"/>
    <w:embedRegular r:id="rId11" w:fontKey="{65BC383E-28E1-49CD-89C4-0FE14583024F}"/>
  </w:font>
  <w:font w:name="MS Mincho">
    <w:panose1 w:val="02020609040205080304"/>
    <w:charset w:val="80"/>
    <w:family w:val="modern"/>
    <w:pitch w:val="default"/>
    <w:sig w:usb0="A00002BF" w:usb1="68C7FCFB" w:usb2="00000010" w:usb3="00000000" w:csb0="4002009F" w:csb1="DFD70000"/>
    <w:embedRegular r:id="rId12" w:fontKey="{C58D3E03-E8C9-49FC-A806-1D8B146A02F7}"/>
  </w:font>
  <w:font w:name="Segoe UI Emoji">
    <w:panose1 w:val="020B0502040204020203"/>
    <w:charset w:val="00"/>
    <w:family w:val="swiss"/>
    <w:pitch w:val="default"/>
    <w:sig w:usb0="00000001" w:usb1="02000000" w:usb2="08000000" w:usb3="00000000" w:csb0="00000001" w:csb1="00000000"/>
    <w:embedRegular r:id="rId13" w:fontKey="{BA6D0CC3-2922-4BB9-B324-F3344B2ADBB6}"/>
  </w:font>
  <w:font w:name="Helvetica">
    <w:panose1 w:val="020B0504020202030204"/>
    <w:charset w:val="00"/>
    <w:family w:val="swiss"/>
    <w:pitch w:val="default"/>
    <w:sig w:usb0="00000007" w:usb1="00000000" w:usb2="00000000" w:usb3="00000000" w:csb0="00000093" w:csb1="00000000"/>
    <w:embedRegular r:id="rId14" w:fontKey="{A5BD0C7F-F5C8-4814-A0F0-B1BE7AD43A6D}"/>
  </w:font>
  <w:font w:name="隶书">
    <w:panose1 w:val="02010509060101010101"/>
    <w:charset w:val="86"/>
    <w:family w:val="modern"/>
    <w:pitch w:val="default"/>
    <w:sig w:usb0="00000001" w:usb1="080E0000" w:usb2="00000000" w:usb3="00000000" w:csb0="00040000" w:csb1="00000000"/>
    <w:embedRegular r:id="rId15" w:fontKey="{DEE1813C-98D1-4552-8D06-E3A143F0E3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w:fldChar w:fldCharType="begin"/>
    </w:r>
    <w:r>
      <w:instrText xml:space="preserve">PAGE   \* MERGEFORMAT</w:instrText>
    </w:r>
    <w:r>
      <w:fldChar w:fldCharType="separate"/>
    </w:r>
    <w:r>
      <w:rPr>
        <w:lang w:val="zh-CN"/>
      </w:rPr>
      <w:t>2</w:t>
    </w:r>
    <w:r>
      <w:fldChar w:fldCharType="end"/>
    </w:r>
  </w:p>
  <w:p>
    <w:pPr>
      <w:pStyle w:val="3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w:fldChar w:fldCharType="begin"/>
    </w:r>
    <w:r>
      <w:instrText xml:space="preserve">PAGE   \* MERGEFORMAT</w:instrText>
    </w:r>
    <w:r>
      <w:fldChar w:fldCharType="separate"/>
    </w:r>
    <w:r>
      <w:rPr>
        <w:lang w:val="zh-CN"/>
      </w:rPr>
      <w:t>1</w:t>
    </w:r>
    <w:r>
      <w:fldChar w:fldCharType="end"/>
    </w:r>
  </w:p>
  <w:p>
    <w:pPr>
      <w:pStyle w:val="3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w:fldChar w:fldCharType="begin"/>
    </w:r>
    <w:r>
      <w:instrText xml:space="preserve"> PAGE   \* MERGEFORMAT </w:instrText>
    </w:r>
    <w:r>
      <w:fldChar w:fldCharType="separate"/>
    </w:r>
    <w:r>
      <w:rPr>
        <w:lang w:val="zh-CN"/>
      </w:rPr>
      <w:t>43</w:t>
    </w:r>
    <w:r>
      <w:fldChar w:fldCharType="end"/>
    </w:r>
  </w:p>
  <w:p>
    <w:pPr>
      <w:pStyle w:val="3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4"/>
      </w:rPr>
    </w:pPr>
    <w:r>
      <w:fldChar w:fldCharType="begin"/>
    </w:r>
    <w:r>
      <w:rPr>
        <w:rStyle w:val="54"/>
      </w:rPr>
      <w:instrText xml:space="preserve">PAGE  </w:instrText>
    </w:r>
    <w:r>
      <w:fldChar w:fldCharType="end"/>
    </w:r>
  </w:p>
  <w:p>
    <w:pPr>
      <w:pStyle w:val="3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w:fldChar w:fldCharType="begin"/>
    </w:r>
    <w:r>
      <w:instrText xml:space="preserve">PAGE   \* MERGEFORMAT</w:instrText>
    </w:r>
    <w:r>
      <w:fldChar w:fldCharType="separate"/>
    </w:r>
    <w:r>
      <w:rPr>
        <w:lang w:val="zh-CN"/>
      </w:rPr>
      <w:t>22</w:t>
    </w:r>
    <w:r>
      <w:fldChar w:fldCharType="end"/>
    </w:r>
  </w:p>
  <w:p>
    <w:pPr>
      <w:pStyle w:val="30"/>
      <w:ind w:right="360"/>
      <w:jc w:val="both"/>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0"/>
                          </w:pPr>
                          <w:r>
                            <w:fldChar w:fldCharType="begin"/>
                          </w:r>
                          <w:r>
                            <w:instrText xml:space="preserve"> PAGE  \* MERGEFORMAT </w:instrText>
                          </w:r>
                          <w:r>
                            <w:fldChar w:fldCharType="separate"/>
                          </w:r>
                          <w:r>
                            <w:t>121</w:t>
                          </w:r>
                          <w:r>
                            <w:fldChar w:fldCharType="end"/>
                          </w:r>
                        </w:p>
                      </w:txbxContent>
                    </wps:txbx>
                    <wps:bodyPr wrap="none" lIns="0" tIns="0" rIns="0" bIns="0">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H1+Z8QBAACQAwAADgAAAGRycy9lMm9Eb2MueG1srVPNjtMwEL4j8Q6W&#10;79RpkVCJ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vqTEcYsDv3z/dvnx6/LzK1lW&#10;q9dZoT5AjYl3AVPT8NYPuDezH9CZiQ8q2vxFSgTjqO/5qq8cEhH50Xq1XlcYEhibL4jPHp6HCOmd&#10;9JZko6ERB1h05acPkMbUOSVXc/5WG1OGaNxfDsTMHpZ7H3vMVhr2w0Ro79sz8ulx9g11uOqUmPcO&#10;pc1rMhtxNvaTkWtAeHNMWLj0k1FHqKkYDqowmpYqb8Kf95L18CNt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1H1+Z8QBAACQAwAADgAAAAAAAAABACAAAAAeAQAAZHJzL2Uyb0RvYy54bWxQ&#10;SwUGAAAAAAYABgBZAQAAVAUAAAAA&#10;">
              <v:fill on="f" focussize="0,0"/>
              <v:stroke on="f"/>
              <v:imagedata o:title=""/>
              <o:lock v:ext="edit" aspectratio="f"/>
              <v:textbox inset="0mm,0mm,0mm,0mm" style="mso-fit-shape-to-text:t;">
                <w:txbxContent>
                  <w:p>
                    <w:pPr>
                      <w:pStyle w:val="30"/>
                    </w:pPr>
                    <w:r>
                      <w:fldChar w:fldCharType="begin"/>
                    </w:r>
                    <w:r>
                      <w:instrText xml:space="preserve"> PAGE  \* MERGEFORMAT </w:instrText>
                    </w:r>
                    <w:r>
                      <w:fldChar w:fldCharType="separate"/>
                    </w:r>
                    <w:r>
                      <w:t>121</w:t>
                    </w:r>
                    <w:r>
                      <w:fldChar w:fldCharType="end"/>
                    </w:r>
                  </w:p>
                </w:txbxContent>
              </v:textbox>
            </v:shape>
          </w:pict>
        </mc:Fallback>
      </mc:AlternateContent>
    </w:r>
  </w:p>
  <w:p>
    <w:pPr>
      <w:pStyle w:val="3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4"/>
      </w:rPr>
    </w:pPr>
    <w:r>
      <w:fldChar w:fldCharType="begin"/>
    </w:r>
    <w:r>
      <w:rPr>
        <w:rStyle w:val="54"/>
      </w:rPr>
      <w:instrText xml:space="preserve">PAGE  </w:instrText>
    </w:r>
    <w:r>
      <w:fldChar w:fldCharType="end"/>
    </w:r>
  </w:p>
  <w:p>
    <w:pPr>
      <w:pStyle w:val="3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right="360"/>
      <w:jc w:val="both"/>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0"/>
                          </w:pPr>
                          <w:r>
                            <w:fldChar w:fldCharType="begin"/>
                          </w:r>
                          <w:r>
                            <w:instrText xml:space="preserve"> PAGE  \* MERGEFORMAT </w:instrText>
                          </w:r>
                          <w:r>
                            <w:fldChar w:fldCharType="separate"/>
                          </w:r>
                          <w:r>
                            <w:t>109</w:t>
                          </w:r>
                          <w:r>
                            <w:fldChar w:fldCharType="end"/>
                          </w:r>
                        </w:p>
                      </w:txbxContent>
                    </wps:txbx>
                    <wps:bodyPr wrap="none" lIns="0" tIns="0" rIns="0" bIns="0">
                      <a:spAutoFit/>
                    </wps:bodyPr>
                  </wps:wsp>
                </a:graphicData>
              </a:graphic>
            </wp:anchor>
          </w:drawing>
        </mc:Choice>
        <mc:Fallback>
          <w:pict>
            <v:shape id="文本框 103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BwSj9iwwEAAJADAAAOAAAAAAAAAAEAIAAAAB4BAABkcnMvZTJvRG9jLnhtbFBL&#10;BQYAAAAABgAGAFkBAABTBQAAAAA=&#10;">
              <v:fill on="f" focussize="0,0"/>
              <v:stroke on="f"/>
              <v:imagedata o:title=""/>
              <o:lock v:ext="edit" aspectratio="f"/>
              <v:textbox inset="0mm,0mm,0mm,0mm" style="mso-fit-shape-to-text:t;">
                <w:txbxContent>
                  <w:p>
                    <w:pPr>
                      <w:pStyle w:val="30"/>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20"/>
      <w:lvlText w:val="%1."/>
      <w:lvlJc w:val="left"/>
      <w:pPr>
        <w:tabs>
          <w:tab w:val="left" w:pos="1200"/>
        </w:tabs>
        <w:ind w:left="1200" w:hanging="360"/>
      </w:pPr>
    </w:lvl>
  </w:abstractNum>
  <w:abstractNum w:abstractNumId="1">
    <w:nsid w:val="020645C8"/>
    <w:multiLevelType w:val="multilevel"/>
    <w:tmpl w:val="020645C8"/>
    <w:lvl w:ilvl="0" w:tentative="0">
      <w:start w:val="1"/>
      <w:numFmt w:val="decimal"/>
      <w:pStyle w:val="146"/>
      <w:suff w:val="nothing"/>
      <w:lvlText w:val="%1."/>
      <w:lvlJc w:val="left"/>
      <w:pPr>
        <w:ind w:left="0" w:firstLine="40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A3842DA"/>
    <w:multiLevelType w:val="multilevel"/>
    <w:tmpl w:val="0A3842DA"/>
    <w:lvl w:ilvl="0" w:tentative="0">
      <w:start w:val="1"/>
      <w:numFmt w:val="decimal"/>
      <w:pStyle w:val="142"/>
      <w:suff w:val="nothing"/>
      <w:lvlText w:val="%1、"/>
      <w:lvlJc w:val="left"/>
      <w:pPr>
        <w:ind w:left="0" w:firstLine="400"/>
      </w:pPr>
      <w:rPr>
        <w:rFonts w:hint="eastAsia"/>
      </w:rPr>
    </w:lvl>
    <w:lvl w:ilvl="1" w:tentative="0">
      <w:start w:val="1"/>
      <w:numFmt w:val="lowerLetter"/>
      <w:lvlText w:val="%2)"/>
      <w:lvlJc w:val="left"/>
      <w:pPr>
        <w:ind w:left="1240" w:hanging="420"/>
      </w:pPr>
    </w:lvl>
    <w:lvl w:ilvl="2" w:tentative="0">
      <w:start w:val="1"/>
      <w:numFmt w:val="lowerRoman"/>
      <w:lvlText w:val="%3."/>
      <w:lvlJc w:val="right"/>
      <w:pPr>
        <w:ind w:left="1660" w:hanging="420"/>
      </w:pPr>
    </w:lvl>
    <w:lvl w:ilvl="3" w:tentative="0">
      <w:start w:val="1"/>
      <w:numFmt w:val="decimal"/>
      <w:lvlText w:val="%4."/>
      <w:lvlJc w:val="left"/>
      <w:pPr>
        <w:ind w:left="2080" w:hanging="420"/>
      </w:pPr>
    </w:lvl>
    <w:lvl w:ilvl="4" w:tentative="0">
      <w:start w:val="1"/>
      <w:numFmt w:val="lowerLetter"/>
      <w:lvlText w:val="%5)"/>
      <w:lvlJc w:val="left"/>
      <w:pPr>
        <w:ind w:left="2500" w:hanging="420"/>
      </w:pPr>
    </w:lvl>
    <w:lvl w:ilvl="5" w:tentative="0">
      <w:start w:val="1"/>
      <w:numFmt w:val="lowerRoman"/>
      <w:lvlText w:val="%6."/>
      <w:lvlJc w:val="right"/>
      <w:pPr>
        <w:ind w:left="2920" w:hanging="420"/>
      </w:pPr>
    </w:lvl>
    <w:lvl w:ilvl="6" w:tentative="0">
      <w:start w:val="1"/>
      <w:numFmt w:val="decimal"/>
      <w:lvlText w:val="%7."/>
      <w:lvlJc w:val="left"/>
      <w:pPr>
        <w:ind w:left="3340" w:hanging="420"/>
      </w:pPr>
    </w:lvl>
    <w:lvl w:ilvl="7" w:tentative="0">
      <w:start w:val="1"/>
      <w:numFmt w:val="lowerLetter"/>
      <w:lvlText w:val="%8)"/>
      <w:lvlJc w:val="left"/>
      <w:pPr>
        <w:ind w:left="3760" w:hanging="420"/>
      </w:pPr>
    </w:lvl>
    <w:lvl w:ilvl="8" w:tentative="0">
      <w:start w:val="1"/>
      <w:numFmt w:val="lowerRoman"/>
      <w:lvlText w:val="%9."/>
      <w:lvlJc w:val="right"/>
      <w:pPr>
        <w:ind w:left="4180" w:hanging="420"/>
      </w:pPr>
    </w:lvl>
  </w:abstractNum>
  <w:abstractNum w:abstractNumId="3">
    <w:nsid w:val="0A790698"/>
    <w:multiLevelType w:val="singleLevel"/>
    <w:tmpl w:val="0A790698"/>
    <w:lvl w:ilvl="0" w:tentative="0">
      <w:start w:val="1"/>
      <w:numFmt w:val="chineseCountingThousand"/>
      <w:pStyle w:val="143"/>
      <w:suff w:val="space"/>
      <w:lvlText w:val="（%1）"/>
      <w:lvlJc w:val="left"/>
      <w:pPr>
        <w:ind w:left="0" w:firstLine="400"/>
      </w:pPr>
      <w:rPr>
        <w:rFonts w:hint="eastAsia"/>
      </w:rPr>
    </w:lvl>
  </w:abstractNum>
  <w:abstractNum w:abstractNumId="4">
    <w:nsid w:val="0CF84248"/>
    <w:multiLevelType w:val="multilevel"/>
    <w:tmpl w:val="0CF84248"/>
    <w:lvl w:ilvl="0" w:tentative="0">
      <w:start w:val="1"/>
      <w:numFmt w:val="decimal"/>
      <w:pStyle w:val="144"/>
      <w:suff w:val="nothing"/>
      <w:lvlText w:val="（%1）"/>
      <w:lvlJc w:val="left"/>
      <w:pPr>
        <w:ind w:left="0" w:firstLine="400"/>
      </w:pPr>
      <w:rPr>
        <w:rFonts w:hint="eastAsia"/>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5">
    <w:nsid w:val="221DBA55"/>
    <w:multiLevelType w:val="singleLevel"/>
    <w:tmpl w:val="221DBA55"/>
    <w:lvl w:ilvl="0" w:tentative="0">
      <w:start w:val="1"/>
      <w:numFmt w:val="decimal"/>
      <w:suff w:val="nothing"/>
      <w:lvlText w:val="%1、"/>
      <w:lvlJc w:val="left"/>
    </w:lvl>
  </w:abstractNum>
  <w:abstractNum w:abstractNumId="6">
    <w:nsid w:val="24737EAD"/>
    <w:multiLevelType w:val="multilevel"/>
    <w:tmpl w:val="24737EAD"/>
    <w:lvl w:ilvl="0" w:tentative="0">
      <w:start w:val="1"/>
      <w:numFmt w:val="decimal"/>
      <w:pStyle w:val="152"/>
      <w:suff w:val="space"/>
      <w:lvlText w:val="(%1)"/>
      <w:lvlJc w:val="left"/>
      <w:pPr>
        <w:ind w:left="400" w:firstLine="200"/>
      </w:pPr>
      <w:rPr>
        <w:rFonts w:hint="eastAsia"/>
        <w:b w:val="0"/>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09910A9"/>
    <w:multiLevelType w:val="multilevel"/>
    <w:tmpl w:val="309910A9"/>
    <w:lvl w:ilvl="0" w:tentative="0">
      <w:start w:val="1"/>
      <w:numFmt w:val="chineseCountingThousand"/>
      <w:pStyle w:val="149"/>
      <w:suff w:val="nothing"/>
      <w:lvlText w:val="%1、"/>
      <w:lvlJc w:val="left"/>
      <w:pPr>
        <w:ind w:left="0" w:firstLine="40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6"/>
      <w:suff w:val="nothing"/>
      <w:lvlText w:val=""/>
      <w:lvlJc w:val="left"/>
      <w:pPr>
        <w:ind w:left="0" w:firstLine="0"/>
      </w:pPr>
      <w:rPr>
        <w:rFonts w:hint="eastAsia"/>
      </w:rPr>
    </w:lvl>
    <w:lvl w:ilvl="5" w:tentative="0">
      <w:start w:val="1"/>
      <w:numFmt w:val="none"/>
      <w:pStyle w:val="8"/>
      <w:suff w:val="nothing"/>
      <w:lvlText w:val=""/>
      <w:lvlJc w:val="left"/>
      <w:pPr>
        <w:ind w:left="0" w:firstLine="0"/>
      </w:pPr>
      <w:rPr>
        <w:rFonts w:hint="eastAsia"/>
      </w:rPr>
    </w:lvl>
    <w:lvl w:ilvl="6" w:tentative="0">
      <w:start w:val="1"/>
      <w:numFmt w:val="none"/>
      <w:pStyle w:val="9"/>
      <w:suff w:val="nothing"/>
      <w:lvlText w:val=""/>
      <w:lvlJc w:val="left"/>
      <w:pPr>
        <w:ind w:left="0" w:firstLine="0"/>
      </w:pPr>
      <w:rPr>
        <w:rFonts w:hint="eastAsia"/>
      </w:rPr>
    </w:lvl>
    <w:lvl w:ilvl="7" w:tentative="0">
      <w:start w:val="1"/>
      <w:numFmt w:val="none"/>
      <w:pStyle w:val="10"/>
      <w:suff w:val="nothing"/>
      <w:lvlText w:val=""/>
      <w:lvlJc w:val="left"/>
      <w:pPr>
        <w:ind w:left="0" w:firstLine="0"/>
      </w:pPr>
      <w:rPr>
        <w:rFonts w:hint="eastAsia"/>
      </w:rPr>
    </w:lvl>
    <w:lvl w:ilvl="8" w:tentative="0">
      <w:start w:val="1"/>
      <w:numFmt w:val="none"/>
      <w:pStyle w:val="11"/>
      <w:suff w:val="nothing"/>
      <w:lvlText w:val=""/>
      <w:lvlJc w:val="left"/>
      <w:pPr>
        <w:ind w:left="0" w:firstLine="0"/>
      </w:pPr>
      <w:rPr>
        <w:rFonts w:hint="eastAsia"/>
      </w:rPr>
    </w:lvl>
  </w:abstractNum>
  <w:abstractNum w:abstractNumId="9">
    <w:nsid w:val="4C601917"/>
    <w:multiLevelType w:val="singleLevel"/>
    <w:tmpl w:val="4C601917"/>
    <w:lvl w:ilvl="0" w:tentative="0">
      <w:start w:val="1"/>
      <w:numFmt w:val="decimal"/>
      <w:suff w:val="nothing"/>
      <w:lvlText w:val="（%1）"/>
      <w:lvlJc w:val="left"/>
    </w:lvl>
  </w:abstractNum>
  <w:abstractNum w:abstractNumId="10">
    <w:nsid w:val="5FABD14B"/>
    <w:multiLevelType w:val="singleLevel"/>
    <w:tmpl w:val="5FABD14B"/>
    <w:lvl w:ilvl="0" w:tentative="0">
      <w:start w:val="1"/>
      <w:numFmt w:val="decimal"/>
      <w:suff w:val="nothing"/>
      <w:lvlText w:val="（%1）"/>
      <w:lvlJc w:val="left"/>
    </w:lvl>
  </w:abstractNum>
  <w:abstractNum w:abstractNumId="11">
    <w:nsid w:val="763060DB"/>
    <w:multiLevelType w:val="multilevel"/>
    <w:tmpl w:val="763060DB"/>
    <w:lvl w:ilvl="0" w:tentative="0">
      <w:start w:val="1"/>
      <w:numFmt w:val="japaneseCounting"/>
      <w:lvlText w:val="第%1章"/>
      <w:lvlJc w:val="left"/>
      <w:pPr>
        <w:tabs>
          <w:tab w:val="left" w:pos="1815"/>
        </w:tabs>
        <w:ind w:left="1815" w:hanging="1275"/>
      </w:pPr>
      <w:rPr>
        <w:rFonts w:hint="eastAsia"/>
        <w:lang w:val="en-US"/>
      </w:rPr>
    </w:lvl>
    <w:lvl w:ilvl="1" w:tentative="0">
      <w:start w:val="1"/>
      <w:numFmt w:val="japaneseCounting"/>
      <w:lvlText w:val="%2、"/>
      <w:lvlJc w:val="left"/>
      <w:pPr>
        <w:tabs>
          <w:tab w:val="left" w:pos="1680"/>
        </w:tabs>
        <w:ind w:left="1680" w:hanging="720"/>
      </w:pPr>
      <w:rPr>
        <w:rFonts w:hint="eastAsia"/>
      </w:rPr>
    </w:lvl>
    <w:lvl w:ilvl="2" w:tentative="0">
      <w:start w:val="1"/>
      <w:numFmt w:val="decimal"/>
      <w:lvlText w:val="%3."/>
      <w:lvlJc w:val="left"/>
      <w:pPr>
        <w:ind w:left="502" w:hanging="360"/>
      </w:pPr>
      <w:rPr>
        <w:rFonts w:hint="default"/>
        <w:sz w:val="24"/>
        <w:szCs w:val="24"/>
      </w:r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abstractNum w:abstractNumId="12">
    <w:nsid w:val="79E0569A"/>
    <w:multiLevelType w:val="multilevel"/>
    <w:tmpl w:val="79E0569A"/>
    <w:lvl w:ilvl="0" w:tentative="0">
      <w:start w:val="1"/>
      <w:numFmt w:val="decimal"/>
      <w:pStyle w:val="145"/>
      <w:suff w:val="space"/>
      <w:lvlText w:val="%1)"/>
      <w:lvlJc w:val="left"/>
      <w:pPr>
        <w:ind w:left="0" w:firstLine="400"/>
      </w:pPr>
      <w:rPr>
        <w:rFonts w:hint="eastAsia"/>
      </w:rPr>
    </w:lvl>
    <w:lvl w:ilvl="1" w:tentative="0">
      <w:start w:val="1"/>
      <w:numFmt w:val="lowerLetter"/>
      <w:lvlText w:val="%2)"/>
      <w:lvlJc w:val="left"/>
      <w:pPr>
        <w:ind w:left="1720" w:hanging="420"/>
      </w:pPr>
    </w:lvl>
    <w:lvl w:ilvl="2" w:tentative="0">
      <w:start w:val="1"/>
      <w:numFmt w:val="lowerRoman"/>
      <w:lvlText w:val="%3."/>
      <w:lvlJc w:val="right"/>
      <w:pPr>
        <w:ind w:left="2140" w:hanging="420"/>
      </w:pPr>
    </w:lvl>
    <w:lvl w:ilvl="3" w:tentative="0">
      <w:start w:val="1"/>
      <w:numFmt w:val="decimal"/>
      <w:lvlText w:val="%4."/>
      <w:lvlJc w:val="left"/>
      <w:pPr>
        <w:ind w:left="2560" w:hanging="420"/>
      </w:pPr>
    </w:lvl>
    <w:lvl w:ilvl="4" w:tentative="0">
      <w:start w:val="1"/>
      <w:numFmt w:val="lowerLetter"/>
      <w:lvlText w:val="%5)"/>
      <w:lvlJc w:val="left"/>
      <w:pPr>
        <w:ind w:left="2980" w:hanging="420"/>
      </w:pPr>
    </w:lvl>
    <w:lvl w:ilvl="5" w:tentative="0">
      <w:start w:val="1"/>
      <w:numFmt w:val="lowerRoman"/>
      <w:lvlText w:val="%6."/>
      <w:lvlJc w:val="right"/>
      <w:pPr>
        <w:ind w:left="3400" w:hanging="420"/>
      </w:pPr>
    </w:lvl>
    <w:lvl w:ilvl="6" w:tentative="0">
      <w:start w:val="1"/>
      <w:numFmt w:val="decimal"/>
      <w:lvlText w:val="%7."/>
      <w:lvlJc w:val="left"/>
      <w:pPr>
        <w:ind w:left="3820" w:hanging="420"/>
      </w:pPr>
    </w:lvl>
    <w:lvl w:ilvl="7" w:tentative="0">
      <w:start w:val="1"/>
      <w:numFmt w:val="lowerLetter"/>
      <w:lvlText w:val="%8)"/>
      <w:lvlJc w:val="left"/>
      <w:pPr>
        <w:ind w:left="4240" w:hanging="420"/>
      </w:pPr>
    </w:lvl>
    <w:lvl w:ilvl="8" w:tentative="0">
      <w:start w:val="1"/>
      <w:numFmt w:val="lowerRoman"/>
      <w:lvlText w:val="%9."/>
      <w:lvlJc w:val="right"/>
      <w:pPr>
        <w:ind w:left="4660" w:hanging="420"/>
      </w:pPr>
    </w:lvl>
  </w:abstractNum>
  <w:abstractNum w:abstractNumId="13">
    <w:nsid w:val="7DDF28A0"/>
    <w:multiLevelType w:val="multilevel"/>
    <w:tmpl w:val="7DDF28A0"/>
    <w:lvl w:ilvl="0" w:tentative="0">
      <w:start w:val="1"/>
      <w:numFmt w:val="decimal"/>
      <w:pStyle w:val="158"/>
      <w:suff w:val="nothing"/>
      <w:lvlText w:val="%1）"/>
      <w:lvlJc w:val="left"/>
      <w:pPr>
        <w:ind w:left="400" w:firstLine="20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0"/>
  </w:num>
  <w:num w:numId="3">
    <w:abstractNumId w:val="2"/>
  </w:num>
  <w:num w:numId="4">
    <w:abstractNumId w:val="3"/>
  </w:num>
  <w:num w:numId="5">
    <w:abstractNumId w:val="4"/>
  </w:num>
  <w:num w:numId="6">
    <w:abstractNumId w:val="12"/>
  </w:num>
  <w:num w:numId="7">
    <w:abstractNumId w:val="1"/>
  </w:num>
  <w:num w:numId="8">
    <w:abstractNumId w:val="7"/>
  </w:num>
  <w:num w:numId="9">
    <w:abstractNumId w:val="6"/>
  </w:num>
  <w:num w:numId="10">
    <w:abstractNumId w:val="13"/>
  </w:num>
  <w:num w:numId="11">
    <w:abstractNumId w:val="5"/>
  </w:num>
  <w:num w:numId="12">
    <w:abstractNumId w:val="9"/>
  </w:num>
  <w:num w:numId="13">
    <w:abstractNumId w:val="10"/>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hideSpellingErrors/>
  <w:stylePaneFormatFilter w:val="3D01" w:allStyles="1" w:customStyles="0" w:latentStyles="0" w:stylesInUse="0" w:headingStyles="0" w:numberingStyles="0" w:tableStyles="0" w:directFormattingOnRuns="1" w:directFormattingOnParagraphs="0"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AwMGM5NzNkMGFmZjdmNjdmOTliN2YyNmZmOTBjMmUifQ=="/>
  </w:docVars>
  <w:rsids>
    <w:rsidRoot w:val="00F9008B"/>
    <w:rsid w:val="0000010C"/>
    <w:rsid w:val="00000466"/>
    <w:rsid w:val="00000D21"/>
    <w:rsid w:val="00000FE0"/>
    <w:rsid w:val="00001068"/>
    <w:rsid w:val="0000108F"/>
    <w:rsid w:val="0000114A"/>
    <w:rsid w:val="000012EA"/>
    <w:rsid w:val="000014E3"/>
    <w:rsid w:val="00001731"/>
    <w:rsid w:val="00001B0B"/>
    <w:rsid w:val="00001BAF"/>
    <w:rsid w:val="00001C2D"/>
    <w:rsid w:val="00001C55"/>
    <w:rsid w:val="00001CA8"/>
    <w:rsid w:val="00001E4C"/>
    <w:rsid w:val="00001F3B"/>
    <w:rsid w:val="00001FAE"/>
    <w:rsid w:val="00002291"/>
    <w:rsid w:val="0000230A"/>
    <w:rsid w:val="0000240F"/>
    <w:rsid w:val="00002644"/>
    <w:rsid w:val="00002BC4"/>
    <w:rsid w:val="00002D74"/>
    <w:rsid w:val="00002DBF"/>
    <w:rsid w:val="00002E56"/>
    <w:rsid w:val="00002EC0"/>
    <w:rsid w:val="000030A4"/>
    <w:rsid w:val="000030DA"/>
    <w:rsid w:val="00003189"/>
    <w:rsid w:val="00003224"/>
    <w:rsid w:val="000033A9"/>
    <w:rsid w:val="000033F5"/>
    <w:rsid w:val="000034A2"/>
    <w:rsid w:val="000034EA"/>
    <w:rsid w:val="0000350E"/>
    <w:rsid w:val="0000358C"/>
    <w:rsid w:val="00003BEF"/>
    <w:rsid w:val="00003E35"/>
    <w:rsid w:val="00004130"/>
    <w:rsid w:val="0000419B"/>
    <w:rsid w:val="0000431F"/>
    <w:rsid w:val="00004634"/>
    <w:rsid w:val="0000489E"/>
    <w:rsid w:val="00004CBC"/>
    <w:rsid w:val="00004D8B"/>
    <w:rsid w:val="0000509A"/>
    <w:rsid w:val="0000510D"/>
    <w:rsid w:val="000059E2"/>
    <w:rsid w:val="00005F8A"/>
    <w:rsid w:val="00006254"/>
    <w:rsid w:val="000063F8"/>
    <w:rsid w:val="0000670A"/>
    <w:rsid w:val="00006A03"/>
    <w:rsid w:val="00006A56"/>
    <w:rsid w:val="00006AE7"/>
    <w:rsid w:val="00006B9B"/>
    <w:rsid w:val="00006BEA"/>
    <w:rsid w:val="00006C35"/>
    <w:rsid w:val="00006EF2"/>
    <w:rsid w:val="000072B1"/>
    <w:rsid w:val="000072F9"/>
    <w:rsid w:val="00007329"/>
    <w:rsid w:val="0000734F"/>
    <w:rsid w:val="00007922"/>
    <w:rsid w:val="00007E28"/>
    <w:rsid w:val="00007E53"/>
    <w:rsid w:val="00007E84"/>
    <w:rsid w:val="00010401"/>
    <w:rsid w:val="0001040F"/>
    <w:rsid w:val="000105A1"/>
    <w:rsid w:val="000107AD"/>
    <w:rsid w:val="00010835"/>
    <w:rsid w:val="00010844"/>
    <w:rsid w:val="000108B0"/>
    <w:rsid w:val="00010A0A"/>
    <w:rsid w:val="00010B91"/>
    <w:rsid w:val="00010CE9"/>
    <w:rsid w:val="00010F4E"/>
    <w:rsid w:val="00010F7F"/>
    <w:rsid w:val="0001146F"/>
    <w:rsid w:val="00011747"/>
    <w:rsid w:val="00011842"/>
    <w:rsid w:val="00011B8D"/>
    <w:rsid w:val="00012137"/>
    <w:rsid w:val="000121EB"/>
    <w:rsid w:val="000121EE"/>
    <w:rsid w:val="000121FF"/>
    <w:rsid w:val="000125B8"/>
    <w:rsid w:val="000125EC"/>
    <w:rsid w:val="00012692"/>
    <w:rsid w:val="00012993"/>
    <w:rsid w:val="00012A8F"/>
    <w:rsid w:val="00012FA1"/>
    <w:rsid w:val="000132C1"/>
    <w:rsid w:val="00013446"/>
    <w:rsid w:val="0001349D"/>
    <w:rsid w:val="00013509"/>
    <w:rsid w:val="000135BC"/>
    <w:rsid w:val="000135DC"/>
    <w:rsid w:val="000136B2"/>
    <w:rsid w:val="000136D6"/>
    <w:rsid w:val="00013979"/>
    <w:rsid w:val="00013CBF"/>
    <w:rsid w:val="00013D34"/>
    <w:rsid w:val="00013E8C"/>
    <w:rsid w:val="00013FB2"/>
    <w:rsid w:val="00014085"/>
    <w:rsid w:val="000141DE"/>
    <w:rsid w:val="00014623"/>
    <w:rsid w:val="00014B4C"/>
    <w:rsid w:val="00014BFB"/>
    <w:rsid w:val="00014DD9"/>
    <w:rsid w:val="00014E9F"/>
    <w:rsid w:val="000151E4"/>
    <w:rsid w:val="000153D8"/>
    <w:rsid w:val="00015555"/>
    <w:rsid w:val="00015577"/>
    <w:rsid w:val="000156E4"/>
    <w:rsid w:val="00015979"/>
    <w:rsid w:val="000159A7"/>
    <w:rsid w:val="00015A66"/>
    <w:rsid w:val="00015C4C"/>
    <w:rsid w:val="00015DD6"/>
    <w:rsid w:val="00015E3A"/>
    <w:rsid w:val="00015FB8"/>
    <w:rsid w:val="00016076"/>
    <w:rsid w:val="0001609F"/>
    <w:rsid w:val="0001635B"/>
    <w:rsid w:val="00016549"/>
    <w:rsid w:val="000169C2"/>
    <w:rsid w:val="00016AB3"/>
    <w:rsid w:val="00016BF7"/>
    <w:rsid w:val="00016D20"/>
    <w:rsid w:val="00016DED"/>
    <w:rsid w:val="00016E47"/>
    <w:rsid w:val="000171D6"/>
    <w:rsid w:val="0001767E"/>
    <w:rsid w:val="0001776D"/>
    <w:rsid w:val="000178D7"/>
    <w:rsid w:val="00017C00"/>
    <w:rsid w:val="00017D58"/>
    <w:rsid w:val="00017D90"/>
    <w:rsid w:val="00017F31"/>
    <w:rsid w:val="0002004A"/>
    <w:rsid w:val="00020607"/>
    <w:rsid w:val="00020791"/>
    <w:rsid w:val="00020A15"/>
    <w:rsid w:val="00020FE2"/>
    <w:rsid w:val="0002103A"/>
    <w:rsid w:val="000217E4"/>
    <w:rsid w:val="00021852"/>
    <w:rsid w:val="00021A12"/>
    <w:rsid w:val="00021F18"/>
    <w:rsid w:val="00022308"/>
    <w:rsid w:val="00022622"/>
    <w:rsid w:val="000226C9"/>
    <w:rsid w:val="00022A44"/>
    <w:rsid w:val="00022AB9"/>
    <w:rsid w:val="00022D13"/>
    <w:rsid w:val="00022D5E"/>
    <w:rsid w:val="00022FF4"/>
    <w:rsid w:val="000230F0"/>
    <w:rsid w:val="00023363"/>
    <w:rsid w:val="000235F3"/>
    <w:rsid w:val="00023644"/>
    <w:rsid w:val="00023712"/>
    <w:rsid w:val="00023748"/>
    <w:rsid w:val="0002440A"/>
    <w:rsid w:val="0002448C"/>
    <w:rsid w:val="00024707"/>
    <w:rsid w:val="0002476C"/>
    <w:rsid w:val="00024E3C"/>
    <w:rsid w:val="00024EB0"/>
    <w:rsid w:val="00025117"/>
    <w:rsid w:val="000252FA"/>
    <w:rsid w:val="0002547A"/>
    <w:rsid w:val="000258B2"/>
    <w:rsid w:val="00025941"/>
    <w:rsid w:val="000259DF"/>
    <w:rsid w:val="00025A13"/>
    <w:rsid w:val="00025A2F"/>
    <w:rsid w:val="00025A93"/>
    <w:rsid w:val="00025C50"/>
    <w:rsid w:val="00025C92"/>
    <w:rsid w:val="00026048"/>
    <w:rsid w:val="000263D0"/>
    <w:rsid w:val="0002646A"/>
    <w:rsid w:val="0002651D"/>
    <w:rsid w:val="00026658"/>
    <w:rsid w:val="000269BE"/>
    <w:rsid w:val="000269C7"/>
    <w:rsid w:val="00026CFD"/>
    <w:rsid w:val="000272DD"/>
    <w:rsid w:val="000272EA"/>
    <w:rsid w:val="00027345"/>
    <w:rsid w:val="00027519"/>
    <w:rsid w:val="0002752D"/>
    <w:rsid w:val="00027774"/>
    <w:rsid w:val="0002796F"/>
    <w:rsid w:val="000279F9"/>
    <w:rsid w:val="00027A11"/>
    <w:rsid w:val="00027A19"/>
    <w:rsid w:val="00027B05"/>
    <w:rsid w:val="00027B0F"/>
    <w:rsid w:val="00027C8B"/>
    <w:rsid w:val="00027C8D"/>
    <w:rsid w:val="00027CD9"/>
    <w:rsid w:val="00027CE8"/>
    <w:rsid w:val="00027EC8"/>
    <w:rsid w:val="00030242"/>
    <w:rsid w:val="000304CA"/>
    <w:rsid w:val="000308A0"/>
    <w:rsid w:val="00030B06"/>
    <w:rsid w:val="000313E0"/>
    <w:rsid w:val="000314B5"/>
    <w:rsid w:val="000314DC"/>
    <w:rsid w:val="0003153A"/>
    <w:rsid w:val="0003183A"/>
    <w:rsid w:val="00031CDC"/>
    <w:rsid w:val="00031DC8"/>
    <w:rsid w:val="0003210D"/>
    <w:rsid w:val="0003263B"/>
    <w:rsid w:val="0003282C"/>
    <w:rsid w:val="00032D70"/>
    <w:rsid w:val="00032EEC"/>
    <w:rsid w:val="0003304A"/>
    <w:rsid w:val="0003317E"/>
    <w:rsid w:val="000331F1"/>
    <w:rsid w:val="000331F3"/>
    <w:rsid w:val="000333EF"/>
    <w:rsid w:val="000333FE"/>
    <w:rsid w:val="00033413"/>
    <w:rsid w:val="000334A6"/>
    <w:rsid w:val="000336F9"/>
    <w:rsid w:val="000337F3"/>
    <w:rsid w:val="000338CB"/>
    <w:rsid w:val="000339AB"/>
    <w:rsid w:val="00033B75"/>
    <w:rsid w:val="00034196"/>
    <w:rsid w:val="00034C27"/>
    <w:rsid w:val="00034E25"/>
    <w:rsid w:val="00034E2A"/>
    <w:rsid w:val="000351BD"/>
    <w:rsid w:val="0003577F"/>
    <w:rsid w:val="00035808"/>
    <w:rsid w:val="00035903"/>
    <w:rsid w:val="00035947"/>
    <w:rsid w:val="00035A8E"/>
    <w:rsid w:val="000361E7"/>
    <w:rsid w:val="00036466"/>
    <w:rsid w:val="000365F5"/>
    <w:rsid w:val="0003675E"/>
    <w:rsid w:val="000368F8"/>
    <w:rsid w:val="00036AD2"/>
    <w:rsid w:val="000373F9"/>
    <w:rsid w:val="00037633"/>
    <w:rsid w:val="00037AD0"/>
    <w:rsid w:val="00037E9E"/>
    <w:rsid w:val="00037F87"/>
    <w:rsid w:val="00037FA2"/>
    <w:rsid w:val="000400D0"/>
    <w:rsid w:val="00040139"/>
    <w:rsid w:val="0004044E"/>
    <w:rsid w:val="00041009"/>
    <w:rsid w:val="00041065"/>
    <w:rsid w:val="00041471"/>
    <w:rsid w:val="00041730"/>
    <w:rsid w:val="0004195D"/>
    <w:rsid w:val="00041A16"/>
    <w:rsid w:val="000421C0"/>
    <w:rsid w:val="00042292"/>
    <w:rsid w:val="000425AC"/>
    <w:rsid w:val="00042655"/>
    <w:rsid w:val="00042672"/>
    <w:rsid w:val="000426DC"/>
    <w:rsid w:val="00042F4A"/>
    <w:rsid w:val="00043726"/>
    <w:rsid w:val="00043BE5"/>
    <w:rsid w:val="00043C4B"/>
    <w:rsid w:val="00043F9B"/>
    <w:rsid w:val="00044003"/>
    <w:rsid w:val="000443E8"/>
    <w:rsid w:val="00044527"/>
    <w:rsid w:val="00044662"/>
    <w:rsid w:val="0004469E"/>
    <w:rsid w:val="00044897"/>
    <w:rsid w:val="00044918"/>
    <w:rsid w:val="00044ACF"/>
    <w:rsid w:val="00044C40"/>
    <w:rsid w:val="00044D83"/>
    <w:rsid w:val="00044E06"/>
    <w:rsid w:val="000454F4"/>
    <w:rsid w:val="00045670"/>
    <w:rsid w:val="000456EB"/>
    <w:rsid w:val="0004599C"/>
    <w:rsid w:val="00045CE1"/>
    <w:rsid w:val="00045D0B"/>
    <w:rsid w:val="00045D1E"/>
    <w:rsid w:val="00045E69"/>
    <w:rsid w:val="00045EAC"/>
    <w:rsid w:val="00045EF4"/>
    <w:rsid w:val="00045F00"/>
    <w:rsid w:val="000460F2"/>
    <w:rsid w:val="00046151"/>
    <w:rsid w:val="00046200"/>
    <w:rsid w:val="00046296"/>
    <w:rsid w:val="00046415"/>
    <w:rsid w:val="00046547"/>
    <w:rsid w:val="00046656"/>
    <w:rsid w:val="000466D7"/>
    <w:rsid w:val="00046753"/>
    <w:rsid w:val="00046786"/>
    <w:rsid w:val="00046FB6"/>
    <w:rsid w:val="00047254"/>
    <w:rsid w:val="000472FD"/>
    <w:rsid w:val="00047905"/>
    <w:rsid w:val="00047A8D"/>
    <w:rsid w:val="00047D6F"/>
    <w:rsid w:val="00047E88"/>
    <w:rsid w:val="00047FCC"/>
    <w:rsid w:val="00050001"/>
    <w:rsid w:val="00050155"/>
    <w:rsid w:val="0005020F"/>
    <w:rsid w:val="0005022B"/>
    <w:rsid w:val="00050481"/>
    <w:rsid w:val="00050547"/>
    <w:rsid w:val="00050653"/>
    <w:rsid w:val="00050771"/>
    <w:rsid w:val="00050B9B"/>
    <w:rsid w:val="0005112A"/>
    <w:rsid w:val="000513F3"/>
    <w:rsid w:val="000515A1"/>
    <w:rsid w:val="000517E4"/>
    <w:rsid w:val="00051875"/>
    <w:rsid w:val="000518C6"/>
    <w:rsid w:val="00051BE5"/>
    <w:rsid w:val="00051CE2"/>
    <w:rsid w:val="000520E9"/>
    <w:rsid w:val="00052287"/>
    <w:rsid w:val="000522E0"/>
    <w:rsid w:val="00052609"/>
    <w:rsid w:val="000527E2"/>
    <w:rsid w:val="00052F55"/>
    <w:rsid w:val="000532F4"/>
    <w:rsid w:val="00053624"/>
    <w:rsid w:val="000536AE"/>
    <w:rsid w:val="00053A2B"/>
    <w:rsid w:val="00053B50"/>
    <w:rsid w:val="000542FB"/>
    <w:rsid w:val="0005481F"/>
    <w:rsid w:val="00054824"/>
    <w:rsid w:val="00054846"/>
    <w:rsid w:val="000548E0"/>
    <w:rsid w:val="00054CD5"/>
    <w:rsid w:val="00054CEC"/>
    <w:rsid w:val="00054D03"/>
    <w:rsid w:val="000550AC"/>
    <w:rsid w:val="0005556C"/>
    <w:rsid w:val="0005560C"/>
    <w:rsid w:val="0005580E"/>
    <w:rsid w:val="0005584D"/>
    <w:rsid w:val="000559EC"/>
    <w:rsid w:val="00055A30"/>
    <w:rsid w:val="00055CC3"/>
    <w:rsid w:val="00055CEE"/>
    <w:rsid w:val="00055D5C"/>
    <w:rsid w:val="00056483"/>
    <w:rsid w:val="000566FA"/>
    <w:rsid w:val="00056738"/>
    <w:rsid w:val="00056A2B"/>
    <w:rsid w:val="00056E37"/>
    <w:rsid w:val="00056EE2"/>
    <w:rsid w:val="00056FE2"/>
    <w:rsid w:val="000570FB"/>
    <w:rsid w:val="00057138"/>
    <w:rsid w:val="00057248"/>
    <w:rsid w:val="00057393"/>
    <w:rsid w:val="000573DF"/>
    <w:rsid w:val="000575B8"/>
    <w:rsid w:val="000577A9"/>
    <w:rsid w:val="00057941"/>
    <w:rsid w:val="00057F4D"/>
    <w:rsid w:val="00060131"/>
    <w:rsid w:val="00060171"/>
    <w:rsid w:val="0006026B"/>
    <w:rsid w:val="00060293"/>
    <w:rsid w:val="00060423"/>
    <w:rsid w:val="0006054F"/>
    <w:rsid w:val="00060AC5"/>
    <w:rsid w:val="00060FFC"/>
    <w:rsid w:val="0006141E"/>
    <w:rsid w:val="00061459"/>
    <w:rsid w:val="000616FA"/>
    <w:rsid w:val="00061739"/>
    <w:rsid w:val="0006194F"/>
    <w:rsid w:val="00061BDA"/>
    <w:rsid w:val="00062048"/>
    <w:rsid w:val="000620C2"/>
    <w:rsid w:val="000621FE"/>
    <w:rsid w:val="00062450"/>
    <w:rsid w:val="00062AD9"/>
    <w:rsid w:val="00062B90"/>
    <w:rsid w:val="00062C70"/>
    <w:rsid w:val="00062DD0"/>
    <w:rsid w:val="00062E6F"/>
    <w:rsid w:val="000630C7"/>
    <w:rsid w:val="00063559"/>
    <w:rsid w:val="0006356A"/>
    <w:rsid w:val="000635B4"/>
    <w:rsid w:val="0006393C"/>
    <w:rsid w:val="00063AC3"/>
    <w:rsid w:val="00063D37"/>
    <w:rsid w:val="00063F70"/>
    <w:rsid w:val="0006400F"/>
    <w:rsid w:val="000643DA"/>
    <w:rsid w:val="000645DD"/>
    <w:rsid w:val="0006460A"/>
    <w:rsid w:val="00064901"/>
    <w:rsid w:val="00064CF9"/>
    <w:rsid w:val="00064D7E"/>
    <w:rsid w:val="00064F65"/>
    <w:rsid w:val="00064FD0"/>
    <w:rsid w:val="00064FE8"/>
    <w:rsid w:val="0006534A"/>
    <w:rsid w:val="0006578E"/>
    <w:rsid w:val="00065A5D"/>
    <w:rsid w:val="00065BA2"/>
    <w:rsid w:val="00065E0D"/>
    <w:rsid w:val="00066184"/>
    <w:rsid w:val="000661CA"/>
    <w:rsid w:val="0006668D"/>
    <w:rsid w:val="00066791"/>
    <w:rsid w:val="00066B6C"/>
    <w:rsid w:val="00066F2B"/>
    <w:rsid w:val="00067002"/>
    <w:rsid w:val="0006710A"/>
    <w:rsid w:val="00067993"/>
    <w:rsid w:val="00067B1C"/>
    <w:rsid w:val="00067BB7"/>
    <w:rsid w:val="00067C7A"/>
    <w:rsid w:val="00067CED"/>
    <w:rsid w:val="00067D39"/>
    <w:rsid w:val="00067E8B"/>
    <w:rsid w:val="00067F66"/>
    <w:rsid w:val="0007041A"/>
    <w:rsid w:val="00070634"/>
    <w:rsid w:val="0007071D"/>
    <w:rsid w:val="00070883"/>
    <w:rsid w:val="000708CC"/>
    <w:rsid w:val="00070930"/>
    <w:rsid w:val="00070A8C"/>
    <w:rsid w:val="00070C3F"/>
    <w:rsid w:val="00070F50"/>
    <w:rsid w:val="00070F9F"/>
    <w:rsid w:val="00070FE4"/>
    <w:rsid w:val="0007102C"/>
    <w:rsid w:val="00071048"/>
    <w:rsid w:val="000710CB"/>
    <w:rsid w:val="000711A9"/>
    <w:rsid w:val="000714D3"/>
    <w:rsid w:val="000717D0"/>
    <w:rsid w:val="0007183E"/>
    <w:rsid w:val="000719C6"/>
    <w:rsid w:val="00071A96"/>
    <w:rsid w:val="00071AAD"/>
    <w:rsid w:val="00071C5E"/>
    <w:rsid w:val="00071D5C"/>
    <w:rsid w:val="00071D68"/>
    <w:rsid w:val="00071D82"/>
    <w:rsid w:val="00071DD2"/>
    <w:rsid w:val="00071FCE"/>
    <w:rsid w:val="000721BF"/>
    <w:rsid w:val="00072661"/>
    <w:rsid w:val="00072724"/>
    <w:rsid w:val="00072812"/>
    <w:rsid w:val="00072876"/>
    <w:rsid w:val="00072B29"/>
    <w:rsid w:val="00072BA6"/>
    <w:rsid w:val="00072CCC"/>
    <w:rsid w:val="00072E02"/>
    <w:rsid w:val="0007322F"/>
    <w:rsid w:val="00073549"/>
    <w:rsid w:val="00073A58"/>
    <w:rsid w:val="00073B06"/>
    <w:rsid w:val="00073B62"/>
    <w:rsid w:val="00073E0F"/>
    <w:rsid w:val="000740C1"/>
    <w:rsid w:val="000745D2"/>
    <w:rsid w:val="00074769"/>
    <w:rsid w:val="000747E1"/>
    <w:rsid w:val="0007483E"/>
    <w:rsid w:val="00074E1A"/>
    <w:rsid w:val="00074F9B"/>
    <w:rsid w:val="000751DB"/>
    <w:rsid w:val="000751E9"/>
    <w:rsid w:val="000756B4"/>
    <w:rsid w:val="000756C5"/>
    <w:rsid w:val="0007578F"/>
    <w:rsid w:val="000757CA"/>
    <w:rsid w:val="000759A3"/>
    <w:rsid w:val="00075CD8"/>
    <w:rsid w:val="00075E43"/>
    <w:rsid w:val="000760E2"/>
    <w:rsid w:val="00076CFC"/>
    <w:rsid w:val="00076DEF"/>
    <w:rsid w:val="0007700F"/>
    <w:rsid w:val="0007724C"/>
    <w:rsid w:val="000772B1"/>
    <w:rsid w:val="00077706"/>
    <w:rsid w:val="00077878"/>
    <w:rsid w:val="000779B0"/>
    <w:rsid w:val="00077C9E"/>
    <w:rsid w:val="00077DD1"/>
    <w:rsid w:val="00077DE2"/>
    <w:rsid w:val="00077F02"/>
    <w:rsid w:val="000800EE"/>
    <w:rsid w:val="000804EF"/>
    <w:rsid w:val="00080558"/>
    <w:rsid w:val="00080771"/>
    <w:rsid w:val="00080807"/>
    <w:rsid w:val="00080AA7"/>
    <w:rsid w:val="00081169"/>
    <w:rsid w:val="00081230"/>
    <w:rsid w:val="00081252"/>
    <w:rsid w:val="00081384"/>
    <w:rsid w:val="000814E1"/>
    <w:rsid w:val="000814E2"/>
    <w:rsid w:val="00081532"/>
    <w:rsid w:val="000818C9"/>
    <w:rsid w:val="00081CBB"/>
    <w:rsid w:val="00081D42"/>
    <w:rsid w:val="000822AC"/>
    <w:rsid w:val="000822EF"/>
    <w:rsid w:val="0008241E"/>
    <w:rsid w:val="000826F5"/>
    <w:rsid w:val="000829B1"/>
    <w:rsid w:val="00082AAB"/>
    <w:rsid w:val="0008307D"/>
    <w:rsid w:val="000831E9"/>
    <w:rsid w:val="00083288"/>
    <w:rsid w:val="000833BB"/>
    <w:rsid w:val="000836C4"/>
    <w:rsid w:val="00083A03"/>
    <w:rsid w:val="00083AE9"/>
    <w:rsid w:val="00083B21"/>
    <w:rsid w:val="00083D33"/>
    <w:rsid w:val="00083EC8"/>
    <w:rsid w:val="00083F92"/>
    <w:rsid w:val="00083FC1"/>
    <w:rsid w:val="000840A6"/>
    <w:rsid w:val="000840D9"/>
    <w:rsid w:val="00084211"/>
    <w:rsid w:val="0008452D"/>
    <w:rsid w:val="000845A5"/>
    <w:rsid w:val="0008467B"/>
    <w:rsid w:val="000846E2"/>
    <w:rsid w:val="00084B6F"/>
    <w:rsid w:val="00084F1F"/>
    <w:rsid w:val="00084F7A"/>
    <w:rsid w:val="00084FBF"/>
    <w:rsid w:val="000850FA"/>
    <w:rsid w:val="0008556B"/>
    <w:rsid w:val="0008597F"/>
    <w:rsid w:val="00085C12"/>
    <w:rsid w:val="00085DA0"/>
    <w:rsid w:val="00085E04"/>
    <w:rsid w:val="00085F82"/>
    <w:rsid w:val="00086506"/>
    <w:rsid w:val="00086897"/>
    <w:rsid w:val="00086B6E"/>
    <w:rsid w:val="00086C64"/>
    <w:rsid w:val="00086CAA"/>
    <w:rsid w:val="00086D8B"/>
    <w:rsid w:val="00087486"/>
    <w:rsid w:val="00087654"/>
    <w:rsid w:val="0008781A"/>
    <w:rsid w:val="00087A9D"/>
    <w:rsid w:val="00087AB0"/>
    <w:rsid w:val="00087DF0"/>
    <w:rsid w:val="00090951"/>
    <w:rsid w:val="00090A61"/>
    <w:rsid w:val="00090C80"/>
    <w:rsid w:val="00090C83"/>
    <w:rsid w:val="00090F08"/>
    <w:rsid w:val="000912DD"/>
    <w:rsid w:val="000917E6"/>
    <w:rsid w:val="000918F5"/>
    <w:rsid w:val="000919B5"/>
    <w:rsid w:val="00091A27"/>
    <w:rsid w:val="00091C1D"/>
    <w:rsid w:val="00091D7D"/>
    <w:rsid w:val="00091E08"/>
    <w:rsid w:val="00091E29"/>
    <w:rsid w:val="00092128"/>
    <w:rsid w:val="000922D8"/>
    <w:rsid w:val="00092D8E"/>
    <w:rsid w:val="000932E7"/>
    <w:rsid w:val="0009333A"/>
    <w:rsid w:val="00093459"/>
    <w:rsid w:val="000934B0"/>
    <w:rsid w:val="00093A2B"/>
    <w:rsid w:val="00093B8B"/>
    <w:rsid w:val="00093CBF"/>
    <w:rsid w:val="00093D39"/>
    <w:rsid w:val="00093DF0"/>
    <w:rsid w:val="00094045"/>
    <w:rsid w:val="00094218"/>
    <w:rsid w:val="000942EA"/>
    <w:rsid w:val="0009454B"/>
    <w:rsid w:val="00094EF9"/>
    <w:rsid w:val="000951E7"/>
    <w:rsid w:val="000954AE"/>
    <w:rsid w:val="00095589"/>
    <w:rsid w:val="00095702"/>
    <w:rsid w:val="00095B82"/>
    <w:rsid w:val="00095DED"/>
    <w:rsid w:val="00096098"/>
    <w:rsid w:val="000961C5"/>
    <w:rsid w:val="000965DA"/>
    <w:rsid w:val="000966D9"/>
    <w:rsid w:val="000968AF"/>
    <w:rsid w:val="000968CE"/>
    <w:rsid w:val="000969D9"/>
    <w:rsid w:val="00096D43"/>
    <w:rsid w:val="00096F37"/>
    <w:rsid w:val="00097142"/>
    <w:rsid w:val="00097242"/>
    <w:rsid w:val="0009759A"/>
    <w:rsid w:val="000975A5"/>
    <w:rsid w:val="000977A6"/>
    <w:rsid w:val="00097BED"/>
    <w:rsid w:val="00097D13"/>
    <w:rsid w:val="00097FE5"/>
    <w:rsid w:val="000A005B"/>
    <w:rsid w:val="000A0354"/>
    <w:rsid w:val="000A0355"/>
    <w:rsid w:val="000A05D7"/>
    <w:rsid w:val="000A067D"/>
    <w:rsid w:val="000A091F"/>
    <w:rsid w:val="000A0958"/>
    <w:rsid w:val="000A0F4D"/>
    <w:rsid w:val="000A0FCC"/>
    <w:rsid w:val="000A1033"/>
    <w:rsid w:val="000A170E"/>
    <w:rsid w:val="000A197C"/>
    <w:rsid w:val="000A1A2D"/>
    <w:rsid w:val="000A1D71"/>
    <w:rsid w:val="000A2076"/>
    <w:rsid w:val="000A2712"/>
    <w:rsid w:val="000A2877"/>
    <w:rsid w:val="000A28F5"/>
    <w:rsid w:val="000A2B99"/>
    <w:rsid w:val="000A2D31"/>
    <w:rsid w:val="000A30CB"/>
    <w:rsid w:val="000A331E"/>
    <w:rsid w:val="000A34F4"/>
    <w:rsid w:val="000A34F6"/>
    <w:rsid w:val="000A355D"/>
    <w:rsid w:val="000A35DA"/>
    <w:rsid w:val="000A365C"/>
    <w:rsid w:val="000A371E"/>
    <w:rsid w:val="000A385B"/>
    <w:rsid w:val="000A3AF3"/>
    <w:rsid w:val="000A3B7D"/>
    <w:rsid w:val="000A3DE5"/>
    <w:rsid w:val="000A3FB0"/>
    <w:rsid w:val="000A4011"/>
    <w:rsid w:val="000A4385"/>
    <w:rsid w:val="000A4397"/>
    <w:rsid w:val="000A45D5"/>
    <w:rsid w:val="000A4838"/>
    <w:rsid w:val="000A490E"/>
    <w:rsid w:val="000A5B49"/>
    <w:rsid w:val="000A5C65"/>
    <w:rsid w:val="000A5F0F"/>
    <w:rsid w:val="000A5FE5"/>
    <w:rsid w:val="000A688F"/>
    <w:rsid w:val="000A6A46"/>
    <w:rsid w:val="000A6B92"/>
    <w:rsid w:val="000A7099"/>
    <w:rsid w:val="000A7218"/>
    <w:rsid w:val="000A740A"/>
    <w:rsid w:val="000A743E"/>
    <w:rsid w:val="000A7446"/>
    <w:rsid w:val="000A76C4"/>
    <w:rsid w:val="000A7A1B"/>
    <w:rsid w:val="000A7A56"/>
    <w:rsid w:val="000A7E7F"/>
    <w:rsid w:val="000A7ECD"/>
    <w:rsid w:val="000A7F3D"/>
    <w:rsid w:val="000B006C"/>
    <w:rsid w:val="000B01F2"/>
    <w:rsid w:val="000B0335"/>
    <w:rsid w:val="000B03BC"/>
    <w:rsid w:val="000B044A"/>
    <w:rsid w:val="000B04DD"/>
    <w:rsid w:val="000B0677"/>
    <w:rsid w:val="000B07E2"/>
    <w:rsid w:val="000B0BC9"/>
    <w:rsid w:val="000B0BEC"/>
    <w:rsid w:val="000B0C27"/>
    <w:rsid w:val="000B0F01"/>
    <w:rsid w:val="000B0F1E"/>
    <w:rsid w:val="000B0FC3"/>
    <w:rsid w:val="000B12F5"/>
    <w:rsid w:val="000B1346"/>
    <w:rsid w:val="000B13DF"/>
    <w:rsid w:val="000B175E"/>
    <w:rsid w:val="000B1795"/>
    <w:rsid w:val="000B180D"/>
    <w:rsid w:val="000B1914"/>
    <w:rsid w:val="000B19DC"/>
    <w:rsid w:val="000B1CA2"/>
    <w:rsid w:val="000B1E1A"/>
    <w:rsid w:val="000B202E"/>
    <w:rsid w:val="000B2293"/>
    <w:rsid w:val="000B22D7"/>
    <w:rsid w:val="000B240A"/>
    <w:rsid w:val="000B24A4"/>
    <w:rsid w:val="000B255A"/>
    <w:rsid w:val="000B255C"/>
    <w:rsid w:val="000B259D"/>
    <w:rsid w:val="000B2648"/>
    <w:rsid w:val="000B264F"/>
    <w:rsid w:val="000B275D"/>
    <w:rsid w:val="000B2808"/>
    <w:rsid w:val="000B292B"/>
    <w:rsid w:val="000B2AB0"/>
    <w:rsid w:val="000B3328"/>
    <w:rsid w:val="000B3531"/>
    <w:rsid w:val="000B361C"/>
    <w:rsid w:val="000B395E"/>
    <w:rsid w:val="000B39C3"/>
    <w:rsid w:val="000B3A00"/>
    <w:rsid w:val="000B3BFD"/>
    <w:rsid w:val="000B3F4B"/>
    <w:rsid w:val="000B40E6"/>
    <w:rsid w:val="000B4322"/>
    <w:rsid w:val="000B4840"/>
    <w:rsid w:val="000B48B7"/>
    <w:rsid w:val="000B4D79"/>
    <w:rsid w:val="000B4D92"/>
    <w:rsid w:val="000B4E9D"/>
    <w:rsid w:val="000B525F"/>
    <w:rsid w:val="000B533B"/>
    <w:rsid w:val="000B53D5"/>
    <w:rsid w:val="000B55C8"/>
    <w:rsid w:val="000B5627"/>
    <w:rsid w:val="000B5671"/>
    <w:rsid w:val="000B5BE1"/>
    <w:rsid w:val="000B5D50"/>
    <w:rsid w:val="000B5D67"/>
    <w:rsid w:val="000B616E"/>
    <w:rsid w:val="000B6557"/>
    <w:rsid w:val="000B6BF0"/>
    <w:rsid w:val="000B6CE8"/>
    <w:rsid w:val="000B7AE2"/>
    <w:rsid w:val="000B7BC3"/>
    <w:rsid w:val="000B7C16"/>
    <w:rsid w:val="000B7DAF"/>
    <w:rsid w:val="000B7EAE"/>
    <w:rsid w:val="000C01A9"/>
    <w:rsid w:val="000C044C"/>
    <w:rsid w:val="000C0520"/>
    <w:rsid w:val="000C060A"/>
    <w:rsid w:val="000C071C"/>
    <w:rsid w:val="000C093E"/>
    <w:rsid w:val="000C09B4"/>
    <w:rsid w:val="000C0BB4"/>
    <w:rsid w:val="000C0BEE"/>
    <w:rsid w:val="000C0D02"/>
    <w:rsid w:val="000C0F26"/>
    <w:rsid w:val="000C1027"/>
    <w:rsid w:val="000C1212"/>
    <w:rsid w:val="000C126A"/>
    <w:rsid w:val="000C1294"/>
    <w:rsid w:val="000C15CB"/>
    <w:rsid w:val="000C193C"/>
    <w:rsid w:val="000C19A9"/>
    <w:rsid w:val="000C1CB9"/>
    <w:rsid w:val="000C2159"/>
    <w:rsid w:val="000C21BB"/>
    <w:rsid w:val="000C289B"/>
    <w:rsid w:val="000C2DD9"/>
    <w:rsid w:val="000C2F0B"/>
    <w:rsid w:val="000C2F85"/>
    <w:rsid w:val="000C34B8"/>
    <w:rsid w:val="000C3967"/>
    <w:rsid w:val="000C3DEE"/>
    <w:rsid w:val="000C3ED8"/>
    <w:rsid w:val="000C3EFA"/>
    <w:rsid w:val="000C3F01"/>
    <w:rsid w:val="000C420D"/>
    <w:rsid w:val="000C4773"/>
    <w:rsid w:val="000C4944"/>
    <w:rsid w:val="000C4A44"/>
    <w:rsid w:val="000C4E24"/>
    <w:rsid w:val="000C5163"/>
    <w:rsid w:val="000C537D"/>
    <w:rsid w:val="000C5412"/>
    <w:rsid w:val="000C559C"/>
    <w:rsid w:val="000C574C"/>
    <w:rsid w:val="000C5A72"/>
    <w:rsid w:val="000C5C4A"/>
    <w:rsid w:val="000C5C87"/>
    <w:rsid w:val="000C5DE5"/>
    <w:rsid w:val="000C5F01"/>
    <w:rsid w:val="000C6010"/>
    <w:rsid w:val="000C63C4"/>
    <w:rsid w:val="000C66C1"/>
    <w:rsid w:val="000C674D"/>
    <w:rsid w:val="000C6F0B"/>
    <w:rsid w:val="000C6F32"/>
    <w:rsid w:val="000C708E"/>
    <w:rsid w:val="000C726D"/>
    <w:rsid w:val="000C752B"/>
    <w:rsid w:val="000C75A9"/>
    <w:rsid w:val="000C778C"/>
    <w:rsid w:val="000C7819"/>
    <w:rsid w:val="000C7833"/>
    <w:rsid w:val="000C7AB8"/>
    <w:rsid w:val="000C7DFB"/>
    <w:rsid w:val="000C7E1B"/>
    <w:rsid w:val="000C7E73"/>
    <w:rsid w:val="000C7EBC"/>
    <w:rsid w:val="000D001B"/>
    <w:rsid w:val="000D030D"/>
    <w:rsid w:val="000D044F"/>
    <w:rsid w:val="000D0560"/>
    <w:rsid w:val="000D0784"/>
    <w:rsid w:val="000D07F3"/>
    <w:rsid w:val="000D0A45"/>
    <w:rsid w:val="000D0ABC"/>
    <w:rsid w:val="000D0C7F"/>
    <w:rsid w:val="000D128C"/>
    <w:rsid w:val="000D136E"/>
    <w:rsid w:val="000D14AC"/>
    <w:rsid w:val="000D15BA"/>
    <w:rsid w:val="000D184B"/>
    <w:rsid w:val="000D1A13"/>
    <w:rsid w:val="000D1A35"/>
    <w:rsid w:val="000D1BDB"/>
    <w:rsid w:val="000D1D3E"/>
    <w:rsid w:val="000D1EE3"/>
    <w:rsid w:val="000D1F90"/>
    <w:rsid w:val="000D20B7"/>
    <w:rsid w:val="000D29F5"/>
    <w:rsid w:val="000D2C9B"/>
    <w:rsid w:val="000D2DF8"/>
    <w:rsid w:val="000D35FD"/>
    <w:rsid w:val="000D372E"/>
    <w:rsid w:val="000D3D2D"/>
    <w:rsid w:val="000D3D99"/>
    <w:rsid w:val="000D3F34"/>
    <w:rsid w:val="000D43F4"/>
    <w:rsid w:val="000D4653"/>
    <w:rsid w:val="000D4696"/>
    <w:rsid w:val="000D46BA"/>
    <w:rsid w:val="000D4817"/>
    <w:rsid w:val="000D4A5C"/>
    <w:rsid w:val="000D4FB9"/>
    <w:rsid w:val="000D5127"/>
    <w:rsid w:val="000D54B4"/>
    <w:rsid w:val="000D54F8"/>
    <w:rsid w:val="000D5630"/>
    <w:rsid w:val="000D584B"/>
    <w:rsid w:val="000D5AFF"/>
    <w:rsid w:val="000D5F55"/>
    <w:rsid w:val="000D6372"/>
    <w:rsid w:val="000D6801"/>
    <w:rsid w:val="000D682D"/>
    <w:rsid w:val="000D6979"/>
    <w:rsid w:val="000D6A6F"/>
    <w:rsid w:val="000D6B59"/>
    <w:rsid w:val="000D6CE7"/>
    <w:rsid w:val="000D6E38"/>
    <w:rsid w:val="000D6E63"/>
    <w:rsid w:val="000D706E"/>
    <w:rsid w:val="000D711C"/>
    <w:rsid w:val="000D737F"/>
    <w:rsid w:val="000D738B"/>
    <w:rsid w:val="000D748C"/>
    <w:rsid w:val="000D7551"/>
    <w:rsid w:val="000D7591"/>
    <w:rsid w:val="000D78BB"/>
    <w:rsid w:val="000D7B6E"/>
    <w:rsid w:val="000D7F05"/>
    <w:rsid w:val="000D7FBB"/>
    <w:rsid w:val="000E02C0"/>
    <w:rsid w:val="000E042A"/>
    <w:rsid w:val="000E057B"/>
    <w:rsid w:val="000E062F"/>
    <w:rsid w:val="000E0644"/>
    <w:rsid w:val="000E076D"/>
    <w:rsid w:val="000E0AD0"/>
    <w:rsid w:val="000E0CD2"/>
    <w:rsid w:val="000E15D2"/>
    <w:rsid w:val="000E187C"/>
    <w:rsid w:val="000E1881"/>
    <w:rsid w:val="000E1B28"/>
    <w:rsid w:val="000E1B78"/>
    <w:rsid w:val="000E1DD2"/>
    <w:rsid w:val="000E1E8D"/>
    <w:rsid w:val="000E1EBC"/>
    <w:rsid w:val="000E2173"/>
    <w:rsid w:val="000E220B"/>
    <w:rsid w:val="000E22BD"/>
    <w:rsid w:val="000E250D"/>
    <w:rsid w:val="000E2A50"/>
    <w:rsid w:val="000E2E2F"/>
    <w:rsid w:val="000E30F2"/>
    <w:rsid w:val="000E3140"/>
    <w:rsid w:val="000E316B"/>
    <w:rsid w:val="000E352C"/>
    <w:rsid w:val="000E3D08"/>
    <w:rsid w:val="000E444C"/>
    <w:rsid w:val="000E4713"/>
    <w:rsid w:val="000E4728"/>
    <w:rsid w:val="000E4762"/>
    <w:rsid w:val="000E47C6"/>
    <w:rsid w:val="000E4A79"/>
    <w:rsid w:val="000E4C21"/>
    <w:rsid w:val="000E4D1F"/>
    <w:rsid w:val="000E4D2E"/>
    <w:rsid w:val="000E4F67"/>
    <w:rsid w:val="000E517C"/>
    <w:rsid w:val="000E5658"/>
    <w:rsid w:val="000E568B"/>
    <w:rsid w:val="000E5698"/>
    <w:rsid w:val="000E5723"/>
    <w:rsid w:val="000E581B"/>
    <w:rsid w:val="000E58B4"/>
    <w:rsid w:val="000E5C83"/>
    <w:rsid w:val="000E5CD2"/>
    <w:rsid w:val="000E5F44"/>
    <w:rsid w:val="000E6010"/>
    <w:rsid w:val="000E6336"/>
    <w:rsid w:val="000E65D2"/>
    <w:rsid w:val="000E6919"/>
    <w:rsid w:val="000E6943"/>
    <w:rsid w:val="000E6B1B"/>
    <w:rsid w:val="000E6F0C"/>
    <w:rsid w:val="000E6FE3"/>
    <w:rsid w:val="000E702F"/>
    <w:rsid w:val="000E7253"/>
    <w:rsid w:val="000E732D"/>
    <w:rsid w:val="000E73F1"/>
    <w:rsid w:val="000E7405"/>
    <w:rsid w:val="000E7F32"/>
    <w:rsid w:val="000F0262"/>
    <w:rsid w:val="000F07ED"/>
    <w:rsid w:val="000F0AB9"/>
    <w:rsid w:val="000F0C69"/>
    <w:rsid w:val="000F0CF2"/>
    <w:rsid w:val="000F13DF"/>
    <w:rsid w:val="000F14D9"/>
    <w:rsid w:val="000F14F6"/>
    <w:rsid w:val="000F1777"/>
    <w:rsid w:val="000F1A32"/>
    <w:rsid w:val="000F1C1E"/>
    <w:rsid w:val="000F1CC2"/>
    <w:rsid w:val="000F1D15"/>
    <w:rsid w:val="000F1E30"/>
    <w:rsid w:val="000F1E67"/>
    <w:rsid w:val="000F24E6"/>
    <w:rsid w:val="000F270A"/>
    <w:rsid w:val="000F2C4A"/>
    <w:rsid w:val="000F2EE8"/>
    <w:rsid w:val="000F34C8"/>
    <w:rsid w:val="000F36A5"/>
    <w:rsid w:val="000F38B5"/>
    <w:rsid w:val="000F38BC"/>
    <w:rsid w:val="000F3B06"/>
    <w:rsid w:val="000F3DAD"/>
    <w:rsid w:val="000F3DD1"/>
    <w:rsid w:val="000F3E2A"/>
    <w:rsid w:val="000F41E4"/>
    <w:rsid w:val="000F423E"/>
    <w:rsid w:val="000F42C5"/>
    <w:rsid w:val="000F45A5"/>
    <w:rsid w:val="000F464D"/>
    <w:rsid w:val="000F46F6"/>
    <w:rsid w:val="000F477D"/>
    <w:rsid w:val="000F4CFA"/>
    <w:rsid w:val="000F4D26"/>
    <w:rsid w:val="000F4D91"/>
    <w:rsid w:val="000F4EF5"/>
    <w:rsid w:val="000F50B7"/>
    <w:rsid w:val="000F5306"/>
    <w:rsid w:val="000F547E"/>
    <w:rsid w:val="000F5639"/>
    <w:rsid w:val="000F56AE"/>
    <w:rsid w:val="000F571E"/>
    <w:rsid w:val="000F583A"/>
    <w:rsid w:val="000F58A4"/>
    <w:rsid w:val="000F5941"/>
    <w:rsid w:val="000F5B2C"/>
    <w:rsid w:val="000F5B9F"/>
    <w:rsid w:val="000F6086"/>
    <w:rsid w:val="000F6658"/>
    <w:rsid w:val="000F6833"/>
    <w:rsid w:val="000F6A24"/>
    <w:rsid w:val="000F6AE0"/>
    <w:rsid w:val="000F6BB6"/>
    <w:rsid w:val="000F6FEC"/>
    <w:rsid w:val="000F7508"/>
    <w:rsid w:val="000F7610"/>
    <w:rsid w:val="000F7616"/>
    <w:rsid w:val="000F7DE9"/>
    <w:rsid w:val="000F7E84"/>
    <w:rsid w:val="000F7F7A"/>
    <w:rsid w:val="0010004B"/>
    <w:rsid w:val="00100168"/>
    <w:rsid w:val="0010026C"/>
    <w:rsid w:val="001002F4"/>
    <w:rsid w:val="00100409"/>
    <w:rsid w:val="001004BB"/>
    <w:rsid w:val="001005B4"/>
    <w:rsid w:val="0010065B"/>
    <w:rsid w:val="001007B5"/>
    <w:rsid w:val="001008A8"/>
    <w:rsid w:val="00101077"/>
    <w:rsid w:val="001011FC"/>
    <w:rsid w:val="0010165F"/>
    <w:rsid w:val="001018B1"/>
    <w:rsid w:val="001018C1"/>
    <w:rsid w:val="00101A33"/>
    <w:rsid w:val="00101B81"/>
    <w:rsid w:val="00101E7C"/>
    <w:rsid w:val="0010221F"/>
    <w:rsid w:val="00102260"/>
    <w:rsid w:val="001023DC"/>
    <w:rsid w:val="0010256D"/>
    <w:rsid w:val="00102572"/>
    <w:rsid w:val="00102787"/>
    <w:rsid w:val="00102946"/>
    <w:rsid w:val="00102BBE"/>
    <w:rsid w:val="00102FBF"/>
    <w:rsid w:val="001030E6"/>
    <w:rsid w:val="00103168"/>
    <w:rsid w:val="001032E3"/>
    <w:rsid w:val="001032F8"/>
    <w:rsid w:val="0010333D"/>
    <w:rsid w:val="0010372A"/>
    <w:rsid w:val="0010392E"/>
    <w:rsid w:val="00103A00"/>
    <w:rsid w:val="00103A56"/>
    <w:rsid w:val="00103A74"/>
    <w:rsid w:val="00103C98"/>
    <w:rsid w:val="00103F41"/>
    <w:rsid w:val="001044C8"/>
    <w:rsid w:val="0010467D"/>
    <w:rsid w:val="001048DB"/>
    <w:rsid w:val="001048FC"/>
    <w:rsid w:val="00104934"/>
    <w:rsid w:val="00104D42"/>
    <w:rsid w:val="00104E77"/>
    <w:rsid w:val="00104F34"/>
    <w:rsid w:val="00104F3E"/>
    <w:rsid w:val="00105338"/>
    <w:rsid w:val="001053C5"/>
    <w:rsid w:val="001053CB"/>
    <w:rsid w:val="0010555A"/>
    <w:rsid w:val="001055AD"/>
    <w:rsid w:val="001057CF"/>
    <w:rsid w:val="00105C14"/>
    <w:rsid w:val="00105DFB"/>
    <w:rsid w:val="001061AF"/>
    <w:rsid w:val="00106436"/>
    <w:rsid w:val="001065A3"/>
    <w:rsid w:val="00106727"/>
    <w:rsid w:val="00106730"/>
    <w:rsid w:val="0010691D"/>
    <w:rsid w:val="00106B33"/>
    <w:rsid w:val="00106BC3"/>
    <w:rsid w:val="00106E69"/>
    <w:rsid w:val="0010716D"/>
    <w:rsid w:val="00107E9D"/>
    <w:rsid w:val="00110067"/>
    <w:rsid w:val="00110101"/>
    <w:rsid w:val="001104A2"/>
    <w:rsid w:val="00110749"/>
    <w:rsid w:val="00110922"/>
    <w:rsid w:val="00110AC5"/>
    <w:rsid w:val="00110D16"/>
    <w:rsid w:val="00110F0B"/>
    <w:rsid w:val="0011102B"/>
    <w:rsid w:val="0011108B"/>
    <w:rsid w:val="00111136"/>
    <w:rsid w:val="00111164"/>
    <w:rsid w:val="00111648"/>
    <w:rsid w:val="00111761"/>
    <w:rsid w:val="00112164"/>
    <w:rsid w:val="0011241F"/>
    <w:rsid w:val="001128BF"/>
    <w:rsid w:val="00112B39"/>
    <w:rsid w:val="00112D09"/>
    <w:rsid w:val="00112F03"/>
    <w:rsid w:val="00112F38"/>
    <w:rsid w:val="001133B3"/>
    <w:rsid w:val="001136F0"/>
    <w:rsid w:val="00113821"/>
    <w:rsid w:val="0011386E"/>
    <w:rsid w:val="0011394B"/>
    <w:rsid w:val="0011396C"/>
    <w:rsid w:val="001139B1"/>
    <w:rsid w:val="00113CEE"/>
    <w:rsid w:val="00113F7B"/>
    <w:rsid w:val="00114058"/>
    <w:rsid w:val="00114251"/>
    <w:rsid w:val="00114330"/>
    <w:rsid w:val="00114342"/>
    <w:rsid w:val="0011449E"/>
    <w:rsid w:val="001145C0"/>
    <w:rsid w:val="001145E2"/>
    <w:rsid w:val="001149BA"/>
    <w:rsid w:val="00115023"/>
    <w:rsid w:val="001153EF"/>
    <w:rsid w:val="00115647"/>
    <w:rsid w:val="00115810"/>
    <w:rsid w:val="00115D55"/>
    <w:rsid w:val="00115E45"/>
    <w:rsid w:val="00115F15"/>
    <w:rsid w:val="00115F85"/>
    <w:rsid w:val="00115FD1"/>
    <w:rsid w:val="001162DE"/>
    <w:rsid w:val="0011646A"/>
    <w:rsid w:val="001165CC"/>
    <w:rsid w:val="0011688E"/>
    <w:rsid w:val="001168D5"/>
    <w:rsid w:val="00116ACD"/>
    <w:rsid w:val="00116EBA"/>
    <w:rsid w:val="00116FD7"/>
    <w:rsid w:val="0011755A"/>
    <w:rsid w:val="00117603"/>
    <w:rsid w:val="001176E7"/>
    <w:rsid w:val="00117967"/>
    <w:rsid w:val="00117B56"/>
    <w:rsid w:val="00117B7D"/>
    <w:rsid w:val="00117EB6"/>
    <w:rsid w:val="0012027C"/>
    <w:rsid w:val="001205A8"/>
    <w:rsid w:val="00120698"/>
    <w:rsid w:val="001206C7"/>
    <w:rsid w:val="001206D6"/>
    <w:rsid w:val="00120813"/>
    <w:rsid w:val="00120948"/>
    <w:rsid w:val="00120EFC"/>
    <w:rsid w:val="0012106B"/>
    <w:rsid w:val="001211D6"/>
    <w:rsid w:val="00121231"/>
    <w:rsid w:val="0012127B"/>
    <w:rsid w:val="001212AB"/>
    <w:rsid w:val="00121329"/>
    <w:rsid w:val="001213AA"/>
    <w:rsid w:val="001213E4"/>
    <w:rsid w:val="0012158C"/>
    <w:rsid w:val="0012180B"/>
    <w:rsid w:val="00121B62"/>
    <w:rsid w:val="001220D9"/>
    <w:rsid w:val="00122621"/>
    <w:rsid w:val="00122A64"/>
    <w:rsid w:val="00123641"/>
    <w:rsid w:val="00123818"/>
    <w:rsid w:val="0012388A"/>
    <w:rsid w:val="0012388C"/>
    <w:rsid w:val="00123AFA"/>
    <w:rsid w:val="00123C8C"/>
    <w:rsid w:val="00123D68"/>
    <w:rsid w:val="00123E8B"/>
    <w:rsid w:val="00124457"/>
    <w:rsid w:val="001247B8"/>
    <w:rsid w:val="00124B43"/>
    <w:rsid w:val="00124DD2"/>
    <w:rsid w:val="00124DF8"/>
    <w:rsid w:val="00125396"/>
    <w:rsid w:val="001253EA"/>
    <w:rsid w:val="0012567E"/>
    <w:rsid w:val="0012584D"/>
    <w:rsid w:val="00125B99"/>
    <w:rsid w:val="00125C2C"/>
    <w:rsid w:val="00126160"/>
    <w:rsid w:val="0012646F"/>
    <w:rsid w:val="001266D6"/>
    <w:rsid w:val="001266ED"/>
    <w:rsid w:val="001267FD"/>
    <w:rsid w:val="00126D0C"/>
    <w:rsid w:val="00126D29"/>
    <w:rsid w:val="00126DB5"/>
    <w:rsid w:val="00126E7C"/>
    <w:rsid w:val="00127178"/>
    <w:rsid w:val="001273C9"/>
    <w:rsid w:val="00127674"/>
    <w:rsid w:val="00127D2B"/>
    <w:rsid w:val="00127DAD"/>
    <w:rsid w:val="00127F09"/>
    <w:rsid w:val="0013002A"/>
    <w:rsid w:val="00130221"/>
    <w:rsid w:val="0013037B"/>
    <w:rsid w:val="0013085D"/>
    <w:rsid w:val="0013089C"/>
    <w:rsid w:val="00130A2D"/>
    <w:rsid w:val="00130A99"/>
    <w:rsid w:val="00130D57"/>
    <w:rsid w:val="00130F0B"/>
    <w:rsid w:val="00130F54"/>
    <w:rsid w:val="00130FCB"/>
    <w:rsid w:val="001313E0"/>
    <w:rsid w:val="00131587"/>
    <w:rsid w:val="00131888"/>
    <w:rsid w:val="001319CA"/>
    <w:rsid w:val="00131B46"/>
    <w:rsid w:val="00131F17"/>
    <w:rsid w:val="00131F52"/>
    <w:rsid w:val="001323F9"/>
    <w:rsid w:val="0013251F"/>
    <w:rsid w:val="00132825"/>
    <w:rsid w:val="00132B6C"/>
    <w:rsid w:val="00132FA3"/>
    <w:rsid w:val="00133088"/>
    <w:rsid w:val="001332D2"/>
    <w:rsid w:val="00133346"/>
    <w:rsid w:val="001333ED"/>
    <w:rsid w:val="001335B1"/>
    <w:rsid w:val="0013370A"/>
    <w:rsid w:val="0013372D"/>
    <w:rsid w:val="00133733"/>
    <w:rsid w:val="0013375D"/>
    <w:rsid w:val="00133B4E"/>
    <w:rsid w:val="00133C44"/>
    <w:rsid w:val="00133D47"/>
    <w:rsid w:val="00133F01"/>
    <w:rsid w:val="00134666"/>
    <w:rsid w:val="001346AF"/>
    <w:rsid w:val="0013486A"/>
    <w:rsid w:val="00134990"/>
    <w:rsid w:val="00134AD9"/>
    <w:rsid w:val="00134D98"/>
    <w:rsid w:val="00134FD9"/>
    <w:rsid w:val="001350AC"/>
    <w:rsid w:val="001350FF"/>
    <w:rsid w:val="00135416"/>
    <w:rsid w:val="00135494"/>
    <w:rsid w:val="001354B3"/>
    <w:rsid w:val="001354D1"/>
    <w:rsid w:val="001355E7"/>
    <w:rsid w:val="00135A0A"/>
    <w:rsid w:val="00135BB9"/>
    <w:rsid w:val="00135CD6"/>
    <w:rsid w:val="0013621D"/>
    <w:rsid w:val="00136354"/>
    <w:rsid w:val="00136674"/>
    <w:rsid w:val="001369F5"/>
    <w:rsid w:val="00136B0E"/>
    <w:rsid w:val="00136C3B"/>
    <w:rsid w:val="00136CF3"/>
    <w:rsid w:val="00137103"/>
    <w:rsid w:val="001373DE"/>
    <w:rsid w:val="0013753B"/>
    <w:rsid w:val="00137543"/>
    <w:rsid w:val="001376AB"/>
    <w:rsid w:val="0013777C"/>
    <w:rsid w:val="001378E0"/>
    <w:rsid w:val="00137B7A"/>
    <w:rsid w:val="00137D5F"/>
    <w:rsid w:val="00137D93"/>
    <w:rsid w:val="00137E95"/>
    <w:rsid w:val="00140082"/>
    <w:rsid w:val="00140175"/>
    <w:rsid w:val="00140253"/>
    <w:rsid w:val="0014036B"/>
    <w:rsid w:val="0014040A"/>
    <w:rsid w:val="0014073C"/>
    <w:rsid w:val="00140757"/>
    <w:rsid w:val="00140987"/>
    <w:rsid w:val="00140B62"/>
    <w:rsid w:val="00140D07"/>
    <w:rsid w:val="00140F86"/>
    <w:rsid w:val="00140F9F"/>
    <w:rsid w:val="00141398"/>
    <w:rsid w:val="001416CF"/>
    <w:rsid w:val="00141A3A"/>
    <w:rsid w:val="00141B6E"/>
    <w:rsid w:val="00142239"/>
    <w:rsid w:val="001422F4"/>
    <w:rsid w:val="001423FA"/>
    <w:rsid w:val="001427B5"/>
    <w:rsid w:val="001428CF"/>
    <w:rsid w:val="00142D0C"/>
    <w:rsid w:val="00142DB7"/>
    <w:rsid w:val="00142E3C"/>
    <w:rsid w:val="001431B2"/>
    <w:rsid w:val="001434F8"/>
    <w:rsid w:val="001436A2"/>
    <w:rsid w:val="001436B8"/>
    <w:rsid w:val="001437C8"/>
    <w:rsid w:val="00143B54"/>
    <w:rsid w:val="00144013"/>
    <w:rsid w:val="00144362"/>
    <w:rsid w:val="00144659"/>
    <w:rsid w:val="00144898"/>
    <w:rsid w:val="00144E3F"/>
    <w:rsid w:val="001453AC"/>
    <w:rsid w:val="001454B8"/>
    <w:rsid w:val="00145A17"/>
    <w:rsid w:val="00145BBE"/>
    <w:rsid w:val="00145D7F"/>
    <w:rsid w:val="00145DD4"/>
    <w:rsid w:val="00145DE0"/>
    <w:rsid w:val="00145F81"/>
    <w:rsid w:val="001460B5"/>
    <w:rsid w:val="00146372"/>
    <w:rsid w:val="0014641F"/>
    <w:rsid w:val="001464A8"/>
    <w:rsid w:val="00146618"/>
    <w:rsid w:val="001467BB"/>
    <w:rsid w:val="00146917"/>
    <w:rsid w:val="001469A4"/>
    <w:rsid w:val="00146AB3"/>
    <w:rsid w:val="00146CA8"/>
    <w:rsid w:val="001472A5"/>
    <w:rsid w:val="00147884"/>
    <w:rsid w:val="00150060"/>
    <w:rsid w:val="0015018A"/>
    <w:rsid w:val="0015021A"/>
    <w:rsid w:val="00150669"/>
    <w:rsid w:val="00150827"/>
    <w:rsid w:val="00150871"/>
    <w:rsid w:val="00150B0D"/>
    <w:rsid w:val="00150C0B"/>
    <w:rsid w:val="00150FFA"/>
    <w:rsid w:val="00150FFC"/>
    <w:rsid w:val="00151591"/>
    <w:rsid w:val="0015186A"/>
    <w:rsid w:val="001518B2"/>
    <w:rsid w:val="00151E31"/>
    <w:rsid w:val="00151EDF"/>
    <w:rsid w:val="00151F9B"/>
    <w:rsid w:val="00152095"/>
    <w:rsid w:val="00152289"/>
    <w:rsid w:val="00152374"/>
    <w:rsid w:val="001523E3"/>
    <w:rsid w:val="00152425"/>
    <w:rsid w:val="00152536"/>
    <w:rsid w:val="00152648"/>
    <w:rsid w:val="001526DA"/>
    <w:rsid w:val="00152769"/>
    <w:rsid w:val="00152BAD"/>
    <w:rsid w:val="00152CE3"/>
    <w:rsid w:val="0015350E"/>
    <w:rsid w:val="00153652"/>
    <w:rsid w:val="00153697"/>
    <w:rsid w:val="0015384A"/>
    <w:rsid w:val="00153956"/>
    <w:rsid w:val="00153B95"/>
    <w:rsid w:val="00153CE6"/>
    <w:rsid w:val="00153FE0"/>
    <w:rsid w:val="001540CF"/>
    <w:rsid w:val="001540EF"/>
    <w:rsid w:val="00154146"/>
    <w:rsid w:val="00154190"/>
    <w:rsid w:val="001544BD"/>
    <w:rsid w:val="001545EA"/>
    <w:rsid w:val="001549BA"/>
    <w:rsid w:val="00154DAB"/>
    <w:rsid w:val="00154FFC"/>
    <w:rsid w:val="00155099"/>
    <w:rsid w:val="001553F5"/>
    <w:rsid w:val="001555D5"/>
    <w:rsid w:val="001556EA"/>
    <w:rsid w:val="00155B43"/>
    <w:rsid w:val="00155C85"/>
    <w:rsid w:val="00155EFE"/>
    <w:rsid w:val="001561EE"/>
    <w:rsid w:val="001568B8"/>
    <w:rsid w:val="00156A6C"/>
    <w:rsid w:val="00156B10"/>
    <w:rsid w:val="00156DF0"/>
    <w:rsid w:val="001571F2"/>
    <w:rsid w:val="001577E6"/>
    <w:rsid w:val="00157823"/>
    <w:rsid w:val="0015790D"/>
    <w:rsid w:val="00157C2E"/>
    <w:rsid w:val="00157C5E"/>
    <w:rsid w:val="0016015A"/>
    <w:rsid w:val="0016020E"/>
    <w:rsid w:val="001603AE"/>
    <w:rsid w:val="001603D4"/>
    <w:rsid w:val="00160503"/>
    <w:rsid w:val="001605A1"/>
    <w:rsid w:val="00160701"/>
    <w:rsid w:val="001609CD"/>
    <w:rsid w:val="00160C44"/>
    <w:rsid w:val="00160D7C"/>
    <w:rsid w:val="00160E30"/>
    <w:rsid w:val="0016106D"/>
    <w:rsid w:val="001610F4"/>
    <w:rsid w:val="001612E1"/>
    <w:rsid w:val="0016137A"/>
    <w:rsid w:val="001614DB"/>
    <w:rsid w:val="0016194E"/>
    <w:rsid w:val="001619A6"/>
    <w:rsid w:val="00161A41"/>
    <w:rsid w:val="00161B97"/>
    <w:rsid w:val="00161D53"/>
    <w:rsid w:val="00162096"/>
    <w:rsid w:val="0016236C"/>
    <w:rsid w:val="00162392"/>
    <w:rsid w:val="001624EE"/>
    <w:rsid w:val="00162625"/>
    <w:rsid w:val="0016294C"/>
    <w:rsid w:val="001630A8"/>
    <w:rsid w:val="001634C7"/>
    <w:rsid w:val="001637F0"/>
    <w:rsid w:val="00163826"/>
    <w:rsid w:val="001638E3"/>
    <w:rsid w:val="00163943"/>
    <w:rsid w:val="00163BA1"/>
    <w:rsid w:val="00163C2D"/>
    <w:rsid w:val="00163D3C"/>
    <w:rsid w:val="00163F22"/>
    <w:rsid w:val="001640B9"/>
    <w:rsid w:val="0016417B"/>
    <w:rsid w:val="0016448A"/>
    <w:rsid w:val="001644B1"/>
    <w:rsid w:val="001645DE"/>
    <w:rsid w:val="0016470E"/>
    <w:rsid w:val="001647BD"/>
    <w:rsid w:val="001647FF"/>
    <w:rsid w:val="0016482E"/>
    <w:rsid w:val="00164CF4"/>
    <w:rsid w:val="00164E0A"/>
    <w:rsid w:val="0016520F"/>
    <w:rsid w:val="001652D7"/>
    <w:rsid w:val="00165389"/>
    <w:rsid w:val="00165479"/>
    <w:rsid w:val="0016565B"/>
    <w:rsid w:val="001658CB"/>
    <w:rsid w:val="0016596E"/>
    <w:rsid w:val="001659B0"/>
    <w:rsid w:val="00165A5F"/>
    <w:rsid w:val="00166223"/>
    <w:rsid w:val="00166354"/>
    <w:rsid w:val="00166449"/>
    <w:rsid w:val="00166462"/>
    <w:rsid w:val="00166492"/>
    <w:rsid w:val="00166566"/>
    <w:rsid w:val="001665A7"/>
    <w:rsid w:val="00166C51"/>
    <w:rsid w:val="001670D8"/>
    <w:rsid w:val="0016726B"/>
    <w:rsid w:val="0016735E"/>
    <w:rsid w:val="001674C0"/>
    <w:rsid w:val="0016793E"/>
    <w:rsid w:val="00167D4D"/>
    <w:rsid w:val="00167DAA"/>
    <w:rsid w:val="00167F4E"/>
    <w:rsid w:val="001700E7"/>
    <w:rsid w:val="001702DC"/>
    <w:rsid w:val="0017033C"/>
    <w:rsid w:val="0017057F"/>
    <w:rsid w:val="00170635"/>
    <w:rsid w:val="0017070D"/>
    <w:rsid w:val="00170837"/>
    <w:rsid w:val="001709F5"/>
    <w:rsid w:val="00170DA3"/>
    <w:rsid w:val="00171035"/>
    <w:rsid w:val="001713B7"/>
    <w:rsid w:val="00171890"/>
    <w:rsid w:val="00171ADB"/>
    <w:rsid w:val="00171D25"/>
    <w:rsid w:val="00171D51"/>
    <w:rsid w:val="00171F58"/>
    <w:rsid w:val="00171F68"/>
    <w:rsid w:val="00171F9A"/>
    <w:rsid w:val="00172029"/>
    <w:rsid w:val="00172D5A"/>
    <w:rsid w:val="001733A4"/>
    <w:rsid w:val="001735A0"/>
    <w:rsid w:val="001736B3"/>
    <w:rsid w:val="00173AB9"/>
    <w:rsid w:val="00173E29"/>
    <w:rsid w:val="00173EED"/>
    <w:rsid w:val="00174368"/>
    <w:rsid w:val="001744EA"/>
    <w:rsid w:val="00174590"/>
    <w:rsid w:val="001746C9"/>
    <w:rsid w:val="0017479E"/>
    <w:rsid w:val="0017497D"/>
    <w:rsid w:val="00174B81"/>
    <w:rsid w:val="00174CA7"/>
    <w:rsid w:val="00174D2C"/>
    <w:rsid w:val="00174D46"/>
    <w:rsid w:val="00174D82"/>
    <w:rsid w:val="00174E44"/>
    <w:rsid w:val="00174EC5"/>
    <w:rsid w:val="00175038"/>
    <w:rsid w:val="00175053"/>
    <w:rsid w:val="001751F7"/>
    <w:rsid w:val="001753B7"/>
    <w:rsid w:val="001757E7"/>
    <w:rsid w:val="00175873"/>
    <w:rsid w:val="001758B9"/>
    <w:rsid w:val="0017592E"/>
    <w:rsid w:val="0017599C"/>
    <w:rsid w:val="00175B45"/>
    <w:rsid w:val="00175C59"/>
    <w:rsid w:val="001760BC"/>
    <w:rsid w:val="001764EE"/>
    <w:rsid w:val="00176573"/>
    <w:rsid w:val="00176674"/>
    <w:rsid w:val="00176818"/>
    <w:rsid w:val="0017686B"/>
    <w:rsid w:val="00176B82"/>
    <w:rsid w:val="00176E33"/>
    <w:rsid w:val="00176E3B"/>
    <w:rsid w:val="00176ECB"/>
    <w:rsid w:val="0017716E"/>
    <w:rsid w:val="001773FF"/>
    <w:rsid w:val="00177414"/>
    <w:rsid w:val="0017752D"/>
    <w:rsid w:val="0017753B"/>
    <w:rsid w:val="0017759F"/>
    <w:rsid w:val="001775DF"/>
    <w:rsid w:val="001775E2"/>
    <w:rsid w:val="0017773C"/>
    <w:rsid w:val="00177832"/>
    <w:rsid w:val="001778A4"/>
    <w:rsid w:val="00177D48"/>
    <w:rsid w:val="00180263"/>
    <w:rsid w:val="001805B0"/>
    <w:rsid w:val="00180A31"/>
    <w:rsid w:val="00180AF6"/>
    <w:rsid w:val="00180B81"/>
    <w:rsid w:val="00180DB4"/>
    <w:rsid w:val="00180F3C"/>
    <w:rsid w:val="00181071"/>
    <w:rsid w:val="00181178"/>
    <w:rsid w:val="0018119E"/>
    <w:rsid w:val="001818D5"/>
    <w:rsid w:val="00181C5C"/>
    <w:rsid w:val="00181EB8"/>
    <w:rsid w:val="00181EEF"/>
    <w:rsid w:val="00181F3E"/>
    <w:rsid w:val="0018211B"/>
    <w:rsid w:val="00182376"/>
    <w:rsid w:val="00182694"/>
    <w:rsid w:val="001826F8"/>
    <w:rsid w:val="001828DD"/>
    <w:rsid w:val="00182FE0"/>
    <w:rsid w:val="00183158"/>
    <w:rsid w:val="0018359A"/>
    <w:rsid w:val="0018360F"/>
    <w:rsid w:val="00183911"/>
    <w:rsid w:val="00183B32"/>
    <w:rsid w:val="00183CA9"/>
    <w:rsid w:val="0018419E"/>
    <w:rsid w:val="001845FB"/>
    <w:rsid w:val="00184629"/>
    <w:rsid w:val="00184667"/>
    <w:rsid w:val="0018476C"/>
    <w:rsid w:val="0018481E"/>
    <w:rsid w:val="00184B34"/>
    <w:rsid w:val="00184C15"/>
    <w:rsid w:val="00184CDD"/>
    <w:rsid w:val="00184DAB"/>
    <w:rsid w:val="00185130"/>
    <w:rsid w:val="00185490"/>
    <w:rsid w:val="001854C1"/>
    <w:rsid w:val="00185546"/>
    <w:rsid w:val="0018584C"/>
    <w:rsid w:val="00185C22"/>
    <w:rsid w:val="00185CED"/>
    <w:rsid w:val="00185DA6"/>
    <w:rsid w:val="00185E6B"/>
    <w:rsid w:val="00185F64"/>
    <w:rsid w:val="00185FFA"/>
    <w:rsid w:val="00186096"/>
    <w:rsid w:val="001868CE"/>
    <w:rsid w:val="00186F7C"/>
    <w:rsid w:val="00186F81"/>
    <w:rsid w:val="00186F9A"/>
    <w:rsid w:val="00187384"/>
    <w:rsid w:val="0018772E"/>
    <w:rsid w:val="00187A08"/>
    <w:rsid w:val="00187A94"/>
    <w:rsid w:val="00187A9C"/>
    <w:rsid w:val="00187E8D"/>
    <w:rsid w:val="00187F60"/>
    <w:rsid w:val="00190078"/>
    <w:rsid w:val="0019029E"/>
    <w:rsid w:val="00190329"/>
    <w:rsid w:val="0019037C"/>
    <w:rsid w:val="001903BA"/>
    <w:rsid w:val="00190616"/>
    <w:rsid w:val="00190804"/>
    <w:rsid w:val="0019088F"/>
    <w:rsid w:val="00190C51"/>
    <w:rsid w:val="00190DD1"/>
    <w:rsid w:val="00191105"/>
    <w:rsid w:val="0019173E"/>
    <w:rsid w:val="0019178C"/>
    <w:rsid w:val="001917B3"/>
    <w:rsid w:val="00191B5D"/>
    <w:rsid w:val="00191BA5"/>
    <w:rsid w:val="00191C45"/>
    <w:rsid w:val="0019203A"/>
    <w:rsid w:val="001921DA"/>
    <w:rsid w:val="00192A85"/>
    <w:rsid w:val="00192FA5"/>
    <w:rsid w:val="00192FD7"/>
    <w:rsid w:val="001932D1"/>
    <w:rsid w:val="0019336B"/>
    <w:rsid w:val="00193566"/>
    <w:rsid w:val="00193645"/>
    <w:rsid w:val="001939A6"/>
    <w:rsid w:val="00193ACC"/>
    <w:rsid w:val="00193BFE"/>
    <w:rsid w:val="00193D54"/>
    <w:rsid w:val="00193F29"/>
    <w:rsid w:val="0019415C"/>
    <w:rsid w:val="001942A9"/>
    <w:rsid w:val="00194440"/>
    <w:rsid w:val="0019481E"/>
    <w:rsid w:val="00194E7E"/>
    <w:rsid w:val="00194E82"/>
    <w:rsid w:val="00195322"/>
    <w:rsid w:val="0019560E"/>
    <w:rsid w:val="00195702"/>
    <w:rsid w:val="001958E3"/>
    <w:rsid w:val="0019601B"/>
    <w:rsid w:val="00196048"/>
    <w:rsid w:val="001969FB"/>
    <w:rsid w:val="00196A82"/>
    <w:rsid w:val="0019702C"/>
    <w:rsid w:val="0019769B"/>
    <w:rsid w:val="00197779"/>
    <w:rsid w:val="0019791D"/>
    <w:rsid w:val="00197D8F"/>
    <w:rsid w:val="00197E8C"/>
    <w:rsid w:val="00197FFE"/>
    <w:rsid w:val="001A00C8"/>
    <w:rsid w:val="001A09C1"/>
    <w:rsid w:val="001A0D25"/>
    <w:rsid w:val="001A1215"/>
    <w:rsid w:val="001A1275"/>
    <w:rsid w:val="001A1488"/>
    <w:rsid w:val="001A1570"/>
    <w:rsid w:val="001A1846"/>
    <w:rsid w:val="001A1866"/>
    <w:rsid w:val="001A18F2"/>
    <w:rsid w:val="001A1917"/>
    <w:rsid w:val="001A19DD"/>
    <w:rsid w:val="001A1C64"/>
    <w:rsid w:val="001A1D13"/>
    <w:rsid w:val="001A1E7F"/>
    <w:rsid w:val="001A21FE"/>
    <w:rsid w:val="001A228D"/>
    <w:rsid w:val="001A23D3"/>
    <w:rsid w:val="001A2435"/>
    <w:rsid w:val="001A256F"/>
    <w:rsid w:val="001A286F"/>
    <w:rsid w:val="001A28EE"/>
    <w:rsid w:val="001A2918"/>
    <w:rsid w:val="001A2A3C"/>
    <w:rsid w:val="001A2D02"/>
    <w:rsid w:val="001A2DFE"/>
    <w:rsid w:val="001A2E79"/>
    <w:rsid w:val="001A3076"/>
    <w:rsid w:val="001A3120"/>
    <w:rsid w:val="001A3172"/>
    <w:rsid w:val="001A31A5"/>
    <w:rsid w:val="001A33EA"/>
    <w:rsid w:val="001A3825"/>
    <w:rsid w:val="001A389C"/>
    <w:rsid w:val="001A3A1B"/>
    <w:rsid w:val="001A3B71"/>
    <w:rsid w:val="001A3B75"/>
    <w:rsid w:val="001A3F6C"/>
    <w:rsid w:val="001A4101"/>
    <w:rsid w:val="001A4168"/>
    <w:rsid w:val="001A44BF"/>
    <w:rsid w:val="001A44E5"/>
    <w:rsid w:val="001A46FB"/>
    <w:rsid w:val="001A47D7"/>
    <w:rsid w:val="001A483B"/>
    <w:rsid w:val="001A5273"/>
    <w:rsid w:val="001A590C"/>
    <w:rsid w:val="001A5944"/>
    <w:rsid w:val="001A5C3F"/>
    <w:rsid w:val="001A5EA2"/>
    <w:rsid w:val="001A5F7B"/>
    <w:rsid w:val="001A5FB1"/>
    <w:rsid w:val="001A60B0"/>
    <w:rsid w:val="001A60DE"/>
    <w:rsid w:val="001A610E"/>
    <w:rsid w:val="001A61B5"/>
    <w:rsid w:val="001A665F"/>
    <w:rsid w:val="001A6849"/>
    <w:rsid w:val="001A68A0"/>
    <w:rsid w:val="001A698A"/>
    <w:rsid w:val="001A6C45"/>
    <w:rsid w:val="001A6CCC"/>
    <w:rsid w:val="001A70C8"/>
    <w:rsid w:val="001A71C9"/>
    <w:rsid w:val="001A7429"/>
    <w:rsid w:val="001A760C"/>
    <w:rsid w:val="001A76D8"/>
    <w:rsid w:val="001A799B"/>
    <w:rsid w:val="001A7AC7"/>
    <w:rsid w:val="001A7BD9"/>
    <w:rsid w:val="001A7C38"/>
    <w:rsid w:val="001B0090"/>
    <w:rsid w:val="001B02F8"/>
    <w:rsid w:val="001B044A"/>
    <w:rsid w:val="001B0456"/>
    <w:rsid w:val="001B09E3"/>
    <w:rsid w:val="001B10E4"/>
    <w:rsid w:val="001B13FB"/>
    <w:rsid w:val="001B2104"/>
    <w:rsid w:val="001B2279"/>
    <w:rsid w:val="001B240A"/>
    <w:rsid w:val="001B2672"/>
    <w:rsid w:val="001B2729"/>
    <w:rsid w:val="001B2866"/>
    <w:rsid w:val="001B2881"/>
    <w:rsid w:val="001B2A60"/>
    <w:rsid w:val="001B2B0E"/>
    <w:rsid w:val="001B34A3"/>
    <w:rsid w:val="001B35FC"/>
    <w:rsid w:val="001B3675"/>
    <w:rsid w:val="001B37C8"/>
    <w:rsid w:val="001B45C6"/>
    <w:rsid w:val="001B48BA"/>
    <w:rsid w:val="001B49C9"/>
    <w:rsid w:val="001B4A10"/>
    <w:rsid w:val="001B4B2C"/>
    <w:rsid w:val="001B4ED5"/>
    <w:rsid w:val="001B4F10"/>
    <w:rsid w:val="001B5026"/>
    <w:rsid w:val="001B50DE"/>
    <w:rsid w:val="001B5154"/>
    <w:rsid w:val="001B5AD8"/>
    <w:rsid w:val="001B5B75"/>
    <w:rsid w:val="001B5B8B"/>
    <w:rsid w:val="001B691C"/>
    <w:rsid w:val="001B69F1"/>
    <w:rsid w:val="001B6D05"/>
    <w:rsid w:val="001B6D82"/>
    <w:rsid w:val="001B6E30"/>
    <w:rsid w:val="001B6E61"/>
    <w:rsid w:val="001B7221"/>
    <w:rsid w:val="001B725A"/>
    <w:rsid w:val="001B755C"/>
    <w:rsid w:val="001B775D"/>
    <w:rsid w:val="001B77B6"/>
    <w:rsid w:val="001B784E"/>
    <w:rsid w:val="001B7C83"/>
    <w:rsid w:val="001B7EED"/>
    <w:rsid w:val="001B7F9E"/>
    <w:rsid w:val="001C0206"/>
    <w:rsid w:val="001C0246"/>
    <w:rsid w:val="001C0447"/>
    <w:rsid w:val="001C04D4"/>
    <w:rsid w:val="001C0B34"/>
    <w:rsid w:val="001C0BE5"/>
    <w:rsid w:val="001C0CE4"/>
    <w:rsid w:val="001C0D35"/>
    <w:rsid w:val="001C1087"/>
    <w:rsid w:val="001C11C0"/>
    <w:rsid w:val="001C12A3"/>
    <w:rsid w:val="001C12CC"/>
    <w:rsid w:val="001C1366"/>
    <w:rsid w:val="001C1793"/>
    <w:rsid w:val="001C17BB"/>
    <w:rsid w:val="001C187E"/>
    <w:rsid w:val="001C1A37"/>
    <w:rsid w:val="001C1BC8"/>
    <w:rsid w:val="001C1C49"/>
    <w:rsid w:val="001C1D36"/>
    <w:rsid w:val="001C1EE1"/>
    <w:rsid w:val="001C2154"/>
    <w:rsid w:val="001C2225"/>
    <w:rsid w:val="001C22F7"/>
    <w:rsid w:val="001C286F"/>
    <w:rsid w:val="001C2870"/>
    <w:rsid w:val="001C2AD2"/>
    <w:rsid w:val="001C2B86"/>
    <w:rsid w:val="001C2C32"/>
    <w:rsid w:val="001C2CC6"/>
    <w:rsid w:val="001C2F54"/>
    <w:rsid w:val="001C2FBE"/>
    <w:rsid w:val="001C3308"/>
    <w:rsid w:val="001C3658"/>
    <w:rsid w:val="001C3BBB"/>
    <w:rsid w:val="001C40D1"/>
    <w:rsid w:val="001C4356"/>
    <w:rsid w:val="001C4377"/>
    <w:rsid w:val="001C468A"/>
    <w:rsid w:val="001C469B"/>
    <w:rsid w:val="001C492F"/>
    <w:rsid w:val="001C4A38"/>
    <w:rsid w:val="001C4A9E"/>
    <w:rsid w:val="001C4C29"/>
    <w:rsid w:val="001C4C49"/>
    <w:rsid w:val="001C5001"/>
    <w:rsid w:val="001C5103"/>
    <w:rsid w:val="001C52A8"/>
    <w:rsid w:val="001C5ADF"/>
    <w:rsid w:val="001C5E56"/>
    <w:rsid w:val="001C5E8E"/>
    <w:rsid w:val="001C6120"/>
    <w:rsid w:val="001C622C"/>
    <w:rsid w:val="001C6310"/>
    <w:rsid w:val="001C6516"/>
    <w:rsid w:val="001C6B5C"/>
    <w:rsid w:val="001C6EB8"/>
    <w:rsid w:val="001C6F94"/>
    <w:rsid w:val="001C70AE"/>
    <w:rsid w:val="001C7155"/>
    <w:rsid w:val="001C71D9"/>
    <w:rsid w:val="001C738F"/>
    <w:rsid w:val="001C7A0B"/>
    <w:rsid w:val="001C7BC7"/>
    <w:rsid w:val="001C7DFB"/>
    <w:rsid w:val="001C7E48"/>
    <w:rsid w:val="001C7F49"/>
    <w:rsid w:val="001D004A"/>
    <w:rsid w:val="001D039B"/>
    <w:rsid w:val="001D0571"/>
    <w:rsid w:val="001D0E2E"/>
    <w:rsid w:val="001D0FDC"/>
    <w:rsid w:val="001D1258"/>
    <w:rsid w:val="001D14AB"/>
    <w:rsid w:val="001D185D"/>
    <w:rsid w:val="001D1AB8"/>
    <w:rsid w:val="001D1B77"/>
    <w:rsid w:val="001D1FB5"/>
    <w:rsid w:val="001D2100"/>
    <w:rsid w:val="001D21F7"/>
    <w:rsid w:val="001D2374"/>
    <w:rsid w:val="001D25D1"/>
    <w:rsid w:val="001D286F"/>
    <w:rsid w:val="001D2C45"/>
    <w:rsid w:val="001D2C94"/>
    <w:rsid w:val="001D2CE6"/>
    <w:rsid w:val="001D316E"/>
    <w:rsid w:val="001D32F6"/>
    <w:rsid w:val="001D33D9"/>
    <w:rsid w:val="001D340F"/>
    <w:rsid w:val="001D3567"/>
    <w:rsid w:val="001D36F6"/>
    <w:rsid w:val="001D37CB"/>
    <w:rsid w:val="001D3975"/>
    <w:rsid w:val="001D3D5F"/>
    <w:rsid w:val="001D4303"/>
    <w:rsid w:val="001D45E5"/>
    <w:rsid w:val="001D461A"/>
    <w:rsid w:val="001D4A9D"/>
    <w:rsid w:val="001D4AAD"/>
    <w:rsid w:val="001D4D1C"/>
    <w:rsid w:val="001D5116"/>
    <w:rsid w:val="001D5722"/>
    <w:rsid w:val="001D5769"/>
    <w:rsid w:val="001D58BE"/>
    <w:rsid w:val="001D58F9"/>
    <w:rsid w:val="001D5AFA"/>
    <w:rsid w:val="001D6103"/>
    <w:rsid w:val="001D61FB"/>
    <w:rsid w:val="001D6560"/>
    <w:rsid w:val="001D6BB5"/>
    <w:rsid w:val="001D6CFC"/>
    <w:rsid w:val="001D7018"/>
    <w:rsid w:val="001D7177"/>
    <w:rsid w:val="001D71C0"/>
    <w:rsid w:val="001D756E"/>
    <w:rsid w:val="001D75D3"/>
    <w:rsid w:val="001D784A"/>
    <w:rsid w:val="001D797B"/>
    <w:rsid w:val="001E04A4"/>
    <w:rsid w:val="001E04EE"/>
    <w:rsid w:val="001E07C5"/>
    <w:rsid w:val="001E093E"/>
    <w:rsid w:val="001E0A5B"/>
    <w:rsid w:val="001E0FC4"/>
    <w:rsid w:val="001E1106"/>
    <w:rsid w:val="001E12EA"/>
    <w:rsid w:val="001E176D"/>
    <w:rsid w:val="001E1BCE"/>
    <w:rsid w:val="001E1CB6"/>
    <w:rsid w:val="001E1E05"/>
    <w:rsid w:val="001E1E08"/>
    <w:rsid w:val="001E2086"/>
    <w:rsid w:val="001E2133"/>
    <w:rsid w:val="001E236A"/>
    <w:rsid w:val="001E2616"/>
    <w:rsid w:val="001E2898"/>
    <w:rsid w:val="001E2F7E"/>
    <w:rsid w:val="001E339F"/>
    <w:rsid w:val="001E3465"/>
    <w:rsid w:val="001E34B1"/>
    <w:rsid w:val="001E3629"/>
    <w:rsid w:val="001E36C6"/>
    <w:rsid w:val="001E3B2C"/>
    <w:rsid w:val="001E3BA3"/>
    <w:rsid w:val="001E3FCD"/>
    <w:rsid w:val="001E40F0"/>
    <w:rsid w:val="001E4172"/>
    <w:rsid w:val="001E439D"/>
    <w:rsid w:val="001E4AC7"/>
    <w:rsid w:val="001E4C86"/>
    <w:rsid w:val="001E5315"/>
    <w:rsid w:val="001E5405"/>
    <w:rsid w:val="001E5490"/>
    <w:rsid w:val="001E5513"/>
    <w:rsid w:val="001E5730"/>
    <w:rsid w:val="001E5E2E"/>
    <w:rsid w:val="001E605C"/>
    <w:rsid w:val="001E6274"/>
    <w:rsid w:val="001E6352"/>
    <w:rsid w:val="001E6554"/>
    <w:rsid w:val="001E657E"/>
    <w:rsid w:val="001E6746"/>
    <w:rsid w:val="001E6AD7"/>
    <w:rsid w:val="001E704B"/>
    <w:rsid w:val="001E70AD"/>
    <w:rsid w:val="001E7237"/>
    <w:rsid w:val="001E72A4"/>
    <w:rsid w:val="001E7AF6"/>
    <w:rsid w:val="001E7B4C"/>
    <w:rsid w:val="001E7F99"/>
    <w:rsid w:val="001E7FBF"/>
    <w:rsid w:val="001F0123"/>
    <w:rsid w:val="001F01B8"/>
    <w:rsid w:val="001F04E3"/>
    <w:rsid w:val="001F08E0"/>
    <w:rsid w:val="001F0C44"/>
    <w:rsid w:val="001F0D8E"/>
    <w:rsid w:val="001F0FC3"/>
    <w:rsid w:val="001F0FFC"/>
    <w:rsid w:val="001F1188"/>
    <w:rsid w:val="001F1499"/>
    <w:rsid w:val="001F19D4"/>
    <w:rsid w:val="001F1B8D"/>
    <w:rsid w:val="001F1C30"/>
    <w:rsid w:val="001F1C3F"/>
    <w:rsid w:val="001F1CAB"/>
    <w:rsid w:val="001F1EC5"/>
    <w:rsid w:val="001F22F0"/>
    <w:rsid w:val="001F274F"/>
    <w:rsid w:val="001F27AD"/>
    <w:rsid w:val="001F289C"/>
    <w:rsid w:val="001F28C8"/>
    <w:rsid w:val="001F2BF9"/>
    <w:rsid w:val="001F2CBA"/>
    <w:rsid w:val="001F2D31"/>
    <w:rsid w:val="001F2D32"/>
    <w:rsid w:val="001F2DDC"/>
    <w:rsid w:val="001F3621"/>
    <w:rsid w:val="001F36DD"/>
    <w:rsid w:val="001F3A30"/>
    <w:rsid w:val="001F3AF2"/>
    <w:rsid w:val="001F3B14"/>
    <w:rsid w:val="001F4D86"/>
    <w:rsid w:val="001F50F4"/>
    <w:rsid w:val="001F6008"/>
    <w:rsid w:val="001F61A9"/>
    <w:rsid w:val="001F641B"/>
    <w:rsid w:val="001F6558"/>
    <w:rsid w:val="001F66F3"/>
    <w:rsid w:val="001F68B5"/>
    <w:rsid w:val="001F6C19"/>
    <w:rsid w:val="001F6C5D"/>
    <w:rsid w:val="001F6D4D"/>
    <w:rsid w:val="001F7083"/>
    <w:rsid w:val="001F7C00"/>
    <w:rsid w:val="001F7D69"/>
    <w:rsid w:val="001F7E68"/>
    <w:rsid w:val="0020042C"/>
    <w:rsid w:val="002005DA"/>
    <w:rsid w:val="0020076E"/>
    <w:rsid w:val="002009A3"/>
    <w:rsid w:val="00200E16"/>
    <w:rsid w:val="00200F1A"/>
    <w:rsid w:val="0020130D"/>
    <w:rsid w:val="002014BA"/>
    <w:rsid w:val="00201538"/>
    <w:rsid w:val="0020187E"/>
    <w:rsid w:val="00201995"/>
    <w:rsid w:val="00201D06"/>
    <w:rsid w:val="00201D1A"/>
    <w:rsid w:val="00201DA6"/>
    <w:rsid w:val="00201E58"/>
    <w:rsid w:val="00201E9F"/>
    <w:rsid w:val="00201F23"/>
    <w:rsid w:val="00201F2E"/>
    <w:rsid w:val="00201F47"/>
    <w:rsid w:val="0020265D"/>
    <w:rsid w:val="00202790"/>
    <w:rsid w:val="00202D7F"/>
    <w:rsid w:val="00202F25"/>
    <w:rsid w:val="002035B3"/>
    <w:rsid w:val="00203929"/>
    <w:rsid w:val="00203A20"/>
    <w:rsid w:val="00203AF6"/>
    <w:rsid w:val="00203BFE"/>
    <w:rsid w:val="00203CD6"/>
    <w:rsid w:val="00203D8B"/>
    <w:rsid w:val="00203EBF"/>
    <w:rsid w:val="00203F0A"/>
    <w:rsid w:val="00204439"/>
    <w:rsid w:val="00204460"/>
    <w:rsid w:val="002044A6"/>
    <w:rsid w:val="002048CB"/>
    <w:rsid w:val="00204A28"/>
    <w:rsid w:val="002051EA"/>
    <w:rsid w:val="00205438"/>
    <w:rsid w:val="0020559D"/>
    <w:rsid w:val="00205674"/>
    <w:rsid w:val="002056C5"/>
    <w:rsid w:val="00205791"/>
    <w:rsid w:val="00205B0A"/>
    <w:rsid w:val="00205CBC"/>
    <w:rsid w:val="00205E9E"/>
    <w:rsid w:val="00205EDF"/>
    <w:rsid w:val="00205FD3"/>
    <w:rsid w:val="00206259"/>
    <w:rsid w:val="002064C5"/>
    <w:rsid w:val="00206794"/>
    <w:rsid w:val="00206CE5"/>
    <w:rsid w:val="00206E0F"/>
    <w:rsid w:val="00206F4E"/>
    <w:rsid w:val="002074B7"/>
    <w:rsid w:val="0020758D"/>
    <w:rsid w:val="00207668"/>
    <w:rsid w:val="002076A3"/>
    <w:rsid w:val="00207818"/>
    <w:rsid w:val="0020799E"/>
    <w:rsid w:val="00207C7B"/>
    <w:rsid w:val="00210050"/>
    <w:rsid w:val="00210AB2"/>
    <w:rsid w:val="00210B23"/>
    <w:rsid w:val="00210FAC"/>
    <w:rsid w:val="00211284"/>
    <w:rsid w:val="00211470"/>
    <w:rsid w:val="00211922"/>
    <w:rsid w:val="00211A6D"/>
    <w:rsid w:val="00211B60"/>
    <w:rsid w:val="00211DD0"/>
    <w:rsid w:val="0021203E"/>
    <w:rsid w:val="0021213A"/>
    <w:rsid w:val="00212482"/>
    <w:rsid w:val="0021265F"/>
    <w:rsid w:val="002127D4"/>
    <w:rsid w:val="00212992"/>
    <w:rsid w:val="00213582"/>
    <w:rsid w:val="002135E1"/>
    <w:rsid w:val="00213817"/>
    <w:rsid w:val="00213934"/>
    <w:rsid w:val="002139EA"/>
    <w:rsid w:val="00213C93"/>
    <w:rsid w:val="00213E00"/>
    <w:rsid w:val="0021405B"/>
    <w:rsid w:val="0021431C"/>
    <w:rsid w:val="00214428"/>
    <w:rsid w:val="002145EB"/>
    <w:rsid w:val="00214BBD"/>
    <w:rsid w:val="00214DB7"/>
    <w:rsid w:val="00214F76"/>
    <w:rsid w:val="0021531E"/>
    <w:rsid w:val="002157EC"/>
    <w:rsid w:val="00215834"/>
    <w:rsid w:val="00215A55"/>
    <w:rsid w:val="00215CC2"/>
    <w:rsid w:val="00215D39"/>
    <w:rsid w:val="00215ED8"/>
    <w:rsid w:val="00215F95"/>
    <w:rsid w:val="0021640B"/>
    <w:rsid w:val="002166DA"/>
    <w:rsid w:val="00216C35"/>
    <w:rsid w:val="00216DF7"/>
    <w:rsid w:val="00216E44"/>
    <w:rsid w:val="0021722D"/>
    <w:rsid w:val="00217245"/>
    <w:rsid w:val="0021729A"/>
    <w:rsid w:val="00217636"/>
    <w:rsid w:val="0021768E"/>
    <w:rsid w:val="00217700"/>
    <w:rsid w:val="002177E2"/>
    <w:rsid w:val="00217867"/>
    <w:rsid w:val="00217A21"/>
    <w:rsid w:val="00217EFD"/>
    <w:rsid w:val="002205F3"/>
    <w:rsid w:val="0022085B"/>
    <w:rsid w:val="00220E53"/>
    <w:rsid w:val="0022143F"/>
    <w:rsid w:val="0022175C"/>
    <w:rsid w:val="0022176C"/>
    <w:rsid w:val="0022179C"/>
    <w:rsid w:val="00221E16"/>
    <w:rsid w:val="002220F1"/>
    <w:rsid w:val="002225D1"/>
    <w:rsid w:val="00222A07"/>
    <w:rsid w:val="002230FA"/>
    <w:rsid w:val="00223146"/>
    <w:rsid w:val="002232B1"/>
    <w:rsid w:val="00223503"/>
    <w:rsid w:val="00223571"/>
    <w:rsid w:val="002235D9"/>
    <w:rsid w:val="00223749"/>
    <w:rsid w:val="00223972"/>
    <w:rsid w:val="00223AB9"/>
    <w:rsid w:val="00223DF2"/>
    <w:rsid w:val="00223F44"/>
    <w:rsid w:val="00224107"/>
    <w:rsid w:val="0022415E"/>
    <w:rsid w:val="00224737"/>
    <w:rsid w:val="00224C0C"/>
    <w:rsid w:val="00224C63"/>
    <w:rsid w:val="00224DD2"/>
    <w:rsid w:val="00225026"/>
    <w:rsid w:val="00225323"/>
    <w:rsid w:val="002256C2"/>
    <w:rsid w:val="002256D0"/>
    <w:rsid w:val="0022582E"/>
    <w:rsid w:val="0022590B"/>
    <w:rsid w:val="00225C8E"/>
    <w:rsid w:val="00225D86"/>
    <w:rsid w:val="00225F30"/>
    <w:rsid w:val="0022614E"/>
    <w:rsid w:val="00226428"/>
    <w:rsid w:val="00226538"/>
    <w:rsid w:val="002265A9"/>
    <w:rsid w:val="00226601"/>
    <w:rsid w:val="002266CB"/>
    <w:rsid w:val="00226777"/>
    <w:rsid w:val="002268AB"/>
    <w:rsid w:val="0022701E"/>
    <w:rsid w:val="00227052"/>
    <w:rsid w:val="002272D5"/>
    <w:rsid w:val="00227330"/>
    <w:rsid w:val="0022738E"/>
    <w:rsid w:val="002274C7"/>
    <w:rsid w:val="00227609"/>
    <w:rsid w:val="002278A4"/>
    <w:rsid w:val="00227906"/>
    <w:rsid w:val="00227934"/>
    <w:rsid w:val="00227D1F"/>
    <w:rsid w:val="00227E21"/>
    <w:rsid w:val="00230178"/>
    <w:rsid w:val="00230252"/>
    <w:rsid w:val="00230748"/>
    <w:rsid w:val="002307BD"/>
    <w:rsid w:val="00230B42"/>
    <w:rsid w:val="00230B63"/>
    <w:rsid w:val="00230EEB"/>
    <w:rsid w:val="00231A5D"/>
    <w:rsid w:val="00231D05"/>
    <w:rsid w:val="00232145"/>
    <w:rsid w:val="00232219"/>
    <w:rsid w:val="002323FF"/>
    <w:rsid w:val="00232802"/>
    <w:rsid w:val="00232865"/>
    <w:rsid w:val="00232CDD"/>
    <w:rsid w:val="00232FD7"/>
    <w:rsid w:val="002336E2"/>
    <w:rsid w:val="0023374D"/>
    <w:rsid w:val="00233AC2"/>
    <w:rsid w:val="00233B26"/>
    <w:rsid w:val="00233BAF"/>
    <w:rsid w:val="00234027"/>
    <w:rsid w:val="00234132"/>
    <w:rsid w:val="00234153"/>
    <w:rsid w:val="002342CB"/>
    <w:rsid w:val="002345A9"/>
    <w:rsid w:val="0023466D"/>
    <w:rsid w:val="0023471E"/>
    <w:rsid w:val="002348E0"/>
    <w:rsid w:val="00235388"/>
    <w:rsid w:val="00235420"/>
    <w:rsid w:val="00235633"/>
    <w:rsid w:val="002356A5"/>
    <w:rsid w:val="002359A4"/>
    <w:rsid w:val="00235DAA"/>
    <w:rsid w:val="00235EC1"/>
    <w:rsid w:val="00235F98"/>
    <w:rsid w:val="00236072"/>
    <w:rsid w:val="00236271"/>
    <w:rsid w:val="00236ED1"/>
    <w:rsid w:val="00236FD1"/>
    <w:rsid w:val="002370D9"/>
    <w:rsid w:val="0023793A"/>
    <w:rsid w:val="0024019D"/>
    <w:rsid w:val="0024026C"/>
    <w:rsid w:val="0024046E"/>
    <w:rsid w:val="0024065B"/>
    <w:rsid w:val="002409A6"/>
    <w:rsid w:val="00240EA5"/>
    <w:rsid w:val="0024109C"/>
    <w:rsid w:val="00241132"/>
    <w:rsid w:val="00241205"/>
    <w:rsid w:val="0024132C"/>
    <w:rsid w:val="00241448"/>
    <w:rsid w:val="002418C5"/>
    <w:rsid w:val="002419ED"/>
    <w:rsid w:val="00241A9C"/>
    <w:rsid w:val="0024261D"/>
    <w:rsid w:val="0024292A"/>
    <w:rsid w:val="00242AF4"/>
    <w:rsid w:val="00242DFB"/>
    <w:rsid w:val="00242EC8"/>
    <w:rsid w:val="002432D2"/>
    <w:rsid w:val="00243572"/>
    <w:rsid w:val="002436FC"/>
    <w:rsid w:val="00243807"/>
    <w:rsid w:val="00243F93"/>
    <w:rsid w:val="002440AC"/>
    <w:rsid w:val="002441FF"/>
    <w:rsid w:val="00244230"/>
    <w:rsid w:val="00244365"/>
    <w:rsid w:val="0024459A"/>
    <w:rsid w:val="00244771"/>
    <w:rsid w:val="00244903"/>
    <w:rsid w:val="00244AFB"/>
    <w:rsid w:val="00244B16"/>
    <w:rsid w:val="0024501D"/>
    <w:rsid w:val="002453D4"/>
    <w:rsid w:val="002453DF"/>
    <w:rsid w:val="0024589A"/>
    <w:rsid w:val="00245A64"/>
    <w:rsid w:val="00245A81"/>
    <w:rsid w:val="00245AA3"/>
    <w:rsid w:val="002461AA"/>
    <w:rsid w:val="00246305"/>
    <w:rsid w:val="00246508"/>
    <w:rsid w:val="00246B86"/>
    <w:rsid w:val="00246C85"/>
    <w:rsid w:val="00246CFD"/>
    <w:rsid w:val="00246E52"/>
    <w:rsid w:val="00247335"/>
    <w:rsid w:val="002473EF"/>
    <w:rsid w:val="002475D2"/>
    <w:rsid w:val="002477B9"/>
    <w:rsid w:val="00247CBE"/>
    <w:rsid w:val="00247CC4"/>
    <w:rsid w:val="00247CCB"/>
    <w:rsid w:val="00250100"/>
    <w:rsid w:val="00250283"/>
    <w:rsid w:val="00250A1F"/>
    <w:rsid w:val="00250ADA"/>
    <w:rsid w:val="00250F1D"/>
    <w:rsid w:val="00250F5C"/>
    <w:rsid w:val="002511D2"/>
    <w:rsid w:val="002511E7"/>
    <w:rsid w:val="00251491"/>
    <w:rsid w:val="00251640"/>
    <w:rsid w:val="0025194E"/>
    <w:rsid w:val="00251FF1"/>
    <w:rsid w:val="0025205D"/>
    <w:rsid w:val="002520BA"/>
    <w:rsid w:val="0025212A"/>
    <w:rsid w:val="00252234"/>
    <w:rsid w:val="002522E7"/>
    <w:rsid w:val="002522E9"/>
    <w:rsid w:val="00252460"/>
    <w:rsid w:val="0025251A"/>
    <w:rsid w:val="002526F4"/>
    <w:rsid w:val="002527AF"/>
    <w:rsid w:val="002528E3"/>
    <w:rsid w:val="00252944"/>
    <w:rsid w:val="00252D55"/>
    <w:rsid w:val="00252D82"/>
    <w:rsid w:val="00252F3A"/>
    <w:rsid w:val="00253006"/>
    <w:rsid w:val="002532BA"/>
    <w:rsid w:val="002533F5"/>
    <w:rsid w:val="002538CE"/>
    <w:rsid w:val="00253C60"/>
    <w:rsid w:val="00253F21"/>
    <w:rsid w:val="00253F41"/>
    <w:rsid w:val="00253F83"/>
    <w:rsid w:val="0025429D"/>
    <w:rsid w:val="0025434E"/>
    <w:rsid w:val="002543DC"/>
    <w:rsid w:val="0025472E"/>
    <w:rsid w:val="0025475F"/>
    <w:rsid w:val="00254900"/>
    <w:rsid w:val="002549E9"/>
    <w:rsid w:val="00254DA5"/>
    <w:rsid w:val="00254E9A"/>
    <w:rsid w:val="00254F75"/>
    <w:rsid w:val="00254FAB"/>
    <w:rsid w:val="00254FF6"/>
    <w:rsid w:val="00255099"/>
    <w:rsid w:val="00255315"/>
    <w:rsid w:val="00255545"/>
    <w:rsid w:val="002555C6"/>
    <w:rsid w:val="00255697"/>
    <w:rsid w:val="0025598E"/>
    <w:rsid w:val="00255A98"/>
    <w:rsid w:val="00255B10"/>
    <w:rsid w:val="00255E14"/>
    <w:rsid w:val="0025615C"/>
    <w:rsid w:val="00256577"/>
    <w:rsid w:val="00256C2F"/>
    <w:rsid w:val="00257059"/>
    <w:rsid w:val="0025712F"/>
    <w:rsid w:val="00257395"/>
    <w:rsid w:val="002573BD"/>
    <w:rsid w:val="00257791"/>
    <w:rsid w:val="00257857"/>
    <w:rsid w:val="002578DA"/>
    <w:rsid w:val="00257CBC"/>
    <w:rsid w:val="00257F5C"/>
    <w:rsid w:val="00257FB8"/>
    <w:rsid w:val="0026011F"/>
    <w:rsid w:val="002602C2"/>
    <w:rsid w:val="002602DA"/>
    <w:rsid w:val="002602FA"/>
    <w:rsid w:val="0026040B"/>
    <w:rsid w:val="002607B1"/>
    <w:rsid w:val="00260802"/>
    <w:rsid w:val="002608A4"/>
    <w:rsid w:val="002609E3"/>
    <w:rsid w:val="00260D5E"/>
    <w:rsid w:val="00260D8F"/>
    <w:rsid w:val="00260F68"/>
    <w:rsid w:val="00260F8C"/>
    <w:rsid w:val="00261223"/>
    <w:rsid w:val="002613A6"/>
    <w:rsid w:val="0026172A"/>
    <w:rsid w:val="002617AB"/>
    <w:rsid w:val="00261823"/>
    <w:rsid w:val="00261A18"/>
    <w:rsid w:val="00261CBB"/>
    <w:rsid w:val="00261D08"/>
    <w:rsid w:val="00261DCC"/>
    <w:rsid w:val="00261EC0"/>
    <w:rsid w:val="002624D0"/>
    <w:rsid w:val="002624F6"/>
    <w:rsid w:val="002627E6"/>
    <w:rsid w:val="00262BC5"/>
    <w:rsid w:val="00262DF4"/>
    <w:rsid w:val="002632C8"/>
    <w:rsid w:val="002633B9"/>
    <w:rsid w:val="0026347D"/>
    <w:rsid w:val="002635E2"/>
    <w:rsid w:val="00263AE7"/>
    <w:rsid w:val="00263BDA"/>
    <w:rsid w:val="00263EC7"/>
    <w:rsid w:val="00263F1C"/>
    <w:rsid w:val="00263FF2"/>
    <w:rsid w:val="00264441"/>
    <w:rsid w:val="0026491B"/>
    <w:rsid w:val="00264A36"/>
    <w:rsid w:val="00264AD1"/>
    <w:rsid w:val="00264B06"/>
    <w:rsid w:val="00264B57"/>
    <w:rsid w:val="00264C1B"/>
    <w:rsid w:val="00265571"/>
    <w:rsid w:val="00265BF4"/>
    <w:rsid w:val="00265E2E"/>
    <w:rsid w:val="00265EAB"/>
    <w:rsid w:val="002661AB"/>
    <w:rsid w:val="00266663"/>
    <w:rsid w:val="0026666D"/>
    <w:rsid w:val="002668DB"/>
    <w:rsid w:val="00266C02"/>
    <w:rsid w:val="00266F57"/>
    <w:rsid w:val="002670A7"/>
    <w:rsid w:val="0026742B"/>
    <w:rsid w:val="002674FE"/>
    <w:rsid w:val="00267528"/>
    <w:rsid w:val="00267646"/>
    <w:rsid w:val="002676D2"/>
    <w:rsid w:val="00267749"/>
    <w:rsid w:val="0026780D"/>
    <w:rsid w:val="00267C45"/>
    <w:rsid w:val="00267D88"/>
    <w:rsid w:val="00267DA5"/>
    <w:rsid w:val="00267DC4"/>
    <w:rsid w:val="00267F02"/>
    <w:rsid w:val="00270748"/>
    <w:rsid w:val="002708BB"/>
    <w:rsid w:val="00270A82"/>
    <w:rsid w:val="00270E88"/>
    <w:rsid w:val="0027105A"/>
    <w:rsid w:val="0027117F"/>
    <w:rsid w:val="00271283"/>
    <w:rsid w:val="002712DC"/>
    <w:rsid w:val="002712EC"/>
    <w:rsid w:val="002713F2"/>
    <w:rsid w:val="002714A8"/>
    <w:rsid w:val="00271875"/>
    <w:rsid w:val="002718FF"/>
    <w:rsid w:val="00271955"/>
    <w:rsid w:val="00271C70"/>
    <w:rsid w:val="00271D29"/>
    <w:rsid w:val="00272278"/>
    <w:rsid w:val="00272432"/>
    <w:rsid w:val="00272633"/>
    <w:rsid w:val="002728F2"/>
    <w:rsid w:val="00272C49"/>
    <w:rsid w:val="00272CAB"/>
    <w:rsid w:val="00272FBF"/>
    <w:rsid w:val="0027359A"/>
    <w:rsid w:val="002737D7"/>
    <w:rsid w:val="00273A10"/>
    <w:rsid w:val="00273A58"/>
    <w:rsid w:val="00273DBC"/>
    <w:rsid w:val="00273EB8"/>
    <w:rsid w:val="00273FBB"/>
    <w:rsid w:val="0027400E"/>
    <w:rsid w:val="0027401F"/>
    <w:rsid w:val="0027402F"/>
    <w:rsid w:val="0027412A"/>
    <w:rsid w:val="00274CAB"/>
    <w:rsid w:val="00274E8A"/>
    <w:rsid w:val="0027507D"/>
    <w:rsid w:val="002755D8"/>
    <w:rsid w:val="00275FCE"/>
    <w:rsid w:val="00276044"/>
    <w:rsid w:val="00276106"/>
    <w:rsid w:val="00276122"/>
    <w:rsid w:val="002761B2"/>
    <w:rsid w:val="0027656D"/>
    <w:rsid w:val="002765E7"/>
    <w:rsid w:val="0027665A"/>
    <w:rsid w:val="002766B8"/>
    <w:rsid w:val="0027680F"/>
    <w:rsid w:val="0027696D"/>
    <w:rsid w:val="002776D0"/>
    <w:rsid w:val="00277B5D"/>
    <w:rsid w:val="00277C02"/>
    <w:rsid w:val="00277E6F"/>
    <w:rsid w:val="0028087C"/>
    <w:rsid w:val="00280ADF"/>
    <w:rsid w:val="00281006"/>
    <w:rsid w:val="002815B1"/>
    <w:rsid w:val="00281627"/>
    <w:rsid w:val="0028190B"/>
    <w:rsid w:val="00281A37"/>
    <w:rsid w:val="00281A3D"/>
    <w:rsid w:val="00281C1F"/>
    <w:rsid w:val="00281EEA"/>
    <w:rsid w:val="00281F88"/>
    <w:rsid w:val="002822B5"/>
    <w:rsid w:val="0028288D"/>
    <w:rsid w:val="0028294E"/>
    <w:rsid w:val="002829B7"/>
    <w:rsid w:val="00282B4E"/>
    <w:rsid w:val="00282B82"/>
    <w:rsid w:val="00282C74"/>
    <w:rsid w:val="00282E43"/>
    <w:rsid w:val="00282E5B"/>
    <w:rsid w:val="00282F51"/>
    <w:rsid w:val="002834C8"/>
    <w:rsid w:val="00283828"/>
    <w:rsid w:val="00283995"/>
    <w:rsid w:val="00283B11"/>
    <w:rsid w:val="00283B12"/>
    <w:rsid w:val="00283CE1"/>
    <w:rsid w:val="00284090"/>
    <w:rsid w:val="002841A9"/>
    <w:rsid w:val="00284313"/>
    <w:rsid w:val="00284389"/>
    <w:rsid w:val="002845DE"/>
    <w:rsid w:val="00284612"/>
    <w:rsid w:val="002848AD"/>
    <w:rsid w:val="00284906"/>
    <w:rsid w:val="00284A5E"/>
    <w:rsid w:val="00284B1A"/>
    <w:rsid w:val="00284C04"/>
    <w:rsid w:val="00284E46"/>
    <w:rsid w:val="00284F02"/>
    <w:rsid w:val="00285154"/>
    <w:rsid w:val="00285893"/>
    <w:rsid w:val="0028599B"/>
    <w:rsid w:val="002859BE"/>
    <w:rsid w:val="00285BF2"/>
    <w:rsid w:val="00285C78"/>
    <w:rsid w:val="0028637F"/>
    <w:rsid w:val="002863CE"/>
    <w:rsid w:val="002867F8"/>
    <w:rsid w:val="002868CF"/>
    <w:rsid w:val="00286963"/>
    <w:rsid w:val="00286B1F"/>
    <w:rsid w:val="0028702A"/>
    <w:rsid w:val="00287123"/>
    <w:rsid w:val="0028732A"/>
    <w:rsid w:val="002874C3"/>
    <w:rsid w:val="002877F4"/>
    <w:rsid w:val="00287804"/>
    <w:rsid w:val="00287B30"/>
    <w:rsid w:val="00287C7C"/>
    <w:rsid w:val="00287F35"/>
    <w:rsid w:val="00290077"/>
    <w:rsid w:val="0029075F"/>
    <w:rsid w:val="002909BB"/>
    <w:rsid w:val="00290F01"/>
    <w:rsid w:val="00291035"/>
    <w:rsid w:val="0029119A"/>
    <w:rsid w:val="00291275"/>
    <w:rsid w:val="00291492"/>
    <w:rsid w:val="00291527"/>
    <w:rsid w:val="0029199A"/>
    <w:rsid w:val="002919B8"/>
    <w:rsid w:val="00291BBE"/>
    <w:rsid w:val="00291FEB"/>
    <w:rsid w:val="002920B3"/>
    <w:rsid w:val="002930C8"/>
    <w:rsid w:val="00293146"/>
    <w:rsid w:val="0029361E"/>
    <w:rsid w:val="00293768"/>
    <w:rsid w:val="00293A72"/>
    <w:rsid w:val="00293D68"/>
    <w:rsid w:val="00293F88"/>
    <w:rsid w:val="00294117"/>
    <w:rsid w:val="00294137"/>
    <w:rsid w:val="002941CC"/>
    <w:rsid w:val="00294279"/>
    <w:rsid w:val="0029431E"/>
    <w:rsid w:val="00294352"/>
    <w:rsid w:val="0029441B"/>
    <w:rsid w:val="002944A0"/>
    <w:rsid w:val="00294533"/>
    <w:rsid w:val="002946E4"/>
    <w:rsid w:val="0029495C"/>
    <w:rsid w:val="00294AC4"/>
    <w:rsid w:val="00294B5F"/>
    <w:rsid w:val="00294CEE"/>
    <w:rsid w:val="00294E66"/>
    <w:rsid w:val="00294EBF"/>
    <w:rsid w:val="00295043"/>
    <w:rsid w:val="00295117"/>
    <w:rsid w:val="002952E6"/>
    <w:rsid w:val="00295790"/>
    <w:rsid w:val="002957D9"/>
    <w:rsid w:val="00295A48"/>
    <w:rsid w:val="00295A74"/>
    <w:rsid w:val="00295B52"/>
    <w:rsid w:val="00295B7F"/>
    <w:rsid w:val="00296024"/>
    <w:rsid w:val="0029619D"/>
    <w:rsid w:val="00296293"/>
    <w:rsid w:val="0029686F"/>
    <w:rsid w:val="00296AF7"/>
    <w:rsid w:val="00296D34"/>
    <w:rsid w:val="00296E4F"/>
    <w:rsid w:val="002971BD"/>
    <w:rsid w:val="002972F9"/>
    <w:rsid w:val="002977CA"/>
    <w:rsid w:val="00297862"/>
    <w:rsid w:val="002979DE"/>
    <w:rsid w:val="00297A64"/>
    <w:rsid w:val="00297DC9"/>
    <w:rsid w:val="00297ED7"/>
    <w:rsid w:val="00297F0C"/>
    <w:rsid w:val="002A0007"/>
    <w:rsid w:val="002A003E"/>
    <w:rsid w:val="002A00A6"/>
    <w:rsid w:val="002A0216"/>
    <w:rsid w:val="002A03AA"/>
    <w:rsid w:val="002A0431"/>
    <w:rsid w:val="002A0432"/>
    <w:rsid w:val="002A056D"/>
    <w:rsid w:val="002A0649"/>
    <w:rsid w:val="002A0683"/>
    <w:rsid w:val="002A073C"/>
    <w:rsid w:val="002A07FE"/>
    <w:rsid w:val="002A0844"/>
    <w:rsid w:val="002A094D"/>
    <w:rsid w:val="002A0CAF"/>
    <w:rsid w:val="002A10D6"/>
    <w:rsid w:val="002A10F4"/>
    <w:rsid w:val="002A1565"/>
    <w:rsid w:val="002A16A9"/>
    <w:rsid w:val="002A18E6"/>
    <w:rsid w:val="002A2315"/>
    <w:rsid w:val="002A243A"/>
    <w:rsid w:val="002A2489"/>
    <w:rsid w:val="002A26D9"/>
    <w:rsid w:val="002A2941"/>
    <w:rsid w:val="002A2AF3"/>
    <w:rsid w:val="002A2DC4"/>
    <w:rsid w:val="002A33EC"/>
    <w:rsid w:val="002A34E0"/>
    <w:rsid w:val="002A3D7E"/>
    <w:rsid w:val="002A3E69"/>
    <w:rsid w:val="002A3EA8"/>
    <w:rsid w:val="002A41F7"/>
    <w:rsid w:val="002A442D"/>
    <w:rsid w:val="002A44F9"/>
    <w:rsid w:val="002A464E"/>
    <w:rsid w:val="002A46D1"/>
    <w:rsid w:val="002A49EF"/>
    <w:rsid w:val="002A4A04"/>
    <w:rsid w:val="002A4B8B"/>
    <w:rsid w:val="002A4C3D"/>
    <w:rsid w:val="002A4D7A"/>
    <w:rsid w:val="002A4DBE"/>
    <w:rsid w:val="002A4E6A"/>
    <w:rsid w:val="002A5107"/>
    <w:rsid w:val="002A535E"/>
    <w:rsid w:val="002A55E4"/>
    <w:rsid w:val="002A5915"/>
    <w:rsid w:val="002A5FE6"/>
    <w:rsid w:val="002A6406"/>
    <w:rsid w:val="002A696A"/>
    <w:rsid w:val="002A6AD0"/>
    <w:rsid w:val="002A6CF0"/>
    <w:rsid w:val="002A6EF0"/>
    <w:rsid w:val="002A6FB0"/>
    <w:rsid w:val="002A6FFC"/>
    <w:rsid w:val="002A7010"/>
    <w:rsid w:val="002A70BA"/>
    <w:rsid w:val="002A7465"/>
    <w:rsid w:val="002A7732"/>
    <w:rsid w:val="002A7736"/>
    <w:rsid w:val="002A793D"/>
    <w:rsid w:val="002A7A57"/>
    <w:rsid w:val="002A7BB2"/>
    <w:rsid w:val="002A7D80"/>
    <w:rsid w:val="002A7DCB"/>
    <w:rsid w:val="002A7DF6"/>
    <w:rsid w:val="002A7ED6"/>
    <w:rsid w:val="002B0B53"/>
    <w:rsid w:val="002B0C18"/>
    <w:rsid w:val="002B0CB5"/>
    <w:rsid w:val="002B0E92"/>
    <w:rsid w:val="002B0F1A"/>
    <w:rsid w:val="002B0F57"/>
    <w:rsid w:val="002B1617"/>
    <w:rsid w:val="002B194B"/>
    <w:rsid w:val="002B1D11"/>
    <w:rsid w:val="002B1D2E"/>
    <w:rsid w:val="002B1F3C"/>
    <w:rsid w:val="002B22EB"/>
    <w:rsid w:val="002B25E3"/>
    <w:rsid w:val="002B273B"/>
    <w:rsid w:val="002B2763"/>
    <w:rsid w:val="002B29AA"/>
    <w:rsid w:val="002B2A7E"/>
    <w:rsid w:val="002B2C1E"/>
    <w:rsid w:val="002B2F1B"/>
    <w:rsid w:val="002B2FBC"/>
    <w:rsid w:val="002B3F5D"/>
    <w:rsid w:val="002B3F6F"/>
    <w:rsid w:val="002B4131"/>
    <w:rsid w:val="002B43A0"/>
    <w:rsid w:val="002B46DA"/>
    <w:rsid w:val="002B497E"/>
    <w:rsid w:val="002B4A32"/>
    <w:rsid w:val="002B4ABD"/>
    <w:rsid w:val="002B4B58"/>
    <w:rsid w:val="002B4C6B"/>
    <w:rsid w:val="002B50CB"/>
    <w:rsid w:val="002B52DF"/>
    <w:rsid w:val="002B54ED"/>
    <w:rsid w:val="002B573A"/>
    <w:rsid w:val="002B5AFB"/>
    <w:rsid w:val="002B6182"/>
    <w:rsid w:val="002B6320"/>
    <w:rsid w:val="002B6521"/>
    <w:rsid w:val="002B65C3"/>
    <w:rsid w:val="002B66AC"/>
    <w:rsid w:val="002B6852"/>
    <w:rsid w:val="002B688C"/>
    <w:rsid w:val="002B713E"/>
    <w:rsid w:val="002B74C6"/>
    <w:rsid w:val="002B75A4"/>
    <w:rsid w:val="002B76FD"/>
    <w:rsid w:val="002B77E1"/>
    <w:rsid w:val="002B7A59"/>
    <w:rsid w:val="002B7CA4"/>
    <w:rsid w:val="002C053D"/>
    <w:rsid w:val="002C0714"/>
    <w:rsid w:val="002C084D"/>
    <w:rsid w:val="002C08A9"/>
    <w:rsid w:val="002C0A96"/>
    <w:rsid w:val="002C0C39"/>
    <w:rsid w:val="002C0E60"/>
    <w:rsid w:val="002C0EE7"/>
    <w:rsid w:val="002C0FBE"/>
    <w:rsid w:val="002C10A8"/>
    <w:rsid w:val="002C1897"/>
    <w:rsid w:val="002C18DE"/>
    <w:rsid w:val="002C1929"/>
    <w:rsid w:val="002C1944"/>
    <w:rsid w:val="002C1BF4"/>
    <w:rsid w:val="002C1CD0"/>
    <w:rsid w:val="002C1E0D"/>
    <w:rsid w:val="002C1E88"/>
    <w:rsid w:val="002C203E"/>
    <w:rsid w:val="002C2266"/>
    <w:rsid w:val="002C2309"/>
    <w:rsid w:val="002C24D1"/>
    <w:rsid w:val="002C2626"/>
    <w:rsid w:val="002C2680"/>
    <w:rsid w:val="002C28EB"/>
    <w:rsid w:val="002C296A"/>
    <w:rsid w:val="002C2AFE"/>
    <w:rsid w:val="002C2F2A"/>
    <w:rsid w:val="002C3260"/>
    <w:rsid w:val="002C3265"/>
    <w:rsid w:val="002C32EB"/>
    <w:rsid w:val="002C3666"/>
    <w:rsid w:val="002C3701"/>
    <w:rsid w:val="002C3746"/>
    <w:rsid w:val="002C38BE"/>
    <w:rsid w:val="002C3AED"/>
    <w:rsid w:val="002C3C92"/>
    <w:rsid w:val="002C3E56"/>
    <w:rsid w:val="002C414C"/>
    <w:rsid w:val="002C41B0"/>
    <w:rsid w:val="002C4309"/>
    <w:rsid w:val="002C4C2F"/>
    <w:rsid w:val="002C56A2"/>
    <w:rsid w:val="002C5776"/>
    <w:rsid w:val="002C5BF2"/>
    <w:rsid w:val="002C5CD6"/>
    <w:rsid w:val="002C5EED"/>
    <w:rsid w:val="002C60B7"/>
    <w:rsid w:val="002C621A"/>
    <w:rsid w:val="002C66DE"/>
    <w:rsid w:val="002C6F61"/>
    <w:rsid w:val="002C70C6"/>
    <w:rsid w:val="002C7193"/>
    <w:rsid w:val="002C72C4"/>
    <w:rsid w:val="002C7699"/>
    <w:rsid w:val="002C7713"/>
    <w:rsid w:val="002C7A49"/>
    <w:rsid w:val="002C7B1A"/>
    <w:rsid w:val="002D0128"/>
    <w:rsid w:val="002D0231"/>
    <w:rsid w:val="002D0603"/>
    <w:rsid w:val="002D064F"/>
    <w:rsid w:val="002D0ABE"/>
    <w:rsid w:val="002D0E85"/>
    <w:rsid w:val="002D0F9B"/>
    <w:rsid w:val="002D0FA7"/>
    <w:rsid w:val="002D125D"/>
    <w:rsid w:val="002D12FB"/>
    <w:rsid w:val="002D1306"/>
    <w:rsid w:val="002D1713"/>
    <w:rsid w:val="002D19D1"/>
    <w:rsid w:val="002D1A6A"/>
    <w:rsid w:val="002D1ABA"/>
    <w:rsid w:val="002D1E7C"/>
    <w:rsid w:val="002D1F35"/>
    <w:rsid w:val="002D1FA3"/>
    <w:rsid w:val="002D207B"/>
    <w:rsid w:val="002D20CD"/>
    <w:rsid w:val="002D23C6"/>
    <w:rsid w:val="002D24F0"/>
    <w:rsid w:val="002D25EB"/>
    <w:rsid w:val="002D2736"/>
    <w:rsid w:val="002D27DA"/>
    <w:rsid w:val="002D290D"/>
    <w:rsid w:val="002D29F3"/>
    <w:rsid w:val="002D29FE"/>
    <w:rsid w:val="002D2CAC"/>
    <w:rsid w:val="002D3126"/>
    <w:rsid w:val="002D3322"/>
    <w:rsid w:val="002D3529"/>
    <w:rsid w:val="002D3682"/>
    <w:rsid w:val="002D3994"/>
    <w:rsid w:val="002D3A44"/>
    <w:rsid w:val="002D3ACD"/>
    <w:rsid w:val="002D3D0A"/>
    <w:rsid w:val="002D3D19"/>
    <w:rsid w:val="002D42A3"/>
    <w:rsid w:val="002D43F9"/>
    <w:rsid w:val="002D4405"/>
    <w:rsid w:val="002D478E"/>
    <w:rsid w:val="002D47AE"/>
    <w:rsid w:val="002D496E"/>
    <w:rsid w:val="002D4A94"/>
    <w:rsid w:val="002D50C6"/>
    <w:rsid w:val="002D55F6"/>
    <w:rsid w:val="002D5994"/>
    <w:rsid w:val="002D5CBF"/>
    <w:rsid w:val="002D5E94"/>
    <w:rsid w:val="002D63AD"/>
    <w:rsid w:val="002D65FF"/>
    <w:rsid w:val="002D6AC6"/>
    <w:rsid w:val="002D6D10"/>
    <w:rsid w:val="002D71E2"/>
    <w:rsid w:val="002D7367"/>
    <w:rsid w:val="002D7453"/>
    <w:rsid w:val="002D7732"/>
    <w:rsid w:val="002D7961"/>
    <w:rsid w:val="002D7B6A"/>
    <w:rsid w:val="002D7E36"/>
    <w:rsid w:val="002E0026"/>
    <w:rsid w:val="002E02E0"/>
    <w:rsid w:val="002E034E"/>
    <w:rsid w:val="002E0732"/>
    <w:rsid w:val="002E08E8"/>
    <w:rsid w:val="002E0918"/>
    <w:rsid w:val="002E0B6C"/>
    <w:rsid w:val="002E0BAA"/>
    <w:rsid w:val="002E0D4E"/>
    <w:rsid w:val="002E0D96"/>
    <w:rsid w:val="002E0EA5"/>
    <w:rsid w:val="002E0F31"/>
    <w:rsid w:val="002E1515"/>
    <w:rsid w:val="002E17FE"/>
    <w:rsid w:val="002E190F"/>
    <w:rsid w:val="002E1A33"/>
    <w:rsid w:val="002E1E19"/>
    <w:rsid w:val="002E1F46"/>
    <w:rsid w:val="002E22B2"/>
    <w:rsid w:val="002E22B7"/>
    <w:rsid w:val="002E2473"/>
    <w:rsid w:val="002E24B5"/>
    <w:rsid w:val="002E26CB"/>
    <w:rsid w:val="002E283F"/>
    <w:rsid w:val="002E2854"/>
    <w:rsid w:val="002E287D"/>
    <w:rsid w:val="002E2BA1"/>
    <w:rsid w:val="002E2E74"/>
    <w:rsid w:val="002E30C5"/>
    <w:rsid w:val="002E32D2"/>
    <w:rsid w:val="002E3537"/>
    <w:rsid w:val="002E361B"/>
    <w:rsid w:val="002E363B"/>
    <w:rsid w:val="002E366D"/>
    <w:rsid w:val="002E37AB"/>
    <w:rsid w:val="002E38FE"/>
    <w:rsid w:val="002E3A80"/>
    <w:rsid w:val="002E3CD2"/>
    <w:rsid w:val="002E41C7"/>
    <w:rsid w:val="002E41DE"/>
    <w:rsid w:val="002E4485"/>
    <w:rsid w:val="002E452C"/>
    <w:rsid w:val="002E4828"/>
    <w:rsid w:val="002E4859"/>
    <w:rsid w:val="002E49B0"/>
    <w:rsid w:val="002E4AC7"/>
    <w:rsid w:val="002E4BB3"/>
    <w:rsid w:val="002E51DF"/>
    <w:rsid w:val="002E521A"/>
    <w:rsid w:val="002E5254"/>
    <w:rsid w:val="002E555B"/>
    <w:rsid w:val="002E57B9"/>
    <w:rsid w:val="002E58ED"/>
    <w:rsid w:val="002E5BB2"/>
    <w:rsid w:val="002E600C"/>
    <w:rsid w:val="002E6022"/>
    <w:rsid w:val="002E6127"/>
    <w:rsid w:val="002E6885"/>
    <w:rsid w:val="002E6E2F"/>
    <w:rsid w:val="002E6E7C"/>
    <w:rsid w:val="002E6E81"/>
    <w:rsid w:val="002E72E4"/>
    <w:rsid w:val="002E739D"/>
    <w:rsid w:val="002E7674"/>
    <w:rsid w:val="002E77F3"/>
    <w:rsid w:val="002E7B3C"/>
    <w:rsid w:val="002E7BF8"/>
    <w:rsid w:val="002E7CC1"/>
    <w:rsid w:val="002E7D60"/>
    <w:rsid w:val="002E7DEC"/>
    <w:rsid w:val="002E7E45"/>
    <w:rsid w:val="002F0062"/>
    <w:rsid w:val="002F01EE"/>
    <w:rsid w:val="002F023F"/>
    <w:rsid w:val="002F0242"/>
    <w:rsid w:val="002F052F"/>
    <w:rsid w:val="002F089E"/>
    <w:rsid w:val="002F0975"/>
    <w:rsid w:val="002F0E00"/>
    <w:rsid w:val="002F0E87"/>
    <w:rsid w:val="002F0F36"/>
    <w:rsid w:val="002F1276"/>
    <w:rsid w:val="002F16E1"/>
    <w:rsid w:val="002F1986"/>
    <w:rsid w:val="002F1C9F"/>
    <w:rsid w:val="002F1E06"/>
    <w:rsid w:val="002F1E49"/>
    <w:rsid w:val="002F1E5F"/>
    <w:rsid w:val="002F220D"/>
    <w:rsid w:val="002F255F"/>
    <w:rsid w:val="002F2700"/>
    <w:rsid w:val="002F2A49"/>
    <w:rsid w:val="002F2AA9"/>
    <w:rsid w:val="002F301A"/>
    <w:rsid w:val="002F30F1"/>
    <w:rsid w:val="002F321C"/>
    <w:rsid w:val="002F3294"/>
    <w:rsid w:val="002F3550"/>
    <w:rsid w:val="002F3631"/>
    <w:rsid w:val="002F3766"/>
    <w:rsid w:val="002F3B63"/>
    <w:rsid w:val="002F3C56"/>
    <w:rsid w:val="002F3DA6"/>
    <w:rsid w:val="002F41E7"/>
    <w:rsid w:val="002F42B3"/>
    <w:rsid w:val="002F4661"/>
    <w:rsid w:val="002F46B0"/>
    <w:rsid w:val="002F46BC"/>
    <w:rsid w:val="002F48D3"/>
    <w:rsid w:val="002F4A17"/>
    <w:rsid w:val="002F4B17"/>
    <w:rsid w:val="002F4ECD"/>
    <w:rsid w:val="002F500A"/>
    <w:rsid w:val="002F50F3"/>
    <w:rsid w:val="002F5150"/>
    <w:rsid w:val="002F5174"/>
    <w:rsid w:val="002F525B"/>
    <w:rsid w:val="002F5463"/>
    <w:rsid w:val="002F5651"/>
    <w:rsid w:val="002F58C2"/>
    <w:rsid w:val="002F5932"/>
    <w:rsid w:val="002F5B28"/>
    <w:rsid w:val="002F5C85"/>
    <w:rsid w:val="002F603B"/>
    <w:rsid w:val="002F6201"/>
    <w:rsid w:val="002F6884"/>
    <w:rsid w:val="002F68D5"/>
    <w:rsid w:val="002F6A2B"/>
    <w:rsid w:val="002F6CA0"/>
    <w:rsid w:val="002F6CB1"/>
    <w:rsid w:val="002F6E9C"/>
    <w:rsid w:val="002F6F04"/>
    <w:rsid w:val="002F70C2"/>
    <w:rsid w:val="002F724B"/>
    <w:rsid w:val="002F72BA"/>
    <w:rsid w:val="002F7B89"/>
    <w:rsid w:val="00300267"/>
    <w:rsid w:val="003004D2"/>
    <w:rsid w:val="00300674"/>
    <w:rsid w:val="0030093E"/>
    <w:rsid w:val="00300A5C"/>
    <w:rsid w:val="00300C88"/>
    <w:rsid w:val="00300D6B"/>
    <w:rsid w:val="00301380"/>
    <w:rsid w:val="00301E89"/>
    <w:rsid w:val="00301ECC"/>
    <w:rsid w:val="0030203E"/>
    <w:rsid w:val="00302052"/>
    <w:rsid w:val="00302142"/>
    <w:rsid w:val="00302169"/>
    <w:rsid w:val="00302286"/>
    <w:rsid w:val="00302612"/>
    <w:rsid w:val="00302A29"/>
    <w:rsid w:val="00302ADB"/>
    <w:rsid w:val="00302B0E"/>
    <w:rsid w:val="00302D43"/>
    <w:rsid w:val="00302DEC"/>
    <w:rsid w:val="00302E5C"/>
    <w:rsid w:val="00303254"/>
    <w:rsid w:val="003033C2"/>
    <w:rsid w:val="00303429"/>
    <w:rsid w:val="00303B08"/>
    <w:rsid w:val="00303E0B"/>
    <w:rsid w:val="0030408D"/>
    <w:rsid w:val="00304135"/>
    <w:rsid w:val="003044D9"/>
    <w:rsid w:val="003048E8"/>
    <w:rsid w:val="00304942"/>
    <w:rsid w:val="00304D8A"/>
    <w:rsid w:val="00305083"/>
    <w:rsid w:val="00305216"/>
    <w:rsid w:val="0030525A"/>
    <w:rsid w:val="0030529E"/>
    <w:rsid w:val="00305556"/>
    <w:rsid w:val="0030555B"/>
    <w:rsid w:val="00305BFD"/>
    <w:rsid w:val="00305C8F"/>
    <w:rsid w:val="00306172"/>
    <w:rsid w:val="003061F5"/>
    <w:rsid w:val="00306A60"/>
    <w:rsid w:val="00306AF6"/>
    <w:rsid w:val="00306D27"/>
    <w:rsid w:val="00306EA3"/>
    <w:rsid w:val="00306F65"/>
    <w:rsid w:val="0030739C"/>
    <w:rsid w:val="00307493"/>
    <w:rsid w:val="003075C3"/>
    <w:rsid w:val="003075DE"/>
    <w:rsid w:val="00307655"/>
    <w:rsid w:val="00307C82"/>
    <w:rsid w:val="00307F19"/>
    <w:rsid w:val="00310231"/>
    <w:rsid w:val="0031086C"/>
    <w:rsid w:val="00310D51"/>
    <w:rsid w:val="00310DD7"/>
    <w:rsid w:val="003112CE"/>
    <w:rsid w:val="0031144E"/>
    <w:rsid w:val="00311AFA"/>
    <w:rsid w:val="00311B36"/>
    <w:rsid w:val="00311C92"/>
    <w:rsid w:val="00311DF3"/>
    <w:rsid w:val="00311E36"/>
    <w:rsid w:val="00311E8B"/>
    <w:rsid w:val="00312854"/>
    <w:rsid w:val="003128D1"/>
    <w:rsid w:val="003128D5"/>
    <w:rsid w:val="00312974"/>
    <w:rsid w:val="003129AF"/>
    <w:rsid w:val="00313145"/>
    <w:rsid w:val="003131CF"/>
    <w:rsid w:val="003133AE"/>
    <w:rsid w:val="003133BF"/>
    <w:rsid w:val="00313414"/>
    <w:rsid w:val="0031371B"/>
    <w:rsid w:val="003137E6"/>
    <w:rsid w:val="00313F2D"/>
    <w:rsid w:val="00314003"/>
    <w:rsid w:val="00314156"/>
    <w:rsid w:val="00314279"/>
    <w:rsid w:val="0031454D"/>
    <w:rsid w:val="00314732"/>
    <w:rsid w:val="00314BD1"/>
    <w:rsid w:val="0031505E"/>
    <w:rsid w:val="00315081"/>
    <w:rsid w:val="0031535B"/>
    <w:rsid w:val="00315565"/>
    <w:rsid w:val="00315B68"/>
    <w:rsid w:val="00315E40"/>
    <w:rsid w:val="00316418"/>
    <w:rsid w:val="00316684"/>
    <w:rsid w:val="003168E5"/>
    <w:rsid w:val="00316A0E"/>
    <w:rsid w:val="003170F4"/>
    <w:rsid w:val="003172D7"/>
    <w:rsid w:val="0031750F"/>
    <w:rsid w:val="00317586"/>
    <w:rsid w:val="003179D3"/>
    <w:rsid w:val="00317A3A"/>
    <w:rsid w:val="00317AAD"/>
    <w:rsid w:val="00317E02"/>
    <w:rsid w:val="00317F1F"/>
    <w:rsid w:val="0032035D"/>
    <w:rsid w:val="003205E9"/>
    <w:rsid w:val="003208F9"/>
    <w:rsid w:val="0032097E"/>
    <w:rsid w:val="00320B28"/>
    <w:rsid w:val="00320BD6"/>
    <w:rsid w:val="00320C92"/>
    <w:rsid w:val="0032123E"/>
    <w:rsid w:val="0032141C"/>
    <w:rsid w:val="003216D5"/>
    <w:rsid w:val="003216FF"/>
    <w:rsid w:val="00321866"/>
    <w:rsid w:val="00321A83"/>
    <w:rsid w:val="00321C1A"/>
    <w:rsid w:val="00321E56"/>
    <w:rsid w:val="00321F6B"/>
    <w:rsid w:val="003220A4"/>
    <w:rsid w:val="00322389"/>
    <w:rsid w:val="00322624"/>
    <w:rsid w:val="00322669"/>
    <w:rsid w:val="00322968"/>
    <w:rsid w:val="003229FB"/>
    <w:rsid w:val="00322A11"/>
    <w:rsid w:val="00322BE5"/>
    <w:rsid w:val="00322C7D"/>
    <w:rsid w:val="00322E87"/>
    <w:rsid w:val="0032312D"/>
    <w:rsid w:val="003231D5"/>
    <w:rsid w:val="0032339E"/>
    <w:rsid w:val="0032354D"/>
    <w:rsid w:val="003237FA"/>
    <w:rsid w:val="00323A2F"/>
    <w:rsid w:val="00323AA5"/>
    <w:rsid w:val="00323E32"/>
    <w:rsid w:val="0032413F"/>
    <w:rsid w:val="003242E4"/>
    <w:rsid w:val="003244EB"/>
    <w:rsid w:val="0032468D"/>
    <w:rsid w:val="0032491F"/>
    <w:rsid w:val="00324926"/>
    <w:rsid w:val="00324B25"/>
    <w:rsid w:val="00324BC0"/>
    <w:rsid w:val="00324C87"/>
    <w:rsid w:val="00324CB0"/>
    <w:rsid w:val="00324D89"/>
    <w:rsid w:val="00325165"/>
    <w:rsid w:val="0032522F"/>
    <w:rsid w:val="003253C4"/>
    <w:rsid w:val="003253F1"/>
    <w:rsid w:val="0032550F"/>
    <w:rsid w:val="003258F8"/>
    <w:rsid w:val="00325992"/>
    <w:rsid w:val="00325B74"/>
    <w:rsid w:val="00325BC6"/>
    <w:rsid w:val="00325C01"/>
    <w:rsid w:val="0032638F"/>
    <w:rsid w:val="003266A6"/>
    <w:rsid w:val="0032672F"/>
    <w:rsid w:val="00326A77"/>
    <w:rsid w:val="00326B59"/>
    <w:rsid w:val="00326D64"/>
    <w:rsid w:val="003272C6"/>
    <w:rsid w:val="0032746C"/>
    <w:rsid w:val="00327752"/>
    <w:rsid w:val="00327C40"/>
    <w:rsid w:val="00327C7C"/>
    <w:rsid w:val="00327F56"/>
    <w:rsid w:val="00330009"/>
    <w:rsid w:val="003301B0"/>
    <w:rsid w:val="003301E6"/>
    <w:rsid w:val="0033049F"/>
    <w:rsid w:val="0033064C"/>
    <w:rsid w:val="00330773"/>
    <w:rsid w:val="00330931"/>
    <w:rsid w:val="00330A8E"/>
    <w:rsid w:val="00330E68"/>
    <w:rsid w:val="003310AB"/>
    <w:rsid w:val="00331420"/>
    <w:rsid w:val="003314D2"/>
    <w:rsid w:val="00331712"/>
    <w:rsid w:val="003317CF"/>
    <w:rsid w:val="003318EF"/>
    <w:rsid w:val="0033194B"/>
    <w:rsid w:val="00331A3F"/>
    <w:rsid w:val="00331A5F"/>
    <w:rsid w:val="00331C43"/>
    <w:rsid w:val="00332191"/>
    <w:rsid w:val="00332344"/>
    <w:rsid w:val="00332434"/>
    <w:rsid w:val="003324AA"/>
    <w:rsid w:val="00332720"/>
    <w:rsid w:val="00332752"/>
    <w:rsid w:val="00332EED"/>
    <w:rsid w:val="00332F6C"/>
    <w:rsid w:val="00332F98"/>
    <w:rsid w:val="003334A7"/>
    <w:rsid w:val="0033368C"/>
    <w:rsid w:val="003337E8"/>
    <w:rsid w:val="00333A14"/>
    <w:rsid w:val="00333B2A"/>
    <w:rsid w:val="00333DC1"/>
    <w:rsid w:val="00333FD5"/>
    <w:rsid w:val="00334381"/>
    <w:rsid w:val="003350BB"/>
    <w:rsid w:val="003350E9"/>
    <w:rsid w:val="003350F4"/>
    <w:rsid w:val="003351BA"/>
    <w:rsid w:val="0033520F"/>
    <w:rsid w:val="0033536D"/>
    <w:rsid w:val="00335519"/>
    <w:rsid w:val="00335643"/>
    <w:rsid w:val="00335827"/>
    <w:rsid w:val="0033596B"/>
    <w:rsid w:val="00335A93"/>
    <w:rsid w:val="00335BFF"/>
    <w:rsid w:val="00336474"/>
    <w:rsid w:val="0033650E"/>
    <w:rsid w:val="0033653F"/>
    <w:rsid w:val="003366EF"/>
    <w:rsid w:val="00336907"/>
    <w:rsid w:val="003369DF"/>
    <w:rsid w:val="00336C71"/>
    <w:rsid w:val="00336D51"/>
    <w:rsid w:val="00336D96"/>
    <w:rsid w:val="00336DFC"/>
    <w:rsid w:val="00336ED3"/>
    <w:rsid w:val="0033701D"/>
    <w:rsid w:val="003370DF"/>
    <w:rsid w:val="00337230"/>
    <w:rsid w:val="00337470"/>
    <w:rsid w:val="00337588"/>
    <w:rsid w:val="003375E6"/>
    <w:rsid w:val="00337697"/>
    <w:rsid w:val="003377D0"/>
    <w:rsid w:val="0033794D"/>
    <w:rsid w:val="00337B7E"/>
    <w:rsid w:val="00337D5A"/>
    <w:rsid w:val="00337D75"/>
    <w:rsid w:val="00337EDC"/>
    <w:rsid w:val="00340020"/>
    <w:rsid w:val="003400B0"/>
    <w:rsid w:val="00340550"/>
    <w:rsid w:val="0034068F"/>
    <w:rsid w:val="0034081A"/>
    <w:rsid w:val="00340B43"/>
    <w:rsid w:val="00340D83"/>
    <w:rsid w:val="00341162"/>
    <w:rsid w:val="003412C0"/>
    <w:rsid w:val="003414C1"/>
    <w:rsid w:val="00341866"/>
    <w:rsid w:val="0034195D"/>
    <w:rsid w:val="00341B7B"/>
    <w:rsid w:val="00341DAF"/>
    <w:rsid w:val="00342181"/>
    <w:rsid w:val="00342373"/>
    <w:rsid w:val="003424FE"/>
    <w:rsid w:val="00342E6D"/>
    <w:rsid w:val="00342ED5"/>
    <w:rsid w:val="0034339B"/>
    <w:rsid w:val="00343560"/>
    <w:rsid w:val="00343646"/>
    <w:rsid w:val="003437D3"/>
    <w:rsid w:val="0034380E"/>
    <w:rsid w:val="00343A20"/>
    <w:rsid w:val="00343A86"/>
    <w:rsid w:val="00343C7F"/>
    <w:rsid w:val="00343D46"/>
    <w:rsid w:val="00343FA8"/>
    <w:rsid w:val="0034402B"/>
    <w:rsid w:val="0034449E"/>
    <w:rsid w:val="00344549"/>
    <w:rsid w:val="003445C5"/>
    <w:rsid w:val="00344664"/>
    <w:rsid w:val="003449CA"/>
    <w:rsid w:val="00344B18"/>
    <w:rsid w:val="00344BDE"/>
    <w:rsid w:val="00344D46"/>
    <w:rsid w:val="00344EAC"/>
    <w:rsid w:val="003451CE"/>
    <w:rsid w:val="00345421"/>
    <w:rsid w:val="003457C4"/>
    <w:rsid w:val="00345A03"/>
    <w:rsid w:val="00345E77"/>
    <w:rsid w:val="0034621B"/>
    <w:rsid w:val="00346344"/>
    <w:rsid w:val="003463D0"/>
    <w:rsid w:val="003465A5"/>
    <w:rsid w:val="0034661C"/>
    <w:rsid w:val="00346730"/>
    <w:rsid w:val="00346817"/>
    <w:rsid w:val="003468E8"/>
    <w:rsid w:val="003468F5"/>
    <w:rsid w:val="0034699E"/>
    <w:rsid w:val="00346A65"/>
    <w:rsid w:val="00346FBF"/>
    <w:rsid w:val="00347198"/>
    <w:rsid w:val="003473D5"/>
    <w:rsid w:val="00347440"/>
    <w:rsid w:val="003475EA"/>
    <w:rsid w:val="0034792D"/>
    <w:rsid w:val="00347A27"/>
    <w:rsid w:val="00347CD4"/>
    <w:rsid w:val="00350635"/>
    <w:rsid w:val="0035074E"/>
    <w:rsid w:val="00350A55"/>
    <w:rsid w:val="00350A59"/>
    <w:rsid w:val="00350C62"/>
    <w:rsid w:val="00350D6D"/>
    <w:rsid w:val="00350DF8"/>
    <w:rsid w:val="00350FE2"/>
    <w:rsid w:val="00351004"/>
    <w:rsid w:val="003510D9"/>
    <w:rsid w:val="00351393"/>
    <w:rsid w:val="0035139B"/>
    <w:rsid w:val="00351424"/>
    <w:rsid w:val="0035153A"/>
    <w:rsid w:val="00351793"/>
    <w:rsid w:val="00351A33"/>
    <w:rsid w:val="00351A8A"/>
    <w:rsid w:val="00352376"/>
    <w:rsid w:val="00352391"/>
    <w:rsid w:val="0035245D"/>
    <w:rsid w:val="00352541"/>
    <w:rsid w:val="0035266A"/>
    <w:rsid w:val="0035279C"/>
    <w:rsid w:val="00352803"/>
    <w:rsid w:val="00352B23"/>
    <w:rsid w:val="00352C49"/>
    <w:rsid w:val="00352D17"/>
    <w:rsid w:val="003534D3"/>
    <w:rsid w:val="003535D2"/>
    <w:rsid w:val="00353781"/>
    <w:rsid w:val="0035384D"/>
    <w:rsid w:val="003538CC"/>
    <w:rsid w:val="00353BF0"/>
    <w:rsid w:val="00353C0B"/>
    <w:rsid w:val="00353FBA"/>
    <w:rsid w:val="003547C0"/>
    <w:rsid w:val="00354A4A"/>
    <w:rsid w:val="00354AE4"/>
    <w:rsid w:val="00354B0A"/>
    <w:rsid w:val="00354C22"/>
    <w:rsid w:val="0035507A"/>
    <w:rsid w:val="003551F9"/>
    <w:rsid w:val="00355254"/>
    <w:rsid w:val="00355363"/>
    <w:rsid w:val="003553AB"/>
    <w:rsid w:val="0035551B"/>
    <w:rsid w:val="003555ED"/>
    <w:rsid w:val="003555FF"/>
    <w:rsid w:val="00355911"/>
    <w:rsid w:val="00355A74"/>
    <w:rsid w:val="00355DB0"/>
    <w:rsid w:val="00355DF8"/>
    <w:rsid w:val="0035636B"/>
    <w:rsid w:val="00356714"/>
    <w:rsid w:val="00356DA9"/>
    <w:rsid w:val="00357287"/>
    <w:rsid w:val="003572F9"/>
    <w:rsid w:val="00357424"/>
    <w:rsid w:val="003574FF"/>
    <w:rsid w:val="00357B89"/>
    <w:rsid w:val="00357FFC"/>
    <w:rsid w:val="0036002B"/>
    <w:rsid w:val="00360102"/>
    <w:rsid w:val="003601A9"/>
    <w:rsid w:val="0036079A"/>
    <w:rsid w:val="003608A2"/>
    <w:rsid w:val="00360B0F"/>
    <w:rsid w:val="00360D0B"/>
    <w:rsid w:val="00361140"/>
    <w:rsid w:val="00361789"/>
    <w:rsid w:val="0036196D"/>
    <w:rsid w:val="00361EEC"/>
    <w:rsid w:val="0036208F"/>
    <w:rsid w:val="0036246B"/>
    <w:rsid w:val="003627BD"/>
    <w:rsid w:val="00362876"/>
    <w:rsid w:val="00362997"/>
    <w:rsid w:val="003629B5"/>
    <w:rsid w:val="00362A40"/>
    <w:rsid w:val="00362C59"/>
    <w:rsid w:val="00362F2B"/>
    <w:rsid w:val="00363040"/>
    <w:rsid w:val="003630B7"/>
    <w:rsid w:val="00363275"/>
    <w:rsid w:val="0036336F"/>
    <w:rsid w:val="00363436"/>
    <w:rsid w:val="00363786"/>
    <w:rsid w:val="00363870"/>
    <w:rsid w:val="0036389C"/>
    <w:rsid w:val="003638A4"/>
    <w:rsid w:val="003639BF"/>
    <w:rsid w:val="00363AA8"/>
    <w:rsid w:val="00363C48"/>
    <w:rsid w:val="00363DDC"/>
    <w:rsid w:val="00363E41"/>
    <w:rsid w:val="00363E95"/>
    <w:rsid w:val="00363ED8"/>
    <w:rsid w:val="00363EDD"/>
    <w:rsid w:val="00363FD2"/>
    <w:rsid w:val="003644D0"/>
    <w:rsid w:val="00364CD8"/>
    <w:rsid w:val="003651F5"/>
    <w:rsid w:val="0036538D"/>
    <w:rsid w:val="003654E1"/>
    <w:rsid w:val="00365580"/>
    <w:rsid w:val="00365590"/>
    <w:rsid w:val="0036572E"/>
    <w:rsid w:val="00365C26"/>
    <w:rsid w:val="00365E21"/>
    <w:rsid w:val="00365ED8"/>
    <w:rsid w:val="00365F6A"/>
    <w:rsid w:val="0036601E"/>
    <w:rsid w:val="00366082"/>
    <w:rsid w:val="00366156"/>
    <w:rsid w:val="003663D9"/>
    <w:rsid w:val="003663E8"/>
    <w:rsid w:val="003666BF"/>
    <w:rsid w:val="00366707"/>
    <w:rsid w:val="00366CC9"/>
    <w:rsid w:val="00366D79"/>
    <w:rsid w:val="00366EE3"/>
    <w:rsid w:val="00366FA9"/>
    <w:rsid w:val="00367388"/>
    <w:rsid w:val="00367585"/>
    <w:rsid w:val="003679BA"/>
    <w:rsid w:val="00367E49"/>
    <w:rsid w:val="00367F41"/>
    <w:rsid w:val="003700E6"/>
    <w:rsid w:val="003701F8"/>
    <w:rsid w:val="003702F6"/>
    <w:rsid w:val="0037037A"/>
    <w:rsid w:val="0037039B"/>
    <w:rsid w:val="0037099C"/>
    <w:rsid w:val="00370A78"/>
    <w:rsid w:val="00370C9A"/>
    <w:rsid w:val="00370D32"/>
    <w:rsid w:val="00370E3F"/>
    <w:rsid w:val="00371365"/>
    <w:rsid w:val="003714DA"/>
    <w:rsid w:val="00371B6F"/>
    <w:rsid w:val="00371C86"/>
    <w:rsid w:val="00371CDC"/>
    <w:rsid w:val="0037207A"/>
    <w:rsid w:val="003721A3"/>
    <w:rsid w:val="00372211"/>
    <w:rsid w:val="0037236C"/>
    <w:rsid w:val="003725EC"/>
    <w:rsid w:val="003728AA"/>
    <w:rsid w:val="003729DE"/>
    <w:rsid w:val="00372A2B"/>
    <w:rsid w:val="00372E04"/>
    <w:rsid w:val="003730EB"/>
    <w:rsid w:val="0037317D"/>
    <w:rsid w:val="00373467"/>
    <w:rsid w:val="003735D3"/>
    <w:rsid w:val="0037386D"/>
    <w:rsid w:val="00373956"/>
    <w:rsid w:val="00373E04"/>
    <w:rsid w:val="00373F10"/>
    <w:rsid w:val="00374153"/>
    <w:rsid w:val="00374A3F"/>
    <w:rsid w:val="00374ED0"/>
    <w:rsid w:val="00374EF3"/>
    <w:rsid w:val="003750E0"/>
    <w:rsid w:val="003756BE"/>
    <w:rsid w:val="00375840"/>
    <w:rsid w:val="0037598F"/>
    <w:rsid w:val="00375AF1"/>
    <w:rsid w:val="00375C2F"/>
    <w:rsid w:val="00375D37"/>
    <w:rsid w:val="00375FC5"/>
    <w:rsid w:val="003760A5"/>
    <w:rsid w:val="0037628B"/>
    <w:rsid w:val="003763F3"/>
    <w:rsid w:val="0037687E"/>
    <w:rsid w:val="0037689B"/>
    <w:rsid w:val="003769BA"/>
    <w:rsid w:val="00376C10"/>
    <w:rsid w:val="00376EE8"/>
    <w:rsid w:val="00377040"/>
    <w:rsid w:val="0037741F"/>
    <w:rsid w:val="00377871"/>
    <w:rsid w:val="003778B2"/>
    <w:rsid w:val="00377E58"/>
    <w:rsid w:val="00377F13"/>
    <w:rsid w:val="00377FD1"/>
    <w:rsid w:val="003800C7"/>
    <w:rsid w:val="00380192"/>
    <w:rsid w:val="00380281"/>
    <w:rsid w:val="0038057E"/>
    <w:rsid w:val="003805E3"/>
    <w:rsid w:val="00380618"/>
    <w:rsid w:val="0038062E"/>
    <w:rsid w:val="003807F7"/>
    <w:rsid w:val="003809D5"/>
    <w:rsid w:val="00380AC6"/>
    <w:rsid w:val="00380B24"/>
    <w:rsid w:val="00381610"/>
    <w:rsid w:val="00381983"/>
    <w:rsid w:val="00381A82"/>
    <w:rsid w:val="00381C96"/>
    <w:rsid w:val="00381FD8"/>
    <w:rsid w:val="00382106"/>
    <w:rsid w:val="0038262B"/>
    <w:rsid w:val="00382657"/>
    <w:rsid w:val="00382753"/>
    <w:rsid w:val="00382AE9"/>
    <w:rsid w:val="00382B6A"/>
    <w:rsid w:val="00382B82"/>
    <w:rsid w:val="00382E93"/>
    <w:rsid w:val="00382F04"/>
    <w:rsid w:val="00382F9E"/>
    <w:rsid w:val="0038300C"/>
    <w:rsid w:val="003830FB"/>
    <w:rsid w:val="00383258"/>
    <w:rsid w:val="003834C9"/>
    <w:rsid w:val="00383D38"/>
    <w:rsid w:val="00383D69"/>
    <w:rsid w:val="00383E73"/>
    <w:rsid w:val="00383E98"/>
    <w:rsid w:val="00384172"/>
    <w:rsid w:val="003844BF"/>
    <w:rsid w:val="00384611"/>
    <w:rsid w:val="00384691"/>
    <w:rsid w:val="00384785"/>
    <w:rsid w:val="00384AA9"/>
    <w:rsid w:val="00384AED"/>
    <w:rsid w:val="003852BA"/>
    <w:rsid w:val="00385385"/>
    <w:rsid w:val="003854D5"/>
    <w:rsid w:val="0038552A"/>
    <w:rsid w:val="0038576D"/>
    <w:rsid w:val="00385844"/>
    <w:rsid w:val="003858BD"/>
    <w:rsid w:val="003859EA"/>
    <w:rsid w:val="00385CD2"/>
    <w:rsid w:val="00385DB1"/>
    <w:rsid w:val="00385E99"/>
    <w:rsid w:val="00386549"/>
    <w:rsid w:val="0038709E"/>
    <w:rsid w:val="003877EC"/>
    <w:rsid w:val="0038797F"/>
    <w:rsid w:val="00387BEC"/>
    <w:rsid w:val="00387D30"/>
    <w:rsid w:val="00390205"/>
    <w:rsid w:val="003907CC"/>
    <w:rsid w:val="00390A4D"/>
    <w:rsid w:val="00390A61"/>
    <w:rsid w:val="00390B7F"/>
    <w:rsid w:val="00390C95"/>
    <w:rsid w:val="00390DD5"/>
    <w:rsid w:val="0039163A"/>
    <w:rsid w:val="00391664"/>
    <w:rsid w:val="00391753"/>
    <w:rsid w:val="00391C7F"/>
    <w:rsid w:val="00391DFF"/>
    <w:rsid w:val="003921A8"/>
    <w:rsid w:val="00392454"/>
    <w:rsid w:val="00392455"/>
    <w:rsid w:val="003924B4"/>
    <w:rsid w:val="00392839"/>
    <w:rsid w:val="00392A6C"/>
    <w:rsid w:val="00392C85"/>
    <w:rsid w:val="00392D3B"/>
    <w:rsid w:val="00392FD8"/>
    <w:rsid w:val="003932BA"/>
    <w:rsid w:val="0039330A"/>
    <w:rsid w:val="00393432"/>
    <w:rsid w:val="00393441"/>
    <w:rsid w:val="003936E8"/>
    <w:rsid w:val="00393817"/>
    <w:rsid w:val="00393CAA"/>
    <w:rsid w:val="00393D9E"/>
    <w:rsid w:val="00393E11"/>
    <w:rsid w:val="00393E82"/>
    <w:rsid w:val="0039401A"/>
    <w:rsid w:val="00394475"/>
    <w:rsid w:val="00394657"/>
    <w:rsid w:val="00394A09"/>
    <w:rsid w:val="00394C0D"/>
    <w:rsid w:val="00394C48"/>
    <w:rsid w:val="00394D31"/>
    <w:rsid w:val="00394EF8"/>
    <w:rsid w:val="003950A7"/>
    <w:rsid w:val="0039517A"/>
    <w:rsid w:val="003951D0"/>
    <w:rsid w:val="00395B51"/>
    <w:rsid w:val="00395D2E"/>
    <w:rsid w:val="003962B5"/>
    <w:rsid w:val="00396474"/>
    <w:rsid w:val="00396796"/>
    <w:rsid w:val="00396EC6"/>
    <w:rsid w:val="00396F3C"/>
    <w:rsid w:val="003970BA"/>
    <w:rsid w:val="0039746C"/>
    <w:rsid w:val="003975AC"/>
    <w:rsid w:val="00397971"/>
    <w:rsid w:val="00397C36"/>
    <w:rsid w:val="00397DC6"/>
    <w:rsid w:val="003A0413"/>
    <w:rsid w:val="003A0B44"/>
    <w:rsid w:val="003A0BAE"/>
    <w:rsid w:val="003A0C4F"/>
    <w:rsid w:val="003A0E82"/>
    <w:rsid w:val="003A0FAC"/>
    <w:rsid w:val="003A115C"/>
    <w:rsid w:val="003A184D"/>
    <w:rsid w:val="003A1C35"/>
    <w:rsid w:val="003A1FB7"/>
    <w:rsid w:val="003A228B"/>
    <w:rsid w:val="003A2317"/>
    <w:rsid w:val="003A275D"/>
    <w:rsid w:val="003A293B"/>
    <w:rsid w:val="003A2962"/>
    <w:rsid w:val="003A2A8C"/>
    <w:rsid w:val="003A2AFC"/>
    <w:rsid w:val="003A2D3B"/>
    <w:rsid w:val="003A2E61"/>
    <w:rsid w:val="003A30D3"/>
    <w:rsid w:val="003A31ED"/>
    <w:rsid w:val="003A371E"/>
    <w:rsid w:val="003A3BEC"/>
    <w:rsid w:val="003A3BFE"/>
    <w:rsid w:val="003A3E43"/>
    <w:rsid w:val="003A4261"/>
    <w:rsid w:val="003A462A"/>
    <w:rsid w:val="003A4726"/>
    <w:rsid w:val="003A4B38"/>
    <w:rsid w:val="003A4C9F"/>
    <w:rsid w:val="003A4CE8"/>
    <w:rsid w:val="003A4F50"/>
    <w:rsid w:val="003A50F3"/>
    <w:rsid w:val="003A5161"/>
    <w:rsid w:val="003A52AD"/>
    <w:rsid w:val="003A55D0"/>
    <w:rsid w:val="003A586A"/>
    <w:rsid w:val="003A595F"/>
    <w:rsid w:val="003A5BFB"/>
    <w:rsid w:val="003A5EEC"/>
    <w:rsid w:val="003A5F39"/>
    <w:rsid w:val="003A5FE2"/>
    <w:rsid w:val="003A60B8"/>
    <w:rsid w:val="003A6AFC"/>
    <w:rsid w:val="003A6D7D"/>
    <w:rsid w:val="003A6E80"/>
    <w:rsid w:val="003A6F0C"/>
    <w:rsid w:val="003A6FD3"/>
    <w:rsid w:val="003A7173"/>
    <w:rsid w:val="003A73F9"/>
    <w:rsid w:val="003A79AE"/>
    <w:rsid w:val="003A7CA3"/>
    <w:rsid w:val="003B00B6"/>
    <w:rsid w:val="003B01C4"/>
    <w:rsid w:val="003B0268"/>
    <w:rsid w:val="003B07E6"/>
    <w:rsid w:val="003B0BB0"/>
    <w:rsid w:val="003B11EE"/>
    <w:rsid w:val="003B121E"/>
    <w:rsid w:val="003B1332"/>
    <w:rsid w:val="003B135E"/>
    <w:rsid w:val="003B143D"/>
    <w:rsid w:val="003B15F8"/>
    <w:rsid w:val="003B18EB"/>
    <w:rsid w:val="003B1AA7"/>
    <w:rsid w:val="003B1C1F"/>
    <w:rsid w:val="003B1C21"/>
    <w:rsid w:val="003B221F"/>
    <w:rsid w:val="003B230B"/>
    <w:rsid w:val="003B2320"/>
    <w:rsid w:val="003B23BC"/>
    <w:rsid w:val="003B28D7"/>
    <w:rsid w:val="003B2B9E"/>
    <w:rsid w:val="003B2DB5"/>
    <w:rsid w:val="003B2E0D"/>
    <w:rsid w:val="003B2F05"/>
    <w:rsid w:val="003B3072"/>
    <w:rsid w:val="003B3966"/>
    <w:rsid w:val="003B39B7"/>
    <w:rsid w:val="003B4224"/>
    <w:rsid w:val="003B4342"/>
    <w:rsid w:val="003B4745"/>
    <w:rsid w:val="003B477F"/>
    <w:rsid w:val="003B4935"/>
    <w:rsid w:val="003B4C54"/>
    <w:rsid w:val="003B4EB0"/>
    <w:rsid w:val="003B5428"/>
    <w:rsid w:val="003B5A88"/>
    <w:rsid w:val="003B5BF5"/>
    <w:rsid w:val="003B5DDB"/>
    <w:rsid w:val="003B5F6A"/>
    <w:rsid w:val="003B649C"/>
    <w:rsid w:val="003B6B7F"/>
    <w:rsid w:val="003B6D67"/>
    <w:rsid w:val="003B6F77"/>
    <w:rsid w:val="003B7033"/>
    <w:rsid w:val="003B7414"/>
    <w:rsid w:val="003B77D9"/>
    <w:rsid w:val="003B77E1"/>
    <w:rsid w:val="003B7820"/>
    <w:rsid w:val="003B7843"/>
    <w:rsid w:val="003B7877"/>
    <w:rsid w:val="003B7B1D"/>
    <w:rsid w:val="003B7C3F"/>
    <w:rsid w:val="003B7DE6"/>
    <w:rsid w:val="003B7E3C"/>
    <w:rsid w:val="003C01A4"/>
    <w:rsid w:val="003C0219"/>
    <w:rsid w:val="003C04BC"/>
    <w:rsid w:val="003C04DA"/>
    <w:rsid w:val="003C07DF"/>
    <w:rsid w:val="003C07FE"/>
    <w:rsid w:val="003C0C12"/>
    <w:rsid w:val="003C0DBE"/>
    <w:rsid w:val="003C10D0"/>
    <w:rsid w:val="003C10F1"/>
    <w:rsid w:val="003C16E5"/>
    <w:rsid w:val="003C16EE"/>
    <w:rsid w:val="003C1C87"/>
    <w:rsid w:val="003C1DDF"/>
    <w:rsid w:val="003C1E27"/>
    <w:rsid w:val="003C2310"/>
    <w:rsid w:val="003C25CE"/>
    <w:rsid w:val="003C2B4A"/>
    <w:rsid w:val="003C2BCB"/>
    <w:rsid w:val="003C2C2F"/>
    <w:rsid w:val="003C2C85"/>
    <w:rsid w:val="003C2F3D"/>
    <w:rsid w:val="003C2F61"/>
    <w:rsid w:val="003C2FA3"/>
    <w:rsid w:val="003C30AA"/>
    <w:rsid w:val="003C330A"/>
    <w:rsid w:val="003C345E"/>
    <w:rsid w:val="003C3651"/>
    <w:rsid w:val="003C3FCE"/>
    <w:rsid w:val="003C41D1"/>
    <w:rsid w:val="003C4335"/>
    <w:rsid w:val="003C4409"/>
    <w:rsid w:val="003C461D"/>
    <w:rsid w:val="003C4997"/>
    <w:rsid w:val="003C4A89"/>
    <w:rsid w:val="003C4B70"/>
    <w:rsid w:val="003C4B97"/>
    <w:rsid w:val="003C4DA5"/>
    <w:rsid w:val="003C4FD9"/>
    <w:rsid w:val="003C5085"/>
    <w:rsid w:val="003C5666"/>
    <w:rsid w:val="003C5B29"/>
    <w:rsid w:val="003C5BA6"/>
    <w:rsid w:val="003C5BED"/>
    <w:rsid w:val="003C5E6A"/>
    <w:rsid w:val="003C6135"/>
    <w:rsid w:val="003C6304"/>
    <w:rsid w:val="003C64F4"/>
    <w:rsid w:val="003C65B9"/>
    <w:rsid w:val="003C6663"/>
    <w:rsid w:val="003C6DE1"/>
    <w:rsid w:val="003C6E6E"/>
    <w:rsid w:val="003C724B"/>
    <w:rsid w:val="003C73DB"/>
    <w:rsid w:val="003C74BF"/>
    <w:rsid w:val="003C76CE"/>
    <w:rsid w:val="003C7828"/>
    <w:rsid w:val="003C7855"/>
    <w:rsid w:val="003C7F05"/>
    <w:rsid w:val="003D0185"/>
    <w:rsid w:val="003D02CB"/>
    <w:rsid w:val="003D0382"/>
    <w:rsid w:val="003D0526"/>
    <w:rsid w:val="003D057A"/>
    <w:rsid w:val="003D069C"/>
    <w:rsid w:val="003D06F9"/>
    <w:rsid w:val="003D0767"/>
    <w:rsid w:val="003D0968"/>
    <w:rsid w:val="003D0BC2"/>
    <w:rsid w:val="003D0F3A"/>
    <w:rsid w:val="003D10B2"/>
    <w:rsid w:val="003D11A3"/>
    <w:rsid w:val="003D11B5"/>
    <w:rsid w:val="003D11FD"/>
    <w:rsid w:val="003D164E"/>
    <w:rsid w:val="003D1889"/>
    <w:rsid w:val="003D191E"/>
    <w:rsid w:val="003D1A43"/>
    <w:rsid w:val="003D1B9D"/>
    <w:rsid w:val="003D2004"/>
    <w:rsid w:val="003D215B"/>
    <w:rsid w:val="003D21E5"/>
    <w:rsid w:val="003D22A5"/>
    <w:rsid w:val="003D22C7"/>
    <w:rsid w:val="003D23A4"/>
    <w:rsid w:val="003D2971"/>
    <w:rsid w:val="003D2ACE"/>
    <w:rsid w:val="003D305B"/>
    <w:rsid w:val="003D31E1"/>
    <w:rsid w:val="003D3414"/>
    <w:rsid w:val="003D3426"/>
    <w:rsid w:val="003D3721"/>
    <w:rsid w:val="003D3811"/>
    <w:rsid w:val="003D3813"/>
    <w:rsid w:val="003D3941"/>
    <w:rsid w:val="003D3BAC"/>
    <w:rsid w:val="003D3E33"/>
    <w:rsid w:val="003D4662"/>
    <w:rsid w:val="003D46BA"/>
    <w:rsid w:val="003D4A58"/>
    <w:rsid w:val="003D4E5F"/>
    <w:rsid w:val="003D4E6A"/>
    <w:rsid w:val="003D5120"/>
    <w:rsid w:val="003D5562"/>
    <w:rsid w:val="003D5581"/>
    <w:rsid w:val="003D5749"/>
    <w:rsid w:val="003D590A"/>
    <w:rsid w:val="003D5AFF"/>
    <w:rsid w:val="003D5BF5"/>
    <w:rsid w:val="003D5D89"/>
    <w:rsid w:val="003D5F82"/>
    <w:rsid w:val="003D6722"/>
    <w:rsid w:val="003D68B4"/>
    <w:rsid w:val="003D68CE"/>
    <w:rsid w:val="003D6C4E"/>
    <w:rsid w:val="003D6CD9"/>
    <w:rsid w:val="003D7178"/>
    <w:rsid w:val="003D717C"/>
    <w:rsid w:val="003D7428"/>
    <w:rsid w:val="003D77F2"/>
    <w:rsid w:val="003D78CC"/>
    <w:rsid w:val="003D7901"/>
    <w:rsid w:val="003D79D9"/>
    <w:rsid w:val="003D7D01"/>
    <w:rsid w:val="003D7ED8"/>
    <w:rsid w:val="003E0003"/>
    <w:rsid w:val="003E004D"/>
    <w:rsid w:val="003E0099"/>
    <w:rsid w:val="003E00C0"/>
    <w:rsid w:val="003E0176"/>
    <w:rsid w:val="003E02BA"/>
    <w:rsid w:val="003E08C7"/>
    <w:rsid w:val="003E0992"/>
    <w:rsid w:val="003E0ABF"/>
    <w:rsid w:val="003E139C"/>
    <w:rsid w:val="003E185A"/>
    <w:rsid w:val="003E1A72"/>
    <w:rsid w:val="003E1FF0"/>
    <w:rsid w:val="003E20CE"/>
    <w:rsid w:val="003E26F5"/>
    <w:rsid w:val="003E2756"/>
    <w:rsid w:val="003E2785"/>
    <w:rsid w:val="003E27A6"/>
    <w:rsid w:val="003E282B"/>
    <w:rsid w:val="003E2880"/>
    <w:rsid w:val="003E28FB"/>
    <w:rsid w:val="003E2A00"/>
    <w:rsid w:val="003E2B3C"/>
    <w:rsid w:val="003E2CDD"/>
    <w:rsid w:val="003E2DC9"/>
    <w:rsid w:val="003E3046"/>
    <w:rsid w:val="003E319D"/>
    <w:rsid w:val="003E348F"/>
    <w:rsid w:val="003E3591"/>
    <w:rsid w:val="003E382C"/>
    <w:rsid w:val="003E3895"/>
    <w:rsid w:val="003E39AB"/>
    <w:rsid w:val="003E39F0"/>
    <w:rsid w:val="003E3BF1"/>
    <w:rsid w:val="003E3C4E"/>
    <w:rsid w:val="003E3D00"/>
    <w:rsid w:val="003E3D75"/>
    <w:rsid w:val="003E3E52"/>
    <w:rsid w:val="003E3FD6"/>
    <w:rsid w:val="003E4048"/>
    <w:rsid w:val="003E4531"/>
    <w:rsid w:val="003E4771"/>
    <w:rsid w:val="003E4CE5"/>
    <w:rsid w:val="003E54A8"/>
    <w:rsid w:val="003E57D8"/>
    <w:rsid w:val="003E5833"/>
    <w:rsid w:val="003E5A28"/>
    <w:rsid w:val="003E5DA8"/>
    <w:rsid w:val="003E6A05"/>
    <w:rsid w:val="003E7109"/>
    <w:rsid w:val="003E71B0"/>
    <w:rsid w:val="003E7700"/>
    <w:rsid w:val="003E77DC"/>
    <w:rsid w:val="003E783E"/>
    <w:rsid w:val="003E7BC1"/>
    <w:rsid w:val="003F000D"/>
    <w:rsid w:val="003F014D"/>
    <w:rsid w:val="003F0453"/>
    <w:rsid w:val="003F097D"/>
    <w:rsid w:val="003F0C9F"/>
    <w:rsid w:val="003F0EE1"/>
    <w:rsid w:val="003F0F55"/>
    <w:rsid w:val="003F0FCD"/>
    <w:rsid w:val="003F12F5"/>
    <w:rsid w:val="003F144A"/>
    <w:rsid w:val="003F1732"/>
    <w:rsid w:val="003F1A0F"/>
    <w:rsid w:val="003F1B02"/>
    <w:rsid w:val="003F1EFE"/>
    <w:rsid w:val="003F20DD"/>
    <w:rsid w:val="003F2212"/>
    <w:rsid w:val="003F2240"/>
    <w:rsid w:val="003F226A"/>
    <w:rsid w:val="003F2417"/>
    <w:rsid w:val="003F2460"/>
    <w:rsid w:val="003F290E"/>
    <w:rsid w:val="003F2BD1"/>
    <w:rsid w:val="003F2CB0"/>
    <w:rsid w:val="003F2DF6"/>
    <w:rsid w:val="003F2E7B"/>
    <w:rsid w:val="003F2F5E"/>
    <w:rsid w:val="003F2FDE"/>
    <w:rsid w:val="003F2FF7"/>
    <w:rsid w:val="003F300E"/>
    <w:rsid w:val="003F345C"/>
    <w:rsid w:val="003F3704"/>
    <w:rsid w:val="003F3932"/>
    <w:rsid w:val="003F39C7"/>
    <w:rsid w:val="003F3CD5"/>
    <w:rsid w:val="003F3D35"/>
    <w:rsid w:val="003F3E07"/>
    <w:rsid w:val="003F3EE6"/>
    <w:rsid w:val="003F3F9C"/>
    <w:rsid w:val="003F3FAA"/>
    <w:rsid w:val="003F4473"/>
    <w:rsid w:val="003F46AB"/>
    <w:rsid w:val="003F4C76"/>
    <w:rsid w:val="003F4CF5"/>
    <w:rsid w:val="003F4E31"/>
    <w:rsid w:val="003F4F0A"/>
    <w:rsid w:val="003F5019"/>
    <w:rsid w:val="003F5124"/>
    <w:rsid w:val="003F51A0"/>
    <w:rsid w:val="003F51EE"/>
    <w:rsid w:val="003F52E8"/>
    <w:rsid w:val="003F5694"/>
    <w:rsid w:val="003F574E"/>
    <w:rsid w:val="003F58FB"/>
    <w:rsid w:val="003F5B78"/>
    <w:rsid w:val="003F5C0D"/>
    <w:rsid w:val="003F5C10"/>
    <w:rsid w:val="003F60D6"/>
    <w:rsid w:val="003F68E9"/>
    <w:rsid w:val="003F6915"/>
    <w:rsid w:val="003F69B9"/>
    <w:rsid w:val="003F6AB3"/>
    <w:rsid w:val="003F6DAB"/>
    <w:rsid w:val="003F73EA"/>
    <w:rsid w:val="003F74A4"/>
    <w:rsid w:val="003F768F"/>
    <w:rsid w:val="003F78FF"/>
    <w:rsid w:val="003F7A59"/>
    <w:rsid w:val="003F7E15"/>
    <w:rsid w:val="003F7FDA"/>
    <w:rsid w:val="004004AB"/>
    <w:rsid w:val="00400B08"/>
    <w:rsid w:val="00400DE4"/>
    <w:rsid w:val="00401131"/>
    <w:rsid w:val="004012AB"/>
    <w:rsid w:val="00401337"/>
    <w:rsid w:val="00401397"/>
    <w:rsid w:val="004013AD"/>
    <w:rsid w:val="004016F4"/>
    <w:rsid w:val="00401EEB"/>
    <w:rsid w:val="00401EFA"/>
    <w:rsid w:val="00401F7B"/>
    <w:rsid w:val="004021C0"/>
    <w:rsid w:val="00402566"/>
    <w:rsid w:val="004027AE"/>
    <w:rsid w:val="00402865"/>
    <w:rsid w:val="004028CE"/>
    <w:rsid w:val="00402936"/>
    <w:rsid w:val="00402A1D"/>
    <w:rsid w:val="00402B34"/>
    <w:rsid w:val="00402D83"/>
    <w:rsid w:val="0040313D"/>
    <w:rsid w:val="004043FA"/>
    <w:rsid w:val="00404970"/>
    <w:rsid w:val="00404E63"/>
    <w:rsid w:val="00405181"/>
    <w:rsid w:val="0040567F"/>
    <w:rsid w:val="00405873"/>
    <w:rsid w:val="00405A06"/>
    <w:rsid w:val="00405D03"/>
    <w:rsid w:val="00405F09"/>
    <w:rsid w:val="004060B2"/>
    <w:rsid w:val="0040611D"/>
    <w:rsid w:val="004066F4"/>
    <w:rsid w:val="004067BE"/>
    <w:rsid w:val="004069FF"/>
    <w:rsid w:val="00406A32"/>
    <w:rsid w:val="00406A3E"/>
    <w:rsid w:val="00406B66"/>
    <w:rsid w:val="00406C3D"/>
    <w:rsid w:val="00406D14"/>
    <w:rsid w:val="004073F8"/>
    <w:rsid w:val="0040760B"/>
    <w:rsid w:val="00407677"/>
    <w:rsid w:val="00407A22"/>
    <w:rsid w:val="00407A80"/>
    <w:rsid w:val="00407CD1"/>
    <w:rsid w:val="00407E64"/>
    <w:rsid w:val="00407EF8"/>
    <w:rsid w:val="00407FD7"/>
    <w:rsid w:val="00407FDB"/>
    <w:rsid w:val="00410117"/>
    <w:rsid w:val="0041026C"/>
    <w:rsid w:val="00410277"/>
    <w:rsid w:val="004106B2"/>
    <w:rsid w:val="004108D1"/>
    <w:rsid w:val="00410A04"/>
    <w:rsid w:val="00410A53"/>
    <w:rsid w:val="00410B03"/>
    <w:rsid w:val="00410C32"/>
    <w:rsid w:val="00410D32"/>
    <w:rsid w:val="004111FB"/>
    <w:rsid w:val="00411215"/>
    <w:rsid w:val="00411237"/>
    <w:rsid w:val="004113AB"/>
    <w:rsid w:val="004113B0"/>
    <w:rsid w:val="0041150C"/>
    <w:rsid w:val="00411557"/>
    <w:rsid w:val="00411575"/>
    <w:rsid w:val="00411994"/>
    <w:rsid w:val="00411CE7"/>
    <w:rsid w:val="00411D74"/>
    <w:rsid w:val="00411DDE"/>
    <w:rsid w:val="00411E1A"/>
    <w:rsid w:val="00411EE9"/>
    <w:rsid w:val="00411F84"/>
    <w:rsid w:val="00412069"/>
    <w:rsid w:val="004121A1"/>
    <w:rsid w:val="00412477"/>
    <w:rsid w:val="004124EB"/>
    <w:rsid w:val="00412570"/>
    <w:rsid w:val="00412795"/>
    <w:rsid w:val="004127A2"/>
    <w:rsid w:val="004127E2"/>
    <w:rsid w:val="0041280A"/>
    <w:rsid w:val="00412A4C"/>
    <w:rsid w:val="00412A9D"/>
    <w:rsid w:val="00412C39"/>
    <w:rsid w:val="00412CB1"/>
    <w:rsid w:val="00412E62"/>
    <w:rsid w:val="00412F76"/>
    <w:rsid w:val="004130D6"/>
    <w:rsid w:val="004133A5"/>
    <w:rsid w:val="0041341C"/>
    <w:rsid w:val="00413B02"/>
    <w:rsid w:val="00413D45"/>
    <w:rsid w:val="00414197"/>
    <w:rsid w:val="0041434C"/>
    <w:rsid w:val="0041498C"/>
    <w:rsid w:val="00414BDB"/>
    <w:rsid w:val="00414C42"/>
    <w:rsid w:val="00414C71"/>
    <w:rsid w:val="00414D68"/>
    <w:rsid w:val="00414FD9"/>
    <w:rsid w:val="004150D0"/>
    <w:rsid w:val="004151FD"/>
    <w:rsid w:val="00415475"/>
    <w:rsid w:val="00415490"/>
    <w:rsid w:val="004154FE"/>
    <w:rsid w:val="00415773"/>
    <w:rsid w:val="004159D1"/>
    <w:rsid w:val="00415CAE"/>
    <w:rsid w:val="00415EB7"/>
    <w:rsid w:val="00415EE7"/>
    <w:rsid w:val="00415EFF"/>
    <w:rsid w:val="004160FA"/>
    <w:rsid w:val="00416142"/>
    <w:rsid w:val="004161E8"/>
    <w:rsid w:val="004164AE"/>
    <w:rsid w:val="0041652C"/>
    <w:rsid w:val="004165A6"/>
    <w:rsid w:val="00416605"/>
    <w:rsid w:val="0041669E"/>
    <w:rsid w:val="004169C7"/>
    <w:rsid w:val="00416ACA"/>
    <w:rsid w:val="00416C56"/>
    <w:rsid w:val="00417169"/>
    <w:rsid w:val="00417294"/>
    <w:rsid w:val="004176B8"/>
    <w:rsid w:val="0041788D"/>
    <w:rsid w:val="004178EE"/>
    <w:rsid w:val="00417B99"/>
    <w:rsid w:val="00417CE0"/>
    <w:rsid w:val="00420027"/>
    <w:rsid w:val="00420080"/>
    <w:rsid w:val="004200DC"/>
    <w:rsid w:val="004201CE"/>
    <w:rsid w:val="004209D5"/>
    <w:rsid w:val="00420ABA"/>
    <w:rsid w:val="00420AC1"/>
    <w:rsid w:val="00420B1E"/>
    <w:rsid w:val="00420E2E"/>
    <w:rsid w:val="00420EE4"/>
    <w:rsid w:val="00420FAF"/>
    <w:rsid w:val="0042117A"/>
    <w:rsid w:val="00421184"/>
    <w:rsid w:val="004212C1"/>
    <w:rsid w:val="00421449"/>
    <w:rsid w:val="00421458"/>
    <w:rsid w:val="004214B7"/>
    <w:rsid w:val="00421895"/>
    <w:rsid w:val="004218CD"/>
    <w:rsid w:val="00421971"/>
    <w:rsid w:val="00421988"/>
    <w:rsid w:val="00421F3A"/>
    <w:rsid w:val="00421FB5"/>
    <w:rsid w:val="00422099"/>
    <w:rsid w:val="0042212B"/>
    <w:rsid w:val="0042219F"/>
    <w:rsid w:val="004226ED"/>
    <w:rsid w:val="004229AD"/>
    <w:rsid w:val="00422AF4"/>
    <w:rsid w:val="00422F5F"/>
    <w:rsid w:val="00423553"/>
    <w:rsid w:val="004235F4"/>
    <w:rsid w:val="004236AD"/>
    <w:rsid w:val="004236C9"/>
    <w:rsid w:val="004237C4"/>
    <w:rsid w:val="00423B13"/>
    <w:rsid w:val="00423CF3"/>
    <w:rsid w:val="00423E18"/>
    <w:rsid w:val="00423FB2"/>
    <w:rsid w:val="00424685"/>
    <w:rsid w:val="00424936"/>
    <w:rsid w:val="00424B7C"/>
    <w:rsid w:val="0042500C"/>
    <w:rsid w:val="00425514"/>
    <w:rsid w:val="0042555D"/>
    <w:rsid w:val="004256BD"/>
    <w:rsid w:val="00425863"/>
    <w:rsid w:val="0042598E"/>
    <w:rsid w:val="00425D02"/>
    <w:rsid w:val="00425EDC"/>
    <w:rsid w:val="0042604F"/>
    <w:rsid w:val="00426C3E"/>
    <w:rsid w:val="00426F85"/>
    <w:rsid w:val="00426FAA"/>
    <w:rsid w:val="00427078"/>
    <w:rsid w:val="00427091"/>
    <w:rsid w:val="004270C3"/>
    <w:rsid w:val="004275CD"/>
    <w:rsid w:val="00427DA1"/>
    <w:rsid w:val="00427FEB"/>
    <w:rsid w:val="00427FF2"/>
    <w:rsid w:val="004305C0"/>
    <w:rsid w:val="004308F9"/>
    <w:rsid w:val="00430B20"/>
    <w:rsid w:val="00430B6C"/>
    <w:rsid w:val="00430CF3"/>
    <w:rsid w:val="00430E67"/>
    <w:rsid w:val="0043104C"/>
    <w:rsid w:val="00431228"/>
    <w:rsid w:val="0043135D"/>
    <w:rsid w:val="0043158C"/>
    <w:rsid w:val="00431718"/>
    <w:rsid w:val="0043174B"/>
    <w:rsid w:val="00431C28"/>
    <w:rsid w:val="00431D2B"/>
    <w:rsid w:val="0043227C"/>
    <w:rsid w:val="00432946"/>
    <w:rsid w:val="0043297F"/>
    <w:rsid w:val="00432A02"/>
    <w:rsid w:val="00432A9D"/>
    <w:rsid w:val="004331C7"/>
    <w:rsid w:val="004331E1"/>
    <w:rsid w:val="00433449"/>
    <w:rsid w:val="004335C0"/>
    <w:rsid w:val="00433791"/>
    <w:rsid w:val="00433AFC"/>
    <w:rsid w:val="00433B89"/>
    <w:rsid w:val="00434193"/>
    <w:rsid w:val="004342E3"/>
    <w:rsid w:val="004345CD"/>
    <w:rsid w:val="00434AC0"/>
    <w:rsid w:val="00435068"/>
    <w:rsid w:val="00435250"/>
    <w:rsid w:val="00435430"/>
    <w:rsid w:val="00435715"/>
    <w:rsid w:val="0043571B"/>
    <w:rsid w:val="004357A3"/>
    <w:rsid w:val="00435B1C"/>
    <w:rsid w:val="00435EE0"/>
    <w:rsid w:val="00435F29"/>
    <w:rsid w:val="0043610C"/>
    <w:rsid w:val="00436573"/>
    <w:rsid w:val="004366A6"/>
    <w:rsid w:val="004366FF"/>
    <w:rsid w:val="004367C8"/>
    <w:rsid w:val="00436A9C"/>
    <w:rsid w:val="00436F56"/>
    <w:rsid w:val="004376D3"/>
    <w:rsid w:val="0043777D"/>
    <w:rsid w:val="0043790C"/>
    <w:rsid w:val="00437D83"/>
    <w:rsid w:val="00437DEF"/>
    <w:rsid w:val="00437EC9"/>
    <w:rsid w:val="004401B8"/>
    <w:rsid w:val="004401CF"/>
    <w:rsid w:val="004401DD"/>
    <w:rsid w:val="0044028A"/>
    <w:rsid w:val="00440344"/>
    <w:rsid w:val="00440415"/>
    <w:rsid w:val="004406B4"/>
    <w:rsid w:val="0044072B"/>
    <w:rsid w:val="00440A78"/>
    <w:rsid w:val="00440F79"/>
    <w:rsid w:val="00441264"/>
    <w:rsid w:val="00441607"/>
    <w:rsid w:val="004417E2"/>
    <w:rsid w:val="00441996"/>
    <w:rsid w:val="00441AAD"/>
    <w:rsid w:val="00441B0F"/>
    <w:rsid w:val="00441D29"/>
    <w:rsid w:val="00441F06"/>
    <w:rsid w:val="004425C6"/>
    <w:rsid w:val="0044320C"/>
    <w:rsid w:val="0044348B"/>
    <w:rsid w:val="00443512"/>
    <w:rsid w:val="004438C3"/>
    <w:rsid w:val="00443A55"/>
    <w:rsid w:val="00443C0B"/>
    <w:rsid w:val="00443CA6"/>
    <w:rsid w:val="00443D5D"/>
    <w:rsid w:val="00444034"/>
    <w:rsid w:val="00444692"/>
    <w:rsid w:val="004446A5"/>
    <w:rsid w:val="004446CD"/>
    <w:rsid w:val="00444A10"/>
    <w:rsid w:val="00444A15"/>
    <w:rsid w:val="00444EB6"/>
    <w:rsid w:val="00444EF6"/>
    <w:rsid w:val="004452ED"/>
    <w:rsid w:val="0044578A"/>
    <w:rsid w:val="00445CBA"/>
    <w:rsid w:val="00446047"/>
    <w:rsid w:val="00446168"/>
    <w:rsid w:val="004463CB"/>
    <w:rsid w:val="004466F7"/>
    <w:rsid w:val="00446806"/>
    <w:rsid w:val="00446858"/>
    <w:rsid w:val="004468B6"/>
    <w:rsid w:val="004468E5"/>
    <w:rsid w:val="00446991"/>
    <w:rsid w:val="00446A9D"/>
    <w:rsid w:val="00446C9A"/>
    <w:rsid w:val="00446CDA"/>
    <w:rsid w:val="00446D32"/>
    <w:rsid w:val="00447072"/>
    <w:rsid w:val="00447304"/>
    <w:rsid w:val="00447BF8"/>
    <w:rsid w:val="00447C6C"/>
    <w:rsid w:val="00447C9C"/>
    <w:rsid w:val="00447D48"/>
    <w:rsid w:val="00447E9A"/>
    <w:rsid w:val="00450127"/>
    <w:rsid w:val="00450576"/>
    <w:rsid w:val="0045075F"/>
    <w:rsid w:val="00450868"/>
    <w:rsid w:val="00450931"/>
    <w:rsid w:val="00450936"/>
    <w:rsid w:val="004509CB"/>
    <w:rsid w:val="00450CFB"/>
    <w:rsid w:val="00450DAE"/>
    <w:rsid w:val="00451150"/>
    <w:rsid w:val="004512EC"/>
    <w:rsid w:val="004516AD"/>
    <w:rsid w:val="0045198F"/>
    <w:rsid w:val="00451E84"/>
    <w:rsid w:val="00451EA3"/>
    <w:rsid w:val="00451F01"/>
    <w:rsid w:val="00452107"/>
    <w:rsid w:val="00452651"/>
    <w:rsid w:val="004529DE"/>
    <w:rsid w:val="00452A55"/>
    <w:rsid w:val="00452F55"/>
    <w:rsid w:val="00453349"/>
    <w:rsid w:val="00453644"/>
    <w:rsid w:val="0045374F"/>
    <w:rsid w:val="00453772"/>
    <w:rsid w:val="0045387C"/>
    <w:rsid w:val="00453AC3"/>
    <w:rsid w:val="00453B46"/>
    <w:rsid w:val="0045404A"/>
    <w:rsid w:val="00454661"/>
    <w:rsid w:val="004546A7"/>
    <w:rsid w:val="0045470C"/>
    <w:rsid w:val="004547B1"/>
    <w:rsid w:val="00454831"/>
    <w:rsid w:val="004548DF"/>
    <w:rsid w:val="00454A40"/>
    <w:rsid w:val="00454E6A"/>
    <w:rsid w:val="00454F01"/>
    <w:rsid w:val="00454FB9"/>
    <w:rsid w:val="004552D3"/>
    <w:rsid w:val="0045596E"/>
    <w:rsid w:val="00455B98"/>
    <w:rsid w:val="00455D7E"/>
    <w:rsid w:val="00455E25"/>
    <w:rsid w:val="00456096"/>
    <w:rsid w:val="004565A4"/>
    <w:rsid w:val="00456760"/>
    <w:rsid w:val="00456C42"/>
    <w:rsid w:val="00456CC0"/>
    <w:rsid w:val="00456D35"/>
    <w:rsid w:val="0045755C"/>
    <w:rsid w:val="00457933"/>
    <w:rsid w:val="00457A48"/>
    <w:rsid w:val="00457C78"/>
    <w:rsid w:val="00457E2F"/>
    <w:rsid w:val="00460136"/>
    <w:rsid w:val="00460204"/>
    <w:rsid w:val="004602D3"/>
    <w:rsid w:val="004604D6"/>
    <w:rsid w:val="00460553"/>
    <w:rsid w:val="004605B5"/>
    <w:rsid w:val="00460735"/>
    <w:rsid w:val="00460AD5"/>
    <w:rsid w:val="00460C6F"/>
    <w:rsid w:val="00460EB8"/>
    <w:rsid w:val="00461090"/>
    <w:rsid w:val="004610C0"/>
    <w:rsid w:val="004611D5"/>
    <w:rsid w:val="004612CB"/>
    <w:rsid w:val="004614BC"/>
    <w:rsid w:val="004615C5"/>
    <w:rsid w:val="004617D8"/>
    <w:rsid w:val="00461991"/>
    <w:rsid w:val="00461A6B"/>
    <w:rsid w:val="00461C43"/>
    <w:rsid w:val="00462125"/>
    <w:rsid w:val="00462A01"/>
    <w:rsid w:val="00463216"/>
    <w:rsid w:val="0046334D"/>
    <w:rsid w:val="004634FC"/>
    <w:rsid w:val="004636F7"/>
    <w:rsid w:val="00463848"/>
    <w:rsid w:val="00463974"/>
    <w:rsid w:val="004639B4"/>
    <w:rsid w:val="00463BBF"/>
    <w:rsid w:val="00463C24"/>
    <w:rsid w:val="00463C95"/>
    <w:rsid w:val="00463CE0"/>
    <w:rsid w:val="00463E1C"/>
    <w:rsid w:val="00464002"/>
    <w:rsid w:val="00464052"/>
    <w:rsid w:val="004640A0"/>
    <w:rsid w:val="00464354"/>
    <w:rsid w:val="004643CF"/>
    <w:rsid w:val="00464808"/>
    <w:rsid w:val="00464C9C"/>
    <w:rsid w:val="0046511F"/>
    <w:rsid w:val="00465153"/>
    <w:rsid w:val="004653F3"/>
    <w:rsid w:val="00465522"/>
    <w:rsid w:val="00465602"/>
    <w:rsid w:val="00465612"/>
    <w:rsid w:val="00465D4A"/>
    <w:rsid w:val="00465E2D"/>
    <w:rsid w:val="00466738"/>
    <w:rsid w:val="004669A6"/>
    <w:rsid w:val="00466AFD"/>
    <w:rsid w:val="00466E99"/>
    <w:rsid w:val="004670D4"/>
    <w:rsid w:val="0046713A"/>
    <w:rsid w:val="00467524"/>
    <w:rsid w:val="0046774E"/>
    <w:rsid w:val="00467BD2"/>
    <w:rsid w:val="00470563"/>
    <w:rsid w:val="00470696"/>
    <w:rsid w:val="00470C7A"/>
    <w:rsid w:val="00470E97"/>
    <w:rsid w:val="00470F8D"/>
    <w:rsid w:val="004717F1"/>
    <w:rsid w:val="00471B74"/>
    <w:rsid w:val="00471B8E"/>
    <w:rsid w:val="004724C9"/>
    <w:rsid w:val="00472585"/>
    <w:rsid w:val="0047268D"/>
    <w:rsid w:val="00472A70"/>
    <w:rsid w:val="00472B63"/>
    <w:rsid w:val="00472C9C"/>
    <w:rsid w:val="00472E32"/>
    <w:rsid w:val="00472FAC"/>
    <w:rsid w:val="00473045"/>
    <w:rsid w:val="004732D2"/>
    <w:rsid w:val="00473498"/>
    <w:rsid w:val="004736F7"/>
    <w:rsid w:val="004738C5"/>
    <w:rsid w:val="00473D72"/>
    <w:rsid w:val="00473EB4"/>
    <w:rsid w:val="00474130"/>
    <w:rsid w:val="00474336"/>
    <w:rsid w:val="004743E7"/>
    <w:rsid w:val="0047479A"/>
    <w:rsid w:val="0047497C"/>
    <w:rsid w:val="00475099"/>
    <w:rsid w:val="004751C8"/>
    <w:rsid w:val="004754EE"/>
    <w:rsid w:val="004755AC"/>
    <w:rsid w:val="0047563B"/>
    <w:rsid w:val="00475A6C"/>
    <w:rsid w:val="00475F0E"/>
    <w:rsid w:val="004761AB"/>
    <w:rsid w:val="004764AF"/>
    <w:rsid w:val="00476875"/>
    <w:rsid w:val="00476CA4"/>
    <w:rsid w:val="00476D04"/>
    <w:rsid w:val="00476F03"/>
    <w:rsid w:val="004771B2"/>
    <w:rsid w:val="0047775E"/>
    <w:rsid w:val="00477AAE"/>
    <w:rsid w:val="00477AF6"/>
    <w:rsid w:val="00477B3B"/>
    <w:rsid w:val="00477BCB"/>
    <w:rsid w:val="004801A7"/>
    <w:rsid w:val="004802CE"/>
    <w:rsid w:val="00480596"/>
    <w:rsid w:val="00480747"/>
    <w:rsid w:val="00480768"/>
    <w:rsid w:val="00480838"/>
    <w:rsid w:val="00480912"/>
    <w:rsid w:val="00480A15"/>
    <w:rsid w:val="00480CC0"/>
    <w:rsid w:val="00480D91"/>
    <w:rsid w:val="00480E47"/>
    <w:rsid w:val="0048135F"/>
    <w:rsid w:val="004813A6"/>
    <w:rsid w:val="00481666"/>
    <w:rsid w:val="0048181B"/>
    <w:rsid w:val="00481DC8"/>
    <w:rsid w:val="00481F2B"/>
    <w:rsid w:val="004820C5"/>
    <w:rsid w:val="00482185"/>
    <w:rsid w:val="00482198"/>
    <w:rsid w:val="004823D8"/>
    <w:rsid w:val="004823DF"/>
    <w:rsid w:val="0048249E"/>
    <w:rsid w:val="00482619"/>
    <w:rsid w:val="0048285A"/>
    <w:rsid w:val="0048285B"/>
    <w:rsid w:val="00482921"/>
    <w:rsid w:val="00482BAC"/>
    <w:rsid w:val="00482C83"/>
    <w:rsid w:val="00482D0A"/>
    <w:rsid w:val="00482F20"/>
    <w:rsid w:val="00482FD1"/>
    <w:rsid w:val="004830DB"/>
    <w:rsid w:val="004830F6"/>
    <w:rsid w:val="00483196"/>
    <w:rsid w:val="004833D6"/>
    <w:rsid w:val="0048340F"/>
    <w:rsid w:val="004834F7"/>
    <w:rsid w:val="004835F9"/>
    <w:rsid w:val="004836C3"/>
    <w:rsid w:val="0048384A"/>
    <w:rsid w:val="00483872"/>
    <w:rsid w:val="0048392B"/>
    <w:rsid w:val="0048423C"/>
    <w:rsid w:val="00484381"/>
    <w:rsid w:val="00484449"/>
    <w:rsid w:val="004845A6"/>
    <w:rsid w:val="004846AE"/>
    <w:rsid w:val="00484947"/>
    <w:rsid w:val="00484972"/>
    <w:rsid w:val="00484C71"/>
    <w:rsid w:val="00484E89"/>
    <w:rsid w:val="004852CE"/>
    <w:rsid w:val="0048540C"/>
    <w:rsid w:val="00485481"/>
    <w:rsid w:val="004854F2"/>
    <w:rsid w:val="0048561D"/>
    <w:rsid w:val="00485CE7"/>
    <w:rsid w:val="00485EA8"/>
    <w:rsid w:val="00485EDD"/>
    <w:rsid w:val="00485F92"/>
    <w:rsid w:val="004860BD"/>
    <w:rsid w:val="004866E1"/>
    <w:rsid w:val="00486836"/>
    <w:rsid w:val="00486A9F"/>
    <w:rsid w:val="00486C72"/>
    <w:rsid w:val="00486CB7"/>
    <w:rsid w:val="0048706D"/>
    <w:rsid w:val="004870CD"/>
    <w:rsid w:val="004871CD"/>
    <w:rsid w:val="00487266"/>
    <w:rsid w:val="004875E1"/>
    <w:rsid w:val="004875FC"/>
    <w:rsid w:val="004876BD"/>
    <w:rsid w:val="004876E1"/>
    <w:rsid w:val="004877B5"/>
    <w:rsid w:val="004877F5"/>
    <w:rsid w:val="00487962"/>
    <w:rsid w:val="00487A46"/>
    <w:rsid w:val="00487B76"/>
    <w:rsid w:val="00487FB6"/>
    <w:rsid w:val="0049030D"/>
    <w:rsid w:val="004906E6"/>
    <w:rsid w:val="00490954"/>
    <w:rsid w:val="00490BF5"/>
    <w:rsid w:val="00490EA3"/>
    <w:rsid w:val="00490FF8"/>
    <w:rsid w:val="0049100A"/>
    <w:rsid w:val="00491772"/>
    <w:rsid w:val="0049188F"/>
    <w:rsid w:val="00491976"/>
    <w:rsid w:val="00491E53"/>
    <w:rsid w:val="004921DC"/>
    <w:rsid w:val="0049277A"/>
    <w:rsid w:val="004927A0"/>
    <w:rsid w:val="0049292B"/>
    <w:rsid w:val="00492A98"/>
    <w:rsid w:val="00492B38"/>
    <w:rsid w:val="00492B8A"/>
    <w:rsid w:val="00492FE4"/>
    <w:rsid w:val="00493035"/>
    <w:rsid w:val="00493321"/>
    <w:rsid w:val="004933ED"/>
    <w:rsid w:val="004936CC"/>
    <w:rsid w:val="004936DE"/>
    <w:rsid w:val="00493B07"/>
    <w:rsid w:val="00493C3F"/>
    <w:rsid w:val="004942A1"/>
    <w:rsid w:val="004942ED"/>
    <w:rsid w:val="00495110"/>
    <w:rsid w:val="0049544E"/>
    <w:rsid w:val="004955DD"/>
    <w:rsid w:val="004955E9"/>
    <w:rsid w:val="00495670"/>
    <w:rsid w:val="004958F7"/>
    <w:rsid w:val="00495B8C"/>
    <w:rsid w:val="00495CAC"/>
    <w:rsid w:val="00495DE0"/>
    <w:rsid w:val="00495F8A"/>
    <w:rsid w:val="00496028"/>
    <w:rsid w:val="0049604B"/>
    <w:rsid w:val="00496212"/>
    <w:rsid w:val="004969A5"/>
    <w:rsid w:val="00496A48"/>
    <w:rsid w:val="00496AC9"/>
    <w:rsid w:val="00496CA0"/>
    <w:rsid w:val="00496CC5"/>
    <w:rsid w:val="00496E3E"/>
    <w:rsid w:val="00496E76"/>
    <w:rsid w:val="00497164"/>
    <w:rsid w:val="0049760A"/>
    <w:rsid w:val="0049783A"/>
    <w:rsid w:val="00497864"/>
    <w:rsid w:val="00497CD4"/>
    <w:rsid w:val="00497F28"/>
    <w:rsid w:val="00497F8A"/>
    <w:rsid w:val="004A040E"/>
    <w:rsid w:val="004A042D"/>
    <w:rsid w:val="004A06E6"/>
    <w:rsid w:val="004A0F32"/>
    <w:rsid w:val="004A11E0"/>
    <w:rsid w:val="004A135F"/>
    <w:rsid w:val="004A1B73"/>
    <w:rsid w:val="004A1C7F"/>
    <w:rsid w:val="004A1C89"/>
    <w:rsid w:val="004A1EA9"/>
    <w:rsid w:val="004A1F94"/>
    <w:rsid w:val="004A1FC5"/>
    <w:rsid w:val="004A2121"/>
    <w:rsid w:val="004A2158"/>
    <w:rsid w:val="004A2296"/>
    <w:rsid w:val="004A2934"/>
    <w:rsid w:val="004A2979"/>
    <w:rsid w:val="004A29A5"/>
    <w:rsid w:val="004A2F72"/>
    <w:rsid w:val="004A3225"/>
    <w:rsid w:val="004A33F4"/>
    <w:rsid w:val="004A3494"/>
    <w:rsid w:val="004A36DB"/>
    <w:rsid w:val="004A374A"/>
    <w:rsid w:val="004A376B"/>
    <w:rsid w:val="004A395B"/>
    <w:rsid w:val="004A39D9"/>
    <w:rsid w:val="004A3BA3"/>
    <w:rsid w:val="004A3C32"/>
    <w:rsid w:val="004A3C59"/>
    <w:rsid w:val="004A3C72"/>
    <w:rsid w:val="004A3FE2"/>
    <w:rsid w:val="004A480D"/>
    <w:rsid w:val="004A494D"/>
    <w:rsid w:val="004A4D76"/>
    <w:rsid w:val="004A4FE5"/>
    <w:rsid w:val="004A522F"/>
    <w:rsid w:val="004A52E5"/>
    <w:rsid w:val="004A5750"/>
    <w:rsid w:val="004A580B"/>
    <w:rsid w:val="004A5851"/>
    <w:rsid w:val="004A5A91"/>
    <w:rsid w:val="004A5AE2"/>
    <w:rsid w:val="004A5B0F"/>
    <w:rsid w:val="004A5C3C"/>
    <w:rsid w:val="004A5CF1"/>
    <w:rsid w:val="004A5DED"/>
    <w:rsid w:val="004A66E0"/>
    <w:rsid w:val="004A69BA"/>
    <w:rsid w:val="004A6AF3"/>
    <w:rsid w:val="004A6C9F"/>
    <w:rsid w:val="004A6FD2"/>
    <w:rsid w:val="004A7522"/>
    <w:rsid w:val="004A7AAE"/>
    <w:rsid w:val="004A7D49"/>
    <w:rsid w:val="004A7F21"/>
    <w:rsid w:val="004B014D"/>
    <w:rsid w:val="004B04AF"/>
    <w:rsid w:val="004B08DB"/>
    <w:rsid w:val="004B0E79"/>
    <w:rsid w:val="004B1422"/>
    <w:rsid w:val="004B1A1B"/>
    <w:rsid w:val="004B1B8C"/>
    <w:rsid w:val="004B203D"/>
    <w:rsid w:val="004B24EB"/>
    <w:rsid w:val="004B29A6"/>
    <w:rsid w:val="004B29AC"/>
    <w:rsid w:val="004B2A27"/>
    <w:rsid w:val="004B2B73"/>
    <w:rsid w:val="004B2D06"/>
    <w:rsid w:val="004B2D0F"/>
    <w:rsid w:val="004B2F64"/>
    <w:rsid w:val="004B3298"/>
    <w:rsid w:val="004B32D0"/>
    <w:rsid w:val="004B385E"/>
    <w:rsid w:val="004B3C8B"/>
    <w:rsid w:val="004B442A"/>
    <w:rsid w:val="004B44A9"/>
    <w:rsid w:val="004B4509"/>
    <w:rsid w:val="004B452A"/>
    <w:rsid w:val="004B455F"/>
    <w:rsid w:val="004B45C4"/>
    <w:rsid w:val="004B4871"/>
    <w:rsid w:val="004B4ADF"/>
    <w:rsid w:val="004B4C00"/>
    <w:rsid w:val="004B4E06"/>
    <w:rsid w:val="004B50CE"/>
    <w:rsid w:val="004B5245"/>
    <w:rsid w:val="004B5493"/>
    <w:rsid w:val="004B5914"/>
    <w:rsid w:val="004B5CA1"/>
    <w:rsid w:val="004B5ECC"/>
    <w:rsid w:val="004B66CE"/>
    <w:rsid w:val="004B69FB"/>
    <w:rsid w:val="004B6B15"/>
    <w:rsid w:val="004B6B41"/>
    <w:rsid w:val="004B6C77"/>
    <w:rsid w:val="004B6D0A"/>
    <w:rsid w:val="004B6DE3"/>
    <w:rsid w:val="004B7961"/>
    <w:rsid w:val="004B7995"/>
    <w:rsid w:val="004B7DB6"/>
    <w:rsid w:val="004B7F21"/>
    <w:rsid w:val="004C01A3"/>
    <w:rsid w:val="004C02B3"/>
    <w:rsid w:val="004C03DD"/>
    <w:rsid w:val="004C03F1"/>
    <w:rsid w:val="004C0728"/>
    <w:rsid w:val="004C098E"/>
    <w:rsid w:val="004C0BBE"/>
    <w:rsid w:val="004C0E25"/>
    <w:rsid w:val="004C0E2F"/>
    <w:rsid w:val="004C1170"/>
    <w:rsid w:val="004C1194"/>
    <w:rsid w:val="004C12DA"/>
    <w:rsid w:val="004C15C8"/>
    <w:rsid w:val="004C174A"/>
    <w:rsid w:val="004C183E"/>
    <w:rsid w:val="004C1B8F"/>
    <w:rsid w:val="004C1CB0"/>
    <w:rsid w:val="004C1FB9"/>
    <w:rsid w:val="004C2011"/>
    <w:rsid w:val="004C222E"/>
    <w:rsid w:val="004C22F8"/>
    <w:rsid w:val="004C2561"/>
    <w:rsid w:val="004C2778"/>
    <w:rsid w:val="004C2806"/>
    <w:rsid w:val="004C2EF1"/>
    <w:rsid w:val="004C3130"/>
    <w:rsid w:val="004C371E"/>
    <w:rsid w:val="004C3893"/>
    <w:rsid w:val="004C3ADD"/>
    <w:rsid w:val="004C428E"/>
    <w:rsid w:val="004C440F"/>
    <w:rsid w:val="004C4775"/>
    <w:rsid w:val="004C483D"/>
    <w:rsid w:val="004C4890"/>
    <w:rsid w:val="004C48A9"/>
    <w:rsid w:val="004C51F3"/>
    <w:rsid w:val="004C549F"/>
    <w:rsid w:val="004C5755"/>
    <w:rsid w:val="004C590B"/>
    <w:rsid w:val="004C5A09"/>
    <w:rsid w:val="004C6326"/>
    <w:rsid w:val="004C63C7"/>
    <w:rsid w:val="004C6B9C"/>
    <w:rsid w:val="004C6D39"/>
    <w:rsid w:val="004C6D98"/>
    <w:rsid w:val="004C7217"/>
    <w:rsid w:val="004C74F5"/>
    <w:rsid w:val="004C75B5"/>
    <w:rsid w:val="004C7602"/>
    <w:rsid w:val="004C7743"/>
    <w:rsid w:val="004C778E"/>
    <w:rsid w:val="004C77A7"/>
    <w:rsid w:val="004C7DBE"/>
    <w:rsid w:val="004C7F57"/>
    <w:rsid w:val="004D032B"/>
    <w:rsid w:val="004D039E"/>
    <w:rsid w:val="004D04A3"/>
    <w:rsid w:val="004D04BB"/>
    <w:rsid w:val="004D07B6"/>
    <w:rsid w:val="004D0C9F"/>
    <w:rsid w:val="004D0E01"/>
    <w:rsid w:val="004D0EB4"/>
    <w:rsid w:val="004D0F15"/>
    <w:rsid w:val="004D1215"/>
    <w:rsid w:val="004D1298"/>
    <w:rsid w:val="004D14A2"/>
    <w:rsid w:val="004D15FD"/>
    <w:rsid w:val="004D19AC"/>
    <w:rsid w:val="004D1A6B"/>
    <w:rsid w:val="004D2369"/>
    <w:rsid w:val="004D2453"/>
    <w:rsid w:val="004D2485"/>
    <w:rsid w:val="004D25CE"/>
    <w:rsid w:val="004D28D0"/>
    <w:rsid w:val="004D2998"/>
    <w:rsid w:val="004D2D40"/>
    <w:rsid w:val="004D3211"/>
    <w:rsid w:val="004D337B"/>
    <w:rsid w:val="004D372D"/>
    <w:rsid w:val="004D3A57"/>
    <w:rsid w:val="004D3B2A"/>
    <w:rsid w:val="004D3B50"/>
    <w:rsid w:val="004D47FF"/>
    <w:rsid w:val="004D4B7E"/>
    <w:rsid w:val="004D4C3D"/>
    <w:rsid w:val="004D4C98"/>
    <w:rsid w:val="004D4D35"/>
    <w:rsid w:val="004D4E94"/>
    <w:rsid w:val="004D4EAA"/>
    <w:rsid w:val="004D518F"/>
    <w:rsid w:val="004D54D7"/>
    <w:rsid w:val="004D566D"/>
    <w:rsid w:val="004D5AE2"/>
    <w:rsid w:val="004D5B6F"/>
    <w:rsid w:val="004D5BB7"/>
    <w:rsid w:val="004D5DEA"/>
    <w:rsid w:val="004D6053"/>
    <w:rsid w:val="004D61EF"/>
    <w:rsid w:val="004D64E9"/>
    <w:rsid w:val="004D67B0"/>
    <w:rsid w:val="004D69FD"/>
    <w:rsid w:val="004D6FA4"/>
    <w:rsid w:val="004D7442"/>
    <w:rsid w:val="004D7C23"/>
    <w:rsid w:val="004D7CE4"/>
    <w:rsid w:val="004D7D62"/>
    <w:rsid w:val="004D7EBE"/>
    <w:rsid w:val="004E01C6"/>
    <w:rsid w:val="004E0212"/>
    <w:rsid w:val="004E09BB"/>
    <w:rsid w:val="004E0ADC"/>
    <w:rsid w:val="004E0D11"/>
    <w:rsid w:val="004E0FB1"/>
    <w:rsid w:val="004E1043"/>
    <w:rsid w:val="004E1929"/>
    <w:rsid w:val="004E1981"/>
    <w:rsid w:val="004E1DCA"/>
    <w:rsid w:val="004E1F76"/>
    <w:rsid w:val="004E21B4"/>
    <w:rsid w:val="004E252B"/>
    <w:rsid w:val="004E2782"/>
    <w:rsid w:val="004E2861"/>
    <w:rsid w:val="004E2A85"/>
    <w:rsid w:val="004E2C09"/>
    <w:rsid w:val="004E2E0B"/>
    <w:rsid w:val="004E2E57"/>
    <w:rsid w:val="004E3002"/>
    <w:rsid w:val="004E30CA"/>
    <w:rsid w:val="004E31AB"/>
    <w:rsid w:val="004E3257"/>
    <w:rsid w:val="004E3895"/>
    <w:rsid w:val="004E3D1F"/>
    <w:rsid w:val="004E3DDA"/>
    <w:rsid w:val="004E3F72"/>
    <w:rsid w:val="004E4522"/>
    <w:rsid w:val="004E47FD"/>
    <w:rsid w:val="004E49DE"/>
    <w:rsid w:val="004E4A78"/>
    <w:rsid w:val="004E4B10"/>
    <w:rsid w:val="004E4EC4"/>
    <w:rsid w:val="004E551E"/>
    <w:rsid w:val="004E572E"/>
    <w:rsid w:val="004E58F6"/>
    <w:rsid w:val="004E5E37"/>
    <w:rsid w:val="004E5E4C"/>
    <w:rsid w:val="004E623E"/>
    <w:rsid w:val="004E673A"/>
    <w:rsid w:val="004E67B7"/>
    <w:rsid w:val="004E6CE7"/>
    <w:rsid w:val="004E6CF9"/>
    <w:rsid w:val="004E6FF4"/>
    <w:rsid w:val="004E734E"/>
    <w:rsid w:val="004E75AA"/>
    <w:rsid w:val="004E7EB2"/>
    <w:rsid w:val="004E7EC0"/>
    <w:rsid w:val="004E7EF5"/>
    <w:rsid w:val="004E7F48"/>
    <w:rsid w:val="004F014E"/>
    <w:rsid w:val="004F0769"/>
    <w:rsid w:val="004F08DF"/>
    <w:rsid w:val="004F0A0E"/>
    <w:rsid w:val="004F0BB4"/>
    <w:rsid w:val="004F0BC6"/>
    <w:rsid w:val="004F1123"/>
    <w:rsid w:val="004F1423"/>
    <w:rsid w:val="004F1715"/>
    <w:rsid w:val="004F1797"/>
    <w:rsid w:val="004F17DA"/>
    <w:rsid w:val="004F184C"/>
    <w:rsid w:val="004F1963"/>
    <w:rsid w:val="004F1C5D"/>
    <w:rsid w:val="004F1C93"/>
    <w:rsid w:val="004F2927"/>
    <w:rsid w:val="004F2988"/>
    <w:rsid w:val="004F2A43"/>
    <w:rsid w:val="004F2C89"/>
    <w:rsid w:val="004F2D61"/>
    <w:rsid w:val="004F38BD"/>
    <w:rsid w:val="004F3BD2"/>
    <w:rsid w:val="004F3CBC"/>
    <w:rsid w:val="004F3D02"/>
    <w:rsid w:val="004F3DCA"/>
    <w:rsid w:val="004F40E1"/>
    <w:rsid w:val="004F4372"/>
    <w:rsid w:val="004F43E0"/>
    <w:rsid w:val="004F4434"/>
    <w:rsid w:val="004F449D"/>
    <w:rsid w:val="004F45EB"/>
    <w:rsid w:val="004F4AF6"/>
    <w:rsid w:val="004F4FD1"/>
    <w:rsid w:val="004F506F"/>
    <w:rsid w:val="004F50D0"/>
    <w:rsid w:val="004F521B"/>
    <w:rsid w:val="004F52BB"/>
    <w:rsid w:val="004F53AD"/>
    <w:rsid w:val="004F53BF"/>
    <w:rsid w:val="004F545A"/>
    <w:rsid w:val="004F5547"/>
    <w:rsid w:val="004F5582"/>
    <w:rsid w:val="004F5725"/>
    <w:rsid w:val="004F58C9"/>
    <w:rsid w:val="004F59B3"/>
    <w:rsid w:val="004F59B8"/>
    <w:rsid w:val="004F5A37"/>
    <w:rsid w:val="004F5BD9"/>
    <w:rsid w:val="004F5C70"/>
    <w:rsid w:val="004F5CEA"/>
    <w:rsid w:val="004F62A7"/>
    <w:rsid w:val="004F62F9"/>
    <w:rsid w:val="004F66B3"/>
    <w:rsid w:val="004F674C"/>
    <w:rsid w:val="004F6A99"/>
    <w:rsid w:val="004F6EB0"/>
    <w:rsid w:val="004F7352"/>
    <w:rsid w:val="004F741E"/>
    <w:rsid w:val="004F7A57"/>
    <w:rsid w:val="004F7B29"/>
    <w:rsid w:val="004F7EE2"/>
    <w:rsid w:val="005000D8"/>
    <w:rsid w:val="0050015C"/>
    <w:rsid w:val="005002F7"/>
    <w:rsid w:val="00500418"/>
    <w:rsid w:val="005007AF"/>
    <w:rsid w:val="00500A61"/>
    <w:rsid w:val="00500BF8"/>
    <w:rsid w:val="00500CCF"/>
    <w:rsid w:val="00500E62"/>
    <w:rsid w:val="00501099"/>
    <w:rsid w:val="005010DE"/>
    <w:rsid w:val="005011FD"/>
    <w:rsid w:val="00501256"/>
    <w:rsid w:val="0050146C"/>
    <w:rsid w:val="0050164B"/>
    <w:rsid w:val="00501FE1"/>
    <w:rsid w:val="00502958"/>
    <w:rsid w:val="005029E4"/>
    <w:rsid w:val="00502B52"/>
    <w:rsid w:val="00502BBF"/>
    <w:rsid w:val="00502BD2"/>
    <w:rsid w:val="00502DA4"/>
    <w:rsid w:val="00503017"/>
    <w:rsid w:val="005038A9"/>
    <w:rsid w:val="00503A9B"/>
    <w:rsid w:val="00503B68"/>
    <w:rsid w:val="00503C91"/>
    <w:rsid w:val="00503DFE"/>
    <w:rsid w:val="00503F83"/>
    <w:rsid w:val="0050421C"/>
    <w:rsid w:val="00504281"/>
    <w:rsid w:val="005047A1"/>
    <w:rsid w:val="00504A9B"/>
    <w:rsid w:val="00504E9A"/>
    <w:rsid w:val="00504F01"/>
    <w:rsid w:val="00504F50"/>
    <w:rsid w:val="00504F83"/>
    <w:rsid w:val="00505057"/>
    <w:rsid w:val="00505531"/>
    <w:rsid w:val="005059B9"/>
    <w:rsid w:val="00505CE6"/>
    <w:rsid w:val="00505E43"/>
    <w:rsid w:val="00505F64"/>
    <w:rsid w:val="00506332"/>
    <w:rsid w:val="005067C9"/>
    <w:rsid w:val="00506DCD"/>
    <w:rsid w:val="00507112"/>
    <w:rsid w:val="005071D9"/>
    <w:rsid w:val="0050721B"/>
    <w:rsid w:val="00507268"/>
    <w:rsid w:val="00507325"/>
    <w:rsid w:val="0050745C"/>
    <w:rsid w:val="00507AB5"/>
    <w:rsid w:val="00507B12"/>
    <w:rsid w:val="00507B78"/>
    <w:rsid w:val="00507C56"/>
    <w:rsid w:val="00507E0F"/>
    <w:rsid w:val="00507F13"/>
    <w:rsid w:val="00510809"/>
    <w:rsid w:val="00510920"/>
    <w:rsid w:val="005109D4"/>
    <w:rsid w:val="00510CF4"/>
    <w:rsid w:val="005112D4"/>
    <w:rsid w:val="0051160A"/>
    <w:rsid w:val="005118BA"/>
    <w:rsid w:val="00511B8E"/>
    <w:rsid w:val="00511F54"/>
    <w:rsid w:val="0051245B"/>
    <w:rsid w:val="00512553"/>
    <w:rsid w:val="00512709"/>
    <w:rsid w:val="00512785"/>
    <w:rsid w:val="00512943"/>
    <w:rsid w:val="005129C6"/>
    <w:rsid w:val="00512A3C"/>
    <w:rsid w:val="00512BF0"/>
    <w:rsid w:val="00512D25"/>
    <w:rsid w:val="00512D87"/>
    <w:rsid w:val="005130DA"/>
    <w:rsid w:val="00513210"/>
    <w:rsid w:val="00513772"/>
    <w:rsid w:val="00513998"/>
    <w:rsid w:val="00513DDA"/>
    <w:rsid w:val="00513E19"/>
    <w:rsid w:val="00513E3E"/>
    <w:rsid w:val="005148B4"/>
    <w:rsid w:val="00514B29"/>
    <w:rsid w:val="00514B97"/>
    <w:rsid w:val="00514BF1"/>
    <w:rsid w:val="00514C19"/>
    <w:rsid w:val="005150E7"/>
    <w:rsid w:val="005152B1"/>
    <w:rsid w:val="005152F0"/>
    <w:rsid w:val="00515856"/>
    <w:rsid w:val="005159C2"/>
    <w:rsid w:val="00515D1C"/>
    <w:rsid w:val="00515E53"/>
    <w:rsid w:val="00515EFB"/>
    <w:rsid w:val="005161D3"/>
    <w:rsid w:val="005163E6"/>
    <w:rsid w:val="00516699"/>
    <w:rsid w:val="005167B6"/>
    <w:rsid w:val="00516AFA"/>
    <w:rsid w:val="00516DF0"/>
    <w:rsid w:val="005172EC"/>
    <w:rsid w:val="005173A7"/>
    <w:rsid w:val="0051740D"/>
    <w:rsid w:val="0051768D"/>
    <w:rsid w:val="00517888"/>
    <w:rsid w:val="005178CE"/>
    <w:rsid w:val="005179FC"/>
    <w:rsid w:val="00517BC9"/>
    <w:rsid w:val="005205D1"/>
    <w:rsid w:val="00520ACF"/>
    <w:rsid w:val="00521CAB"/>
    <w:rsid w:val="00521D58"/>
    <w:rsid w:val="00521F7D"/>
    <w:rsid w:val="00521FCC"/>
    <w:rsid w:val="005224EF"/>
    <w:rsid w:val="00522654"/>
    <w:rsid w:val="00522721"/>
    <w:rsid w:val="00522729"/>
    <w:rsid w:val="00522835"/>
    <w:rsid w:val="0052293D"/>
    <w:rsid w:val="00522995"/>
    <w:rsid w:val="00522ACA"/>
    <w:rsid w:val="00522AF4"/>
    <w:rsid w:val="00522B93"/>
    <w:rsid w:val="00522E04"/>
    <w:rsid w:val="00523098"/>
    <w:rsid w:val="005230EB"/>
    <w:rsid w:val="00523499"/>
    <w:rsid w:val="00523BC7"/>
    <w:rsid w:val="00523C08"/>
    <w:rsid w:val="00523C10"/>
    <w:rsid w:val="00523C16"/>
    <w:rsid w:val="005241E8"/>
    <w:rsid w:val="005245D5"/>
    <w:rsid w:val="00524889"/>
    <w:rsid w:val="00524972"/>
    <w:rsid w:val="005249EA"/>
    <w:rsid w:val="00524B29"/>
    <w:rsid w:val="00524F96"/>
    <w:rsid w:val="00525005"/>
    <w:rsid w:val="00525044"/>
    <w:rsid w:val="005254C9"/>
    <w:rsid w:val="00525749"/>
    <w:rsid w:val="0052575D"/>
    <w:rsid w:val="00525A53"/>
    <w:rsid w:val="00525AC7"/>
    <w:rsid w:val="00525C1F"/>
    <w:rsid w:val="00525CD9"/>
    <w:rsid w:val="00526418"/>
    <w:rsid w:val="00526569"/>
    <w:rsid w:val="00526726"/>
    <w:rsid w:val="00526987"/>
    <w:rsid w:val="00526A20"/>
    <w:rsid w:val="00526B69"/>
    <w:rsid w:val="00526C28"/>
    <w:rsid w:val="005271D5"/>
    <w:rsid w:val="00527256"/>
    <w:rsid w:val="005273FD"/>
    <w:rsid w:val="0052797C"/>
    <w:rsid w:val="00527993"/>
    <w:rsid w:val="00527B57"/>
    <w:rsid w:val="00527B83"/>
    <w:rsid w:val="00527C51"/>
    <w:rsid w:val="00527C8D"/>
    <w:rsid w:val="00527E10"/>
    <w:rsid w:val="00530080"/>
    <w:rsid w:val="0053017E"/>
    <w:rsid w:val="005301FF"/>
    <w:rsid w:val="0053021B"/>
    <w:rsid w:val="005303A9"/>
    <w:rsid w:val="005306AC"/>
    <w:rsid w:val="00530AC4"/>
    <w:rsid w:val="00530F35"/>
    <w:rsid w:val="005310F0"/>
    <w:rsid w:val="0053172D"/>
    <w:rsid w:val="00531978"/>
    <w:rsid w:val="00531FFD"/>
    <w:rsid w:val="0053209F"/>
    <w:rsid w:val="00532115"/>
    <w:rsid w:val="0053226A"/>
    <w:rsid w:val="005322A3"/>
    <w:rsid w:val="00532395"/>
    <w:rsid w:val="0053265B"/>
    <w:rsid w:val="0053266C"/>
    <w:rsid w:val="00532766"/>
    <w:rsid w:val="005328E4"/>
    <w:rsid w:val="00532948"/>
    <w:rsid w:val="00532BFA"/>
    <w:rsid w:val="00532C4D"/>
    <w:rsid w:val="00532E20"/>
    <w:rsid w:val="00532F6D"/>
    <w:rsid w:val="00533169"/>
    <w:rsid w:val="00533194"/>
    <w:rsid w:val="005332C8"/>
    <w:rsid w:val="00533396"/>
    <w:rsid w:val="00533514"/>
    <w:rsid w:val="00533BBA"/>
    <w:rsid w:val="00533C06"/>
    <w:rsid w:val="00533FB3"/>
    <w:rsid w:val="00533FD2"/>
    <w:rsid w:val="00533FF0"/>
    <w:rsid w:val="0053464E"/>
    <w:rsid w:val="005346C8"/>
    <w:rsid w:val="00534A02"/>
    <w:rsid w:val="00534CFE"/>
    <w:rsid w:val="00535073"/>
    <w:rsid w:val="005352C8"/>
    <w:rsid w:val="00535344"/>
    <w:rsid w:val="005354C1"/>
    <w:rsid w:val="005355BB"/>
    <w:rsid w:val="005358BD"/>
    <w:rsid w:val="00535962"/>
    <w:rsid w:val="005359F0"/>
    <w:rsid w:val="00535A2D"/>
    <w:rsid w:val="00535E49"/>
    <w:rsid w:val="00535E5C"/>
    <w:rsid w:val="00535F6D"/>
    <w:rsid w:val="00535F99"/>
    <w:rsid w:val="00536105"/>
    <w:rsid w:val="00536134"/>
    <w:rsid w:val="00536215"/>
    <w:rsid w:val="0053628B"/>
    <w:rsid w:val="00536356"/>
    <w:rsid w:val="0053635B"/>
    <w:rsid w:val="00536697"/>
    <w:rsid w:val="005367F9"/>
    <w:rsid w:val="00536CBB"/>
    <w:rsid w:val="00536DDD"/>
    <w:rsid w:val="00537033"/>
    <w:rsid w:val="00537085"/>
    <w:rsid w:val="00537315"/>
    <w:rsid w:val="0053737C"/>
    <w:rsid w:val="00537464"/>
    <w:rsid w:val="00537622"/>
    <w:rsid w:val="005376DA"/>
    <w:rsid w:val="005376E9"/>
    <w:rsid w:val="00537EA4"/>
    <w:rsid w:val="0054009B"/>
    <w:rsid w:val="005403B9"/>
    <w:rsid w:val="005404CA"/>
    <w:rsid w:val="0054056D"/>
    <w:rsid w:val="00540A37"/>
    <w:rsid w:val="00540B49"/>
    <w:rsid w:val="0054177D"/>
    <w:rsid w:val="005418DB"/>
    <w:rsid w:val="00541F08"/>
    <w:rsid w:val="005427EB"/>
    <w:rsid w:val="00542884"/>
    <w:rsid w:val="00542892"/>
    <w:rsid w:val="00542BC2"/>
    <w:rsid w:val="00542CA1"/>
    <w:rsid w:val="00542E23"/>
    <w:rsid w:val="005430B6"/>
    <w:rsid w:val="005432FC"/>
    <w:rsid w:val="005434EA"/>
    <w:rsid w:val="00543811"/>
    <w:rsid w:val="005441C9"/>
    <w:rsid w:val="00544476"/>
    <w:rsid w:val="0054453E"/>
    <w:rsid w:val="00544857"/>
    <w:rsid w:val="00544923"/>
    <w:rsid w:val="005449FD"/>
    <w:rsid w:val="00544A32"/>
    <w:rsid w:val="00544A72"/>
    <w:rsid w:val="00544FBD"/>
    <w:rsid w:val="00545AA4"/>
    <w:rsid w:val="00545B47"/>
    <w:rsid w:val="00545D55"/>
    <w:rsid w:val="00545FE4"/>
    <w:rsid w:val="005460EA"/>
    <w:rsid w:val="005461AB"/>
    <w:rsid w:val="005466D1"/>
    <w:rsid w:val="005468BE"/>
    <w:rsid w:val="00546C6A"/>
    <w:rsid w:val="00546FBA"/>
    <w:rsid w:val="00546FD6"/>
    <w:rsid w:val="005471D0"/>
    <w:rsid w:val="00547208"/>
    <w:rsid w:val="005472A2"/>
    <w:rsid w:val="0054782D"/>
    <w:rsid w:val="00547F04"/>
    <w:rsid w:val="00547F79"/>
    <w:rsid w:val="005508D4"/>
    <w:rsid w:val="0055091E"/>
    <w:rsid w:val="00550924"/>
    <w:rsid w:val="00550C10"/>
    <w:rsid w:val="00550D63"/>
    <w:rsid w:val="00550EF1"/>
    <w:rsid w:val="00551075"/>
    <w:rsid w:val="00551310"/>
    <w:rsid w:val="005513C8"/>
    <w:rsid w:val="00551573"/>
    <w:rsid w:val="00551636"/>
    <w:rsid w:val="005519AD"/>
    <w:rsid w:val="00551B3C"/>
    <w:rsid w:val="00551CF0"/>
    <w:rsid w:val="00551F02"/>
    <w:rsid w:val="005522F1"/>
    <w:rsid w:val="0055236E"/>
    <w:rsid w:val="0055248E"/>
    <w:rsid w:val="0055250D"/>
    <w:rsid w:val="00552678"/>
    <w:rsid w:val="00552856"/>
    <w:rsid w:val="00552F9A"/>
    <w:rsid w:val="00553208"/>
    <w:rsid w:val="005532E0"/>
    <w:rsid w:val="0055352C"/>
    <w:rsid w:val="005535EA"/>
    <w:rsid w:val="00553672"/>
    <w:rsid w:val="00553710"/>
    <w:rsid w:val="005538A6"/>
    <w:rsid w:val="00553BBC"/>
    <w:rsid w:val="00554208"/>
    <w:rsid w:val="005546E7"/>
    <w:rsid w:val="00554F94"/>
    <w:rsid w:val="00555161"/>
    <w:rsid w:val="00555B4B"/>
    <w:rsid w:val="00555DE6"/>
    <w:rsid w:val="00555EB3"/>
    <w:rsid w:val="00555F50"/>
    <w:rsid w:val="00556062"/>
    <w:rsid w:val="00556241"/>
    <w:rsid w:val="005566A9"/>
    <w:rsid w:val="005567F6"/>
    <w:rsid w:val="00556E29"/>
    <w:rsid w:val="00556F42"/>
    <w:rsid w:val="00557201"/>
    <w:rsid w:val="005572F4"/>
    <w:rsid w:val="00557474"/>
    <w:rsid w:val="005574F3"/>
    <w:rsid w:val="005575C9"/>
    <w:rsid w:val="00557616"/>
    <w:rsid w:val="005577B5"/>
    <w:rsid w:val="005579CC"/>
    <w:rsid w:val="00557DAA"/>
    <w:rsid w:val="00557DAD"/>
    <w:rsid w:val="0056000E"/>
    <w:rsid w:val="005601BB"/>
    <w:rsid w:val="00560317"/>
    <w:rsid w:val="00560B72"/>
    <w:rsid w:val="00560C75"/>
    <w:rsid w:val="00560DE0"/>
    <w:rsid w:val="00560F31"/>
    <w:rsid w:val="00561138"/>
    <w:rsid w:val="00561286"/>
    <w:rsid w:val="00561438"/>
    <w:rsid w:val="00561699"/>
    <w:rsid w:val="005616F4"/>
    <w:rsid w:val="0056194F"/>
    <w:rsid w:val="005619E1"/>
    <w:rsid w:val="00561D65"/>
    <w:rsid w:val="00561E6C"/>
    <w:rsid w:val="005623EC"/>
    <w:rsid w:val="00562629"/>
    <w:rsid w:val="0056273A"/>
    <w:rsid w:val="00562850"/>
    <w:rsid w:val="005628FE"/>
    <w:rsid w:val="0056297E"/>
    <w:rsid w:val="00562DE0"/>
    <w:rsid w:val="00563060"/>
    <w:rsid w:val="0056306E"/>
    <w:rsid w:val="005630EB"/>
    <w:rsid w:val="0056330E"/>
    <w:rsid w:val="00563320"/>
    <w:rsid w:val="00563613"/>
    <w:rsid w:val="0056364B"/>
    <w:rsid w:val="005637ED"/>
    <w:rsid w:val="00563A8C"/>
    <w:rsid w:val="00563AF8"/>
    <w:rsid w:val="00563B34"/>
    <w:rsid w:val="00563D4A"/>
    <w:rsid w:val="00564191"/>
    <w:rsid w:val="00564557"/>
    <w:rsid w:val="0056458C"/>
    <w:rsid w:val="00564628"/>
    <w:rsid w:val="005648B9"/>
    <w:rsid w:val="005649E8"/>
    <w:rsid w:val="00564A3C"/>
    <w:rsid w:val="00564F82"/>
    <w:rsid w:val="005653AF"/>
    <w:rsid w:val="0056540E"/>
    <w:rsid w:val="00565501"/>
    <w:rsid w:val="00565594"/>
    <w:rsid w:val="005655A4"/>
    <w:rsid w:val="00565755"/>
    <w:rsid w:val="0056598D"/>
    <w:rsid w:val="00565AE1"/>
    <w:rsid w:val="00565CA7"/>
    <w:rsid w:val="00565E87"/>
    <w:rsid w:val="0056601E"/>
    <w:rsid w:val="00566058"/>
    <w:rsid w:val="00566251"/>
    <w:rsid w:val="005662CC"/>
    <w:rsid w:val="00566406"/>
    <w:rsid w:val="00566466"/>
    <w:rsid w:val="005664D6"/>
    <w:rsid w:val="00566501"/>
    <w:rsid w:val="00566538"/>
    <w:rsid w:val="00566562"/>
    <w:rsid w:val="0056688F"/>
    <w:rsid w:val="00566A5A"/>
    <w:rsid w:val="00566CEF"/>
    <w:rsid w:val="005670EE"/>
    <w:rsid w:val="00567188"/>
    <w:rsid w:val="0056725A"/>
    <w:rsid w:val="0056741F"/>
    <w:rsid w:val="00567647"/>
    <w:rsid w:val="0056764F"/>
    <w:rsid w:val="005676C6"/>
    <w:rsid w:val="0056781B"/>
    <w:rsid w:val="00567BE2"/>
    <w:rsid w:val="00567C62"/>
    <w:rsid w:val="00570102"/>
    <w:rsid w:val="005702A3"/>
    <w:rsid w:val="00570406"/>
    <w:rsid w:val="005704A5"/>
    <w:rsid w:val="00570505"/>
    <w:rsid w:val="005705BE"/>
    <w:rsid w:val="005706CF"/>
    <w:rsid w:val="005707C4"/>
    <w:rsid w:val="00570BA5"/>
    <w:rsid w:val="00570EBC"/>
    <w:rsid w:val="005710B8"/>
    <w:rsid w:val="005710D6"/>
    <w:rsid w:val="00571122"/>
    <w:rsid w:val="005711B4"/>
    <w:rsid w:val="005712E6"/>
    <w:rsid w:val="00571444"/>
    <w:rsid w:val="00571527"/>
    <w:rsid w:val="005715F5"/>
    <w:rsid w:val="005719B8"/>
    <w:rsid w:val="005719FC"/>
    <w:rsid w:val="00571B8C"/>
    <w:rsid w:val="005722CC"/>
    <w:rsid w:val="0057238D"/>
    <w:rsid w:val="00572757"/>
    <w:rsid w:val="00572942"/>
    <w:rsid w:val="00572979"/>
    <w:rsid w:val="00572A31"/>
    <w:rsid w:val="00572A6E"/>
    <w:rsid w:val="005730DB"/>
    <w:rsid w:val="00573251"/>
    <w:rsid w:val="005732BB"/>
    <w:rsid w:val="005733A8"/>
    <w:rsid w:val="0057348F"/>
    <w:rsid w:val="00573B5B"/>
    <w:rsid w:val="00573E27"/>
    <w:rsid w:val="00573F55"/>
    <w:rsid w:val="005746AC"/>
    <w:rsid w:val="00574ADB"/>
    <w:rsid w:val="00574AFA"/>
    <w:rsid w:val="00574CEF"/>
    <w:rsid w:val="00575063"/>
    <w:rsid w:val="0057540E"/>
    <w:rsid w:val="005754FF"/>
    <w:rsid w:val="005757B6"/>
    <w:rsid w:val="00575BBA"/>
    <w:rsid w:val="00575C5A"/>
    <w:rsid w:val="00575ED2"/>
    <w:rsid w:val="00575F01"/>
    <w:rsid w:val="0057603C"/>
    <w:rsid w:val="005761C7"/>
    <w:rsid w:val="0057698B"/>
    <w:rsid w:val="00576EB8"/>
    <w:rsid w:val="0057776E"/>
    <w:rsid w:val="00577BA8"/>
    <w:rsid w:val="00577BD0"/>
    <w:rsid w:val="00577BF5"/>
    <w:rsid w:val="0058000F"/>
    <w:rsid w:val="00580557"/>
    <w:rsid w:val="0058074F"/>
    <w:rsid w:val="005808C3"/>
    <w:rsid w:val="005808F2"/>
    <w:rsid w:val="005808F3"/>
    <w:rsid w:val="00580966"/>
    <w:rsid w:val="00580A76"/>
    <w:rsid w:val="00580E1E"/>
    <w:rsid w:val="00580E9B"/>
    <w:rsid w:val="00581042"/>
    <w:rsid w:val="00581055"/>
    <w:rsid w:val="00581558"/>
    <w:rsid w:val="00581703"/>
    <w:rsid w:val="00581A30"/>
    <w:rsid w:val="00581B15"/>
    <w:rsid w:val="00581B9C"/>
    <w:rsid w:val="00581C5E"/>
    <w:rsid w:val="00581E93"/>
    <w:rsid w:val="00581F49"/>
    <w:rsid w:val="005821DD"/>
    <w:rsid w:val="00582446"/>
    <w:rsid w:val="00582613"/>
    <w:rsid w:val="005826A2"/>
    <w:rsid w:val="0058277B"/>
    <w:rsid w:val="0058292C"/>
    <w:rsid w:val="00582953"/>
    <w:rsid w:val="00582B96"/>
    <w:rsid w:val="00582E42"/>
    <w:rsid w:val="00582E8E"/>
    <w:rsid w:val="00583908"/>
    <w:rsid w:val="00583F62"/>
    <w:rsid w:val="005842FB"/>
    <w:rsid w:val="00584523"/>
    <w:rsid w:val="0058455F"/>
    <w:rsid w:val="00584590"/>
    <w:rsid w:val="00584757"/>
    <w:rsid w:val="005847BC"/>
    <w:rsid w:val="00584E21"/>
    <w:rsid w:val="00584F38"/>
    <w:rsid w:val="00584F5E"/>
    <w:rsid w:val="005850E9"/>
    <w:rsid w:val="005852BB"/>
    <w:rsid w:val="005856D5"/>
    <w:rsid w:val="005857DC"/>
    <w:rsid w:val="0058608B"/>
    <w:rsid w:val="005863C1"/>
    <w:rsid w:val="0058654D"/>
    <w:rsid w:val="00586786"/>
    <w:rsid w:val="00586953"/>
    <w:rsid w:val="00586E1E"/>
    <w:rsid w:val="00586FE7"/>
    <w:rsid w:val="00587147"/>
    <w:rsid w:val="00587279"/>
    <w:rsid w:val="0058748B"/>
    <w:rsid w:val="0058763B"/>
    <w:rsid w:val="00587648"/>
    <w:rsid w:val="00587729"/>
    <w:rsid w:val="00587886"/>
    <w:rsid w:val="00587A66"/>
    <w:rsid w:val="00590147"/>
    <w:rsid w:val="005901C5"/>
    <w:rsid w:val="00590392"/>
    <w:rsid w:val="00590525"/>
    <w:rsid w:val="0059095C"/>
    <w:rsid w:val="00590BD1"/>
    <w:rsid w:val="00590D26"/>
    <w:rsid w:val="00591276"/>
    <w:rsid w:val="00591490"/>
    <w:rsid w:val="0059151A"/>
    <w:rsid w:val="005916C9"/>
    <w:rsid w:val="00591774"/>
    <w:rsid w:val="00591C7E"/>
    <w:rsid w:val="00591DCF"/>
    <w:rsid w:val="0059292A"/>
    <w:rsid w:val="005929B4"/>
    <w:rsid w:val="00592A3C"/>
    <w:rsid w:val="00592C26"/>
    <w:rsid w:val="00592D45"/>
    <w:rsid w:val="0059320C"/>
    <w:rsid w:val="0059367F"/>
    <w:rsid w:val="00593696"/>
    <w:rsid w:val="00593720"/>
    <w:rsid w:val="005938CC"/>
    <w:rsid w:val="00593909"/>
    <w:rsid w:val="00593A71"/>
    <w:rsid w:val="00593DC1"/>
    <w:rsid w:val="00593E96"/>
    <w:rsid w:val="00593F46"/>
    <w:rsid w:val="00593FA1"/>
    <w:rsid w:val="005941E1"/>
    <w:rsid w:val="00594312"/>
    <w:rsid w:val="005943E2"/>
    <w:rsid w:val="005946A0"/>
    <w:rsid w:val="00594769"/>
    <w:rsid w:val="00594AE8"/>
    <w:rsid w:val="00594B8A"/>
    <w:rsid w:val="00595009"/>
    <w:rsid w:val="005954B7"/>
    <w:rsid w:val="00595A05"/>
    <w:rsid w:val="00595A86"/>
    <w:rsid w:val="00595BA7"/>
    <w:rsid w:val="00595D5D"/>
    <w:rsid w:val="00595E3B"/>
    <w:rsid w:val="00595F17"/>
    <w:rsid w:val="00595F3D"/>
    <w:rsid w:val="00595F89"/>
    <w:rsid w:val="0059630F"/>
    <w:rsid w:val="00596873"/>
    <w:rsid w:val="00596999"/>
    <w:rsid w:val="00596BB3"/>
    <w:rsid w:val="00596BD4"/>
    <w:rsid w:val="00596FA8"/>
    <w:rsid w:val="0059705A"/>
    <w:rsid w:val="005971A7"/>
    <w:rsid w:val="00597310"/>
    <w:rsid w:val="005977AB"/>
    <w:rsid w:val="005A01C5"/>
    <w:rsid w:val="005A0201"/>
    <w:rsid w:val="005A0496"/>
    <w:rsid w:val="005A0532"/>
    <w:rsid w:val="005A05AA"/>
    <w:rsid w:val="005A07E7"/>
    <w:rsid w:val="005A0A57"/>
    <w:rsid w:val="005A0B9F"/>
    <w:rsid w:val="005A0DB3"/>
    <w:rsid w:val="005A0DBB"/>
    <w:rsid w:val="005A0EBD"/>
    <w:rsid w:val="005A1270"/>
    <w:rsid w:val="005A1295"/>
    <w:rsid w:val="005A12EB"/>
    <w:rsid w:val="005A13C0"/>
    <w:rsid w:val="005A1621"/>
    <w:rsid w:val="005A18FD"/>
    <w:rsid w:val="005A1A24"/>
    <w:rsid w:val="005A1B7E"/>
    <w:rsid w:val="005A1C9C"/>
    <w:rsid w:val="005A1FBF"/>
    <w:rsid w:val="005A2081"/>
    <w:rsid w:val="005A22E8"/>
    <w:rsid w:val="005A2388"/>
    <w:rsid w:val="005A25A6"/>
    <w:rsid w:val="005A280C"/>
    <w:rsid w:val="005A29B1"/>
    <w:rsid w:val="005A2EBF"/>
    <w:rsid w:val="005A3071"/>
    <w:rsid w:val="005A380B"/>
    <w:rsid w:val="005A4610"/>
    <w:rsid w:val="005A46E2"/>
    <w:rsid w:val="005A4729"/>
    <w:rsid w:val="005A4890"/>
    <w:rsid w:val="005A49D4"/>
    <w:rsid w:val="005A4D7C"/>
    <w:rsid w:val="005A51C9"/>
    <w:rsid w:val="005A5BEE"/>
    <w:rsid w:val="005A5C98"/>
    <w:rsid w:val="005A5DC0"/>
    <w:rsid w:val="005A6B1D"/>
    <w:rsid w:val="005A6B6D"/>
    <w:rsid w:val="005A6F0E"/>
    <w:rsid w:val="005A6F57"/>
    <w:rsid w:val="005A7079"/>
    <w:rsid w:val="005A7139"/>
    <w:rsid w:val="005A7235"/>
    <w:rsid w:val="005A74D6"/>
    <w:rsid w:val="005A795B"/>
    <w:rsid w:val="005A7A1A"/>
    <w:rsid w:val="005A7AEB"/>
    <w:rsid w:val="005A7B16"/>
    <w:rsid w:val="005A7BAF"/>
    <w:rsid w:val="005B0182"/>
    <w:rsid w:val="005B021E"/>
    <w:rsid w:val="005B037C"/>
    <w:rsid w:val="005B0652"/>
    <w:rsid w:val="005B09EB"/>
    <w:rsid w:val="005B0A90"/>
    <w:rsid w:val="005B0B6B"/>
    <w:rsid w:val="005B1213"/>
    <w:rsid w:val="005B1329"/>
    <w:rsid w:val="005B1396"/>
    <w:rsid w:val="005B1481"/>
    <w:rsid w:val="005B1512"/>
    <w:rsid w:val="005B16D8"/>
    <w:rsid w:val="005B19B4"/>
    <w:rsid w:val="005B1AE7"/>
    <w:rsid w:val="005B1B55"/>
    <w:rsid w:val="005B1D7C"/>
    <w:rsid w:val="005B1DBD"/>
    <w:rsid w:val="005B1F51"/>
    <w:rsid w:val="005B1FBB"/>
    <w:rsid w:val="005B21F1"/>
    <w:rsid w:val="005B2769"/>
    <w:rsid w:val="005B284A"/>
    <w:rsid w:val="005B2927"/>
    <w:rsid w:val="005B2F7B"/>
    <w:rsid w:val="005B3343"/>
    <w:rsid w:val="005B34A9"/>
    <w:rsid w:val="005B379C"/>
    <w:rsid w:val="005B37DA"/>
    <w:rsid w:val="005B39A9"/>
    <w:rsid w:val="005B3B8A"/>
    <w:rsid w:val="005B3CE5"/>
    <w:rsid w:val="005B3D39"/>
    <w:rsid w:val="005B3D8A"/>
    <w:rsid w:val="005B3EBD"/>
    <w:rsid w:val="005B4199"/>
    <w:rsid w:val="005B4765"/>
    <w:rsid w:val="005B48E8"/>
    <w:rsid w:val="005B4AB3"/>
    <w:rsid w:val="005B502A"/>
    <w:rsid w:val="005B5066"/>
    <w:rsid w:val="005B56D9"/>
    <w:rsid w:val="005B5923"/>
    <w:rsid w:val="005B5A3A"/>
    <w:rsid w:val="005B5B87"/>
    <w:rsid w:val="005B5BA3"/>
    <w:rsid w:val="005B5E62"/>
    <w:rsid w:val="005B5EC1"/>
    <w:rsid w:val="005B5F01"/>
    <w:rsid w:val="005B611D"/>
    <w:rsid w:val="005B62DC"/>
    <w:rsid w:val="005B6524"/>
    <w:rsid w:val="005B6608"/>
    <w:rsid w:val="005B6B27"/>
    <w:rsid w:val="005B6FE6"/>
    <w:rsid w:val="005B7198"/>
    <w:rsid w:val="005B727B"/>
    <w:rsid w:val="005B7341"/>
    <w:rsid w:val="005B7455"/>
    <w:rsid w:val="005B74F9"/>
    <w:rsid w:val="005B7555"/>
    <w:rsid w:val="005B778C"/>
    <w:rsid w:val="005B79D4"/>
    <w:rsid w:val="005B79EB"/>
    <w:rsid w:val="005B7A17"/>
    <w:rsid w:val="005B7AAB"/>
    <w:rsid w:val="005B7BD6"/>
    <w:rsid w:val="005B7E97"/>
    <w:rsid w:val="005B7F46"/>
    <w:rsid w:val="005C0748"/>
    <w:rsid w:val="005C0993"/>
    <w:rsid w:val="005C09A7"/>
    <w:rsid w:val="005C0DEB"/>
    <w:rsid w:val="005C0EDB"/>
    <w:rsid w:val="005C102D"/>
    <w:rsid w:val="005C12E9"/>
    <w:rsid w:val="005C132C"/>
    <w:rsid w:val="005C15B2"/>
    <w:rsid w:val="005C16C3"/>
    <w:rsid w:val="005C17FB"/>
    <w:rsid w:val="005C1833"/>
    <w:rsid w:val="005C1838"/>
    <w:rsid w:val="005C18C2"/>
    <w:rsid w:val="005C1A9C"/>
    <w:rsid w:val="005C1AD1"/>
    <w:rsid w:val="005C1C20"/>
    <w:rsid w:val="005C1D93"/>
    <w:rsid w:val="005C1E85"/>
    <w:rsid w:val="005C2063"/>
    <w:rsid w:val="005C211E"/>
    <w:rsid w:val="005C2412"/>
    <w:rsid w:val="005C244F"/>
    <w:rsid w:val="005C2767"/>
    <w:rsid w:val="005C2922"/>
    <w:rsid w:val="005C292F"/>
    <w:rsid w:val="005C2C27"/>
    <w:rsid w:val="005C2CD8"/>
    <w:rsid w:val="005C2EDE"/>
    <w:rsid w:val="005C2F60"/>
    <w:rsid w:val="005C2F77"/>
    <w:rsid w:val="005C323D"/>
    <w:rsid w:val="005C326B"/>
    <w:rsid w:val="005C3380"/>
    <w:rsid w:val="005C356B"/>
    <w:rsid w:val="005C3589"/>
    <w:rsid w:val="005C3772"/>
    <w:rsid w:val="005C37FC"/>
    <w:rsid w:val="005C38DA"/>
    <w:rsid w:val="005C38DB"/>
    <w:rsid w:val="005C396D"/>
    <w:rsid w:val="005C39C3"/>
    <w:rsid w:val="005C3B70"/>
    <w:rsid w:val="005C3E93"/>
    <w:rsid w:val="005C4229"/>
    <w:rsid w:val="005C4580"/>
    <w:rsid w:val="005C4A77"/>
    <w:rsid w:val="005C4BAC"/>
    <w:rsid w:val="005C5065"/>
    <w:rsid w:val="005C52F3"/>
    <w:rsid w:val="005C55ED"/>
    <w:rsid w:val="005C564C"/>
    <w:rsid w:val="005C5983"/>
    <w:rsid w:val="005C59FD"/>
    <w:rsid w:val="005C5E13"/>
    <w:rsid w:val="005C6234"/>
    <w:rsid w:val="005C6605"/>
    <w:rsid w:val="005C6890"/>
    <w:rsid w:val="005C6DA5"/>
    <w:rsid w:val="005C71A0"/>
    <w:rsid w:val="005C7372"/>
    <w:rsid w:val="005C751C"/>
    <w:rsid w:val="005C7802"/>
    <w:rsid w:val="005C7A06"/>
    <w:rsid w:val="005C7B50"/>
    <w:rsid w:val="005C7E73"/>
    <w:rsid w:val="005C7ECC"/>
    <w:rsid w:val="005C7F03"/>
    <w:rsid w:val="005D029E"/>
    <w:rsid w:val="005D02D8"/>
    <w:rsid w:val="005D03A5"/>
    <w:rsid w:val="005D0427"/>
    <w:rsid w:val="005D0776"/>
    <w:rsid w:val="005D07AE"/>
    <w:rsid w:val="005D0B55"/>
    <w:rsid w:val="005D0C83"/>
    <w:rsid w:val="005D100E"/>
    <w:rsid w:val="005D10AE"/>
    <w:rsid w:val="005D10C5"/>
    <w:rsid w:val="005D113B"/>
    <w:rsid w:val="005D1149"/>
    <w:rsid w:val="005D1491"/>
    <w:rsid w:val="005D154C"/>
    <w:rsid w:val="005D1732"/>
    <w:rsid w:val="005D1A7C"/>
    <w:rsid w:val="005D1B5C"/>
    <w:rsid w:val="005D1BAC"/>
    <w:rsid w:val="005D1EC3"/>
    <w:rsid w:val="005D22FF"/>
    <w:rsid w:val="005D27FD"/>
    <w:rsid w:val="005D2CAD"/>
    <w:rsid w:val="005D2D9A"/>
    <w:rsid w:val="005D2E57"/>
    <w:rsid w:val="005D34AF"/>
    <w:rsid w:val="005D3631"/>
    <w:rsid w:val="005D3827"/>
    <w:rsid w:val="005D3A6E"/>
    <w:rsid w:val="005D3AAD"/>
    <w:rsid w:val="005D3B21"/>
    <w:rsid w:val="005D3F7E"/>
    <w:rsid w:val="005D4019"/>
    <w:rsid w:val="005D41DC"/>
    <w:rsid w:val="005D422C"/>
    <w:rsid w:val="005D43C3"/>
    <w:rsid w:val="005D460F"/>
    <w:rsid w:val="005D4638"/>
    <w:rsid w:val="005D4A92"/>
    <w:rsid w:val="005D4AE7"/>
    <w:rsid w:val="005D4D7D"/>
    <w:rsid w:val="005D4DC5"/>
    <w:rsid w:val="005D4E90"/>
    <w:rsid w:val="005D586C"/>
    <w:rsid w:val="005D59BF"/>
    <w:rsid w:val="005D5BB5"/>
    <w:rsid w:val="005D5C22"/>
    <w:rsid w:val="005D5D93"/>
    <w:rsid w:val="005D5DBB"/>
    <w:rsid w:val="005D5E3A"/>
    <w:rsid w:val="005D5E6C"/>
    <w:rsid w:val="005D63A9"/>
    <w:rsid w:val="005D6487"/>
    <w:rsid w:val="005D65D5"/>
    <w:rsid w:val="005D6BAD"/>
    <w:rsid w:val="005D6C56"/>
    <w:rsid w:val="005D6D46"/>
    <w:rsid w:val="005D6F49"/>
    <w:rsid w:val="005D73D3"/>
    <w:rsid w:val="005D7788"/>
    <w:rsid w:val="005D7836"/>
    <w:rsid w:val="005D7AAE"/>
    <w:rsid w:val="005D7BE8"/>
    <w:rsid w:val="005D7E8A"/>
    <w:rsid w:val="005D7F99"/>
    <w:rsid w:val="005E0283"/>
    <w:rsid w:val="005E06FA"/>
    <w:rsid w:val="005E0CF4"/>
    <w:rsid w:val="005E0DA8"/>
    <w:rsid w:val="005E0EAA"/>
    <w:rsid w:val="005E0FC7"/>
    <w:rsid w:val="005E1052"/>
    <w:rsid w:val="005E11A5"/>
    <w:rsid w:val="005E123D"/>
    <w:rsid w:val="005E1245"/>
    <w:rsid w:val="005E1292"/>
    <w:rsid w:val="005E13D4"/>
    <w:rsid w:val="005E1435"/>
    <w:rsid w:val="005E162D"/>
    <w:rsid w:val="005E190C"/>
    <w:rsid w:val="005E1966"/>
    <w:rsid w:val="005E1EA2"/>
    <w:rsid w:val="005E1F24"/>
    <w:rsid w:val="005E2049"/>
    <w:rsid w:val="005E21F3"/>
    <w:rsid w:val="005E235C"/>
    <w:rsid w:val="005E236E"/>
    <w:rsid w:val="005E2C24"/>
    <w:rsid w:val="005E3078"/>
    <w:rsid w:val="005E34C0"/>
    <w:rsid w:val="005E34EC"/>
    <w:rsid w:val="005E3D71"/>
    <w:rsid w:val="005E4317"/>
    <w:rsid w:val="005E4363"/>
    <w:rsid w:val="005E44F1"/>
    <w:rsid w:val="005E4605"/>
    <w:rsid w:val="005E4985"/>
    <w:rsid w:val="005E49CA"/>
    <w:rsid w:val="005E4EF3"/>
    <w:rsid w:val="005E5427"/>
    <w:rsid w:val="005E5428"/>
    <w:rsid w:val="005E56D9"/>
    <w:rsid w:val="005E58AF"/>
    <w:rsid w:val="005E5A7C"/>
    <w:rsid w:val="005E5C33"/>
    <w:rsid w:val="005E5F53"/>
    <w:rsid w:val="005E6207"/>
    <w:rsid w:val="005E6311"/>
    <w:rsid w:val="005E65D9"/>
    <w:rsid w:val="005E6629"/>
    <w:rsid w:val="005E6976"/>
    <w:rsid w:val="005E6E12"/>
    <w:rsid w:val="005E70CD"/>
    <w:rsid w:val="005E70F9"/>
    <w:rsid w:val="005E740F"/>
    <w:rsid w:val="005E74B3"/>
    <w:rsid w:val="005E74EC"/>
    <w:rsid w:val="005E7AB6"/>
    <w:rsid w:val="005E7B1E"/>
    <w:rsid w:val="005E7CBC"/>
    <w:rsid w:val="005E7F9E"/>
    <w:rsid w:val="005F0316"/>
    <w:rsid w:val="005F0A62"/>
    <w:rsid w:val="005F0FA8"/>
    <w:rsid w:val="005F10C2"/>
    <w:rsid w:val="005F1821"/>
    <w:rsid w:val="005F1951"/>
    <w:rsid w:val="005F1C5D"/>
    <w:rsid w:val="005F1CA5"/>
    <w:rsid w:val="005F1EBE"/>
    <w:rsid w:val="005F1FAF"/>
    <w:rsid w:val="005F2069"/>
    <w:rsid w:val="005F2093"/>
    <w:rsid w:val="005F211B"/>
    <w:rsid w:val="005F222B"/>
    <w:rsid w:val="005F222D"/>
    <w:rsid w:val="005F2317"/>
    <w:rsid w:val="005F2550"/>
    <w:rsid w:val="005F25D2"/>
    <w:rsid w:val="005F2672"/>
    <w:rsid w:val="005F297E"/>
    <w:rsid w:val="005F2B2D"/>
    <w:rsid w:val="005F2C45"/>
    <w:rsid w:val="005F2D9C"/>
    <w:rsid w:val="005F2E79"/>
    <w:rsid w:val="005F2FD5"/>
    <w:rsid w:val="005F3042"/>
    <w:rsid w:val="005F3138"/>
    <w:rsid w:val="005F3166"/>
    <w:rsid w:val="005F32D9"/>
    <w:rsid w:val="005F340A"/>
    <w:rsid w:val="005F34FA"/>
    <w:rsid w:val="005F3AE8"/>
    <w:rsid w:val="005F3B09"/>
    <w:rsid w:val="005F3B47"/>
    <w:rsid w:val="005F3D75"/>
    <w:rsid w:val="005F410E"/>
    <w:rsid w:val="005F43AA"/>
    <w:rsid w:val="005F47C1"/>
    <w:rsid w:val="005F4926"/>
    <w:rsid w:val="005F4A85"/>
    <w:rsid w:val="005F4B6F"/>
    <w:rsid w:val="005F4FFE"/>
    <w:rsid w:val="005F5009"/>
    <w:rsid w:val="005F5054"/>
    <w:rsid w:val="005F530F"/>
    <w:rsid w:val="005F5515"/>
    <w:rsid w:val="005F5750"/>
    <w:rsid w:val="005F5797"/>
    <w:rsid w:val="005F5B93"/>
    <w:rsid w:val="005F5C58"/>
    <w:rsid w:val="005F5E9C"/>
    <w:rsid w:val="005F5F3E"/>
    <w:rsid w:val="005F6064"/>
    <w:rsid w:val="005F6177"/>
    <w:rsid w:val="005F65D9"/>
    <w:rsid w:val="005F6768"/>
    <w:rsid w:val="005F69CF"/>
    <w:rsid w:val="005F6A44"/>
    <w:rsid w:val="005F6E39"/>
    <w:rsid w:val="005F6E58"/>
    <w:rsid w:val="005F6F57"/>
    <w:rsid w:val="005F6FF1"/>
    <w:rsid w:val="005F6FF2"/>
    <w:rsid w:val="005F704C"/>
    <w:rsid w:val="005F71EB"/>
    <w:rsid w:val="005F74FE"/>
    <w:rsid w:val="005F7693"/>
    <w:rsid w:val="005F7851"/>
    <w:rsid w:val="005F78D5"/>
    <w:rsid w:val="005F7A22"/>
    <w:rsid w:val="005F7A30"/>
    <w:rsid w:val="005F7A54"/>
    <w:rsid w:val="005F7B9D"/>
    <w:rsid w:val="005F7BAC"/>
    <w:rsid w:val="005F7D67"/>
    <w:rsid w:val="005F7F82"/>
    <w:rsid w:val="0060007D"/>
    <w:rsid w:val="00600205"/>
    <w:rsid w:val="006002D6"/>
    <w:rsid w:val="00600501"/>
    <w:rsid w:val="006006CD"/>
    <w:rsid w:val="00600891"/>
    <w:rsid w:val="006008E5"/>
    <w:rsid w:val="00600B0C"/>
    <w:rsid w:val="00600DD2"/>
    <w:rsid w:val="00600F88"/>
    <w:rsid w:val="00601078"/>
    <w:rsid w:val="006011F0"/>
    <w:rsid w:val="00601246"/>
    <w:rsid w:val="006014A8"/>
    <w:rsid w:val="00601570"/>
    <w:rsid w:val="0060158B"/>
    <w:rsid w:val="00601686"/>
    <w:rsid w:val="00601BB4"/>
    <w:rsid w:val="00601D3B"/>
    <w:rsid w:val="0060202E"/>
    <w:rsid w:val="00602268"/>
    <w:rsid w:val="00602286"/>
    <w:rsid w:val="006022C4"/>
    <w:rsid w:val="0060242C"/>
    <w:rsid w:val="006024D6"/>
    <w:rsid w:val="00602543"/>
    <w:rsid w:val="0060254C"/>
    <w:rsid w:val="00602A59"/>
    <w:rsid w:val="00602A63"/>
    <w:rsid w:val="00602DFA"/>
    <w:rsid w:val="00603035"/>
    <w:rsid w:val="006031D1"/>
    <w:rsid w:val="00603300"/>
    <w:rsid w:val="006033BF"/>
    <w:rsid w:val="006036BB"/>
    <w:rsid w:val="00603702"/>
    <w:rsid w:val="0060399B"/>
    <w:rsid w:val="00603AA1"/>
    <w:rsid w:val="00603B4B"/>
    <w:rsid w:val="00603DEC"/>
    <w:rsid w:val="00603F20"/>
    <w:rsid w:val="00603F94"/>
    <w:rsid w:val="00604006"/>
    <w:rsid w:val="006042BD"/>
    <w:rsid w:val="006048F8"/>
    <w:rsid w:val="00604936"/>
    <w:rsid w:val="00604982"/>
    <w:rsid w:val="00604A11"/>
    <w:rsid w:val="00604BC2"/>
    <w:rsid w:val="00604F14"/>
    <w:rsid w:val="00604F37"/>
    <w:rsid w:val="0060508A"/>
    <w:rsid w:val="006051EC"/>
    <w:rsid w:val="006055AF"/>
    <w:rsid w:val="006057D5"/>
    <w:rsid w:val="006058E7"/>
    <w:rsid w:val="00605942"/>
    <w:rsid w:val="00605A7A"/>
    <w:rsid w:val="00605BFC"/>
    <w:rsid w:val="00605C9F"/>
    <w:rsid w:val="00605D48"/>
    <w:rsid w:val="00605EC2"/>
    <w:rsid w:val="00606299"/>
    <w:rsid w:val="0060653A"/>
    <w:rsid w:val="00606562"/>
    <w:rsid w:val="0060671D"/>
    <w:rsid w:val="006067BF"/>
    <w:rsid w:val="006067F3"/>
    <w:rsid w:val="00606814"/>
    <w:rsid w:val="006068E8"/>
    <w:rsid w:val="00606A28"/>
    <w:rsid w:val="00606ADB"/>
    <w:rsid w:val="00606DC9"/>
    <w:rsid w:val="00606DF3"/>
    <w:rsid w:val="00606E72"/>
    <w:rsid w:val="0060729F"/>
    <w:rsid w:val="006072DE"/>
    <w:rsid w:val="006072FD"/>
    <w:rsid w:val="00607362"/>
    <w:rsid w:val="006075F4"/>
    <w:rsid w:val="006078A8"/>
    <w:rsid w:val="0060799C"/>
    <w:rsid w:val="006079CE"/>
    <w:rsid w:val="00607BAD"/>
    <w:rsid w:val="00607C01"/>
    <w:rsid w:val="00607C28"/>
    <w:rsid w:val="00607EC7"/>
    <w:rsid w:val="0061048A"/>
    <w:rsid w:val="006104F8"/>
    <w:rsid w:val="00610500"/>
    <w:rsid w:val="006106EB"/>
    <w:rsid w:val="00610918"/>
    <w:rsid w:val="0061094B"/>
    <w:rsid w:val="00610AE7"/>
    <w:rsid w:val="00610B50"/>
    <w:rsid w:val="00610BEE"/>
    <w:rsid w:val="00611178"/>
    <w:rsid w:val="0061148D"/>
    <w:rsid w:val="00611537"/>
    <w:rsid w:val="006118A0"/>
    <w:rsid w:val="00611D01"/>
    <w:rsid w:val="00611EC0"/>
    <w:rsid w:val="0061206E"/>
    <w:rsid w:val="006124B3"/>
    <w:rsid w:val="00612611"/>
    <w:rsid w:val="0061279A"/>
    <w:rsid w:val="0061282F"/>
    <w:rsid w:val="00612D96"/>
    <w:rsid w:val="00613009"/>
    <w:rsid w:val="0061324F"/>
    <w:rsid w:val="006132EA"/>
    <w:rsid w:val="00613680"/>
    <w:rsid w:val="00613F5F"/>
    <w:rsid w:val="00613F9B"/>
    <w:rsid w:val="0061401C"/>
    <w:rsid w:val="006141C9"/>
    <w:rsid w:val="0061420B"/>
    <w:rsid w:val="00614931"/>
    <w:rsid w:val="00614B59"/>
    <w:rsid w:val="00614D33"/>
    <w:rsid w:val="0061537D"/>
    <w:rsid w:val="0061537F"/>
    <w:rsid w:val="00615DEA"/>
    <w:rsid w:val="0061640F"/>
    <w:rsid w:val="00616452"/>
    <w:rsid w:val="006167F6"/>
    <w:rsid w:val="0061693D"/>
    <w:rsid w:val="00616A60"/>
    <w:rsid w:val="00616A98"/>
    <w:rsid w:val="00616C85"/>
    <w:rsid w:val="00616EE6"/>
    <w:rsid w:val="006171DC"/>
    <w:rsid w:val="006171FB"/>
    <w:rsid w:val="0061742C"/>
    <w:rsid w:val="00617A2A"/>
    <w:rsid w:val="0062009B"/>
    <w:rsid w:val="006207F4"/>
    <w:rsid w:val="006209C1"/>
    <w:rsid w:val="00620C67"/>
    <w:rsid w:val="00620D54"/>
    <w:rsid w:val="0062112C"/>
    <w:rsid w:val="006211DA"/>
    <w:rsid w:val="006215B4"/>
    <w:rsid w:val="00621616"/>
    <w:rsid w:val="00621646"/>
    <w:rsid w:val="00621803"/>
    <w:rsid w:val="006218B0"/>
    <w:rsid w:val="00621AB5"/>
    <w:rsid w:val="006220F1"/>
    <w:rsid w:val="00622160"/>
    <w:rsid w:val="00622293"/>
    <w:rsid w:val="0062238F"/>
    <w:rsid w:val="006229F4"/>
    <w:rsid w:val="00622F9D"/>
    <w:rsid w:val="0062311D"/>
    <w:rsid w:val="006232D5"/>
    <w:rsid w:val="006235F3"/>
    <w:rsid w:val="0062385B"/>
    <w:rsid w:val="00623B02"/>
    <w:rsid w:val="00623C68"/>
    <w:rsid w:val="00623E46"/>
    <w:rsid w:val="00624215"/>
    <w:rsid w:val="006243F0"/>
    <w:rsid w:val="0062442E"/>
    <w:rsid w:val="00624604"/>
    <w:rsid w:val="0062467E"/>
    <w:rsid w:val="00624714"/>
    <w:rsid w:val="00624D2C"/>
    <w:rsid w:val="00624E74"/>
    <w:rsid w:val="00624EF1"/>
    <w:rsid w:val="00625145"/>
    <w:rsid w:val="0062552C"/>
    <w:rsid w:val="00625A69"/>
    <w:rsid w:val="00625BF5"/>
    <w:rsid w:val="00625C94"/>
    <w:rsid w:val="00625F78"/>
    <w:rsid w:val="00626183"/>
    <w:rsid w:val="00626487"/>
    <w:rsid w:val="00626917"/>
    <w:rsid w:val="00626B0D"/>
    <w:rsid w:val="00626D88"/>
    <w:rsid w:val="00627402"/>
    <w:rsid w:val="0062741A"/>
    <w:rsid w:val="006274EA"/>
    <w:rsid w:val="006275A5"/>
    <w:rsid w:val="00627C0B"/>
    <w:rsid w:val="00627C51"/>
    <w:rsid w:val="00627C86"/>
    <w:rsid w:val="00627DF8"/>
    <w:rsid w:val="00627E4C"/>
    <w:rsid w:val="00630368"/>
    <w:rsid w:val="00630480"/>
    <w:rsid w:val="0063053C"/>
    <w:rsid w:val="0063058E"/>
    <w:rsid w:val="006305F8"/>
    <w:rsid w:val="00631281"/>
    <w:rsid w:val="00631727"/>
    <w:rsid w:val="00631DA7"/>
    <w:rsid w:val="00631E1D"/>
    <w:rsid w:val="00631EAF"/>
    <w:rsid w:val="0063213B"/>
    <w:rsid w:val="0063225D"/>
    <w:rsid w:val="006324D0"/>
    <w:rsid w:val="006327B0"/>
    <w:rsid w:val="00632AE4"/>
    <w:rsid w:val="00632B9C"/>
    <w:rsid w:val="00632C36"/>
    <w:rsid w:val="00632F18"/>
    <w:rsid w:val="00632FB1"/>
    <w:rsid w:val="0063320C"/>
    <w:rsid w:val="006332C9"/>
    <w:rsid w:val="006332D7"/>
    <w:rsid w:val="0063333D"/>
    <w:rsid w:val="00633399"/>
    <w:rsid w:val="00633509"/>
    <w:rsid w:val="006336FE"/>
    <w:rsid w:val="006337B6"/>
    <w:rsid w:val="00633A57"/>
    <w:rsid w:val="006340CD"/>
    <w:rsid w:val="00634225"/>
    <w:rsid w:val="006347F2"/>
    <w:rsid w:val="006348D4"/>
    <w:rsid w:val="00634A58"/>
    <w:rsid w:val="00634B7E"/>
    <w:rsid w:val="00634C76"/>
    <w:rsid w:val="00635003"/>
    <w:rsid w:val="006351CE"/>
    <w:rsid w:val="006351F6"/>
    <w:rsid w:val="006352FD"/>
    <w:rsid w:val="0063551A"/>
    <w:rsid w:val="00635861"/>
    <w:rsid w:val="006359AA"/>
    <w:rsid w:val="00635B15"/>
    <w:rsid w:val="006362E1"/>
    <w:rsid w:val="00636475"/>
    <w:rsid w:val="00636544"/>
    <w:rsid w:val="006367DA"/>
    <w:rsid w:val="00636FAD"/>
    <w:rsid w:val="006370E1"/>
    <w:rsid w:val="006373CA"/>
    <w:rsid w:val="006375B2"/>
    <w:rsid w:val="006375BB"/>
    <w:rsid w:val="006379A6"/>
    <w:rsid w:val="006379DE"/>
    <w:rsid w:val="00637A93"/>
    <w:rsid w:val="00637EC7"/>
    <w:rsid w:val="006401DD"/>
    <w:rsid w:val="00640396"/>
    <w:rsid w:val="006404A7"/>
    <w:rsid w:val="006406A4"/>
    <w:rsid w:val="006407FE"/>
    <w:rsid w:val="006409EE"/>
    <w:rsid w:val="00640AC9"/>
    <w:rsid w:val="00640BF7"/>
    <w:rsid w:val="00640C7D"/>
    <w:rsid w:val="00640E7E"/>
    <w:rsid w:val="00640FFF"/>
    <w:rsid w:val="006416A4"/>
    <w:rsid w:val="00641761"/>
    <w:rsid w:val="00641990"/>
    <w:rsid w:val="0064216B"/>
    <w:rsid w:val="0064217D"/>
    <w:rsid w:val="006421D9"/>
    <w:rsid w:val="0064238E"/>
    <w:rsid w:val="006424FE"/>
    <w:rsid w:val="0064253B"/>
    <w:rsid w:val="006425FC"/>
    <w:rsid w:val="00642631"/>
    <w:rsid w:val="00642A6F"/>
    <w:rsid w:val="00642AC0"/>
    <w:rsid w:val="00642C3C"/>
    <w:rsid w:val="00642DF5"/>
    <w:rsid w:val="0064304A"/>
    <w:rsid w:val="0064307D"/>
    <w:rsid w:val="0064329C"/>
    <w:rsid w:val="0064380B"/>
    <w:rsid w:val="00643A4F"/>
    <w:rsid w:val="00643D1D"/>
    <w:rsid w:val="00643FF5"/>
    <w:rsid w:val="00644004"/>
    <w:rsid w:val="006441FD"/>
    <w:rsid w:val="006443D7"/>
    <w:rsid w:val="00644A20"/>
    <w:rsid w:val="00644B49"/>
    <w:rsid w:val="00644E43"/>
    <w:rsid w:val="00644E5A"/>
    <w:rsid w:val="00644F2C"/>
    <w:rsid w:val="00644FFC"/>
    <w:rsid w:val="00645141"/>
    <w:rsid w:val="0064535E"/>
    <w:rsid w:val="006456A1"/>
    <w:rsid w:val="00645805"/>
    <w:rsid w:val="00645AEE"/>
    <w:rsid w:val="00646428"/>
    <w:rsid w:val="0064678C"/>
    <w:rsid w:val="00646B93"/>
    <w:rsid w:val="00646F31"/>
    <w:rsid w:val="0064707F"/>
    <w:rsid w:val="006471E8"/>
    <w:rsid w:val="006474CD"/>
    <w:rsid w:val="00647660"/>
    <w:rsid w:val="00647782"/>
    <w:rsid w:val="00647999"/>
    <w:rsid w:val="00647B43"/>
    <w:rsid w:val="00647BA6"/>
    <w:rsid w:val="00647E90"/>
    <w:rsid w:val="00647F36"/>
    <w:rsid w:val="00647FA3"/>
    <w:rsid w:val="006500F7"/>
    <w:rsid w:val="0065067F"/>
    <w:rsid w:val="0065069A"/>
    <w:rsid w:val="006506F2"/>
    <w:rsid w:val="0065071B"/>
    <w:rsid w:val="00650769"/>
    <w:rsid w:val="00650C97"/>
    <w:rsid w:val="00650DF8"/>
    <w:rsid w:val="00650F29"/>
    <w:rsid w:val="00650F64"/>
    <w:rsid w:val="00651094"/>
    <w:rsid w:val="00651184"/>
    <w:rsid w:val="006516B7"/>
    <w:rsid w:val="006518E4"/>
    <w:rsid w:val="00651F5B"/>
    <w:rsid w:val="00651F9D"/>
    <w:rsid w:val="00651FB8"/>
    <w:rsid w:val="0065282B"/>
    <w:rsid w:val="0065294C"/>
    <w:rsid w:val="00652BA0"/>
    <w:rsid w:val="00652DF6"/>
    <w:rsid w:val="00652FCA"/>
    <w:rsid w:val="00653045"/>
    <w:rsid w:val="00653294"/>
    <w:rsid w:val="00653350"/>
    <w:rsid w:val="0065388D"/>
    <w:rsid w:val="0065395C"/>
    <w:rsid w:val="00653A25"/>
    <w:rsid w:val="00653AFB"/>
    <w:rsid w:val="00653B24"/>
    <w:rsid w:val="00653D93"/>
    <w:rsid w:val="00653F75"/>
    <w:rsid w:val="00653F8C"/>
    <w:rsid w:val="00653FDA"/>
    <w:rsid w:val="006540EF"/>
    <w:rsid w:val="006541A0"/>
    <w:rsid w:val="00654AA0"/>
    <w:rsid w:val="00654B3C"/>
    <w:rsid w:val="00654BB5"/>
    <w:rsid w:val="00654CFE"/>
    <w:rsid w:val="00654E99"/>
    <w:rsid w:val="00654FBE"/>
    <w:rsid w:val="00655104"/>
    <w:rsid w:val="00655215"/>
    <w:rsid w:val="0065537B"/>
    <w:rsid w:val="0065548F"/>
    <w:rsid w:val="0065558B"/>
    <w:rsid w:val="00655633"/>
    <w:rsid w:val="00655797"/>
    <w:rsid w:val="006559BB"/>
    <w:rsid w:val="006559EB"/>
    <w:rsid w:val="00655A93"/>
    <w:rsid w:val="00655D93"/>
    <w:rsid w:val="00655DD2"/>
    <w:rsid w:val="00655E86"/>
    <w:rsid w:val="00656614"/>
    <w:rsid w:val="00656BD1"/>
    <w:rsid w:val="00656C4D"/>
    <w:rsid w:val="00656FE7"/>
    <w:rsid w:val="00657732"/>
    <w:rsid w:val="006577CD"/>
    <w:rsid w:val="006578A6"/>
    <w:rsid w:val="00657A31"/>
    <w:rsid w:val="00657CCC"/>
    <w:rsid w:val="00660162"/>
    <w:rsid w:val="0066036D"/>
    <w:rsid w:val="006603B7"/>
    <w:rsid w:val="006604FA"/>
    <w:rsid w:val="00660746"/>
    <w:rsid w:val="00660879"/>
    <w:rsid w:val="00660F50"/>
    <w:rsid w:val="00661046"/>
    <w:rsid w:val="006610A3"/>
    <w:rsid w:val="00661639"/>
    <w:rsid w:val="0066174D"/>
    <w:rsid w:val="006617AA"/>
    <w:rsid w:val="006617EE"/>
    <w:rsid w:val="00661E36"/>
    <w:rsid w:val="00661F03"/>
    <w:rsid w:val="006620C8"/>
    <w:rsid w:val="006621DB"/>
    <w:rsid w:val="00662334"/>
    <w:rsid w:val="006623C3"/>
    <w:rsid w:val="00662498"/>
    <w:rsid w:val="00662800"/>
    <w:rsid w:val="006631D3"/>
    <w:rsid w:val="00663306"/>
    <w:rsid w:val="00663505"/>
    <w:rsid w:val="00663820"/>
    <w:rsid w:val="00663C1C"/>
    <w:rsid w:val="00663CA6"/>
    <w:rsid w:val="00663D0F"/>
    <w:rsid w:val="00664525"/>
    <w:rsid w:val="0066465B"/>
    <w:rsid w:val="0066474D"/>
    <w:rsid w:val="00664C81"/>
    <w:rsid w:val="00664F81"/>
    <w:rsid w:val="006650D8"/>
    <w:rsid w:val="0066521A"/>
    <w:rsid w:val="0066540C"/>
    <w:rsid w:val="006655EC"/>
    <w:rsid w:val="00665719"/>
    <w:rsid w:val="00665801"/>
    <w:rsid w:val="0066581A"/>
    <w:rsid w:val="00665E59"/>
    <w:rsid w:val="00665EAE"/>
    <w:rsid w:val="00665FAF"/>
    <w:rsid w:val="006661EA"/>
    <w:rsid w:val="00666275"/>
    <w:rsid w:val="0066634D"/>
    <w:rsid w:val="006663EB"/>
    <w:rsid w:val="00666836"/>
    <w:rsid w:val="00666909"/>
    <w:rsid w:val="00666A57"/>
    <w:rsid w:val="00666EBC"/>
    <w:rsid w:val="00667034"/>
    <w:rsid w:val="00667189"/>
    <w:rsid w:val="00667199"/>
    <w:rsid w:val="00667211"/>
    <w:rsid w:val="0066749E"/>
    <w:rsid w:val="006675F1"/>
    <w:rsid w:val="00667AA9"/>
    <w:rsid w:val="00667BFB"/>
    <w:rsid w:val="00667CCB"/>
    <w:rsid w:val="00667EFD"/>
    <w:rsid w:val="00670005"/>
    <w:rsid w:val="006700B0"/>
    <w:rsid w:val="00670475"/>
    <w:rsid w:val="0067074C"/>
    <w:rsid w:val="00670B8C"/>
    <w:rsid w:val="00670C4A"/>
    <w:rsid w:val="00670DCA"/>
    <w:rsid w:val="006712BB"/>
    <w:rsid w:val="006712EC"/>
    <w:rsid w:val="0067133B"/>
    <w:rsid w:val="00671BAF"/>
    <w:rsid w:val="00671C32"/>
    <w:rsid w:val="00671F3E"/>
    <w:rsid w:val="0067218B"/>
    <w:rsid w:val="0067240D"/>
    <w:rsid w:val="00672482"/>
    <w:rsid w:val="006724AA"/>
    <w:rsid w:val="00672A18"/>
    <w:rsid w:val="00672B94"/>
    <w:rsid w:val="006733DD"/>
    <w:rsid w:val="00673459"/>
    <w:rsid w:val="006735D0"/>
    <w:rsid w:val="006738F8"/>
    <w:rsid w:val="006739E9"/>
    <w:rsid w:val="00673BC5"/>
    <w:rsid w:val="00673D34"/>
    <w:rsid w:val="00673F94"/>
    <w:rsid w:val="00674064"/>
    <w:rsid w:val="00674AF5"/>
    <w:rsid w:val="00674CD0"/>
    <w:rsid w:val="00674D52"/>
    <w:rsid w:val="00674F93"/>
    <w:rsid w:val="00675334"/>
    <w:rsid w:val="0067546F"/>
    <w:rsid w:val="006754DB"/>
    <w:rsid w:val="00675A94"/>
    <w:rsid w:val="00675F66"/>
    <w:rsid w:val="00676477"/>
    <w:rsid w:val="0067659A"/>
    <w:rsid w:val="00676AF1"/>
    <w:rsid w:val="00676B51"/>
    <w:rsid w:val="00676CE4"/>
    <w:rsid w:val="00676EC2"/>
    <w:rsid w:val="00676FA5"/>
    <w:rsid w:val="006770F9"/>
    <w:rsid w:val="006771A4"/>
    <w:rsid w:val="006771AD"/>
    <w:rsid w:val="006774A8"/>
    <w:rsid w:val="00677572"/>
    <w:rsid w:val="006779E1"/>
    <w:rsid w:val="00677D7B"/>
    <w:rsid w:val="00677FF3"/>
    <w:rsid w:val="00677FFB"/>
    <w:rsid w:val="00681229"/>
    <w:rsid w:val="0068183B"/>
    <w:rsid w:val="0068185E"/>
    <w:rsid w:val="00681BE5"/>
    <w:rsid w:val="00681BF5"/>
    <w:rsid w:val="00681D04"/>
    <w:rsid w:val="00681E30"/>
    <w:rsid w:val="00681E68"/>
    <w:rsid w:val="0068202B"/>
    <w:rsid w:val="0068223F"/>
    <w:rsid w:val="00682671"/>
    <w:rsid w:val="0068271A"/>
    <w:rsid w:val="00683011"/>
    <w:rsid w:val="0068342B"/>
    <w:rsid w:val="00683560"/>
    <w:rsid w:val="0068379B"/>
    <w:rsid w:val="006837AB"/>
    <w:rsid w:val="00683D98"/>
    <w:rsid w:val="00683D99"/>
    <w:rsid w:val="00683F50"/>
    <w:rsid w:val="00684079"/>
    <w:rsid w:val="006841A9"/>
    <w:rsid w:val="00684229"/>
    <w:rsid w:val="0068465F"/>
    <w:rsid w:val="0068496A"/>
    <w:rsid w:val="00685D74"/>
    <w:rsid w:val="0068629B"/>
    <w:rsid w:val="0068655E"/>
    <w:rsid w:val="00686617"/>
    <w:rsid w:val="00686B7D"/>
    <w:rsid w:val="00686C12"/>
    <w:rsid w:val="00686C3B"/>
    <w:rsid w:val="00686D75"/>
    <w:rsid w:val="006870E8"/>
    <w:rsid w:val="00687309"/>
    <w:rsid w:val="0068736A"/>
    <w:rsid w:val="0068752B"/>
    <w:rsid w:val="00687597"/>
    <w:rsid w:val="00687610"/>
    <w:rsid w:val="00687745"/>
    <w:rsid w:val="00687A1A"/>
    <w:rsid w:val="00687D17"/>
    <w:rsid w:val="00690024"/>
    <w:rsid w:val="0069017B"/>
    <w:rsid w:val="0069017D"/>
    <w:rsid w:val="006901C6"/>
    <w:rsid w:val="0069036F"/>
    <w:rsid w:val="006903A4"/>
    <w:rsid w:val="00690438"/>
    <w:rsid w:val="00690659"/>
    <w:rsid w:val="00690764"/>
    <w:rsid w:val="00690883"/>
    <w:rsid w:val="00690CAA"/>
    <w:rsid w:val="00690E5A"/>
    <w:rsid w:val="00690EFB"/>
    <w:rsid w:val="0069106A"/>
    <w:rsid w:val="006911F9"/>
    <w:rsid w:val="006912CB"/>
    <w:rsid w:val="0069137B"/>
    <w:rsid w:val="006913EC"/>
    <w:rsid w:val="006914B7"/>
    <w:rsid w:val="00691742"/>
    <w:rsid w:val="00691DEE"/>
    <w:rsid w:val="00692147"/>
    <w:rsid w:val="00692242"/>
    <w:rsid w:val="0069236E"/>
    <w:rsid w:val="0069252A"/>
    <w:rsid w:val="00692704"/>
    <w:rsid w:val="006929B6"/>
    <w:rsid w:val="00692E67"/>
    <w:rsid w:val="0069319A"/>
    <w:rsid w:val="006931AB"/>
    <w:rsid w:val="00693646"/>
    <w:rsid w:val="00693699"/>
    <w:rsid w:val="00693799"/>
    <w:rsid w:val="00693963"/>
    <w:rsid w:val="00693ACF"/>
    <w:rsid w:val="00693EB2"/>
    <w:rsid w:val="00693EE5"/>
    <w:rsid w:val="00693FBC"/>
    <w:rsid w:val="006940AF"/>
    <w:rsid w:val="006942F8"/>
    <w:rsid w:val="006944C5"/>
    <w:rsid w:val="006944D3"/>
    <w:rsid w:val="00694A7E"/>
    <w:rsid w:val="00694B8D"/>
    <w:rsid w:val="00694E95"/>
    <w:rsid w:val="00695209"/>
    <w:rsid w:val="006954B7"/>
    <w:rsid w:val="006955FF"/>
    <w:rsid w:val="0069561C"/>
    <w:rsid w:val="00695634"/>
    <w:rsid w:val="006958F9"/>
    <w:rsid w:val="00695A22"/>
    <w:rsid w:val="00695B97"/>
    <w:rsid w:val="00695C8A"/>
    <w:rsid w:val="00695CEE"/>
    <w:rsid w:val="00695E16"/>
    <w:rsid w:val="00695F46"/>
    <w:rsid w:val="00695F90"/>
    <w:rsid w:val="0069600D"/>
    <w:rsid w:val="0069603A"/>
    <w:rsid w:val="00696143"/>
    <w:rsid w:val="006963AE"/>
    <w:rsid w:val="0069640F"/>
    <w:rsid w:val="0069691D"/>
    <w:rsid w:val="00696A6B"/>
    <w:rsid w:val="00696B07"/>
    <w:rsid w:val="00696FB8"/>
    <w:rsid w:val="00697053"/>
    <w:rsid w:val="0069705A"/>
    <w:rsid w:val="00697091"/>
    <w:rsid w:val="006970E1"/>
    <w:rsid w:val="00697353"/>
    <w:rsid w:val="006975CF"/>
    <w:rsid w:val="006976F1"/>
    <w:rsid w:val="00697A6B"/>
    <w:rsid w:val="006A01F4"/>
    <w:rsid w:val="006A02C8"/>
    <w:rsid w:val="006A0636"/>
    <w:rsid w:val="006A066A"/>
    <w:rsid w:val="006A06CA"/>
    <w:rsid w:val="006A083E"/>
    <w:rsid w:val="006A0B0E"/>
    <w:rsid w:val="006A0F9F"/>
    <w:rsid w:val="006A0FFD"/>
    <w:rsid w:val="006A1170"/>
    <w:rsid w:val="006A14A3"/>
    <w:rsid w:val="006A14DA"/>
    <w:rsid w:val="006A159D"/>
    <w:rsid w:val="006A18BF"/>
    <w:rsid w:val="006A1BE5"/>
    <w:rsid w:val="006A1BFD"/>
    <w:rsid w:val="006A1C9D"/>
    <w:rsid w:val="006A1DD1"/>
    <w:rsid w:val="006A1F58"/>
    <w:rsid w:val="006A23A7"/>
    <w:rsid w:val="006A242E"/>
    <w:rsid w:val="006A24FB"/>
    <w:rsid w:val="006A26AB"/>
    <w:rsid w:val="006A2752"/>
    <w:rsid w:val="006A27C5"/>
    <w:rsid w:val="006A298D"/>
    <w:rsid w:val="006A29FA"/>
    <w:rsid w:val="006A2F3C"/>
    <w:rsid w:val="006A2F80"/>
    <w:rsid w:val="006A329A"/>
    <w:rsid w:val="006A3966"/>
    <w:rsid w:val="006A3FD6"/>
    <w:rsid w:val="006A4076"/>
    <w:rsid w:val="006A436F"/>
    <w:rsid w:val="006A4380"/>
    <w:rsid w:val="006A44A2"/>
    <w:rsid w:val="006A4BAB"/>
    <w:rsid w:val="006A4E5B"/>
    <w:rsid w:val="006A52A2"/>
    <w:rsid w:val="006A531C"/>
    <w:rsid w:val="006A53AF"/>
    <w:rsid w:val="006A5652"/>
    <w:rsid w:val="006A582E"/>
    <w:rsid w:val="006A588A"/>
    <w:rsid w:val="006A59D8"/>
    <w:rsid w:val="006A5A45"/>
    <w:rsid w:val="006A5C13"/>
    <w:rsid w:val="006A5CBF"/>
    <w:rsid w:val="006A5D3F"/>
    <w:rsid w:val="006A5D81"/>
    <w:rsid w:val="006A5D8F"/>
    <w:rsid w:val="006A608E"/>
    <w:rsid w:val="006A63EB"/>
    <w:rsid w:val="006A67C0"/>
    <w:rsid w:val="006A69EC"/>
    <w:rsid w:val="006A6B7B"/>
    <w:rsid w:val="006A6CB3"/>
    <w:rsid w:val="006A6E1A"/>
    <w:rsid w:val="006A7111"/>
    <w:rsid w:val="006A71C2"/>
    <w:rsid w:val="006A73D2"/>
    <w:rsid w:val="006A73DC"/>
    <w:rsid w:val="006A75E6"/>
    <w:rsid w:val="006A78F8"/>
    <w:rsid w:val="006A7991"/>
    <w:rsid w:val="006A7C26"/>
    <w:rsid w:val="006A7CE9"/>
    <w:rsid w:val="006A7D4E"/>
    <w:rsid w:val="006A7E27"/>
    <w:rsid w:val="006A7E9A"/>
    <w:rsid w:val="006B00B9"/>
    <w:rsid w:val="006B00FD"/>
    <w:rsid w:val="006B010E"/>
    <w:rsid w:val="006B011E"/>
    <w:rsid w:val="006B0210"/>
    <w:rsid w:val="006B050D"/>
    <w:rsid w:val="006B0593"/>
    <w:rsid w:val="006B0714"/>
    <w:rsid w:val="006B091F"/>
    <w:rsid w:val="006B0CAF"/>
    <w:rsid w:val="006B0ED0"/>
    <w:rsid w:val="006B0EED"/>
    <w:rsid w:val="006B1358"/>
    <w:rsid w:val="006B147E"/>
    <w:rsid w:val="006B14BF"/>
    <w:rsid w:val="006B190E"/>
    <w:rsid w:val="006B1DF6"/>
    <w:rsid w:val="006B21D8"/>
    <w:rsid w:val="006B233F"/>
    <w:rsid w:val="006B25D7"/>
    <w:rsid w:val="006B275E"/>
    <w:rsid w:val="006B28EA"/>
    <w:rsid w:val="006B296C"/>
    <w:rsid w:val="006B298A"/>
    <w:rsid w:val="006B2CDC"/>
    <w:rsid w:val="006B2D60"/>
    <w:rsid w:val="006B2DA3"/>
    <w:rsid w:val="006B2FBB"/>
    <w:rsid w:val="006B3036"/>
    <w:rsid w:val="006B3189"/>
    <w:rsid w:val="006B378A"/>
    <w:rsid w:val="006B3BD5"/>
    <w:rsid w:val="006B3D7A"/>
    <w:rsid w:val="006B4085"/>
    <w:rsid w:val="006B4185"/>
    <w:rsid w:val="006B4224"/>
    <w:rsid w:val="006B4493"/>
    <w:rsid w:val="006B4569"/>
    <w:rsid w:val="006B45E3"/>
    <w:rsid w:val="006B4A18"/>
    <w:rsid w:val="006B4A9E"/>
    <w:rsid w:val="006B4B62"/>
    <w:rsid w:val="006B4BD7"/>
    <w:rsid w:val="006B53DC"/>
    <w:rsid w:val="006B5423"/>
    <w:rsid w:val="006B5578"/>
    <w:rsid w:val="006B5855"/>
    <w:rsid w:val="006B58CB"/>
    <w:rsid w:val="006B5AB2"/>
    <w:rsid w:val="006B5C67"/>
    <w:rsid w:val="006B64AA"/>
    <w:rsid w:val="006B64BC"/>
    <w:rsid w:val="006B64C5"/>
    <w:rsid w:val="006B6B5D"/>
    <w:rsid w:val="006B6C0D"/>
    <w:rsid w:val="006B702F"/>
    <w:rsid w:val="006B7274"/>
    <w:rsid w:val="006B7361"/>
    <w:rsid w:val="006B7825"/>
    <w:rsid w:val="006B7D68"/>
    <w:rsid w:val="006B7E84"/>
    <w:rsid w:val="006B7FEC"/>
    <w:rsid w:val="006C005B"/>
    <w:rsid w:val="006C02CC"/>
    <w:rsid w:val="006C033F"/>
    <w:rsid w:val="006C04E2"/>
    <w:rsid w:val="006C0D9C"/>
    <w:rsid w:val="006C0F54"/>
    <w:rsid w:val="006C1770"/>
    <w:rsid w:val="006C1818"/>
    <w:rsid w:val="006C181C"/>
    <w:rsid w:val="006C197A"/>
    <w:rsid w:val="006C19DA"/>
    <w:rsid w:val="006C1CCA"/>
    <w:rsid w:val="006C1F8B"/>
    <w:rsid w:val="006C1FA3"/>
    <w:rsid w:val="006C1FF3"/>
    <w:rsid w:val="006C21D7"/>
    <w:rsid w:val="006C2265"/>
    <w:rsid w:val="006C23E6"/>
    <w:rsid w:val="006C2721"/>
    <w:rsid w:val="006C27AD"/>
    <w:rsid w:val="006C2E7B"/>
    <w:rsid w:val="006C2FA5"/>
    <w:rsid w:val="006C2FDF"/>
    <w:rsid w:val="006C30AC"/>
    <w:rsid w:val="006C3234"/>
    <w:rsid w:val="006C323A"/>
    <w:rsid w:val="006C3868"/>
    <w:rsid w:val="006C38FF"/>
    <w:rsid w:val="006C39EC"/>
    <w:rsid w:val="006C3C79"/>
    <w:rsid w:val="006C3E6E"/>
    <w:rsid w:val="006C3EEA"/>
    <w:rsid w:val="006C429E"/>
    <w:rsid w:val="006C4359"/>
    <w:rsid w:val="006C43A6"/>
    <w:rsid w:val="006C44EC"/>
    <w:rsid w:val="006C4613"/>
    <w:rsid w:val="006C4A4A"/>
    <w:rsid w:val="006C5114"/>
    <w:rsid w:val="006C52AF"/>
    <w:rsid w:val="006C53EB"/>
    <w:rsid w:val="006C561F"/>
    <w:rsid w:val="006C57DC"/>
    <w:rsid w:val="006C589F"/>
    <w:rsid w:val="006C5944"/>
    <w:rsid w:val="006C597A"/>
    <w:rsid w:val="006C5D29"/>
    <w:rsid w:val="006C5D8F"/>
    <w:rsid w:val="006C5DF1"/>
    <w:rsid w:val="006C621B"/>
    <w:rsid w:val="006C62F6"/>
    <w:rsid w:val="006C64B1"/>
    <w:rsid w:val="006C650D"/>
    <w:rsid w:val="006C69A5"/>
    <w:rsid w:val="006C6A4D"/>
    <w:rsid w:val="006C6CF3"/>
    <w:rsid w:val="006C7034"/>
    <w:rsid w:val="006C707A"/>
    <w:rsid w:val="006C71F9"/>
    <w:rsid w:val="006C731D"/>
    <w:rsid w:val="006C7740"/>
    <w:rsid w:val="006C77AE"/>
    <w:rsid w:val="006C7894"/>
    <w:rsid w:val="006D0389"/>
    <w:rsid w:val="006D042D"/>
    <w:rsid w:val="006D0848"/>
    <w:rsid w:val="006D0B40"/>
    <w:rsid w:val="006D0BA5"/>
    <w:rsid w:val="006D0C15"/>
    <w:rsid w:val="006D0D8B"/>
    <w:rsid w:val="006D0F34"/>
    <w:rsid w:val="006D0FBF"/>
    <w:rsid w:val="006D10DC"/>
    <w:rsid w:val="006D145F"/>
    <w:rsid w:val="006D1586"/>
    <w:rsid w:val="006D19C1"/>
    <w:rsid w:val="006D19DD"/>
    <w:rsid w:val="006D1B7A"/>
    <w:rsid w:val="006D1D85"/>
    <w:rsid w:val="006D1E72"/>
    <w:rsid w:val="006D1FC3"/>
    <w:rsid w:val="006D2132"/>
    <w:rsid w:val="006D2827"/>
    <w:rsid w:val="006D2848"/>
    <w:rsid w:val="006D2B19"/>
    <w:rsid w:val="006D2EC9"/>
    <w:rsid w:val="006D328A"/>
    <w:rsid w:val="006D3A05"/>
    <w:rsid w:val="006D3B62"/>
    <w:rsid w:val="006D3FDF"/>
    <w:rsid w:val="006D424C"/>
    <w:rsid w:val="006D4523"/>
    <w:rsid w:val="006D4527"/>
    <w:rsid w:val="006D4679"/>
    <w:rsid w:val="006D4A27"/>
    <w:rsid w:val="006D4B05"/>
    <w:rsid w:val="006D4B85"/>
    <w:rsid w:val="006D4EB3"/>
    <w:rsid w:val="006D4EE5"/>
    <w:rsid w:val="006D4F4A"/>
    <w:rsid w:val="006D4F86"/>
    <w:rsid w:val="006D5549"/>
    <w:rsid w:val="006D5C2A"/>
    <w:rsid w:val="006D5C6D"/>
    <w:rsid w:val="006D5CE1"/>
    <w:rsid w:val="006D5F98"/>
    <w:rsid w:val="006D6358"/>
    <w:rsid w:val="006D6508"/>
    <w:rsid w:val="006D6665"/>
    <w:rsid w:val="006D6722"/>
    <w:rsid w:val="006D686F"/>
    <w:rsid w:val="006D6D14"/>
    <w:rsid w:val="006D6F5D"/>
    <w:rsid w:val="006D7098"/>
    <w:rsid w:val="006D719F"/>
    <w:rsid w:val="006D7300"/>
    <w:rsid w:val="006D740E"/>
    <w:rsid w:val="006D772C"/>
    <w:rsid w:val="006D7C8A"/>
    <w:rsid w:val="006D7E7F"/>
    <w:rsid w:val="006D7F72"/>
    <w:rsid w:val="006E00B7"/>
    <w:rsid w:val="006E020D"/>
    <w:rsid w:val="006E04CB"/>
    <w:rsid w:val="006E0595"/>
    <w:rsid w:val="006E0603"/>
    <w:rsid w:val="006E0B02"/>
    <w:rsid w:val="006E0CB5"/>
    <w:rsid w:val="006E0E5B"/>
    <w:rsid w:val="006E132F"/>
    <w:rsid w:val="006E160B"/>
    <w:rsid w:val="006E173B"/>
    <w:rsid w:val="006E177D"/>
    <w:rsid w:val="006E1A6A"/>
    <w:rsid w:val="006E1C5E"/>
    <w:rsid w:val="006E2345"/>
    <w:rsid w:val="006E2419"/>
    <w:rsid w:val="006E2701"/>
    <w:rsid w:val="006E2C65"/>
    <w:rsid w:val="006E2E3B"/>
    <w:rsid w:val="006E3023"/>
    <w:rsid w:val="006E3369"/>
    <w:rsid w:val="006E36B0"/>
    <w:rsid w:val="006E3D12"/>
    <w:rsid w:val="006E4139"/>
    <w:rsid w:val="006E4438"/>
    <w:rsid w:val="006E449C"/>
    <w:rsid w:val="006E44B6"/>
    <w:rsid w:val="006E4726"/>
    <w:rsid w:val="006E4E72"/>
    <w:rsid w:val="006E4EA3"/>
    <w:rsid w:val="006E4FCD"/>
    <w:rsid w:val="006E5012"/>
    <w:rsid w:val="006E50D0"/>
    <w:rsid w:val="006E5103"/>
    <w:rsid w:val="006E52AA"/>
    <w:rsid w:val="006E531B"/>
    <w:rsid w:val="006E549E"/>
    <w:rsid w:val="006E54F5"/>
    <w:rsid w:val="006E57B8"/>
    <w:rsid w:val="006E57E8"/>
    <w:rsid w:val="006E5B0B"/>
    <w:rsid w:val="006E5CBE"/>
    <w:rsid w:val="006E5D2A"/>
    <w:rsid w:val="006E6376"/>
    <w:rsid w:val="006E64FB"/>
    <w:rsid w:val="006E6511"/>
    <w:rsid w:val="006E660F"/>
    <w:rsid w:val="006E663E"/>
    <w:rsid w:val="006E6655"/>
    <w:rsid w:val="006E6801"/>
    <w:rsid w:val="006E6D05"/>
    <w:rsid w:val="006E6EDF"/>
    <w:rsid w:val="006E719A"/>
    <w:rsid w:val="006E7931"/>
    <w:rsid w:val="006E7BA5"/>
    <w:rsid w:val="006F00B6"/>
    <w:rsid w:val="006F0163"/>
    <w:rsid w:val="006F01E8"/>
    <w:rsid w:val="006F028F"/>
    <w:rsid w:val="006F02D7"/>
    <w:rsid w:val="006F06C6"/>
    <w:rsid w:val="006F07FA"/>
    <w:rsid w:val="006F0CD6"/>
    <w:rsid w:val="006F0EBB"/>
    <w:rsid w:val="006F11D6"/>
    <w:rsid w:val="006F11DF"/>
    <w:rsid w:val="006F1758"/>
    <w:rsid w:val="006F1956"/>
    <w:rsid w:val="006F1E96"/>
    <w:rsid w:val="006F2133"/>
    <w:rsid w:val="006F28FC"/>
    <w:rsid w:val="006F29F9"/>
    <w:rsid w:val="006F2C9D"/>
    <w:rsid w:val="006F2D23"/>
    <w:rsid w:val="006F2D24"/>
    <w:rsid w:val="006F30D2"/>
    <w:rsid w:val="006F30E7"/>
    <w:rsid w:val="006F3109"/>
    <w:rsid w:val="006F36E2"/>
    <w:rsid w:val="006F37F7"/>
    <w:rsid w:val="006F38C3"/>
    <w:rsid w:val="006F3909"/>
    <w:rsid w:val="006F3C47"/>
    <w:rsid w:val="006F4036"/>
    <w:rsid w:val="006F410D"/>
    <w:rsid w:val="006F428E"/>
    <w:rsid w:val="006F4315"/>
    <w:rsid w:val="006F452E"/>
    <w:rsid w:val="006F48E1"/>
    <w:rsid w:val="006F4A8C"/>
    <w:rsid w:val="006F4E68"/>
    <w:rsid w:val="006F5160"/>
    <w:rsid w:val="006F5374"/>
    <w:rsid w:val="006F5CF9"/>
    <w:rsid w:val="006F6025"/>
    <w:rsid w:val="006F60DF"/>
    <w:rsid w:val="006F60EB"/>
    <w:rsid w:val="006F661B"/>
    <w:rsid w:val="006F68C1"/>
    <w:rsid w:val="006F6B60"/>
    <w:rsid w:val="006F6CD4"/>
    <w:rsid w:val="006F6CE2"/>
    <w:rsid w:val="006F6E07"/>
    <w:rsid w:val="006F6E10"/>
    <w:rsid w:val="006F71F2"/>
    <w:rsid w:val="006F7449"/>
    <w:rsid w:val="006F7800"/>
    <w:rsid w:val="006F7802"/>
    <w:rsid w:val="006F788E"/>
    <w:rsid w:val="006F7E8A"/>
    <w:rsid w:val="0070003A"/>
    <w:rsid w:val="007003A0"/>
    <w:rsid w:val="0070047E"/>
    <w:rsid w:val="007005F9"/>
    <w:rsid w:val="00700809"/>
    <w:rsid w:val="00700E9D"/>
    <w:rsid w:val="007010FE"/>
    <w:rsid w:val="007014F8"/>
    <w:rsid w:val="0070150D"/>
    <w:rsid w:val="007016D2"/>
    <w:rsid w:val="007018D8"/>
    <w:rsid w:val="00701BCB"/>
    <w:rsid w:val="00701CEA"/>
    <w:rsid w:val="00701DED"/>
    <w:rsid w:val="00701EC7"/>
    <w:rsid w:val="00701FC2"/>
    <w:rsid w:val="00702079"/>
    <w:rsid w:val="00702121"/>
    <w:rsid w:val="007022F8"/>
    <w:rsid w:val="007024A4"/>
    <w:rsid w:val="007026F8"/>
    <w:rsid w:val="00702788"/>
    <w:rsid w:val="0070291B"/>
    <w:rsid w:val="007029E8"/>
    <w:rsid w:val="00702C89"/>
    <w:rsid w:val="00702D2C"/>
    <w:rsid w:val="00702D9C"/>
    <w:rsid w:val="00702FBD"/>
    <w:rsid w:val="00703107"/>
    <w:rsid w:val="00703138"/>
    <w:rsid w:val="00703277"/>
    <w:rsid w:val="00703319"/>
    <w:rsid w:val="0070356D"/>
    <w:rsid w:val="00703981"/>
    <w:rsid w:val="00703C0A"/>
    <w:rsid w:val="00703CCF"/>
    <w:rsid w:val="00703D67"/>
    <w:rsid w:val="00703D7E"/>
    <w:rsid w:val="00703DE6"/>
    <w:rsid w:val="00703E41"/>
    <w:rsid w:val="007041A7"/>
    <w:rsid w:val="00704632"/>
    <w:rsid w:val="00704644"/>
    <w:rsid w:val="0070495F"/>
    <w:rsid w:val="00704B6E"/>
    <w:rsid w:val="00704F73"/>
    <w:rsid w:val="0070508D"/>
    <w:rsid w:val="0070524A"/>
    <w:rsid w:val="0070542E"/>
    <w:rsid w:val="00705605"/>
    <w:rsid w:val="00705720"/>
    <w:rsid w:val="00705A16"/>
    <w:rsid w:val="00705C1D"/>
    <w:rsid w:val="00706096"/>
    <w:rsid w:val="007060D4"/>
    <w:rsid w:val="0070624C"/>
    <w:rsid w:val="007062C8"/>
    <w:rsid w:val="00706451"/>
    <w:rsid w:val="00706481"/>
    <w:rsid w:val="00706594"/>
    <w:rsid w:val="00706662"/>
    <w:rsid w:val="00706995"/>
    <w:rsid w:val="00706A11"/>
    <w:rsid w:val="00706EB3"/>
    <w:rsid w:val="007071A0"/>
    <w:rsid w:val="0070729C"/>
    <w:rsid w:val="0070744C"/>
    <w:rsid w:val="00707D4F"/>
    <w:rsid w:val="00707E0F"/>
    <w:rsid w:val="007100F9"/>
    <w:rsid w:val="007101CA"/>
    <w:rsid w:val="0071068A"/>
    <w:rsid w:val="0071070B"/>
    <w:rsid w:val="00710717"/>
    <w:rsid w:val="00710E19"/>
    <w:rsid w:val="00710E3B"/>
    <w:rsid w:val="00710E52"/>
    <w:rsid w:val="00710EC2"/>
    <w:rsid w:val="0071127F"/>
    <w:rsid w:val="0071154B"/>
    <w:rsid w:val="007116B6"/>
    <w:rsid w:val="0071174F"/>
    <w:rsid w:val="0071196A"/>
    <w:rsid w:val="00711BA3"/>
    <w:rsid w:val="00711C03"/>
    <w:rsid w:val="00711C47"/>
    <w:rsid w:val="00711C73"/>
    <w:rsid w:val="0071213F"/>
    <w:rsid w:val="0071227C"/>
    <w:rsid w:val="007125CF"/>
    <w:rsid w:val="00712E78"/>
    <w:rsid w:val="00713190"/>
    <w:rsid w:val="007131CF"/>
    <w:rsid w:val="007131FB"/>
    <w:rsid w:val="00713222"/>
    <w:rsid w:val="00713297"/>
    <w:rsid w:val="007132C0"/>
    <w:rsid w:val="007132CD"/>
    <w:rsid w:val="007133C0"/>
    <w:rsid w:val="007134E6"/>
    <w:rsid w:val="00713613"/>
    <w:rsid w:val="007137C6"/>
    <w:rsid w:val="007138FC"/>
    <w:rsid w:val="0071393D"/>
    <w:rsid w:val="00713A86"/>
    <w:rsid w:val="00713AC6"/>
    <w:rsid w:val="00713BDF"/>
    <w:rsid w:val="00713E79"/>
    <w:rsid w:val="00714245"/>
    <w:rsid w:val="007147A2"/>
    <w:rsid w:val="00714B90"/>
    <w:rsid w:val="00714BC7"/>
    <w:rsid w:val="00714C20"/>
    <w:rsid w:val="0071533A"/>
    <w:rsid w:val="0071533E"/>
    <w:rsid w:val="00715441"/>
    <w:rsid w:val="00715445"/>
    <w:rsid w:val="0071555D"/>
    <w:rsid w:val="00715739"/>
    <w:rsid w:val="0071576C"/>
    <w:rsid w:val="00715C94"/>
    <w:rsid w:val="00715E54"/>
    <w:rsid w:val="00715EA7"/>
    <w:rsid w:val="00715F5A"/>
    <w:rsid w:val="00715F73"/>
    <w:rsid w:val="007161D8"/>
    <w:rsid w:val="00716460"/>
    <w:rsid w:val="007164F4"/>
    <w:rsid w:val="00716A09"/>
    <w:rsid w:val="007170DB"/>
    <w:rsid w:val="007171F2"/>
    <w:rsid w:val="00717880"/>
    <w:rsid w:val="00717A70"/>
    <w:rsid w:val="00717CA8"/>
    <w:rsid w:val="007204FD"/>
    <w:rsid w:val="007205E7"/>
    <w:rsid w:val="007209C4"/>
    <w:rsid w:val="00720D42"/>
    <w:rsid w:val="00720D99"/>
    <w:rsid w:val="00720F99"/>
    <w:rsid w:val="00721121"/>
    <w:rsid w:val="00721335"/>
    <w:rsid w:val="0072137B"/>
    <w:rsid w:val="007217CB"/>
    <w:rsid w:val="0072181E"/>
    <w:rsid w:val="007219AB"/>
    <w:rsid w:val="00721ACB"/>
    <w:rsid w:val="00721E9E"/>
    <w:rsid w:val="00721F50"/>
    <w:rsid w:val="00721F90"/>
    <w:rsid w:val="00721FBB"/>
    <w:rsid w:val="00722659"/>
    <w:rsid w:val="007227AC"/>
    <w:rsid w:val="007227FE"/>
    <w:rsid w:val="0072290A"/>
    <w:rsid w:val="00722CA0"/>
    <w:rsid w:val="00722CEF"/>
    <w:rsid w:val="007233C3"/>
    <w:rsid w:val="00723521"/>
    <w:rsid w:val="007237B2"/>
    <w:rsid w:val="00723C95"/>
    <w:rsid w:val="00723FFA"/>
    <w:rsid w:val="007240A7"/>
    <w:rsid w:val="007240C6"/>
    <w:rsid w:val="007244E7"/>
    <w:rsid w:val="00724599"/>
    <w:rsid w:val="00724A77"/>
    <w:rsid w:val="00724B9D"/>
    <w:rsid w:val="00724E77"/>
    <w:rsid w:val="00724F86"/>
    <w:rsid w:val="0072505F"/>
    <w:rsid w:val="00725128"/>
    <w:rsid w:val="00725241"/>
    <w:rsid w:val="007254F0"/>
    <w:rsid w:val="00725B00"/>
    <w:rsid w:val="00725E54"/>
    <w:rsid w:val="0072680C"/>
    <w:rsid w:val="00726845"/>
    <w:rsid w:val="0072698B"/>
    <w:rsid w:val="00726A21"/>
    <w:rsid w:val="00726A25"/>
    <w:rsid w:val="00726AD0"/>
    <w:rsid w:val="00726B3D"/>
    <w:rsid w:val="00726B9C"/>
    <w:rsid w:val="00726C64"/>
    <w:rsid w:val="00726C82"/>
    <w:rsid w:val="00726CE1"/>
    <w:rsid w:val="00726FC6"/>
    <w:rsid w:val="0072738E"/>
    <w:rsid w:val="007276AE"/>
    <w:rsid w:val="00727B49"/>
    <w:rsid w:val="0073005C"/>
    <w:rsid w:val="0073055C"/>
    <w:rsid w:val="0073089B"/>
    <w:rsid w:val="00730C3F"/>
    <w:rsid w:val="00730D12"/>
    <w:rsid w:val="00730D83"/>
    <w:rsid w:val="007310B7"/>
    <w:rsid w:val="00731104"/>
    <w:rsid w:val="00731237"/>
    <w:rsid w:val="00731303"/>
    <w:rsid w:val="00731445"/>
    <w:rsid w:val="00731AD1"/>
    <w:rsid w:val="00731D60"/>
    <w:rsid w:val="00731DEA"/>
    <w:rsid w:val="00731E26"/>
    <w:rsid w:val="0073207E"/>
    <w:rsid w:val="00732149"/>
    <w:rsid w:val="007321AD"/>
    <w:rsid w:val="00732364"/>
    <w:rsid w:val="00732664"/>
    <w:rsid w:val="00732BA7"/>
    <w:rsid w:val="00732C43"/>
    <w:rsid w:val="00732FF5"/>
    <w:rsid w:val="007332A0"/>
    <w:rsid w:val="007333EA"/>
    <w:rsid w:val="00733436"/>
    <w:rsid w:val="00733535"/>
    <w:rsid w:val="00733601"/>
    <w:rsid w:val="00733699"/>
    <w:rsid w:val="00733881"/>
    <w:rsid w:val="00733A57"/>
    <w:rsid w:val="00733CA4"/>
    <w:rsid w:val="00733E17"/>
    <w:rsid w:val="00733F36"/>
    <w:rsid w:val="00733FA5"/>
    <w:rsid w:val="007340CE"/>
    <w:rsid w:val="00734173"/>
    <w:rsid w:val="0073464E"/>
    <w:rsid w:val="00734781"/>
    <w:rsid w:val="00734801"/>
    <w:rsid w:val="0073492D"/>
    <w:rsid w:val="007349C6"/>
    <w:rsid w:val="007349FC"/>
    <w:rsid w:val="00734B6F"/>
    <w:rsid w:val="00734EAA"/>
    <w:rsid w:val="00734EEC"/>
    <w:rsid w:val="00735293"/>
    <w:rsid w:val="00735376"/>
    <w:rsid w:val="007354FE"/>
    <w:rsid w:val="0073579C"/>
    <w:rsid w:val="00735863"/>
    <w:rsid w:val="00735A9D"/>
    <w:rsid w:val="00736299"/>
    <w:rsid w:val="007362CB"/>
    <w:rsid w:val="007362F3"/>
    <w:rsid w:val="007362FE"/>
    <w:rsid w:val="007363A4"/>
    <w:rsid w:val="007363EA"/>
    <w:rsid w:val="00736E06"/>
    <w:rsid w:val="00736E37"/>
    <w:rsid w:val="00737286"/>
    <w:rsid w:val="007373DB"/>
    <w:rsid w:val="007375F8"/>
    <w:rsid w:val="0073779E"/>
    <w:rsid w:val="00737A1B"/>
    <w:rsid w:val="00737B40"/>
    <w:rsid w:val="00737F27"/>
    <w:rsid w:val="00737FD3"/>
    <w:rsid w:val="00740558"/>
    <w:rsid w:val="007407DB"/>
    <w:rsid w:val="0074085F"/>
    <w:rsid w:val="00740877"/>
    <w:rsid w:val="00740BFC"/>
    <w:rsid w:val="00740D74"/>
    <w:rsid w:val="00740EC5"/>
    <w:rsid w:val="00740F76"/>
    <w:rsid w:val="00741037"/>
    <w:rsid w:val="00741553"/>
    <w:rsid w:val="00741576"/>
    <w:rsid w:val="007415FA"/>
    <w:rsid w:val="00741668"/>
    <w:rsid w:val="0074198F"/>
    <w:rsid w:val="00741A8F"/>
    <w:rsid w:val="00741AFA"/>
    <w:rsid w:val="00741F19"/>
    <w:rsid w:val="00742139"/>
    <w:rsid w:val="007422B3"/>
    <w:rsid w:val="007424BF"/>
    <w:rsid w:val="007425CB"/>
    <w:rsid w:val="007426A4"/>
    <w:rsid w:val="00742F11"/>
    <w:rsid w:val="00742F72"/>
    <w:rsid w:val="007434BD"/>
    <w:rsid w:val="007435F1"/>
    <w:rsid w:val="00743DDD"/>
    <w:rsid w:val="00743E0C"/>
    <w:rsid w:val="00743E9F"/>
    <w:rsid w:val="0074415D"/>
    <w:rsid w:val="00744625"/>
    <w:rsid w:val="007446BB"/>
    <w:rsid w:val="00745882"/>
    <w:rsid w:val="00745A04"/>
    <w:rsid w:val="00745A0F"/>
    <w:rsid w:val="00745B8C"/>
    <w:rsid w:val="00745D2B"/>
    <w:rsid w:val="00745DFD"/>
    <w:rsid w:val="00746197"/>
    <w:rsid w:val="007462BF"/>
    <w:rsid w:val="007465B5"/>
    <w:rsid w:val="00746842"/>
    <w:rsid w:val="0074689C"/>
    <w:rsid w:val="00746905"/>
    <w:rsid w:val="0074693F"/>
    <w:rsid w:val="00746B3F"/>
    <w:rsid w:val="00747117"/>
    <w:rsid w:val="007474C9"/>
    <w:rsid w:val="007475C3"/>
    <w:rsid w:val="00747973"/>
    <w:rsid w:val="007479C2"/>
    <w:rsid w:val="00747B0D"/>
    <w:rsid w:val="007503B0"/>
    <w:rsid w:val="007505BC"/>
    <w:rsid w:val="00750712"/>
    <w:rsid w:val="00750872"/>
    <w:rsid w:val="00750F95"/>
    <w:rsid w:val="00751087"/>
    <w:rsid w:val="0075111B"/>
    <w:rsid w:val="007511BA"/>
    <w:rsid w:val="00751263"/>
    <w:rsid w:val="00751452"/>
    <w:rsid w:val="00751B16"/>
    <w:rsid w:val="00751D06"/>
    <w:rsid w:val="00751D74"/>
    <w:rsid w:val="007521A5"/>
    <w:rsid w:val="00752243"/>
    <w:rsid w:val="00752DAF"/>
    <w:rsid w:val="00753184"/>
    <w:rsid w:val="007531BA"/>
    <w:rsid w:val="0075345D"/>
    <w:rsid w:val="007534CB"/>
    <w:rsid w:val="00753533"/>
    <w:rsid w:val="0075378D"/>
    <w:rsid w:val="00753959"/>
    <w:rsid w:val="00753DD6"/>
    <w:rsid w:val="00753E22"/>
    <w:rsid w:val="007542AF"/>
    <w:rsid w:val="00754A4A"/>
    <w:rsid w:val="007556F0"/>
    <w:rsid w:val="00755A7A"/>
    <w:rsid w:val="00755C16"/>
    <w:rsid w:val="00755CCB"/>
    <w:rsid w:val="00755F38"/>
    <w:rsid w:val="00756477"/>
    <w:rsid w:val="007567A8"/>
    <w:rsid w:val="00756B3F"/>
    <w:rsid w:val="00756E84"/>
    <w:rsid w:val="00757451"/>
    <w:rsid w:val="00757510"/>
    <w:rsid w:val="00757726"/>
    <w:rsid w:val="00757A8F"/>
    <w:rsid w:val="00757D8D"/>
    <w:rsid w:val="00760098"/>
    <w:rsid w:val="007605DC"/>
    <w:rsid w:val="00760881"/>
    <w:rsid w:val="00760AB6"/>
    <w:rsid w:val="00760D1E"/>
    <w:rsid w:val="00760D65"/>
    <w:rsid w:val="00760F66"/>
    <w:rsid w:val="00761103"/>
    <w:rsid w:val="007611F8"/>
    <w:rsid w:val="00761200"/>
    <w:rsid w:val="00761291"/>
    <w:rsid w:val="007613BC"/>
    <w:rsid w:val="007615F6"/>
    <w:rsid w:val="00761774"/>
    <w:rsid w:val="007618E2"/>
    <w:rsid w:val="00761931"/>
    <w:rsid w:val="00761B1B"/>
    <w:rsid w:val="00761BD1"/>
    <w:rsid w:val="00761CAF"/>
    <w:rsid w:val="00761F50"/>
    <w:rsid w:val="007623B4"/>
    <w:rsid w:val="00762555"/>
    <w:rsid w:val="00762710"/>
    <w:rsid w:val="0076278C"/>
    <w:rsid w:val="007627BA"/>
    <w:rsid w:val="007627C9"/>
    <w:rsid w:val="007627FF"/>
    <w:rsid w:val="007628D5"/>
    <w:rsid w:val="0076291E"/>
    <w:rsid w:val="00762AAA"/>
    <w:rsid w:val="00762D81"/>
    <w:rsid w:val="007630B7"/>
    <w:rsid w:val="0076317B"/>
    <w:rsid w:val="0076342A"/>
    <w:rsid w:val="007634C7"/>
    <w:rsid w:val="007637F4"/>
    <w:rsid w:val="00763CB9"/>
    <w:rsid w:val="00763D32"/>
    <w:rsid w:val="007642CC"/>
    <w:rsid w:val="007643D5"/>
    <w:rsid w:val="00764576"/>
    <w:rsid w:val="007652CC"/>
    <w:rsid w:val="00765366"/>
    <w:rsid w:val="0076553A"/>
    <w:rsid w:val="00765614"/>
    <w:rsid w:val="00765914"/>
    <w:rsid w:val="0076595C"/>
    <w:rsid w:val="00765F01"/>
    <w:rsid w:val="0076614D"/>
    <w:rsid w:val="0076624C"/>
    <w:rsid w:val="0076627D"/>
    <w:rsid w:val="00766304"/>
    <w:rsid w:val="00766653"/>
    <w:rsid w:val="00766867"/>
    <w:rsid w:val="00766886"/>
    <w:rsid w:val="0076714F"/>
    <w:rsid w:val="0076777D"/>
    <w:rsid w:val="00767845"/>
    <w:rsid w:val="0076790A"/>
    <w:rsid w:val="00767A28"/>
    <w:rsid w:val="00767DD2"/>
    <w:rsid w:val="0077034F"/>
    <w:rsid w:val="007705DA"/>
    <w:rsid w:val="0077074D"/>
    <w:rsid w:val="0077078E"/>
    <w:rsid w:val="007707A9"/>
    <w:rsid w:val="007707E6"/>
    <w:rsid w:val="0077082B"/>
    <w:rsid w:val="00770B03"/>
    <w:rsid w:val="00770B12"/>
    <w:rsid w:val="00770E60"/>
    <w:rsid w:val="00770F36"/>
    <w:rsid w:val="00771448"/>
    <w:rsid w:val="00771944"/>
    <w:rsid w:val="00771C8F"/>
    <w:rsid w:val="00771DB2"/>
    <w:rsid w:val="00772019"/>
    <w:rsid w:val="00772057"/>
    <w:rsid w:val="00772177"/>
    <w:rsid w:val="00772468"/>
    <w:rsid w:val="0077266E"/>
    <w:rsid w:val="0077292E"/>
    <w:rsid w:val="00772CC4"/>
    <w:rsid w:val="00772DB0"/>
    <w:rsid w:val="007737D8"/>
    <w:rsid w:val="0077391C"/>
    <w:rsid w:val="00773D24"/>
    <w:rsid w:val="00773EEC"/>
    <w:rsid w:val="00773FA6"/>
    <w:rsid w:val="0077428F"/>
    <w:rsid w:val="00774322"/>
    <w:rsid w:val="00774576"/>
    <w:rsid w:val="00774734"/>
    <w:rsid w:val="007747C2"/>
    <w:rsid w:val="00774838"/>
    <w:rsid w:val="00774A91"/>
    <w:rsid w:val="00774C96"/>
    <w:rsid w:val="00774F2B"/>
    <w:rsid w:val="0077508A"/>
    <w:rsid w:val="007751CD"/>
    <w:rsid w:val="00775567"/>
    <w:rsid w:val="0077577C"/>
    <w:rsid w:val="007757B8"/>
    <w:rsid w:val="0077590F"/>
    <w:rsid w:val="007759C3"/>
    <w:rsid w:val="00775D01"/>
    <w:rsid w:val="00775E0D"/>
    <w:rsid w:val="00775E8D"/>
    <w:rsid w:val="00775F9D"/>
    <w:rsid w:val="007761A6"/>
    <w:rsid w:val="007762A7"/>
    <w:rsid w:val="00776343"/>
    <w:rsid w:val="00776416"/>
    <w:rsid w:val="0077641A"/>
    <w:rsid w:val="00776490"/>
    <w:rsid w:val="00776B35"/>
    <w:rsid w:val="00776C7B"/>
    <w:rsid w:val="00776CCB"/>
    <w:rsid w:val="00776CEF"/>
    <w:rsid w:val="00776DF7"/>
    <w:rsid w:val="007778E8"/>
    <w:rsid w:val="0077790B"/>
    <w:rsid w:val="00777E7E"/>
    <w:rsid w:val="00780194"/>
    <w:rsid w:val="00780460"/>
    <w:rsid w:val="007804DD"/>
    <w:rsid w:val="0078057E"/>
    <w:rsid w:val="007805F8"/>
    <w:rsid w:val="007805FA"/>
    <w:rsid w:val="0078065D"/>
    <w:rsid w:val="007808D3"/>
    <w:rsid w:val="0078095A"/>
    <w:rsid w:val="00780D64"/>
    <w:rsid w:val="00780F3B"/>
    <w:rsid w:val="00780FFC"/>
    <w:rsid w:val="007810FF"/>
    <w:rsid w:val="007816EE"/>
    <w:rsid w:val="00781862"/>
    <w:rsid w:val="00781B1F"/>
    <w:rsid w:val="00782071"/>
    <w:rsid w:val="007826D7"/>
    <w:rsid w:val="007827E0"/>
    <w:rsid w:val="00782942"/>
    <w:rsid w:val="00782946"/>
    <w:rsid w:val="007829D9"/>
    <w:rsid w:val="00782A80"/>
    <w:rsid w:val="00782AB1"/>
    <w:rsid w:val="00782CD2"/>
    <w:rsid w:val="00782EB7"/>
    <w:rsid w:val="00782ECD"/>
    <w:rsid w:val="007832D9"/>
    <w:rsid w:val="0078363B"/>
    <w:rsid w:val="00783BA1"/>
    <w:rsid w:val="00783CCF"/>
    <w:rsid w:val="00783F5B"/>
    <w:rsid w:val="00784272"/>
    <w:rsid w:val="007842FA"/>
    <w:rsid w:val="007845AF"/>
    <w:rsid w:val="00784609"/>
    <w:rsid w:val="00784720"/>
    <w:rsid w:val="00784768"/>
    <w:rsid w:val="0078478E"/>
    <w:rsid w:val="0078481D"/>
    <w:rsid w:val="00784991"/>
    <w:rsid w:val="00784F9C"/>
    <w:rsid w:val="0078541E"/>
    <w:rsid w:val="00785563"/>
    <w:rsid w:val="007858B7"/>
    <w:rsid w:val="00785929"/>
    <w:rsid w:val="007859FC"/>
    <w:rsid w:val="00785B13"/>
    <w:rsid w:val="00785CF8"/>
    <w:rsid w:val="00785F4C"/>
    <w:rsid w:val="0078604B"/>
    <w:rsid w:val="0078609C"/>
    <w:rsid w:val="00786355"/>
    <w:rsid w:val="00786A9F"/>
    <w:rsid w:val="00786E5F"/>
    <w:rsid w:val="00787370"/>
    <w:rsid w:val="007874AE"/>
    <w:rsid w:val="0078750B"/>
    <w:rsid w:val="0078774E"/>
    <w:rsid w:val="00787DB9"/>
    <w:rsid w:val="00787F5E"/>
    <w:rsid w:val="00787F7A"/>
    <w:rsid w:val="0079024D"/>
    <w:rsid w:val="00790395"/>
    <w:rsid w:val="00790CA8"/>
    <w:rsid w:val="00790CB6"/>
    <w:rsid w:val="007911B8"/>
    <w:rsid w:val="0079157A"/>
    <w:rsid w:val="0079187A"/>
    <w:rsid w:val="00791961"/>
    <w:rsid w:val="00791A5B"/>
    <w:rsid w:val="00791C0B"/>
    <w:rsid w:val="00791C9B"/>
    <w:rsid w:val="00791DAE"/>
    <w:rsid w:val="00791DF6"/>
    <w:rsid w:val="007923E9"/>
    <w:rsid w:val="0079282F"/>
    <w:rsid w:val="00792930"/>
    <w:rsid w:val="00792D6A"/>
    <w:rsid w:val="00792D72"/>
    <w:rsid w:val="00792DF3"/>
    <w:rsid w:val="00792EF3"/>
    <w:rsid w:val="007930E8"/>
    <w:rsid w:val="007935F5"/>
    <w:rsid w:val="00793C69"/>
    <w:rsid w:val="00793D04"/>
    <w:rsid w:val="00793E8D"/>
    <w:rsid w:val="00793F28"/>
    <w:rsid w:val="00793FDB"/>
    <w:rsid w:val="00794252"/>
    <w:rsid w:val="007944D2"/>
    <w:rsid w:val="00794520"/>
    <w:rsid w:val="00794728"/>
    <w:rsid w:val="00794A17"/>
    <w:rsid w:val="00794B19"/>
    <w:rsid w:val="00794D93"/>
    <w:rsid w:val="007952D0"/>
    <w:rsid w:val="0079566E"/>
    <w:rsid w:val="0079593A"/>
    <w:rsid w:val="00795A4C"/>
    <w:rsid w:val="00795B8D"/>
    <w:rsid w:val="00795D03"/>
    <w:rsid w:val="00795EB9"/>
    <w:rsid w:val="00795F0E"/>
    <w:rsid w:val="00796031"/>
    <w:rsid w:val="007960A9"/>
    <w:rsid w:val="00796210"/>
    <w:rsid w:val="00796921"/>
    <w:rsid w:val="0079703F"/>
    <w:rsid w:val="00797111"/>
    <w:rsid w:val="0079737B"/>
    <w:rsid w:val="007975E9"/>
    <w:rsid w:val="00797AAD"/>
    <w:rsid w:val="00797C13"/>
    <w:rsid w:val="00797C8F"/>
    <w:rsid w:val="00797D8F"/>
    <w:rsid w:val="00797E14"/>
    <w:rsid w:val="007A02C7"/>
    <w:rsid w:val="007A038E"/>
    <w:rsid w:val="007A0414"/>
    <w:rsid w:val="007A05C8"/>
    <w:rsid w:val="007A09EB"/>
    <w:rsid w:val="007A0C00"/>
    <w:rsid w:val="007A0E15"/>
    <w:rsid w:val="007A0E91"/>
    <w:rsid w:val="007A1091"/>
    <w:rsid w:val="007A11F7"/>
    <w:rsid w:val="007A1411"/>
    <w:rsid w:val="007A176E"/>
    <w:rsid w:val="007A19BF"/>
    <w:rsid w:val="007A2188"/>
    <w:rsid w:val="007A24E0"/>
    <w:rsid w:val="007A25E8"/>
    <w:rsid w:val="007A2644"/>
    <w:rsid w:val="007A27F7"/>
    <w:rsid w:val="007A2A69"/>
    <w:rsid w:val="007A2BF2"/>
    <w:rsid w:val="007A2CF1"/>
    <w:rsid w:val="007A2E00"/>
    <w:rsid w:val="007A2F63"/>
    <w:rsid w:val="007A301B"/>
    <w:rsid w:val="007A317D"/>
    <w:rsid w:val="007A31DE"/>
    <w:rsid w:val="007A33A0"/>
    <w:rsid w:val="007A380D"/>
    <w:rsid w:val="007A3A6A"/>
    <w:rsid w:val="007A3E64"/>
    <w:rsid w:val="007A41B5"/>
    <w:rsid w:val="007A4486"/>
    <w:rsid w:val="007A44A2"/>
    <w:rsid w:val="007A4568"/>
    <w:rsid w:val="007A458A"/>
    <w:rsid w:val="007A4682"/>
    <w:rsid w:val="007A4A3C"/>
    <w:rsid w:val="007A4ED6"/>
    <w:rsid w:val="007A5123"/>
    <w:rsid w:val="007A5638"/>
    <w:rsid w:val="007A5762"/>
    <w:rsid w:val="007A5879"/>
    <w:rsid w:val="007A58A8"/>
    <w:rsid w:val="007A58C8"/>
    <w:rsid w:val="007A5B90"/>
    <w:rsid w:val="007A5BDC"/>
    <w:rsid w:val="007A629D"/>
    <w:rsid w:val="007A6610"/>
    <w:rsid w:val="007A6933"/>
    <w:rsid w:val="007A6B57"/>
    <w:rsid w:val="007A6DD3"/>
    <w:rsid w:val="007A6E99"/>
    <w:rsid w:val="007A6FF3"/>
    <w:rsid w:val="007A71DC"/>
    <w:rsid w:val="007A727C"/>
    <w:rsid w:val="007A754E"/>
    <w:rsid w:val="007A7743"/>
    <w:rsid w:val="007A7A04"/>
    <w:rsid w:val="007A7B46"/>
    <w:rsid w:val="007A7EE9"/>
    <w:rsid w:val="007B0369"/>
    <w:rsid w:val="007B03CD"/>
    <w:rsid w:val="007B04FF"/>
    <w:rsid w:val="007B0786"/>
    <w:rsid w:val="007B0976"/>
    <w:rsid w:val="007B09A5"/>
    <w:rsid w:val="007B09A8"/>
    <w:rsid w:val="007B0CAC"/>
    <w:rsid w:val="007B15C5"/>
    <w:rsid w:val="007B15F3"/>
    <w:rsid w:val="007B1605"/>
    <w:rsid w:val="007B1701"/>
    <w:rsid w:val="007B17C0"/>
    <w:rsid w:val="007B18EC"/>
    <w:rsid w:val="007B1951"/>
    <w:rsid w:val="007B1C32"/>
    <w:rsid w:val="007B1DBB"/>
    <w:rsid w:val="007B20D7"/>
    <w:rsid w:val="007B2158"/>
    <w:rsid w:val="007B2319"/>
    <w:rsid w:val="007B2FBF"/>
    <w:rsid w:val="007B30DE"/>
    <w:rsid w:val="007B31F8"/>
    <w:rsid w:val="007B3215"/>
    <w:rsid w:val="007B322E"/>
    <w:rsid w:val="007B35F8"/>
    <w:rsid w:val="007B366A"/>
    <w:rsid w:val="007B3A96"/>
    <w:rsid w:val="007B3CD6"/>
    <w:rsid w:val="007B3E13"/>
    <w:rsid w:val="007B4046"/>
    <w:rsid w:val="007B4300"/>
    <w:rsid w:val="007B44CE"/>
    <w:rsid w:val="007B44F9"/>
    <w:rsid w:val="007B49D4"/>
    <w:rsid w:val="007B5036"/>
    <w:rsid w:val="007B512C"/>
    <w:rsid w:val="007B5271"/>
    <w:rsid w:val="007B5475"/>
    <w:rsid w:val="007B565C"/>
    <w:rsid w:val="007B56DC"/>
    <w:rsid w:val="007B595F"/>
    <w:rsid w:val="007B5984"/>
    <w:rsid w:val="007B5B8D"/>
    <w:rsid w:val="007B5D75"/>
    <w:rsid w:val="007B5DC9"/>
    <w:rsid w:val="007B5EA3"/>
    <w:rsid w:val="007B6029"/>
    <w:rsid w:val="007B6388"/>
    <w:rsid w:val="007B64B5"/>
    <w:rsid w:val="007B650C"/>
    <w:rsid w:val="007B6786"/>
    <w:rsid w:val="007B6BB5"/>
    <w:rsid w:val="007B6D5E"/>
    <w:rsid w:val="007B6ED1"/>
    <w:rsid w:val="007B707D"/>
    <w:rsid w:val="007B7115"/>
    <w:rsid w:val="007B736B"/>
    <w:rsid w:val="007B73F3"/>
    <w:rsid w:val="007B74F9"/>
    <w:rsid w:val="007B77A8"/>
    <w:rsid w:val="007C0039"/>
    <w:rsid w:val="007C007A"/>
    <w:rsid w:val="007C0090"/>
    <w:rsid w:val="007C0853"/>
    <w:rsid w:val="007C08D0"/>
    <w:rsid w:val="007C08FD"/>
    <w:rsid w:val="007C0C90"/>
    <w:rsid w:val="007C0E07"/>
    <w:rsid w:val="007C0E86"/>
    <w:rsid w:val="007C117F"/>
    <w:rsid w:val="007C15D2"/>
    <w:rsid w:val="007C1A5C"/>
    <w:rsid w:val="007C1A85"/>
    <w:rsid w:val="007C1C98"/>
    <w:rsid w:val="007C2015"/>
    <w:rsid w:val="007C249E"/>
    <w:rsid w:val="007C26CF"/>
    <w:rsid w:val="007C271B"/>
    <w:rsid w:val="007C2740"/>
    <w:rsid w:val="007C29B8"/>
    <w:rsid w:val="007C2AF7"/>
    <w:rsid w:val="007C2C14"/>
    <w:rsid w:val="007C2CAA"/>
    <w:rsid w:val="007C2D50"/>
    <w:rsid w:val="007C30AA"/>
    <w:rsid w:val="007C357D"/>
    <w:rsid w:val="007C389C"/>
    <w:rsid w:val="007C3A55"/>
    <w:rsid w:val="007C3AEA"/>
    <w:rsid w:val="007C3CAE"/>
    <w:rsid w:val="007C4166"/>
    <w:rsid w:val="007C44E1"/>
    <w:rsid w:val="007C475A"/>
    <w:rsid w:val="007C47EC"/>
    <w:rsid w:val="007C48DD"/>
    <w:rsid w:val="007C4959"/>
    <w:rsid w:val="007C49F8"/>
    <w:rsid w:val="007C4A05"/>
    <w:rsid w:val="007C4D79"/>
    <w:rsid w:val="007C4D7F"/>
    <w:rsid w:val="007C4FDD"/>
    <w:rsid w:val="007C5041"/>
    <w:rsid w:val="007C54E3"/>
    <w:rsid w:val="007C55F6"/>
    <w:rsid w:val="007C5711"/>
    <w:rsid w:val="007C57B9"/>
    <w:rsid w:val="007C593F"/>
    <w:rsid w:val="007C5A3D"/>
    <w:rsid w:val="007C5E09"/>
    <w:rsid w:val="007C5E26"/>
    <w:rsid w:val="007C6114"/>
    <w:rsid w:val="007C62EF"/>
    <w:rsid w:val="007C6325"/>
    <w:rsid w:val="007C637E"/>
    <w:rsid w:val="007C65B2"/>
    <w:rsid w:val="007C66C8"/>
    <w:rsid w:val="007C6C53"/>
    <w:rsid w:val="007C6F40"/>
    <w:rsid w:val="007C71FB"/>
    <w:rsid w:val="007C7213"/>
    <w:rsid w:val="007C728D"/>
    <w:rsid w:val="007C73A3"/>
    <w:rsid w:val="007C73E8"/>
    <w:rsid w:val="007C7854"/>
    <w:rsid w:val="007C7871"/>
    <w:rsid w:val="007C7975"/>
    <w:rsid w:val="007C7A1F"/>
    <w:rsid w:val="007C7BA3"/>
    <w:rsid w:val="007C7EF5"/>
    <w:rsid w:val="007D01D7"/>
    <w:rsid w:val="007D05EC"/>
    <w:rsid w:val="007D06AC"/>
    <w:rsid w:val="007D0741"/>
    <w:rsid w:val="007D085D"/>
    <w:rsid w:val="007D0A53"/>
    <w:rsid w:val="007D0C62"/>
    <w:rsid w:val="007D0DDE"/>
    <w:rsid w:val="007D0FFC"/>
    <w:rsid w:val="007D1013"/>
    <w:rsid w:val="007D19EC"/>
    <w:rsid w:val="007D1C3F"/>
    <w:rsid w:val="007D1DEE"/>
    <w:rsid w:val="007D1E88"/>
    <w:rsid w:val="007D2180"/>
    <w:rsid w:val="007D230F"/>
    <w:rsid w:val="007D2608"/>
    <w:rsid w:val="007D2672"/>
    <w:rsid w:val="007D27B6"/>
    <w:rsid w:val="007D2B2D"/>
    <w:rsid w:val="007D30C3"/>
    <w:rsid w:val="007D3270"/>
    <w:rsid w:val="007D35AC"/>
    <w:rsid w:val="007D36B1"/>
    <w:rsid w:val="007D36D7"/>
    <w:rsid w:val="007D3A25"/>
    <w:rsid w:val="007D3BA1"/>
    <w:rsid w:val="007D3BDB"/>
    <w:rsid w:val="007D3EC8"/>
    <w:rsid w:val="007D40AC"/>
    <w:rsid w:val="007D41E9"/>
    <w:rsid w:val="007D41FB"/>
    <w:rsid w:val="007D4317"/>
    <w:rsid w:val="007D48B9"/>
    <w:rsid w:val="007D49DC"/>
    <w:rsid w:val="007D4C12"/>
    <w:rsid w:val="007D4E3E"/>
    <w:rsid w:val="007D52DC"/>
    <w:rsid w:val="007D55C7"/>
    <w:rsid w:val="007D57E0"/>
    <w:rsid w:val="007D5962"/>
    <w:rsid w:val="007D5B8F"/>
    <w:rsid w:val="007D5C3C"/>
    <w:rsid w:val="007D5C94"/>
    <w:rsid w:val="007D60ED"/>
    <w:rsid w:val="007D621A"/>
    <w:rsid w:val="007D63B2"/>
    <w:rsid w:val="007D63B5"/>
    <w:rsid w:val="007D651D"/>
    <w:rsid w:val="007D6559"/>
    <w:rsid w:val="007D6D51"/>
    <w:rsid w:val="007D6EB1"/>
    <w:rsid w:val="007D6F81"/>
    <w:rsid w:val="007D71B7"/>
    <w:rsid w:val="007D7C66"/>
    <w:rsid w:val="007D7CF3"/>
    <w:rsid w:val="007E01B6"/>
    <w:rsid w:val="007E024D"/>
    <w:rsid w:val="007E0274"/>
    <w:rsid w:val="007E02A7"/>
    <w:rsid w:val="007E0415"/>
    <w:rsid w:val="007E04F3"/>
    <w:rsid w:val="007E089B"/>
    <w:rsid w:val="007E08BC"/>
    <w:rsid w:val="007E0991"/>
    <w:rsid w:val="007E0B2C"/>
    <w:rsid w:val="007E0BA1"/>
    <w:rsid w:val="007E107F"/>
    <w:rsid w:val="007E1184"/>
    <w:rsid w:val="007E16F6"/>
    <w:rsid w:val="007E1BC4"/>
    <w:rsid w:val="007E1C84"/>
    <w:rsid w:val="007E21FA"/>
    <w:rsid w:val="007E22B5"/>
    <w:rsid w:val="007E247F"/>
    <w:rsid w:val="007E25ED"/>
    <w:rsid w:val="007E26AE"/>
    <w:rsid w:val="007E289E"/>
    <w:rsid w:val="007E2DF2"/>
    <w:rsid w:val="007E2F1E"/>
    <w:rsid w:val="007E2FA9"/>
    <w:rsid w:val="007E2FD7"/>
    <w:rsid w:val="007E310B"/>
    <w:rsid w:val="007E3373"/>
    <w:rsid w:val="007E3764"/>
    <w:rsid w:val="007E38DA"/>
    <w:rsid w:val="007E3C81"/>
    <w:rsid w:val="007E3D65"/>
    <w:rsid w:val="007E3D6E"/>
    <w:rsid w:val="007E3EE2"/>
    <w:rsid w:val="007E40B7"/>
    <w:rsid w:val="007E42C6"/>
    <w:rsid w:val="007E464F"/>
    <w:rsid w:val="007E468E"/>
    <w:rsid w:val="007E47E7"/>
    <w:rsid w:val="007E4929"/>
    <w:rsid w:val="007E499B"/>
    <w:rsid w:val="007E4A5E"/>
    <w:rsid w:val="007E4A98"/>
    <w:rsid w:val="007E4EA1"/>
    <w:rsid w:val="007E4EB6"/>
    <w:rsid w:val="007E50AA"/>
    <w:rsid w:val="007E5369"/>
    <w:rsid w:val="007E5494"/>
    <w:rsid w:val="007E5693"/>
    <w:rsid w:val="007E5DD7"/>
    <w:rsid w:val="007E5E05"/>
    <w:rsid w:val="007E6CA4"/>
    <w:rsid w:val="007E6D9E"/>
    <w:rsid w:val="007E7139"/>
    <w:rsid w:val="007E732D"/>
    <w:rsid w:val="007E7366"/>
    <w:rsid w:val="007E7CE4"/>
    <w:rsid w:val="007E7EA1"/>
    <w:rsid w:val="007E7EA4"/>
    <w:rsid w:val="007F01EE"/>
    <w:rsid w:val="007F03CE"/>
    <w:rsid w:val="007F04D3"/>
    <w:rsid w:val="007F0690"/>
    <w:rsid w:val="007F06A4"/>
    <w:rsid w:val="007F0C50"/>
    <w:rsid w:val="007F0DB7"/>
    <w:rsid w:val="007F0E95"/>
    <w:rsid w:val="007F0EE6"/>
    <w:rsid w:val="007F107D"/>
    <w:rsid w:val="007F124D"/>
    <w:rsid w:val="007F137D"/>
    <w:rsid w:val="007F138F"/>
    <w:rsid w:val="007F1592"/>
    <w:rsid w:val="007F15CB"/>
    <w:rsid w:val="007F1944"/>
    <w:rsid w:val="007F19F1"/>
    <w:rsid w:val="007F1EEB"/>
    <w:rsid w:val="007F1EFF"/>
    <w:rsid w:val="007F1F25"/>
    <w:rsid w:val="007F21AC"/>
    <w:rsid w:val="007F2A1D"/>
    <w:rsid w:val="007F2A87"/>
    <w:rsid w:val="007F2A9F"/>
    <w:rsid w:val="007F2AAE"/>
    <w:rsid w:val="007F2C81"/>
    <w:rsid w:val="007F2D8D"/>
    <w:rsid w:val="007F2DCE"/>
    <w:rsid w:val="007F2EBF"/>
    <w:rsid w:val="007F3044"/>
    <w:rsid w:val="007F3249"/>
    <w:rsid w:val="007F3898"/>
    <w:rsid w:val="007F3A6C"/>
    <w:rsid w:val="007F3BB0"/>
    <w:rsid w:val="007F3E1A"/>
    <w:rsid w:val="007F416E"/>
    <w:rsid w:val="007F4657"/>
    <w:rsid w:val="007F47D2"/>
    <w:rsid w:val="007F49E6"/>
    <w:rsid w:val="007F4AFC"/>
    <w:rsid w:val="007F4CE9"/>
    <w:rsid w:val="007F5609"/>
    <w:rsid w:val="007F5625"/>
    <w:rsid w:val="007F568A"/>
    <w:rsid w:val="007F58E7"/>
    <w:rsid w:val="007F59F7"/>
    <w:rsid w:val="007F5A7D"/>
    <w:rsid w:val="007F5AE6"/>
    <w:rsid w:val="007F5D13"/>
    <w:rsid w:val="007F5E21"/>
    <w:rsid w:val="007F619D"/>
    <w:rsid w:val="007F6335"/>
    <w:rsid w:val="007F640C"/>
    <w:rsid w:val="007F6413"/>
    <w:rsid w:val="007F651A"/>
    <w:rsid w:val="007F676E"/>
    <w:rsid w:val="007F693A"/>
    <w:rsid w:val="007F6B11"/>
    <w:rsid w:val="007F6C91"/>
    <w:rsid w:val="007F6E2B"/>
    <w:rsid w:val="007F6F3C"/>
    <w:rsid w:val="007F6F73"/>
    <w:rsid w:val="007F70A5"/>
    <w:rsid w:val="007F70E3"/>
    <w:rsid w:val="007F78F2"/>
    <w:rsid w:val="007F7B4F"/>
    <w:rsid w:val="007F7BD5"/>
    <w:rsid w:val="007F7D12"/>
    <w:rsid w:val="007F7F02"/>
    <w:rsid w:val="00800258"/>
    <w:rsid w:val="00800562"/>
    <w:rsid w:val="00800842"/>
    <w:rsid w:val="00800C97"/>
    <w:rsid w:val="00800E69"/>
    <w:rsid w:val="00800EB8"/>
    <w:rsid w:val="008014C0"/>
    <w:rsid w:val="008014EC"/>
    <w:rsid w:val="008015BF"/>
    <w:rsid w:val="0080190B"/>
    <w:rsid w:val="00801DAE"/>
    <w:rsid w:val="0080220F"/>
    <w:rsid w:val="00802735"/>
    <w:rsid w:val="00802739"/>
    <w:rsid w:val="008028C2"/>
    <w:rsid w:val="008028FE"/>
    <w:rsid w:val="00802A1B"/>
    <w:rsid w:val="00802C28"/>
    <w:rsid w:val="00802DDB"/>
    <w:rsid w:val="00802E53"/>
    <w:rsid w:val="00803043"/>
    <w:rsid w:val="00803156"/>
    <w:rsid w:val="00803165"/>
    <w:rsid w:val="00803547"/>
    <w:rsid w:val="008037D8"/>
    <w:rsid w:val="00803979"/>
    <w:rsid w:val="00803B7E"/>
    <w:rsid w:val="00803C73"/>
    <w:rsid w:val="00803DA6"/>
    <w:rsid w:val="00803E09"/>
    <w:rsid w:val="00804098"/>
    <w:rsid w:val="008040D9"/>
    <w:rsid w:val="00804197"/>
    <w:rsid w:val="0080436E"/>
    <w:rsid w:val="0080441D"/>
    <w:rsid w:val="00804937"/>
    <w:rsid w:val="008049CF"/>
    <w:rsid w:val="00804E1E"/>
    <w:rsid w:val="00804E43"/>
    <w:rsid w:val="008050B7"/>
    <w:rsid w:val="008050F5"/>
    <w:rsid w:val="00805112"/>
    <w:rsid w:val="0080512F"/>
    <w:rsid w:val="00805137"/>
    <w:rsid w:val="0080519C"/>
    <w:rsid w:val="00805345"/>
    <w:rsid w:val="008056D9"/>
    <w:rsid w:val="00805720"/>
    <w:rsid w:val="00805C71"/>
    <w:rsid w:val="00806606"/>
    <w:rsid w:val="00806779"/>
    <w:rsid w:val="008068F7"/>
    <w:rsid w:val="0080702E"/>
    <w:rsid w:val="00807247"/>
    <w:rsid w:val="0080792D"/>
    <w:rsid w:val="008079A7"/>
    <w:rsid w:val="008104A3"/>
    <w:rsid w:val="00810710"/>
    <w:rsid w:val="0081072A"/>
    <w:rsid w:val="00810ADA"/>
    <w:rsid w:val="00810BC2"/>
    <w:rsid w:val="00811306"/>
    <w:rsid w:val="00811683"/>
    <w:rsid w:val="00811AFF"/>
    <w:rsid w:val="0081209A"/>
    <w:rsid w:val="00812102"/>
    <w:rsid w:val="00812195"/>
    <w:rsid w:val="00812373"/>
    <w:rsid w:val="00812C1A"/>
    <w:rsid w:val="00812C24"/>
    <w:rsid w:val="00813083"/>
    <w:rsid w:val="0081320D"/>
    <w:rsid w:val="0081322C"/>
    <w:rsid w:val="00813DB7"/>
    <w:rsid w:val="00813F3A"/>
    <w:rsid w:val="008140E8"/>
    <w:rsid w:val="00814271"/>
    <w:rsid w:val="0081429C"/>
    <w:rsid w:val="008142EA"/>
    <w:rsid w:val="00814388"/>
    <w:rsid w:val="008143DD"/>
    <w:rsid w:val="0081464E"/>
    <w:rsid w:val="0081465B"/>
    <w:rsid w:val="0081478F"/>
    <w:rsid w:val="00814941"/>
    <w:rsid w:val="00814955"/>
    <w:rsid w:val="00814A65"/>
    <w:rsid w:val="00814BD9"/>
    <w:rsid w:val="00814D0E"/>
    <w:rsid w:val="008152B3"/>
    <w:rsid w:val="0081532C"/>
    <w:rsid w:val="008158AC"/>
    <w:rsid w:val="008162C4"/>
    <w:rsid w:val="00816805"/>
    <w:rsid w:val="00816BE8"/>
    <w:rsid w:val="00816CD5"/>
    <w:rsid w:val="00816DBD"/>
    <w:rsid w:val="00816EAC"/>
    <w:rsid w:val="00816FE2"/>
    <w:rsid w:val="00817062"/>
    <w:rsid w:val="00817135"/>
    <w:rsid w:val="0081725E"/>
    <w:rsid w:val="0081767D"/>
    <w:rsid w:val="0081797B"/>
    <w:rsid w:val="00817991"/>
    <w:rsid w:val="00817B48"/>
    <w:rsid w:val="00817F30"/>
    <w:rsid w:val="00817F58"/>
    <w:rsid w:val="0082003A"/>
    <w:rsid w:val="008203C5"/>
    <w:rsid w:val="00820571"/>
    <w:rsid w:val="00820622"/>
    <w:rsid w:val="00820A86"/>
    <w:rsid w:val="00820B84"/>
    <w:rsid w:val="00820BE3"/>
    <w:rsid w:val="00820BF6"/>
    <w:rsid w:val="00820D32"/>
    <w:rsid w:val="00821324"/>
    <w:rsid w:val="0082199B"/>
    <w:rsid w:val="008219B2"/>
    <w:rsid w:val="00821BD3"/>
    <w:rsid w:val="00821C2A"/>
    <w:rsid w:val="008223B2"/>
    <w:rsid w:val="008224CF"/>
    <w:rsid w:val="0082261A"/>
    <w:rsid w:val="008227B7"/>
    <w:rsid w:val="00822879"/>
    <w:rsid w:val="00822D07"/>
    <w:rsid w:val="008230EA"/>
    <w:rsid w:val="00823365"/>
    <w:rsid w:val="00823681"/>
    <w:rsid w:val="00823925"/>
    <w:rsid w:val="00823CB3"/>
    <w:rsid w:val="00823CE5"/>
    <w:rsid w:val="0082429A"/>
    <w:rsid w:val="0082439A"/>
    <w:rsid w:val="008243A8"/>
    <w:rsid w:val="008246A0"/>
    <w:rsid w:val="00824782"/>
    <w:rsid w:val="00824925"/>
    <w:rsid w:val="00824BB5"/>
    <w:rsid w:val="00824C8B"/>
    <w:rsid w:val="00824EA9"/>
    <w:rsid w:val="008252E8"/>
    <w:rsid w:val="0082561B"/>
    <w:rsid w:val="00825BA8"/>
    <w:rsid w:val="00825BD1"/>
    <w:rsid w:val="00825C14"/>
    <w:rsid w:val="00825F4F"/>
    <w:rsid w:val="00825FAF"/>
    <w:rsid w:val="00825FD5"/>
    <w:rsid w:val="0082641D"/>
    <w:rsid w:val="00826442"/>
    <w:rsid w:val="008267CA"/>
    <w:rsid w:val="00826821"/>
    <w:rsid w:val="00826BA5"/>
    <w:rsid w:val="00826C53"/>
    <w:rsid w:val="0082722B"/>
    <w:rsid w:val="00827456"/>
    <w:rsid w:val="008275D3"/>
    <w:rsid w:val="00827C1B"/>
    <w:rsid w:val="00827E58"/>
    <w:rsid w:val="00827FC5"/>
    <w:rsid w:val="008300C7"/>
    <w:rsid w:val="0083016B"/>
    <w:rsid w:val="008301F1"/>
    <w:rsid w:val="00830584"/>
    <w:rsid w:val="00830812"/>
    <w:rsid w:val="00830C0E"/>
    <w:rsid w:val="008311B6"/>
    <w:rsid w:val="008313E0"/>
    <w:rsid w:val="008314D8"/>
    <w:rsid w:val="0083160A"/>
    <w:rsid w:val="008316FD"/>
    <w:rsid w:val="00831742"/>
    <w:rsid w:val="008317EC"/>
    <w:rsid w:val="0083195D"/>
    <w:rsid w:val="00831B7B"/>
    <w:rsid w:val="00831D38"/>
    <w:rsid w:val="00831D90"/>
    <w:rsid w:val="00831DA8"/>
    <w:rsid w:val="00832411"/>
    <w:rsid w:val="008324F3"/>
    <w:rsid w:val="00832691"/>
    <w:rsid w:val="0083296B"/>
    <w:rsid w:val="0083305E"/>
    <w:rsid w:val="00833547"/>
    <w:rsid w:val="00833607"/>
    <w:rsid w:val="00833852"/>
    <w:rsid w:val="00833AB9"/>
    <w:rsid w:val="00834247"/>
    <w:rsid w:val="00834493"/>
    <w:rsid w:val="008344EC"/>
    <w:rsid w:val="00834820"/>
    <w:rsid w:val="00834B6D"/>
    <w:rsid w:val="00834C82"/>
    <w:rsid w:val="00834DB6"/>
    <w:rsid w:val="00834E05"/>
    <w:rsid w:val="00834F93"/>
    <w:rsid w:val="008354DB"/>
    <w:rsid w:val="008357C6"/>
    <w:rsid w:val="0083580A"/>
    <w:rsid w:val="0083624C"/>
    <w:rsid w:val="00836798"/>
    <w:rsid w:val="0083692A"/>
    <w:rsid w:val="00836B31"/>
    <w:rsid w:val="00836B54"/>
    <w:rsid w:val="00836B8E"/>
    <w:rsid w:val="00836BAC"/>
    <w:rsid w:val="00836C32"/>
    <w:rsid w:val="00836E95"/>
    <w:rsid w:val="0083704B"/>
    <w:rsid w:val="008371F8"/>
    <w:rsid w:val="00837273"/>
    <w:rsid w:val="00837E1D"/>
    <w:rsid w:val="00837FA9"/>
    <w:rsid w:val="008402FB"/>
    <w:rsid w:val="0084052E"/>
    <w:rsid w:val="00840573"/>
    <w:rsid w:val="008407B7"/>
    <w:rsid w:val="00840C4A"/>
    <w:rsid w:val="0084108C"/>
    <w:rsid w:val="008410D2"/>
    <w:rsid w:val="008411B9"/>
    <w:rsid w:val="0084122F"/>
    <w:rsid w:val="0084151F"/>
    <w:rsid w:val="00841573"/>
    <w:rsid w:val="0084175D"/>
    <w:rsid w:val="00841806"/>
    <w:rsid w:val="00841946"/>
    <w:rsid w:val="00841CF1"/>
    <w:rsid w:val="00841D08"/>
    <w:rsid w:val="008422DA"/>
    <w:rsid w:val="008423CA"/>
    <w:rsid w:val="008424DA"/>
    <w:rsid w:val="00842624"/>
    <w:rsid w:val="008426F1"/>
    <w:rsid w:val="0084273D"/>
    <w:rsid w:val="00842D43"/>
    <w:rsid w:val="00842DA4"/>
    <w:rsid w:val="00843072"/>
    <w:rsid w:val="008431F7"/>
    <w:rsid w:val="0084323E"/>
    <w:rsid w:val="008435BA"/>
    <w:rsid w:val="0084375D"/>
    <w:rsid w:val="008439F1"/>
    <w:rsid w:val="00843AC3"/>
    <w:rsid w:val="00843B35"/>
    <w:rsid w:val="00843D50"/>
    <w:rsid w:val="00843D6C"/>
    <w:rsid w:val="00843E04"/>
    <w:rsid w:val="00843EEB"/>
    <w:rsid w:val="00843EF7"/>
    <w:rsid w:val="0084464E"/>
    <w:rsid w:val="00845534"/>
    <w:rsid w:val="0084553D"/>
    <w:rsid w:val="008455AC"/>
    <w:rsid w:val="00845650"/>
    <w:rsid w:val="008458BF"/>
    <w:rsid w:val="0084594A"/>
    <w:rsid w:val="00845D46"/>
    <w:rsid w:val="00846262"/>
    <w:rsid w:val="0084627A"/>
    <w:rsid w:val="00846370"/>
    <w:rsid w:val="00846B5F"/>
    <w:rsid w:val="00846DA2"/>
    <w:rsid w:val="00846DCD"/>
    <w:rsid w:val="00846EC0"/>
    <w:rsid w:val="00846FD2"/>
    <w:rsid w:val="00847665"/>
    <w:rsid w:val="00847AE9"/>
    <w:rsid w:val="00847BC5"/>
    <w:rsid w:val="00847C38"/>
    <w:rsid w:val="00847DEE"/>
    <w:rsid w:val="00847F11"/>
    <w:rsid w:val="00850010"/>
    <w:rsid w:val="008500EB"/>
    <w:rsid w:val="008503F4"/>
    <w:rsid w:val="008504A0"/>
    <w:rsid w:val="00850555"/>
    <w:rsid w:val="00850613"/>
    <w:rsid w:val="008506AF"/>
    <w:rsid w:val="008507D5"/>
    <w:rsid w:val="00850AC1"/>
    <w:rsid w:val="00850C2A"/>
    <w:rsid w:val="00850DE2"/>
    <w:rsid w:val="00850DFA"/>
    <w:rsid w:val="0085109C"/>
    <w:rsid w:val="00851331"/>
    <w:rsid w:val="008514C7"/>
    <w:rsid w:val="008516A3"/>
    <w:rsid w:val="008516D1"/>
    <w:rsid w:val="00851DEA"/>
    <w:rsid w:val="00851E90"/>
    <w:rsid w:val="00852003"/>
    <w:rsid w:val="0085212C"/>
    <w:rsid w:val="00852533"/>
    <w:rsid w:val="008526A5"/>
    <w:rsid w:val="008526DC"/>
    <w:rsid w:val="00852E7A"/>
    <w:rsid w:val="00852F9E"/>
    <w:rsid w:val="00853913"/>
    <w:rsid w:val="00853A43"/>
    <w:rsid w:val="00853C35"/>
    <w:rsid w:val="00853F61"/>
    <w:rsid w:val="00854053"/>
    <w:rsid w:val="008540CD"/>
    <w:rsid w:val="00854372"/>
    <w:rsid w:val="008543AC"/>
    <w:rsid w:val="008544E6"/>
    <w:rsid w:val="008545FB"/>
    <w:rsid w:val="008548B8"/>
    <w:rsid w:val="008548BE"/>
    <w:rsid w:val="00854965"/>
    <w:rsid w:val="00854F42"/>
    <w:rsid w:val="00855001"/>
    <w:rsid w:val="0085519E"/>
    <w:rsid w:val="00855314"/>
    <w:rsid w:val="008554D1"/>
    <w:rsid w:val="008558E0"/>
    <w:rsid w:val="00855DB0"/>
    <w:rsid w:val="008561D8"/>
    <w:rsid w:val="00856341"/>
    <w:rsid w:val="0085659E"/>
    <w:rsid w:val="00857264"/>
    <w:rsid w:val="008573B0"/>
    <w:rsid w:val="0085745E"/>
    <w:rsid w:val="0085770B"/>
    <w:rsid w:val="00857AF7"/>
    <w:rsid w:val="00857C18"/>
    <w:rsid w:val="00857F51"/>
    <w:rsid w:val="00860109"/>
    <w:rsid w:val="008601BD"/>
    <w:rsid w:val="00860359"/>
    <w:rsid w:val="008603E7"/>
    <w:rsid w:val="00860700"/>
    <w:rsid w:val="00860C0C"/>
    <w:rsid w:val="00860C47"/>
    <w:rsid w:val="00860E43"/>
    <w:rsid w:val="00860EE9"/>
    <w:rsid w:val="00861075"/>
    <w:rsid w:val="00861252"/>
    <w:rsid w:val="00861465"/>
    <w:rsid w:val="0086158A"/>
    <w:rsid w:val="008615FE"/>
    <w:rsid w:val="0086171A"/>
    <w:rsid w:val="0086187D"/>
    <w:rsid w:val="0086190F"/>
    <w:rsid w:val="00861B89"/>
    <w:rsid w:val="0086226C"/>
    <w:rsid w:val="0086245B"/>
    <w:rsid w:val="00862C71"/>
    <w:rsid w:val="00862C76"/>
    <w:rsid w:val="00862D3C"/>
    <w:rsid w:val="00863229"/>
    <w:rsid w:val="0086360F"/>
    <w:rsid w:val="008638CD"/>
    <w:rsid w:val="008638F5"/>
    <w:rsid w:val="00863968"/>
    <w:rsid w:val="00863A9D"/>
    <w:rsid w:val="00863C08"/>
    <w:rsid w:val="00863E83"/>
    <w:rsid w:val="008640E9"/>
    <w:rsid w:val="00864491"/>
    <w:rsid w:val="008644A4"/>
    <w:rsid w:val="008644EF"/>
    <w:rsid w:val="00864503"/>
    <w:rsid w:val="008645B7"/>
    <w:rsid w:val="0086485E"/>
    <w:rsid w:val="00864A6C"/>
    <w:rsid w:val="00864B97"/>
    <w:rsid w:val="00864BB1"/>
    <w:rsid w:val="00864DF7"/>
    <w:rsid w:val="00864FDB"/>
    <w:rsid w:val="00865126"/>
    <w:rsid w:val="00865278"/>
    <w:rsid w:val="008654F9"/>
    <w:rsid w:val="008657DA"/>
    <w:rsid w:val="008658C0"/>
    <w:rsid w:val="00865A85"/>
    <w:rsid w:val="00865CB4"/>
    <w:rsid w:val="0086623E"/>
    <w:rsid w:val="00866388"/>
    <w:rsid w:val="00866395"/>
    <w:rsid w:val="00866773"/>
    <w:rsid w:val="00866E6B"/>
    <w:rsid w:val="00866FE3"/>
    <w:rsid w:val="0086722D"/>
    <w:rsid w:val="008672C7"/>
    <w:rsid w:val="0086736B"/>
    <w:rsid w:val="0086776E"/>
    <w:rsid w:val="00867D56"/>
    <w:rsid w:val="0087011A"/>
    <w:rsid w:val="008701DE"/>
    <w:rsid w:val="0087028A"/>
    <w:rsid w:val="008707AB"/>
    <w:rsid w:val="00870BAA"/>
    <w:rsid w:val="00870C1D"/>
    <w:rsid w:val="00870D91"/>
    <w:rsid w:val="00870F54"/>
    <w:rsid w:val="008716D1"/>
    <w:rsid w:val="008716ED"/>
    <w:rsid w:val="0087193F"/>
    <w:rsid w:val="00871A52"/>
    <w:rsid w:val="00871EFA"/>
    <w:rsid w:val="00872440"/>
    <w:rsid w:val="008724E6"/>
    <w:rsid w:val="00872706"/>
    <w:rsid w:val="00872767"/>
    <w:rsid w:val="008728C8"/>
    <w:rsid w:val="00872975"/>
    <w:rsid w:val="00872C83"/>
    <w:rsid w:val="00873205"/>
    <w:rsid w:val="008735E8"/>
    <w:rsid w:val="008736B6"/>
    <w:rsid w:val="0087377E"/>
    <w:rsid w:val="008737F6"/>
    <w:rsid w:val="00873924"/>
    <w:rsid w:val="008739AB"/>
    <w:rsid w:val="00873C71"/>
    <w:rsid w:val="00873D38"/>
    <w:rsid w:val="00873D5F"/>
    <w:rsid w:val="00873DEF"/>
    <w:rsid w:val="00873FB1"/>
    <w:rsid w:val="00874043"/>
    <w:rsid w:val="00874594"/>
    <w:rsid w:val="0087473D"/>
    <w:rsid w:val="00874776"/>
    <w:rsid w:val="0087487C"/>
    <w:rsid w:val="00874A07"/>
    <w:rsid w:val="00874B75"/>
    <w:rsid w:val="00874D7B"/>
    <w:rsid w:val="00874D96"/>
    <w:rsid w:val="00874FE3"/>
    <w:rsid w:val="00875007"/>
    <w:rsid w:val="008750DB"/>
    <w:rsid w:val="00875144"/>
    <w:rsid w:val="008751B4"/>
    <w:rsid w:val="0087527F"/>
    <w:rsid w:val="0087543F"/>
    <w:rsid w:val="008754B5"/>
    <w:rsid w:val="008757FB"/>
    <w:rsid w:val="008758A8"/>
    <w:rsid w:val="00875AF3"/>
    <w:rsid w:val="00875EA4"/>
    <w:rsid w:val="00875FD6"/>
    <w:rsid w:val="008764B9"/>
    <w:rsid w:val="00876589"/>
    <w:rsid w:val="008765B4"/>
    <w:rsid w:val="008765E9"/>
    <w:rsid w:val="00876605"/>
    <w:rsid w:val="00876B13"/>
    <w:rsid w:val="00877321"/>
    <w:rsid w:val="008777DF"/>
    <w:rsid w:val="0087799F"/>
    <w:rsid w:val="00877AFF"/>
    <w:rsid w:val="00877B92"/>
    <w:rsid w:val="00877C12"/>
    <w:rsid w:val="00880017"/>
    <w:rsid w:val="00880062"/>
    <w:rsid w:val="00880305"/>
    <w:rsid w:val="00880315"/>
    <w:rsid w:val="0088031C"/>
    <w:rsid w:val="00880574"/>
    <w:rsid w:val="008805D1"/>
    <w:rsid w:val="0088088A"/>
    <w:rsid w:val="00880A3F"/>
    <w:rsid w:val="00880B53"/>
    <w:rsid w:val="00880C93"/>
    <w:rsid w:val="00880E1B"/>
    <w:rsid w:val="00880E33"/>
    <w:rsid w:val="00880EC1"/>
    <w:rsid w:val="00880EE2"/>
    <w:rsid w:val="00881318"/>
    <w:rsid w:val="00881732"/>
    <w:rsid w:val="008818A2"/>
    <w:rsid w:val="0088196B"/>
    <w:rsid w:val="008820FB"/>
    <w:rsid w:val="0088213D"/>
    <w:rsid w:val="008821C6"/>
    <w:rsid w:val="0088243C"/>
    <w:rsid w:val="0088243D"/>
    <w:rsid w:val="0088251A"/>
    <w:rsid w:val="0088284A"/>
    <w:rsid w:val="008828E5"/>
    <w:rsid w:val="008829BB"/>
    <w:rsid w:val="00882D28"/>
    <w:rsid w:val="00882F4A"/>
    <w:rsid w:val="0088304B"/>
    <w:rsid w:val="008835BF"/>
    <w:rsid w:val="008837D2"/>
    <w:rsid w:val="00883A67"/>
    <w:rsid w:val="00883E19"/>
    <w:rsid w:val="00883F6B"/>
    <w:rsid w:val="0088400F"/>
    <w:rsid w:val="0088425A"/>
    <w:rsid w:val="0088429D"/>
    <w:rsid w:val="008848E9"/>
    <w:rsid w:val="00884FD8"/>
    <w:rsid w:val="00885051"/>
    <w:rsid w:val="00885244"/>
    <w:rsid w:val="008856DA"/>
    <w:rsid w:val="008857C7"/>
    <w:rsid w:val="008858B3"/>
    <w:rsid w:val="00885BC1"/>
    <w:rsid w:val="00885EB7"/>
    <w:rsid w:val="008861BF"/>
    <w:rsid w:val="008866CF"/>
    <w:rsid w:val="00886782"/>
    <w:rsid w:val="008869A1"/>
    <w:rsid w:val="00886B3F"/>
    <w:rsid w:val="00886DF3"/>
    <w:rsid w:val="00886F8E"/>
    <w:rsid w:val="00886FC9"/>
    <w:rsid w:val="008871F0"/>
    <w:rsid w:val="0088738B"/>
    <w:rsid w:val="0088747B"/>
    <w:rsid w:val="00887489"/>
    <w:rsid w:val="0088756B"/>
    <w:rsid w:val="008876A2"/>
    <w:rsid w:val="008876A3"/>
    <w:rsid w:val="00887BD5"/>
    <w:rsid w:val="00887F8F"/>
    <w:rsid w:val="00887FD0"/>
    <w:rsid w:val="0089015D"/>
    <w:rsid w:val="0089021A"/>
    <w:rsid w:val="0089022E"/>
    <w:rsid w:val="0089030C"/>
    <w:rsid w:val="00890475"/>
    <w:rsid w:val="008907D1"/>
    <w:rsid w:val="00890A7C"/>
    <w:rsid w:val="00890D11"/>
    <w:rsid w:val="00890F1B"/>
    <w:rsid w:val="00890F88"/>
    <w:rsid w:val="008910EE"/>
    <w:rsid w:val="00891A26"/>
    <w:rsid w:val="00891AE0"/>
    <w:rsid w:val="00892014"/>
    <w:rsid w:val="00892149"/>
    <w:rsid w:val="0089214C"/>
    <w:rsid w:val="00892338"/>
    <w:rsid w:val="008923F8"/>
    <w:rsid w:val="0089253F"/>
    <w:rsid w:val="008928F1"/>
    <w:rsid w:val="00892BBF"/>
    <w:rsid w:val="00892C3F"/>
    <w:rsid w:val="00892DB5"/>
    <w:rsid w:val="00892EAB"/>
    <w:rsid w:val="00892F62"/>
    <w:rsid w:val="00893176"/>
    <w:rsid w:val="008932D7"/>
    <w:rsid w:val="00893668"/>
    <w:rsid w:val="00893791"/>
    <w:rsid w:val="00893884"/>
    <w:rsid w:val="0089389C"/>
    <w:rsid w:val="00893A7E"/>
    <w:rsid w:val="00893DBC"/>
    <w:rsid w:val="00893F75"/>
    <w:rsid w:val="0089414B"/>
    <w:rsid w:val="0089414C"/>
    <w:rsid w:val="008942BD"/>
    <w:rsid w:val="00894568"/>
    <w:rsid w:val="0089478A"/>
    <w:rsid w:val="0089479D"/>
    <w:rsid w:val="0089480A"/>
    <w:rsid w:val="0089481A"/>
    <w:rsid w:val="00894BEE"/>
    <w:rsid w:val="00894FE5"/>
    <w:rsid w:val="008954D2"/>
    <w:rsid w:val="00895658"/>
    <w:rsid w:val="0089568A"/>
    <w:rsid w:val="008956DA"/>
    <w:rsid w:val="00895823"/>
    <w:rsid w:val="008959E5"/>
    <w:rsid w:val="00895BA9"/>
    <w:rsid w:val="00895D52"/>
    <w:rsid w:val="00895D79"/>
    <w:rsid w:val="0089601B"/>
    <w:rsid w:val="008961DF"/>
    <w:rsid w:val="00896557"/>
    <w:rsid w:val="0089655D"/>
    <w:rsid w:val="00896784"/>
    <w:rsid w:val="00896DBD"/>
    <w:rsid w:val="00896F6C"/>
    <w:rsid w:val="008972EC"/>
    <w:rsid w:val="00897364"/>
    <w:rsid w:val="00897824"/>
    <w:rsid w:val="008979DB"/>
    <w:rsid w:val="00897AA0"/>
    <w:rsid w:val="00897BBF"/>
    <w:rsid w:val="00897BCB"/>
    <w:rsid w:val="00897C07"/>
    <w:rsid w:val="00897D19"/>
    <w:rsid w:val="00897DBA"/>
    <w:rsid w:val="008A000F"/>
    <w:rsid w:val="008A01E9"/>
    <w:rsid w:val="008A02FA"/>
    <w:rsid w:val="008A06A5"/>
    <w:rsid w:val="008A06A8"/>
    <w:rsid w:val="008A0B4D"/>
    <w:rsid w:val="008A0E6C"/>
    <w:rsid w:val="008A11E2"/>
    <w:rsid w:val="008A175E"/>
    <w:rsid w:val="008A1AAC"/>
    <w:rsid w:val="008A1C18"/>
    <w:rsid w:val="008A1D3C"/>
    <w:rsid w:val="008A1DF8"/>
    <w:rsid w:val="008A20CA"/>
    <w:rsid w:val="008A22DD"/>
    <w:rsid w:val="008A2337"/>
    <w:rsid w:val="008A2392"/>
    <w:rsid w:val="008A239B"/>
    <w:rsid w:val="008A2517"/>
    <w:rsid w:val="008A2600"/>
    <w:rsid w:val="008A2675"/>
    <w:rsid w:val="008A2956"/>
    <w:rsid w:val="008A2EA1"/>
    <w:rsid w:val="008A2EF6"/>
    <w:rsid w:val="008A3357"/>
    <w:rsid w:val="008A3480"/>
    <w:rsid w:val="008A3502"/>
    <w:rsid w:val="008A351C"/>
    <w:rsid w:val="008A354E"/>
    <w:rsid w:val="008A37B3"/>
    <w:rsid w:val="008A3C74"/>
    <w:rsid w:val="008A40B0"/>
    <w:rsid w:val="008A425D"/>
    <w:rsid w:val="008A44CA"/>
    <w:rsid w:val="008A4594"/>
    <w:rsid w:val="008A48F7"/>
    <w:rsid w:val="008A4B88"/>
    <w:rsid w:val="008A4BB4"/>
    <w:rsid w:val="008A4F3C"/>
    <w:rsid w:val="008A50DE"/>
    <w:rsid w:val="008A51AD"/>
    <w:rsid w:val="008A53BA"/>
    <w:rsid w:val="008A551D"/>
    <w:rsid w:val="008A5648"/>
    <w:rsid w:val="008A565B"/>
    <w:rsid w:val="008A56BA"/>
    <w:rsid w:val="008A570A"/>
    <w:rsid w:val="008A58E4"/>
    <w:rsid w:val="008A58E7"/>
    <w:rsid w:val="008A5926"/>
    <w:rsid w:val="008A5C1D"/>
    <w:rsid w:val="008A5D5F"/>
    <w:rsid w:val="008A5E92"/>
    <w:rsid w:val="008A5F0C"/>
    <w:rsid w:val="008A60F4"/>
    <w:rsid w:val="008A615A"/>
    <w:rsid w:val="008A61FD"/>
    <w:rsid w:val="008A629D"/>
    <w:rsid w:val="008A648A"/>
    <w:rsid w:val="008A650C"/>
    <w:rsid w:val="008A6879"/>
    <w:rsid w:val="008A6897"/>
    <w:rsid w:val="008A69F3"/>
    <w:rsid w:val="008A6A36"/>
    <w:rsid w:val="008A6CB9"/>
    <w:rsid w:val="008A6DC1"/>
    <w:rsid w:val="008A7100"/>
    <w:rsid w:val="008A7139"/>
    <w:rsid w:val="008A776D"/>
    <w:rsid w:val="008A778F"/>
    <w:rsid w:val="008A7C74"/>
    <w:rsid w:val="008B0107"/>
    <w:rsid w:val="008B0282"/>
    <w:rsid w:val="008B04C0"/>
    <w:rsid w:val="008B04E0"/>
    <w:rsid w:val="008B0579"/>
    <w:rsid w:val="008B09F8"/>
    <w:rsid w:val="008B0A83"/>
    <w:rsid w:val="008B0E93"/>
    <w:rsid w:val="008B101B"/>
    <w:rsid w:val="008B1269"/>
    <w:rsid w:val="008B165B"/>
    <w:rsid w:val="008B198D"/>
    <w:rsid w:val="008B1A4F"/>
    <w:rsid w:val="008B1E97"/>
    <w:rsid w:val="008B27B8"/>
    <w:rsid w:val="008B29A4"/>
    <w:rsid w:val="008B2BB4"/>
    <w:rsid w:val="008B2C15"/>
    <w:rsid w:val="008B2C30"/>
    <w:rsid w:val="008B2D73"/>
    <w:rsid w:val="008B2F92"/>
    <w:rsid w:val="008B33B8"/>
    <w:rsid w:val="008B3482"/>
    <w:rsid w:val="008B368E"/>
    <w:rsid w:val="008B3843"/>
    <w:rsid w:val="008B395E"/>
    <w:rsid w:val="008B3AB6"/>
    <w:rsid w:val="008B3C2B"/>
    <w:rsid w:val="008B3DBF"/>
    <w:rsid w:val="008B3E60"/>
    <w:rsid w:val="008B435A"/>
    <w:rsid w:val="008B451E"/>
    <w:rsid w:val="008B4679"/>
    <w:rsid w:val="008B4A4A"/>
    <w:rsid w:val="008B4C99"/>
    <w:rsid w:val="008B4D00"/>
    <w:rsid w:val="008B4D13"/>
    <w:rsid w:val="008B4E78"/>
    <w:rsid w:val="008B4ED2"/>
    <w:rsid w:val="008B4FE2"/>
    <w:rsid w:val="008B51F1"/>
    <w:rsid w:val="008B52EB"/>
    <w:rsid w:val="008B5B31"/>
    <w:rsid w:val="008B5F10"/>
    <w:rsid w:val="008B61A1"/>
    <w:rsid w:val="008B6525"/>
    <w:rsid w:val="008B65B3"/>
    <w:rsid w:val="008B66A1"/>
    <w:rsid w:val="008B66EE"/>
    <w:rsid w:val="008B6793"/>
    <w:rsid w:val="008B6A83"/>
    <w:rsid w:val="008B6BAB"/>
    <w:rsid w:val="008B6E62"/>
    <w:rsid w:val="008B6E87"/>
    <w:rsid w:val="008B70C9"/>
    <w:rsid w:val="008B71DB"/>
    <w:rsid w:val="008B728A"/>
    <w:rsid w:val="008B7342"/>
    <w:rsid w:val="008B75C2"/>
    <w:rsid w:val="008B75FC"/>
    <w:rsid w:val="008B770F"/>
    <w:rsid w:val="008B787A"/>
    <w:rsid w:val="008B7B77"/>
    <w:rsid w:val="008B7BD8"/>
    <w:rsid w:val="008B7CF1"/>
    <w:rsid w:val="008C04EF"/>
    <w:rsid w:val="008C04F3"/>
    <w:rsid w:val="008C0773"/>
    <w:rsid w:val="008C08E9"/>
    <w:rsid w:val="008C0A22"/>
    <w:rsid w:val="008C0A89"/>
    <w:rsid w:val="008C0B32"/>
    <w:rsid w:val="008C0E71"/>
    <w:rsid w:val="008C110D"/>
    <w:rsid w:val="008C1634"/>
    <w:rsid w:val="008C1852"/>
    <w:rsid w:val="008C1ECA"/>
    <w:rsid w:val="008C205C"/>
    <w:rsid w:val="008C2672"/>
    <w:rsid w:val="008C26C6"/>
    <w:rsid w:val="008C27B4"/>
    <w:rsid w:val="008C280C"/>
    <w:rsid w:val="008C28B7"/>
    <w:rsid w:val="008C2992"/>
    <w:rsid w:val="008C2CFF"/>
    <w:rsid w:val="008C2DD0"/>
    <w:rsid w:val="008C2E1E"/>
    <w:rsid w:val="008C2E22"/>
    <w:rsid w:val="008C2ED2"/>
    <w:rsid w:val="008C311D"/>
    <w:rsid w:val="008C3352"/>
    <w:rsid w:val="008C371C"/>
    <w:rsid w:val="008C3D11"/>
    <w:rsid w:val="008C3D4D"/>
    <w:rsid w:val="008C3EA9"/>
    <w:rsid w:val="008C3F2D"/>
    <w:rsid w:val="008C4026"/>
    <w:rsid w:val="008C417E"/>
    <w:rsid w:val="008C41A5"/>
    <w:rsid w:val="008C4252"/>
    <w:rsid w:val="008C4533"/>
    <w:rsid w:val="008C526C"/>
    <w:rsid w:val="008C5935"/>
    <w:rsid w:val="008C5A09"/>
    <w:rsid w:val="008C5B51"/>
    <w:rsid w:val="008C5F0A"/>
    <w:rsid w:val="008C6105"/>
    <w:rsid w:val="008C6124"/>
    <w:rsid w:val="008C613B"/>
    <w:rsid w:val="008C6334"/>
    <w:rsid w:val="008C63DF"/>
    <w:rsid w:val="008C655D"/>
    <w:rsid w:val="008C65B9"/>
    <w:rsid w:val="008C66BD"/>
    <w:rsid w:val="008C672D"/>
    <w:rsid w:val="008C6968"/>
    <w:rsid w:val="008C6AD6"/>
    <w:rsid w:val="008C6F15"/>
    <w:rsid w:val="008C6FF1"/>
    <w:rsid w:val="008C742A"/>
    <w:rsid w:val="008C74C7"/>
    <w:rsid w:val="008C7714"/>
    <w:rsid w:val="008C77F4"/>
    <w:rsid w:val="008C78C7"/>
    <w:rsid w:val="008C7E4F"/>
    <w:rsid w:val="008C7F4F"/>
    <w:rsid w:val="008D00F3"/>
    <w:rsid w:val="008D0564"/>
    <w:rsid w:val="008D08B7"/>
    <w:rsid w:val="008D0936"/>
    <w:rsid w:val="008D0A02"/>
    <w:rsid w:val="008D0A0C"/>
    <w:rsid w:val="008D0B57"/>
    <w:rsid w:val="008D0C19"/>
    <w:rsid w:val="008D0C3F"/>
    <w:rsid w:val="008D0E1D"/>
    <w:rsid w:val="008D0F27"/>
    <w:rsid w:val="008D11D5"/>
    <w:rsid w:val="008D1309"/>
    <w:rsid w:val="008D15A2"/>
    <w:rsid w:val="008D15AA"/>
    <w:rsid w:val="008D16E0"/>
    <w:rsid w:val="008D18CD"/>
    <w:rsid w:val="008D1AAE"/>
    <w:rsid w:val="008D1F86"/>
    <w:rsid w:val="008D1FA2"/>
    <w:rsid w:val="008D2025"/>
    <w:rsid w:val="008D20D3"/>
    <w:rsid w:val="008D20E0"/>
    <w:rsid w:val="008D2796"/>
    <w:rsid w:val="008D2B6E"/>
    <w:rsid w:val="008D335C"/>
    <w:rsid w:val="008D33BB"/>
    <w:rsid w:val="008D34AC"/>
    <w:rsid w:val="008D35B7"/>
    <w:rsid w:val="008D3617"/>
    <w:rsid w:val="008D3F96"/>
    <w:rsid w:val="008D4007"/>
    <w:rsid w:val="008D404E"/>
    <w:rsid w:val="008D4095"/>
    <w:rsid w:val="008D4128"/>
    <w:rsid w:val="008D436A"/>
    <w:rsid w:val="008D45DD"/>
    <w:rsid w:val="008D4955"/>
    <w:rsid w:val="008D4AC9"/>
    <w:rsid w:val="008D4B5C"/>
    <w:rsid w:val="008D4C72"/>
    <w:rsid w:val="008D4D4B"/>
    <w:rsid w:val="008D4FC6"/>
    <w:rsid w:val="008D509E"/>
    <w:rsid w:val="008D50BA"/>
    <w:rsid w:val="008D5257"/>
    <w:rsid w:val="008D561B"/>
    <w:rsid w:val="008D582B"/>
    <w:rsid w:val="008D5931"/>
    <w:rsid w:val="008D5BCD"/>
    <w:rsid w:val="008D5CF1"/>
    <w:rsid w:val="008D5CF9"/>
    <w:rsid w:val="008D5D0A"/>
    <w:rsid w:val="008D60F7"/>
    <w:rsid w:val="008D6455"/>
    <w:rsid w:val="008D66D6"/>
    <w:rsid w:val="008D6794"/>
    <w:rsid w:val="008D68D7"/>
    <w:rsid w:val="008D69DA"/>
    <w:rsid w:val="008D6C4C"/>
    <w:rsid w:val="008D6E9B"/>
    <w:rsid w:val="008D7F65"/>
    <w:rsid w:val="008E0178"/>
    <w:rsid w:val="008E02F8"/>
    <w:rsid w:val="008E0A88"/>
    <w:rsid w:val="008E1189"/>
    <w:rsid w:val="008E12AF"/>
    <w:rsid w:val="008E12E6"/>
    <w:rsid w:val="008E147C"/>
    <w:rsid w:val="008E1592"/>
    <w:rsid w:val="008E15DD"/>
    <w:rsid w:val="008E211C"/>
    <w:rsid w:val="008E2182"/>
    <w:rsid w:val="008E2687"/>
    <w:rsid w:val="008E2735"/>
    <w:rsid w:val="008E2BB3"/>
    <w:rsid w:val="008E2BC5"/>
    <w:rsid w:val="008E2C79"/>
    <w:rsid w:val="008E3176"/>
    <w:rsid w:val="008E3564"/>
    <w:rsid w:val="008E3A0B"/>
    <w:rsid w:val="008E3A90"/>
    <w:rsid w:val="008E3AAB"/>
    <w:rsid w:val="008E3D76"/>
    <w:rsid w:val="008E3DBC"/>
    <w:rsid w:val="008E3DF6"/>
    <w:rsid w:val="008E4043"/>
    <w:rsid w:val="008E4163"/>
    <w:rsid w:val="008E41E2"/>
    <w:rsid w:val="008E4412"/>
    <w:rsid w:val="008E4520"/>
    <w:rsid w:val="008E4C52"/>
    <w:rsid w:val="008E510D"/>
    <w:rsid w:val="008E51B3"/>
    <w:rsid w:val="008E54E8"/>
    <w:rsid w:val="008E55A3"/>
    <w:rsid w:val="008E5740"/>
    <w:rsid w:val="008E5868"/>
    <w:rsid w:val="008E588B"/>
    <w:rsid w:val="008E5D2F"/>
    <w:rsid w:val="008E5DC8"/>
    <w:rsid w:val="008E60D9"/>
    <w:rsid w:val="008E6465"/>
    <w:rsid w:val="008E6ABC"/>
    <w:rsid w:val="008E6B3D"/>
    <w:rsid w:val="008E6C57"/>
    <w:rsid w:val="008E6D3B"/>
    <w:rsid w:val="008E6E66"/>
    <w:rsid w:val="008E7082"/>
    <w:rsid w:val="008E7162"/>
    <w:rsid w:val="008E72AF"/>
    <w:rsid w:val="008E7373"/>
    <w:rsid w:val="008F00B3"/>
    <w:rsid w:val="008F00EF"/>
    <w:rsid w:val="008F041E"/>
    <w:rsid w:val="008F0952"/>
    <w:rsid w:val="008F0CC7"/>
    <w:rsid w:val="008F0D3E"/>
    <w:rsid w:val="008F0F82"/>
    <w:rsid w:val="008F1064"/>
    <w:rsid w:val="008F1154"/>
    <w:rsid w:val="008F1192"/>
    <w:rsid w:val="008F134E"/>
    <w:rsid w:val="008F15A1"/>
    <w:rsid w:val="008F1650"/>
    <w:rsid w:val="008F1740"/>
    <w:rsid w:val="008F1B84"/>
    <w:rsid w:val="008F1B9D"/>
    <w:rsid w:val="008F1C97"/>
    <w:rsid w:val="008F1CBF"/>
    <w:rsid w:val="008F1D6F"/>
    <w:rsid w:val="008F1D75"/>
    <w:rsid w:val="008F1DB6"/>
    <w:rsid w:val="008F1DDC"/>
    <w:rsid w:val="008F22D5"/>
    <w:rsid w:val="008F25FE"/>
    <w:rsid w:val="008F2FC3"/>
    <w:rsid w:val="008F323D"/>
    <w:rsid w:val="008F33EF"/>
    <w:rsid w:val="008F344D"/>
    <w:rsid w:val="008F3455"/>
    <w:rsid w:val="008F38B0"/>
    <w:rsid w:val="008F39C0"/>
    <w:rsid w:val="008F3A9F"/>
    <w:rsid w:val="008F3CC0"/>
    <w:rsid w:val="008F3E62"/>
    <w:rsid w:val="008F43A9"/>
    <w:rsid w:val="008F4E41"/>
    <w:rsid w:val="008F5080"/>
    <w:rsid w:val="008F52A5"/>
    <w:rsid w:val="008F5786"/>
    <w:rsid w:val="008F57CD"/>
    <w:rsid w:val="008F5960"/>
    <w:rsid w:val="008F5CD0"/>
    <w:rsid w:val="008F5E87"/>
    <w:rsid w:val="008F60E7"/>
    <w:rsid w:val="008F6100"/>
    <w:rsid w:val="008F615B"/>
    <w:rsid w:val="008F629A"/>
    <w:rsid w:val="008F6A27"/>
    <w:rsid w:val="008F6A9B"/>
    <w:rsid w:val="008F6C67"/>
    <w:rsid w:val="008F6F03"/>
    <w:rsid w:val="008F6F9D"/>
    <w:rsid w:val="008F72A4"/>
    <w:rsid w:val="008F74D2"/>
    <w:rsid w:val="008F75A5"/>
    <w:rsid w:val="008F7603"/>
    <w:rsid w:val="008F769D"/>
    <w:rsid w:val="008F76DC"/>
    <w:rsid w:val="008F782D"/>
    <w:rsid w:val="008F797D"/>
    <w:rsid w:val="008F7A06"/>
    <w:rsid w:val="008F7D2F"/>
    <w:rsid w:val="00900296"/>
    <w:rsid w:val="00900644"/>
    <w:rsid w:val="00900716"/>
    <w:rsid w:val="00900A22"/>
    <w:rsid w:val="00900E4C"/>
    <w:rsid w:val="00900F6D"/>
    <w:rsid w:val="009013C5"/>
    <w:rsid w:val="0090147B"/>
    <w:rsid w:val="00901649"/>
    <w:rsid w:val="00901B21"/>
    <w:rsid w:val="00901CBA"/>
    <w:rsid w:val="00901DC6"/>
    <w:rsid w:val="00901EF9"/>
    <w:rsid w:val="00902090"/>
    <w:rsid w:val="009020FF"/>
    <w:rsid w:val="009021B3"/>
    <w:rsid w:val="009021DC"/>
    <w:rsid w:val="0090233A"/>
    <w:rsid w:val="00902343"/>
    <w:rsid w:val="009024D3"/>
    <w:rsid w:val="00902800"/>
    <w:rsid w:val="00903026"/>
    <w:rsid w:val="00903424"/>
    <w:rsid w:val="0090357B"/>
    <w:rsid w:val="0090375C"/>
    <w:rsid w:val="00903832"/>
    <w:rsid w:val="00903D1A"/>
    <w:rsid w:val="00904279"/>
    <w:rsid w:val="009044BE"/>
    <w:rsid w:val="0090464C"/>
    <w:rsid w:val="009048EB"/>
    <w:rsid w:val="00904913"/>
    <w:rsid w:val="00904D4B"/>
    <w:rsid w:val="00904D5E"/>
    <w:rsid w:val="00904E61"/>
    <w:rsid w:val="009050B3"/>
    <w:rsid w:val="00905409"/>
    <w:rsid w:val="009055C5"/>
    <w:rsid w:val="009055D0"/>
    <w:rsid w:val="00905685"/>
    <w:rsid w:val="009058E2"/>
    <w:rsid w:val="00905945"/>
    <w:rsid w:val="00905979"/>
    <w:rsid w:val="00905996"/>
    <w:rsid w:val="00905B24"/>
    <w:rsid w:val="00905FEB"/>
    <w:rsid w:val="00906252"/>
    <w:rsid w:val="0090636D"/>
    <w:rsid w:val="0090672E"/>
    <w:rsid w:val="00906A4F"/>
    <w:rsid w:val="00906BD6"/>
    <w:rsid w:val="00906CF2"/>
    <w:rsid w:val="00906FC9"/>
    <w:rsid w:val="00907062"/>
    <w:rsid w:val="00907074"/>
    <w:rsid w:val="009070DC"/>
    <w:rsid w:val="009073C7"/>
    <w:rsid w:val="0090749E"/>
    <w:rsid w:val="0090772B"/>
    <w:rsid w:val="009078BA"/>
    <w:rsid w:val="009079C7"/>
    <w:rsid w:val="009079F7"/>
    <w:rsid w:val="00907B1B"/>
    <w:rsid w:val="00907B3B"/>
    <w:rsid w:val="00907B44"/>
    <w:rsid w:val="00907BAA"/>
    <w:rsid w:val="00907C33"/>
    <w:rsid w:val="009103AB"/>
    <w:rsid w:val="00910829"/>
    <w:rsid w:val="009108D2"/>
    <w:rsid w:val="0091098F"/>
    <w:rsid w:val="00910B10"/>
    <w:rsid w:val="00910C20"/>
    <w:rsid w:val="00910FE1"/>
    <w:rsid w:val="0091106A"/>
    <w:rsid w:val="009110FB"/>
    <w:rsid w:val="00911172"/>
    <w:rsid w:val="0091118F"/>
    <w:rsid w:val="009112E9"/>
    <w:rsid w:val="0091142D"/>
    <w:rsid w:val="0091166A"/>
    <w:rsid w:val="009117D0"/>
    <w:rsid w:val="00911809"/>
    <w:rsid w:val="00911A87"/>
    <w:rsid w:val="00911C77"/>
    <w:rsid w:val="00911D1C"/>
    <w:rsid w:val="00911F7E"/>
    <w:rsid w:val="0091211D"/>
    <w:rsid w:val="009123EF"/>
    <w:rsid w:val="00912F38"/>
    <w:rsid w:val="00913651"/>
    <w:rsid w:val="009138D1"/>
    <w:rsid w:val="00913C58"/>
    <w:rsid w:val="00913DBC"/>
    <w:rsid w:val="00913FCD"/>
    <w:rsid w:val="009140B4"/>
    <w:rsid w:val="00914174"/>
    <w:rsid w:val="0091428A"/>
    <w:rsid w:val="00914733"/>
    <w:rsid w:val="00914A43"/>
    <w:rsid w:val="00914AA5"/>
    <w:rsid w:val="00914C0A"/>
    <w:rsid w:val="00914C83"/>
    <w:rsid w:val="00914D1F"/>
    <w:rsid w:val="009157DE"/>
    <w:rsid w:val="0091586B"/>
    <w:rsid w:val="00915DAD"/>
    <w:rsid w:val="009162DD"/>
    <w:rsid w:val="009163E7"/>
    <w:rsid w:val="009165BC"/>
    <w:rsid w:val="00916668"/>
    <w:rsid w:val="009166C0"/>
    <w:rsid w:val="0091671A"/>
    <w:rsid w:val="009169F6"/>
    <w:rsid w:val="00916CFA"/>
    <w:rsid w:val="00916D5B"/>
    <w:rsid w:val="00916E1B"/>
    <w:rsid w:val="0091715C"/>
    <w:rsid w:val="0091719D"/>
    <w:rsid w:val="0091761E"/>
    <w:rsid w:val="00917903"/>
    <w:rsid w:val="00917C91"/>
    <w:rsid w:val="00917EBD"/>
    <w:rsid w:val="00917FE1"/>
    <w:rsid w:val="009200D3"/>
    <w:rsid w:val="00920222"/>
    <w:rsid w:val="009202DF"/>
    <w:rsid w:val="00920497"/>
    <w:rsid w:val="00920894"/>
    <w:rsid w:val="00920997"/>
    <w:rsid w:val="00920B1E"/>
    <w:rsid w:val="00920DD5"/>
    <w:rsid w:val="00921161"/>
    <w:rsid w:val="00921337"/>
    <w:rsid w:val="0092144E"/>
    <w:rsid w:val="0092158B"/>
    <w:rsid w:val="00921824"/>
    <w:rsid w:val="00921861"/>
    <w:rsid w:val="00921A34"/>
    <w:rsid w:val="00921BD4"/>
    <w:rsid w:val="00921C60"/>
    <w:rsid w:val="00921E0A"/>
    <w:rsid w:val="00921F2C"/>
    <w:rsid w:val="00921FAD"/>
    <w:rsid w:val="00922492"/>
    <w:rsid w:val="009224EB"/>
    <w:rsid w:val="0092272F"/>
    <w:rsid w:val="0092294E"/>
    <w:rsid w:val="00922BE2"/>
    <w:rsid w:val="00922EDE"/>
    <w:rsid w:val="0092337C"/>
    <w:rsid w:val="009233CC"/>
    <w:rsid w:val="009233CF"/>
    <w:rsid w:val="009237D9"/>
    <w:rsid w:val="009239D2"/>
    <w:rsid w:val="00923CDE"/>
    <w:rsid w:val="00923E86"/>
    <w:rsid w:val="00923FE0"/>
    <w:rsid w:val="0092406C"/>
    <w:rsid w:val="00924096"/>
    <w:rsid w:val="009243BC"/>
    <w:rsid w:val="0092444D"/>
    <w:rsid w:val="00924472"/>
    <w:rsid w:val="009244D5"/>
    <w:rsid w:val="0092485C"/>
    <w:rsid w:val="00924A16"/>
    <w:rsid w:val="00924C5B"/>
    <w:rsid w:val="00924EFD"/>
    <w:rsid w:val="0092506C"/>
    <w:rsid w:val="00925183"/>
    <w:rsid w:val="009251F5"/>
    <w:rsid w:val="009252F1"/>
    <w:rsid w:val="00925588"/>
    <w:rsid w:val="00925AF5"/>
    <w:rsid w:val="00925AFA"/>
    <w:rsid w:val="00925C76"/>
    <w:rsid w:val="00925DEA"/>
    <w:rsid w:val="00926268"/>
    <w:rsid w:val="009264A2"/>
    <w:rsid w:val="0092672B"/>
    <w:rsid w:val="009267E4"/>
    <w:rsid w:val="00926A89"/>
    <w:rsid w:val="00926C77"/>
    <w:rsid w:val="00926D96"/>
    <w:rsid w:val="00926F3D"/>
    <w:rsid w:val="00926FB6"/>
    <w:rsid w:val="0092715D"/>
    <w:rsid w:val="00927206"/>
    <w:rsid w:val="00927693"/>
    <w:rsid w:val="009276AE"/>
    <w:rsid w:val="0092787F"/>
    <w:rsid w:val="009278DB"/>
    <w:rsid w:val="00927933"/>
    <w:rsid w:val="009279FF"/>
    <w:rsid w:val="00927B3A"/>
    <w:rsid w:val="00927CE1"/>
    <w:rsid w:val="00927D86"/>
    <w:rsid w:val="00927DDB"/>
    <w:rsid w:val="00927EFC"/>
    <w:rsid w:val="00930057"/>
    <w:rsid w:val="0093029D"/>
    <w:rsid w:val="00930515"/>
    <w:rsid w:val="00930592"/>
    <w:rsid w:val="00930632"/>
    <w:rsid w:val="0093087A"/>
    <w:rsid w:val="009308BB"/>
    <w:rsid w:val="009308E9"/>
    <w:rsid w:val="00930B2B"/>
    <w:rsid w:val="00930FED"/>
    <w:rsid w:val="009310BC"/>
    <w:rsid w:val="009310EC"/>
    <w:rsid w:val="009311B2"/>
    <w:rsid w:val="00931399"/>
    <w:rsid w:val="0093177D"/>
    <w:rsid w:val="00931969"/>
    <w:rsid w:val="00931BB5"/>
    <w:rsid w:val="00931D3F"/>
    <w:rsid w:val="00932170"/>
    <w:rsid w:val="0093228F"/>
    <w:rsid w:val="009324C4"/>
    <w:rsid w:val="00932506"/>
    <w:rsid w:val="00932671"/>
    <w:rsid w:val="0093276C"/>
    <w:rsid w:val="00932A7A"/>
    <w:rsid w:val="009330BF"/>
    <w:rsid w:val="0093351A"/>
    <w:rsid w:val="009336E1"/>
    <w:rsid w:val="00933817"/>
    <w:rsid w:val="00933C07"/>
    <w:rsid w:val="00933DBE"/>
    <w:rsid w:val="009340CF"/>
    <w:rsid w:val="009344A7"/>
    <w:rsid w:val="00934510"/>
    <w:rsid w:val="0093476C"/>
    <w:rsid w:val="00934FC0"/>
    <w:rsid w:val="009355E0"/>
    <w:rsid w:val="00935772"/>
    <w:rsid w:val="00935868"/>
    <w:rsid w:val="00935A1E"/>
    <w:rsid w:val="00935B7C"/>
    <w:rsid w:val="00935E3A"/>
    <w:rsid w:val="00936005"/>
    <w:rsid w:val="0093607C"/>
    <w:rsid w:val="0093638A"/>
    <w:rsid w:val="00936713"/>
    <w:rsid w:val="0093699A"/>
    <w:rsid w:val="00936AC2"/>
    <w:rsid w:val="00936EEA"/>
    <w:rsid w:val="00937219"/>
    <w:rsid w:val="00937280"/>
    <w:rsid w:val="0093728D"/>
    <w:rsid w:val="00937538"/>
    <w:rsid w:val="00937849"/>
    <w:rsid w:val="009378DB"/>
    <w:rsid w:val="00937A36"/>
    <w:rsid w:val="00937A83"/>
    <w:rsid w:val="00937ABF"/>
    <w:rsid w:val="00937B51"/>
    <w:rsid w:val="00937BA1"/>
    <w:rsid w:val="00937BF1"/>
    <w:rsid w:val="00940008"/>
    <w:rsid w:val="00940425"/>
    <w:rsid w:val="00940B6E"/>
    <w:rsid w:val="00940F3C"/>
    <w:rsid w:val="00940FC3"/>
    <w:rsid w:val="00940FFA"/>
    <w:rsid w:val="00941503"/>
    <w:rsid w:val="00941543"/>
    <w:rsid w:val="009415FD"/>
    <w:rsid w:val="009416D1"/>
    <w:rsid w:val="009417E3"/>
    <w:rsid w:val="0094187D"/>
    <w:rsid w:val="00941D4D"/>
    <w:rsid w:val="00941D61"/>
    <w:rsid w:val="009424A2"/>
    <w:rsid w:val="00942564"/>
    <w:rsid w:val="009427C9"/>
    <w:rsid w:val="009427D0"/>
    <w:rsid w:val="009429EE"/>
    <w:rsid w:val="00942A82"/>
    <w:rsid w:val="00942C4D"/>
    <w:rsid w:val="00942C64"/>
    <w:rsid w:val="00942C90"/>
    <w:rsid w:val="00942D31"/>
    <w:rsid w:val="00942F29"/>
    <w:rsid w:val="00942FB6"/>
    <w:rsid w:val="00942FF7"/>
    <w:rsid w:val="009434EB"/>
    <w:rsid w:val="009435BE"/>
    <w:rsid w:val="00943908"/>
    <w:rsid w:val="009439AF"/>
    <w:rsid w:val="00943D16"/>
    <w:rsid w:val="00943D64"/>
    <w:rsid w:val="00943EA6"/>
    <w:rsid w:val="0094400C"/>
    <w:rsid w:val="00944400"/>
    <w:rsid w:val="00944428"/>
    <w:rsid w:val="009448F2"/>
    <w:rsid w:val="009448F3"/>
    <w:rsid w:val="009451A5"/>
    <w:rsid w:val="0094524B"/>
    <w:rsid w:val="009456E3"/>
    <w:rsid w:val="00945759"/>
    <w:rsid w:val="00946370"/>
    <w:rsid w:val="009466E9"/>
    <w:rsid w:val="00946850"/>
    <w:rsid w:val="00946986"/>
    <w:rsid w:val="00946A96"/>
    <w:rsid w:val="00946BB2"/>
    <w:rsid w:val="00946CB3"/>
    <w:rsid w:val="00946D20"/>
    <w:rsid w:val="00946E51"/>
    <w:rsid w:val="00946FF2"/>
    <w:rsid w:val="009473F4"/>
    <w:rsid w:val="0094767D"/>
    <w:rsid w:val="009478EB"/>
    <w:rsid w:val="00947AB9"/>
    <w:rsid w:val="00947C21"/>
    <w:rsid w:val="00947FC7"/>
    <w:rsid w:val="00950231"/>
    <w:rsid w:val="009503A2"/>
    <w:rsid w:val="00950794"/>
    <w:rsid w:val="009507AA"/>
    <w:rsid w:val="009509EF"/>
    <w:rsid w:val="00950C83"/>
    <w:rsid w:val="00950CDE"/>
    <w:rsid w:val="0095143E"/>
    <w:rsid w:val="00951550"/>
    <w:rsid w:val="009515CA"/>
    <w:rsid w:val="00951691"/>
    <w:rsid w:val="009517EC"/>
    <w:rsid w:val="00951A1F"/>
    <w:rsid w:val="00951BF5"/>
    <w:rsid w:val="00951CBF"/>
    <w:rsid w:val="00951FCE"/>
    <w:rsid w:val="009521CC"/>
    <w:rsid w:val="00952242"/>
    <w:rsid w:val="0095226C"/>
    <w:rsid w:val="009524A4"/>
    <w:rsid w:val="00952548"/>
    <w:rsid w:val="009526E7"/>
    <w:rsid w:val="00952712"/>
    <w:rsid w:val="00952C05"/>
    <w:rsid w:val="00952D52"/>
    <w:rsid w:val="00952D68"/>
    <w:rsid w:val="00953681"/>
    <w:rsid w:val="00953CE7"/>
    <w:rsid w:val="00953D31"/>
    <w:rsid w:val="009540B7"/>
    <w:rsid w:val="009543D0"/>
    <w:rsid w:val="0095448D"/>
    <w:rsid w:val="009545B4"/>
    <w:rsid w:val="0095464E"/>
    <w:rsid w:val="00954DAE"/>
    <w:rsid w:val="00954E1D"/>
    <w:rsid w:val="00954EE1"/>
    <w:rsid w:val="00955265"/>
    <w:rsid w:val="009552A9"/>
    <w:rsid w:val="00955410"/>
    <w:rsid w:val="0095555C"/>
    <w:rsid w:val="0095555D"/>
    <w:rsid w:val="009558EE"/>
    <w:rsid w:val="009559D5"/>
    <w:rsid w:val="00955B4F"/>
    <w:rsid w:val="00955C17"/>
    <w:rsid w:val="00955D04"/>
    <w:rsid w:val="00955D82"/>
    <w:rsid w:val="00955FFA"/>
    <w:rsid w:val="00956099"/>
    <w:rsid w:val="009560D0"/>
    <w:rsid w:val="00956170"/>
    <w:rsid w:val="00956336"/>
    <w:rsid w:val="00956381"/>
    <w:rsid w:val="00956989"/>
    <w:rsid w:val="00956BA1"/>
    <w:rsid w:val="00956D42"/>
    <w:rsid w:val="00956F0F"/>
    <w:rsid w:val="00957065"/>
    <w:rsid w:val="0095727F"/>
    <w:rsid w:val="009572AF"/>
    <w:rsid w:val="00957C78"/>
    <w:rsid w:val="00957E41"/>
    <w:rsid w:val="00957F13"/>
    <w:rsid w:val="0096023A"/>
    <w:rsid w:val="0096036B"/>
    <w:rsid w:val="0096072E"/>
    <w:rsid w:val="009607AB"/>
    <w:rsid w:val="00960A9A"/>
    <w:rsid w:val="0096107C"/>
    <w:rsid w:val="0096107E"/>
    <w:rsid w:val="0096113C"/>
    <w:rsid w:val="00961457"/>
    <w:rsid w:val="009615DB"/>
    <w:rsid w:val="00961622"/>
    <w:rsid w:val="0096178F"/>
    <w:rsid w:val="00961AE1"/>
    <w:rsid w:val="00961E17"/>
    <w:rsid w:val="009621B8"/>
    <w:rsid w:val="009622B0"/>
    <w:rsid w:val="0096240F"/>
    <w:rsid w:val="00962683"/>
    <w:rsid w:val="00962DB8"/>
    <w:rsid w:val="00962E23"/>
    <w:rsid w:val="00962ED0"/>
    <w:rsid w:val="00963149"/>
    <w:rsid w:val="009635F5"/>
    <w:rsid w:val="00963721"/>
    <w:rsid w:val="00964112"/>
    <w:rsid w:val="00964137"/>
    <w:rsid w:val="0096456D"/>
    <w:rsid w:val="0096464B"/>
    <w:rsid w:val="009646D2"/>
    <w:rsid w:val="0096487C"/>
    <w:rsid w:val="0096491A"/>
    <w:rsid w:val="00964BC2"/>
    <w:rsid w:val="00964BC4"/>
    <w:rsid w:val="00964D4A"/>
    <w:rsid w:val="00964E20"/>
    <w:rsid w:val="00964E99"/>
    <w:rsid w:val="00964EAE"/>
    <w:rsid w:val="00965023"/>
    <w:rsid w:val="009650B7"/>
    <w:rsid w:val="0096515D"/>
    <w:rsid w:val="0096576E"/>
    <w:rsid w:val="00965841"/>
    <w:rsid w:val="00965A0D"/>
    <w:rsid w:val="00965D07"/>
    <w:rsid w:val="00965EC6"/>
    <w:rsid w:val="00965EE1"/>
    <w:rsid w:val="00965F21"/>
    <w:rsid w:val="00966623"/>
    <w:rsid w:val="009668D5"/>
    <w:rsid w:val="00966D23"/>
    <w:rsid w:val="00966EA1"/>
    <w:rsid w:val="00967531"/>
    <w:rsid w:val="00967683"/>
    <w:rsid w:val="009678DB"/>
    <w:rsid w:val="00967C1E"/>
    <w:rsid w:val="00967CB5"/>
    <w:rsid w:val="00967D61"/>
    <w:rsid w:val="00970072"/>
    <w:rsid w:val="009700B6"/>
    <w:rsid w:val="00970233"/>
    <w:rsid w:val="00970728"/>
    <w:rsid w:val="009707C9"/>
    <w:rsid w:val="009707F8"/>
    <w:rsid w:val="0097082A"/>
    <w:rsid w:val="009708E6"/>
    <w:rsid w:val="00970F80"/>
    <w:rsid w:val="009714B6"/>
    <w:rsid w:val="0097152D"/>
    <w:rsid w:val="009715E0"/>
    <w:rsid w:val="009716C4"/>
    <w:rsid w:val="0097188E"/>
    <w:rsid w:val="00971A3C"/>
    <w:rsid w:val="00971D40"/>
    <w:rsid w:val="00971E0B"/>
    <w:rsid w:val="00972101"/>
    <w:rsid w:val="00972568"/>
    <w:rsid w:val="00972BF6"/>
    <w:rsid w:val="00972D22"/>
    <w:rsid w:val="00972F63"/>
    <w:rsid w:val="00972FB5"/>
    <w:rsid w:val="0097345F"/>
    <w:rsid w:val="00973510"/>
    <w:rsid w:val="00973669"/>
    <w:rsid w:val="009736FE"/>
    <w:rsid w:val="00973B96"/>
    <w:rsid w:val="00973BAA"/>
    <w:rsid w:val="00973C4E"/>
    <w:rsid w:val="00973E3C"/>
    <w:rsid w:val="009742EA"/>
    <w:rsid w:val="0097469B"/>
    <w:rsid w:val="00974717"/>
    <w:rsid w:val="00974763"/>
    <w:rsid w:val="0097493A"/>
    <w:rsid w:val="00974B73"/>
    <w:rsid w:val="00974ED0"/>
    <w:rsid w:val="00974F96"/>
    <w:rsid w:val="009752AD"/>
    <w:rsid w:val="0097563C"/>
    <w:rsid w:val="009757CA"/>
    <w:rsid w:val="00975C9D"/>
    <w:rsid w:val="00976D8D"/>
    <w:rsid w:val="00976E76"/>
    <w:rsid w:val="0097718F"/>
    <w:rsid w:val="009771B3"/>
    <w:rsid w:val="00977A14"/>
    <w:rsid w:val="00977C00"/>
    <w:rsid w:val="00977E9B"/>
    <w:rsid w:val="00977EA6"/>
    <w:rsid w:val="00977F35"/>
    <w:rsid w:val="0098036E"/>
    <w:rsid w:val="00980443"/>
    <w:rsid w:val="009804BE"/>
    <w:rsid w:val="009807BF"/>
    <w:rsid w:val="009808EF"/>
    <w:rsid w:val="009809CE"/>
    <w:rsid w:val="00980D42"/>
    <w:rsid w:val="009811BB"/>
    <w:rsid w:val="0098131F"/>
    <w:rsid w:val="00981479"/>
    <w:rsid w:val="00981CF9"/>
    <w:rsid w:val="00981D30"/>
    <w:rsid w:val="00982295"/>
    <w:rsid w:val="009822A3"/>
    <w:rsid w:val="009825C7"/>
    <w:rsid w:val="009829B3"/>
    <w:rsid w:val="00982AF0"/>
    <w:rsid w:val="00982C31"/>
    <w:rsid w:val="00982D45"/>
    <w:rsid w:val="00982E2E"/>
    <w:rsid w:val="00982FE4"/>
    <w:rsid w:val="00983165"/>
    <w:rsid w:val="0098318A"/>
    <w:rsid w:val="00983343"/>
    <w:rsid w:val="009833C4"/>
    <w:rsid w:val="009834E0"/>
    <w:rsid w:val="009837B6"/>
    <w:rsid w:val="009838FF"/>
    <w:rsid w:val="00983C5A"/>
    <w:rsid w:val="00983DAE"/>
    <w:rsid w:val="00983E33"/>
    <w:rsid w:val="00983FA9"/>
    <w:rsid w:val="00984149"/>
    <w:rsid w:val="00984195"/>
    <w:rsid w:val="0098447A"/>
    <w:rsid w:val="00984759"/>
    <w:rsid w:val="00984788"/>
    <w:rsid w:val="00984909"/>
    <w:rsid w:val="00984ACA"/>
    <w:rsid w:val="00984D7E"/>
    <w:rsid w:val="00984E69"/>
    <w:rsid w:val="00984FF3"/>
    <w:rsid w:val="00984FF9"/>
    <w:rsid w:val="009850B3"/>
    <w:rsid w:val="009850C5"/>
    <w:rsid w:val="0098516C"/>
    <w:rsid w:val="0098527A"/>
    <w:rsid w:val="0098594C"/>
    <w:rsid w:val="00985BD2"/>
    <w:rsid w:val="00985D4C"/>
    <w:rsid w:val="00985EA0"/>
    <w:rsid w:val="009862B6"/>
    <w:rsid w:val="00986326"/>
    <w:rsid w:val="009866D9"/>
    <w:rsid w:val="00986849"/>
    <w:rsid w:val="00986A25"/>
    <w:rsid w:val="00986BB7"/>
    <w:rsid w:val="00986D4B"/>
    <w:rsid w:val="00986E11"/>
    <w:rsid w:val="00986E1E"/>
    <w:rsid w:val="00986F36"/>
    <w:rsid w:val="00986F6D"/>
    <w:rsid w:val="009871C3"/>
    <w:rsid w:val="0098727C"/>
    <w:rsid w:val="009873B6"/>
    <w:rsid w:val="00987412"/>
    <w:rsid w:val="00987708"/>
    <w:rsid w:val="00987DDD"/>
    <w:rsid w:val="00987DF0"/>
    <w:rsid w:val="00987DF4"/>
    <w:rsid w:val="00987E2E"/>
    <w:rsid w:val="00987F14"/>
    <w:rsid w:val="0099008B"/>
    <w:rsid w:val="0099015F"/>
    <w:rsid w:val="00990233"/>
    <w:rsid w:val="00990672"/>
    <w:rsid w:val="00990D27"/>
    <w:rsid w:val="00990D3F"/>
    <w:rsid w:val="009911F3"/>
    <w:rsid w:val="00991202"/>
    <w:rsid w:val="009913BA"/>
    <w:rsid w:val="0099173B"/>
    <w:rsid w:val="0099177B"/>
    <w:rsid w:val="009917E0"/>
    <w:rsid w:val="00991A66"/>
    <w:rsid w:val="00991D62"/>
    <w:rsid w:val="0099245E"/>
    <w:rsid w:val="00992489"/>
    <w:rsid w:val="0099256D"/>
    <w:rsid w:val="00992C1C"/>
    <w:rsid w:val="00992DEC"/>
    <w:rsid w:val="009931A3"/>
    <w:rsid w:val="009932F3"/>
    <w:rsid w:val="00993497"/>
    <w:rsid w:val="0099367E"/>
    <w:rsid w:val="00993B7A"/>
    <w:rsid w:val="00993E9A"/>
    <w:rsid w:val="00993FE4"/>
    <w:rsid w:val="0099425E"/>
    <w:rsid w:val="0099482F"/>
    <w:rsid w:val="0099491B"/>
    <w:rsid w:val="009949D7"/>
    <w:rsid w:val="00994CDC"/>
    <w:rsid w:val="00994D6C"/>
    <w:rsid w:val="00994F5D"/>
    <w:rsid w:val="00995518"/>
    <w:rsid w:val="009969CD"/>
    <w:rsid w:val="00996CBA"/>
    <w:rsid w:val="00996CFC"/>
    <w:rsid w:val="00996D90"/>
    <w:rsid w:val="009974C3"/>
    <w:rsid w:val="009974F3"/>
    <w:rsid w:val="0099750A"/>
    <w:rsid w:val="0099756B"/>
    <w:rsid w:val="009975DB"/>
    <w:rsid w:val="0099770A"/>
    <w:rsid w:val="00997710"/>
    <w:rsid w:val="00997769"/>
    <w:rsid w:val="00997A2E"/>
    <w:rsid w:val="00997CB7"/>
    <w:rsid w:val="009A048E"/>
    <w:rsid w:val="009A09A1"/>
    <w:rsid w:val="009A0EA2"/>
    <w:rsid w:val="009A119F"/>
    <w:rsid w:val="009A14D7"/>
    <w:rsid w:val="009A1585"/>
    <w:rsid w:val="009A15E6"/>
    <w:rsid w:val="009A1609"/>
    <w:rsid w:val="009A1A7E"/>
    <w:rsid w:val="009A1AF0"/>
    <w:rsid w:val="009A1B79"/>
    <w:rsid w:val="009A1C6F"/>
    <w:rsid w:val="009A20D7"/>
    <w:rsid w:val="009A21E7"/>
    <w:rsid w:val="009A2226"/>
    <w:rsid w:val="009A238A"/>
    <w:rsid w:val="009A2A71"/>
    <w:rsid w:val="009A3241"/>
    <w:rsid w:val="009A33D8"/>
    <w:rsid w:val="009A3480"/>
    <w:rsid w:val="009A3C6F"/>
    <w:rsid w:val="009A3DB8"/>
    <w:rsid w:val="009A40E8"/>
    <w:rsid w:val="009A4356"/>
    <w:rsid w:val="009A438C"/>
    <w:rsid w:val="009A43B3"/>
    <w:rsid w:val="009A464D"/>
    <w:rsid w:val="009A4781"/>
    <w:rsid w:val="009A47D3"/>
    <w:rsid w:val="009A496F"/>
    <w:rsid w:val="009A4AE8"/>
    <w:rsid w:val="009A4B78"/>
    <w:rsid w:val="009A4D5B"/>
    <w:rsid w:val="009A4D73"/>
    <w:rsid w:val="009A4E41"/>
    <w:rsid w:val="009A4ED7"/>
    <w:rsid w:val="009A4EFE"/>
    <w:rsid w:val="009A4F72"/>
    <w:rsid w:val="009A5297"/>
    <w:rsid w:val="009A5326"/>
    <w:rsid w:val="009A537A"/>
    <w:rsid w:val="009A562D"/>
    <w:rsid w:val="009A5D40"/>
    <w:rsid w:val="009A5E06"/>
    <w:rsid w:val="009A5E10"/>
    <w:rsid w:val="009A5E7C"/>
    <w:rsid w:val="009A5E9E"/>
    <w:rsid w:val="009A6393"/>
    <w:rsid w:val="009A640F"/>
    <w:rsid w:val="009A64A8"/>
    <w:rsid w:val="009A64D2"/>
    <w:rsid w:val="009A6665"/>
    <w:rsid w:val="009A6785"/>
    <w:rsid w:val="009A6A19"/>
    <w:rsid w:val="009A6A8E"/>
    <w:rsid w:val="009A6EE2"/>
    <w:rsid w:val="009A743F"/>
    <w:rsid w:val="009A74F7"/>
    <w:rsid w:val="009A76B0"/>
    <w:rsid w:val="009A76B2"/>
    <w:rsid w:val="009A76FD"/>
    <w:rsid w:val="009A7CF2"/>
    <w:rsid w:val="009A7FD7"/>
    <w:rsid w:val="009B00F2"/>
    <w:rsid w:val="009B028E"/>
    <w:rsid w:val="009B02A4"/>
    <w:rsid w:val="009B07A0"/>
    <w:rsid w:val="009B0FB2"/>
    <w:rsid w:val="009B107E"/>
    <w:rsid w:val="009B1113"/>
    <w:rsid w:val="009B126B"/>
    <w:rsid w:val="009B1285"/>
    <w:rsid w:val="009B1358"/>
    <w:rsid w:val="009B15E7"/>
    <w:rsid w:val="009B1B29"/>
    <w:rsid w:val="009B1C34"/>
    <w:rsid w:val="009B1D22"/>
    <w:rsid w:val="009B1E86"/>
    <w:rsid w:val="009B2031"/>
    <w:rsid w:val="009B20FD"/>
    <w:rsid w:val="009B27C4"/>
    <w:rsid w:val="009B2C98"/>
    <w:rsid w:val="009B2D7F"/>
    <w:rsid w:val="009B2D92"/>
    <w:rsid w:val="009B2E9F"/>
    <w:rsid w:val="009B2F4E"/>
    <w:rsid w:val="009B2FBF"/>
    <w:rsid w:val="009B3250"/>
    <w:rsid w:val="009B327E"/>
    <w:rsid w:val="009B3344"/>
    <w:rsid w:val="009B370D"/>
    <w:rsid w:val="009B3EDC"/>
    <w:rsid w:val="009B3FE7"/>
    <w:rsid w:val="009B401A"/>
    <w:rsid w:val="009B40D1"/>
    <w:rsid w:val="009B42D2"/>
    <w:rsid w:val="009B42D4"/>
    <w:rsid w:val="009B439E"/>
    <w:rsid w:val="009B4A06"/>
    <w:rsid w:val="009B4FA1"/>
    <w:rsid w:val="009B51DB"/>
    <w:rsid w:val="009B5347"/>
    <w:rsid w:val="009B535F"/>
    <w:rsid w:val="009B53CF"/>
    <w:rsid w:val="009B53E8"/>
    <w:rsid w:val="009B5AFC"/>
    <w:rsid w:val="009B5E9C"/>
    <w:rsid w:val="009B609E"/>
    <w:rsid w:val="009B676F"/>
    <w:rsid w:val="009B6A9E"/>
    <w:rsid w:val="009B6CF1"/>
    <w:rsid w:val="009B70C8"/>
    <w:rsid w:val="009B722F"/>
    <w:rsid w:val="009B737C"/>
    <w:rsid w:val="009B742E"/>
    <w:rsid w:val="009B75A4"/>
    <w:rsid w:val="009B75CD"/>
    <w:rsid w:val="009B7BCF"/>
    <w:rsid w:val="009B7E29"/>
    <w:rsid w:val="009C0138"/>
    <w:rsid w:val="009C098B"/>
    <w:rsid w:val="009C0AC6"/>
    <w:rsid w:val="009C0DAD"/>
    <w:rsid w:val="009C0E66"/>
    <w:rsid w:val="009C0EC0"/>
    <w:rsid w:val="009C111D"/>
    <w:rsid w:val="009C11B2"/>
    <w:rsid w:val="009C11DB"/>
    <w:rsid w:val="009C11F2"/>
    <w:rsid w:val="009C125F"/>
    <w:rsid w:val="009C1456"/>
    <w:rsid w:val="009C164F"/>
    <w:rsid w:val="009C1871"/>
    <w:rsid w:val="009C1BC8"/>
    <w:rsid w:val="009C1C30"/>
    <w:rsid w:val="009C1C72"/>
    <w:rsid w:val="009C1CA3"/>
    <w:rsid w:val="009C1F0A"/>
    <w:rsid w:val="009C2219"/>
    <w:rsid w:val="009C22DD"/>
    <w:rsid w:val="009C2551"/>
    <w:rsid w:val="009C29D5"/>
    <w:rsid w:val="009C29FC"/>
    <w:rsid w:val="009C2D3F"/>
    <w:rsid w:val="009C30A0"/>
    <w:rsid w:val="009C30D0"/>
    <w:rsid w:val="009C32EF"/>
    <w:rsid w:val="009C335D"/>
    <w:rsid w:val="009C359E"/>
    <w:rsid w:val="009C3634"/>
    <w:rsid w:val="009C37FE"/>
    <w:rsid w:val="009C3827"/>
    <w:rsid w:val="009C3A70"/>
    <w:rsid w:val="009C3B3C"/>
    <w:rsid w:val="009C3D4E"/>
    <w:rsid w:val="009C3E68"/>
    <w:rsid w:val="009C4059"/>
    <w:rsid w:val="009C4082"/>
    <w:rsid w:val="009C4774"/>
    <w:rsid w:val="009C478B"/>
    <w:rsid w:val="009C47BF"/>
    <w:rsid w:val="009C4806"/>
    <w:rsid w:val="009C4A38"/>
    <w:rsid w:val="009C4AD8"/>
    <w:rsid w:val="009C4D3D"/>
    <w:rsid w:val="009C51D4"/>
    <w:rsid w:val="009C53FF"/>
    <w:rsid w:val="009C55E2"/>
    <w:rsid w:val="009C5692"/>
    <w:rsid w:val="009C570A"/>
    <w:rsid w:val="009C5A4E"/>
    <w:rsid w:val="009C5EE5"/>
    <w:rsid w:val="009C61E3"/>
    <w:rsid w:val="009C638C"/>
    <w:rsid w:val="009C63C8"/>
    <w:rsid w:val="009C6760"/>
    <w:rsid w:val="009C6A82"/>
    <w:rsid w:val="009C6B56"/>
    <w:rsid w:val="009C6C93"/>
    <w:rsid w:val="009C7025"/>
    <w:rsid w:val="009C722C"/>
    <w:rsid w:val="009C7636"/>
    <w:rsid w:val="009C7656"/>
    <w:rsid w:val="009C76F9"/>
    <w:rsid w:val="009C7785"/>
    <w:rsid w:val="009C7C1B"/>
    <w:rsid w:val="009C7DB8"/>
    <w:rsid w:val="009C7DEE"/>
    <w:rsid w:val="009C7FF0"/>
    <w:rsid w:val="009D010D"/>
    <w:rsid w:val="009D0244"/>
    <w:rsid w:val="009D03AF"/>
    <w:rsid w:val="009D050F"/>
    <w:rsid w:val="009D0573"/>
    <w:rsid w:val="009D0612"/>
    <w:rsid w:val="009D08B2"/>
    <w:rsid w:val="009D0A23"/>
    <w:rsid w:val="009D0CCE"/>
    <w:rsid w:val="009D0D18"/>
    <w:rsid w:val="009D0E1A"/>
    <w:rsid w:val="009D0F71"/>
    <w:rsid w:val="009D0FB2"/>
    <w:rsid w:val="009D111C"/>
    <w:rsid w:val="009D13E4"/>
    <w:rsid w:val="009D141A"/>
    <w:rsid w:val="009D16C7"/>
    <w:rsid w:val="009D17A0"/>
    <w:rsid w:val="009D1A08"/>
    <w:rsid w:val="009D1E51"/>
    <w:rsid w:val="009D1F7A"/>
    <w:rsid w:val="009D2165"/>
    <w:rsid w:val="009D2873"/>
    <w:rsid w:val="009D28B1"/>
    <w:rsid w:val="009D2942"/>
    <w:rsid w:val="009D31BC"/>
    <w:rsid w:val="009D377C"/>
    <w:rsid w:val="009D37C3"/>
    <w:rsid w:val="009D3816"/>
    <w:rsid w:val="009D3827"/>
    <w:rsid w:val="009D3A1A"/>
    <w:rsid w:val="009D3C06"/>
    <w:rsid w:val="009D40BE"/>
    <w:rsid w:val="009D426A"/>
    <w:rsid w:val="009D4602"/>
    <w:rsid w:val="009D4B7B"/>
    <w:rsid w:val="009D4D98"/>
    <w:rsid w:val="009D504E"/>
    <w:rsid w:val="009D5181"/>
    <w:rsid w:val="009D5222"/>
    <w:rsid w:val="009D5294"/>
    <w:rsid w:val="009D54E0"/>
    <w:rsid w:val="009D56B6"/>
    <w:rsid w:val="009D5BDB"/>
    <w:rsid w:val="009D5CB1"/>
    <w:rsid w:val="009D5CCA"/>
    <w:rsid w:val="009D5E99"/>
    <w:rsid w:val="009D6453"/>
    <w:rsid w:val="009D6816"/>
    <w:rsid w:val="009D6942"/>
    <w:rsid w:val="009D69C7"/>
    <w:rsid w:val="009D6B03"/>
    <w:rsid w:val="009D6B2A"/>
    <w:rsid w:val="009D6B3D"/>
    <w:rsid w:val="009D6ED8"/>
    <w:rsid w:val="009D7422"/>
    <w:rsid w:val="009D77A4"/>
    <w:rsid w:val="009D78E7"/>
    <w:rsid w:val="009D7AF8"/>
    <w:rsid w:val="009D7E0E"/>
    <w:rsid w:val="009D7E65"/>
    <w:rsid w:val="009E03CB"/>
    <w:rsid w:val="009E0505"/>
    <w:rsid w:val="009E0742"/>
    <w:rsid w:val="009E092E"/>
    <w:rsid w:val="009E0C4D"/>
    <w:rsid w:val="009E11C3"/>
    <w:rsid w:val="009E125B"/>
    <w:rsid w:val="009E1291"/>
    <w:rsid w:val="009E1297"/>
    <w:rsid w:val="009E12BC"/>
    <w:rsid w:val="009E1507"/>
    <w:rsid w:val="009E182B"/>
    <w:rsid w:val="009E1EB5"/>
    <w:rsid w:val="009E1F53"/>
    <w:rsid w:val="009E20FD"/>
    <w:rsid w:val="009E2163"/>
    <w:rsid w:val="009E224D"/>
    <w:rsid w:val="009E2415"/>
    <w:rsid w:val="009E2521"/>
    <w:rsid w:val="009E26D5"/>
    <w:rsid w:val="009E2742"/>
    <w:rsid w:val="009E276C"/>
    <w:rsid w:val="009E27C1"/>
    <w:rsid w:val="009E289D"/>
    <w:rsid w:val="009E2A07"/>
    <w:rsid w:val="009E2A47"/>
    <w:rsid w:val="009E2C6D"/>
    <w:rsid w:val="009E2EFF"/>
    <w:rsid w:val="009E2FFF"/>
    <w:rsid w:val="009E313F"/>
    <w:rsid w:val="009E3398"/>
    <w:rsid w:val="009E3577"/>
    <w:rsid w:val="009E39CB"/>
    <w:rsid w:val="009E3A2F"/>
    <w:rsid w:val="009E3C18"/>
    <w:rsid w:val="009E3D2B"/>
    <w:rsid w:val="009E3E84"/>
    <w:rsid w:val="009E4097"/>
    <w:rsid w:val="009E4664"/>
    <w:rsid w:val="009E47C6"/>
    <w:rsid w:val="009E4D8E"/>
    <w:rsid w:val="009E4E90"/>
    <w:rsid w:val="009E4EB7"/>
    <w:rsid w:val="009E4F2C"/>
    <w:rsid w:val="009E5105"/>
    <w:rsid w:val="009E518E"/>
    <w:rsid w:val="009E54FB"/>
    <w:rsid w:val="009E550B"/>
    <w:rsid w:val="009E55CF"/>
    <w:rsid w:val="009E566B"/>
    <w:rsid w:val="009E56C7"/>
    <w:rsid w:val="009E57C1"/>
    <w:rsid w:val="009E624A"/>
    <w:rsid w:val="009E6346"/>
    <w:rsid w:val="009E6508"/>
    <w:rsid w:val="009E6522"/>
    <w:rsid w:val="009E6743"/>
    <w:rsid w:val="009E6986"/>
    <w:rsid w:val="009E6AC2"/>
    <w:rsid w:val="009E6B32"/>
    <w:rsid w:val="009E70F3"/>
    <w:rsid w:val="009E7140"/>
    <w:rsid w:val="009E7191"/>
    <w:rsid w:val="009E754A"/>
    <w:rsid w:val="009E7A91"/>
    <w:rsid w:val="009E7B46"/>
    <w:rsid w:val="009E7E98"/>
    <w:rsid w:val="009E7F64"/>
    <w:rsid w:val="009F00EE"/>
    <w:rsid w:val="009F00EF"/>
    <w:rsid w:val="009F0239"/>
    <w:rsid w:val="009F0374"/>
    <w:rsid w:val="009F0406"/>
    <w:rsid w:val="009F053B"/>
    <w:rsid w:val="009F0827"/>
    <w:rsid w:val="009F0871"/>
    <w:rsid w:val="009F08BB"/>
    <w:rsid w:val="009F0BED"/>
    <w:rsid w:val="009F0C50"/>
    <w:rsid w:val="009F0E25"/>
    <w:rsid w:val="009F135A"/>
    <w:rsid w:val="009F1514"/>
    <w:rsid w:val="009F15CF"/>
    <w:rsid w:val="009F1673"/>
    <w:rsid w:val="009F167D"/>
    <w:rsid w:val="009F16D7"/>
    <w:rsid w:val="009F16F4"/>
    <w:rsid w:val="009F1987"/>
    <w:rsid w:val="009F1A9A"/>
    <w:rsid w:val="009F1AC3"/>
    <w:rsid w:val="009F1BCA"/>
    <w:rsid w:val="009F1EA5"/>
    <w:rsid w:val="009F22DB"/>
    <w:rsid w:val="009F25FA"/>
    <w:rsid w:val="009F29A8"/>
    <w:rsid w:val="009F29C8"/>
    <w:rsid w:val="009F2B75"/>
    <w:rsid w:val="009F2EF7"/>
    <w:rsid w:val="009F2EFE"/>
    <w:rsid w:val="009F31AF"/>
    <w:rsid w:val="009F3255"/>
    <w:rsid w:val="009F34AA"/>
    <w:rsid w:val="009F3761"/>
    <w:rsid w:val="009F3DCE"/>
    <w:rsid w:val="009F44FF"/>
    <w:rsid w:val="009F4563"/>
    <w:rsid w:val="009F46E8"/>
    <w:rsid w:val="009F472D"/>
    <w:rsid w:val="009F49E4"/>
    <w:rsid w:val="009F4C16"/>
    <w:rsid w:val="009F4CF0"/>
    <w:rsid w:val="009F4E88"/>
    <w:rsid w:val="009F4F54"/>
    <w:rsid w:val="009F50D1"/>
    <w:rsid w:val="009F52BB"/>
    <w:rsid w:val="009F5472"/>
    <w:rsid w:val="009F568A"/>
    <w:rsid w:val="009F573B"/>
    <w:rsid w:val="009F5805"/>
    <w:rsid w:val="009F5918"/>
    <w:rsid w:val="009F596D"/>
    <w:rsid w:val="009F5D37"/>
    <w:rsid w:val="009F672E"/>
    <w:rsid w:val="009F689C"/>
    <w:rsid w:val="009F6A91"/>
    <w:rsid w:val="009F6B35"/>
    <w:rsid w:val="009F6D8F"/>
    <w:rsid w:val="009F6E3C"/>
    <w:rsid w:val="009F71A6"/>
    <w:rsid w:val="009F71AA"/>
    <w:rsid w:val="009F7326"/>
    <w:rsid w:val="009F754A"/>
    <w:rsid w:val="009F75B2"/>
    <w:rsid w:val="009F791F"/>
    <w:rsid w:val="009F7EC0"/>
    <w:rsid w:val="009F7F86"/>
    <w:rsid w:val="00A00212"/>
    <w:rsid w:val="00A002A7"/>
    <w:rsid w:val="00A0034D"/>
    <w:rsid w:val="00A005AF"/>
    <w:rsid w:val="00A0071A"/>
    <w:rsid w:val="00A0072B"/>
    <w:rsid w:val="00A007D7"/>
    <w:rsid w:val="00A00BFB"/>
    <w:rsid w:val="00A00DCF"/>
    <w:rsid w:val="00A00ED9"/>
    <w:rsid w:val="00A0126C"/>
    <w:rsid w:val="00A012DA"/>
    <w:rsid w:val="00A01688"/>
    <w:rsid w:val="00A0187E"/>
    <w:rsid w:val="00A018F9"/>
    <w:rsid w:val="00A01940"/>
    <w:rsid w:val="00A01E70"/>
    <w:rsid w:val="00A023AF"/>
    <w:rsid w:val="00A02450"/>
    <w:rsid w:val="00A026F0"/>
    <w:rsid w:val="00A02B64"/>
    <w:rsid w:val="00A02BED"/>
    <w:rsid w:val="00A02EDB"/>
    <w:rsid w:val="00A02F2D"/>
    <w:rsid w:val="00A02F61"/>
    <w:rsid w:val="00A03230"/>
    <w:rsid w:val="00A037D6"/>
    <w:rsid w:val="00A03CD7"/>
    <w:rsid w:val="00A03E0E"/>
    <w:rsid w:val="00A03F01"/>
    <w:rsid w:val="00A04088"/>
    <w:rsid w:val="00A040D1"/>
    <w:rsid w:val="00A04325"/>
    <w:rsid w:val="00A04424"/>
    <w:rsid w:val="00A044E6"/>
    <w:rsid w:val="00A04A0A"/>
    <w:rsid w:val="00A04BD4"/>
    <w:rsid w:val="00A04D14"/>
    <w:rsid w:val="00A04E02"/>
    <w:rsid w:val="00A04E54"/>
    <w:rsid w:val="00A050A8"/>
    <w:rsid w:val="00A0521D"/>
    <w:rsid w:val="00A056A3"/>
    <w:rsid w:val="00A056AA"/>
    <w:rsid w:val="00A057DF"/>
    <w:rsid w:val="00A0583F"/>
    <w:rsid w:val="00A05B51"/>
    <w:rsid w:val="00A05C29"/>
    <w:rsid w:val="00A05DBB"/>
    <w:rsid w:val="00A05E4F"/>
    <w:rsid w:val="00A06147"/>
    <w:rsid w:val="00A06286"/>
    <w:rsid w:val="00A06318"/>
    <w:rsid w:val="00A063BC"/>
    <w:rsid w:val="00A068E1"/>
    <w:rsid w:val="00A06A80"/>
    <w:rsid w:val="00A06CC5"/>
    <w:rsid w:val="00A06D8A"/>
    <w:rsid w:val="00A06FB0"/>
    <w:rsid w:val="00A0711F"/>
    <w:rsid w:val="00A074E2"/>
    <w:rsid w:val="00A0762A"/>
    <w:rsid w:val="00A07B0B"/>
    <w:rsid w:val="00A07DD7"/>
    <w:rsid w:val="00A1000E"/>
    <w:rsid w:val="00A10080"/>
    <w:rsid w:val="00A102A0"/>
    <w:rsid w:val="00A104AE"/>
    <w:rsid w:val="00A108C2"/>
    <w:rsid w:val="00A10BB1"/>
    <w:rsid w:val="00A10CC9"/>
    <w:rsid w:val="00A10E23"/>
    <w:rsid w:val="00A10E90"/>
    <w:rsid w:val="00A11004"/>
    <w:rsid w:val="00A110DD"/>
    <w:rsid w:val="00A11201"/>
    <w:rsid w:val="00A114FA"/>
    <w:rsid w:val="00A1169C"/>
    <w:rsid w:val="00A1174E"/>
    <w:rsid w:val="00A11AF3"/>
    <w:rsid w:val="00A11DE0"/>
    <w:rsid w:val="00A11E38"/>
    <w:rsid w:val="00A123FD"/>
    <w:rsid w:val="00A1246A"/>
    <w:rsid w:val="00A124DA"/>
    <w:rsid w:val="00A1256B"/>
    <w:rsid w:val="00A12798"/>
    <w:rsid w:val="00A12AED"/>
    <w:rsid w:val="00A12C09"/>
    <w:rsid w:val="00A12E40"/>
    <w:rsid w:val="00A13084"/>
    <w:rsid w:val="00A1327F"/>
    <w:rsid w:val="00A135A9"/>
    <w:rsid w:val="00A13817"/>
    <w:rsid w:val="00A13826"/>
    <w:rsid w:val="00A138D3"/>
    <w:rsid w:val="00A13AA3"/>
    <w:rsid w:val="00A13E0F"/>
    <w:rsid w:val="00A13F2A"/>
    <w:rsid w:val="00A144B7"/>
    <w:rsid w:val="00A1499D"/>
    <w:rsid w:val="00A149B4"/>
    <w:rsid w:val="00A14CE6"/>
    <w:rsid w:val="00A14E9E"/>
    <w:rsid w:val="00A14F63"/>
    <w:rsid w:val="00A15600"/>
    <w:rsid w:val="00A15698"/>
    <w:rsid w:val="00A157E1"/>
    <w:rsid w:val="00A158C9"/>
    <w:rsid w:val="00A15A4E"/>
    <w:rsid w:val="00A15AE3"/>
    <w:rsid w:val="00A15C8D"/>
    <w:rsid w:val="00A15E5A"/>
    <w:rsid w:val="00A15F4F"/>
    <w:rsid w:val="00A160AB"/>
    <w:rsid w:val="00A160F0"/>
    <w:rsid w:val="00A162E4"/>
    <w:rsid w:val="00A163D6"/>
    <w:rsid w:val="00A16745"/>
    <w:rsid w:val="00A16747"/>
    <w:rsid w:val="00A16AB4"/>
    <w:rsid w:val="00A16E82"/>
    <w:rsid w:val="00A1719F"/>
    <w:rsid w:val="00A1763D"/>
    <w:rsid w:val="00A17A0D"/>
    <w:rsid w:val="00A17A6F"/>
    <w:rsid w:val="00A17C1D"/>
    <w:rsid w:val="00A17F53"/>
    <w:rsid w:val="00A20013"/>
    <w:rsid w:val="00A203F3"/>
    <w:rsid w:val="00A20582"/>
    <w:rsid w:val="00A2097E"/>
    <w:rsid w:val="00A20BA3"/>
    <w:rsid w:val="00A20C65"/>
    <w:rsid w:val="00A213EE"/>
    <w:rsid w:val="00A214B2"/>
    <w:rsid w:val="00A21767"/>
    <w:rsid w:val="00A21B4F"/>
    <w:rsid w:val="00A21D84"/>
    <w:rsid w:val="00A21FD5"/>
    <w:rsid w:val="00A22046"/>
    <w:rsid w:val="00A22263"/>
    <w:rsid w:val="00A22434"/>
    <w:rsid w:val="00A22569"/>
    <w:rsid w:val="00A225B1"/>
    <w:rsid w:val="00A22614"/>
    <w:rsid w:val="00A22751"/>
    <w:rsid w:val="00A22940"/>
    <w:rsid w:val="00A22AF3"/>
    <w:rsid w:val="00A23102"/>
    <w:rsid w:val="00A23284"/>
    <w:rsid w:val="00A2343F"/>
    <w:rsid w:val="00A234FA"/>
    <w:rsid w:val="00A23505"/>
    <w:rsid w:val="00A23598"/>
    <w:rsid w:val="00A235B0"/>
    <w:rsid w:val="00A23D17"/>
    <w:rsid w:val="00A23DBA"/>
    <w:rsid w:val="00A2428B"/>
    <w:rsid w:val="00A244F1"/>
    <w:rsid w:val="00A2476B"/>
    <w:rsid w:val="00A247E5"/>
    <w:rsid w:val="00A24D81"/>
    <w:rsid w:val="00A24EA5"/>
    <w:rsid w:val="00A25173"/>
    <w:rsid w:val="00A252F0"/>
    <w:rsid w:val="00A252FC"/>
    <w:rsid w:val="00A256D6"/>
    <w:rsid w:val="00A25851"/>
    <w:rsid w:val="00A259F2"/>
    <w:rsid w:val="00A25AD8"/>
    <w:rsid w:val="00A25B86"/>
    <w:rsid w:val="00A25E0C"/>
    <w:rsid w:val="00A25FDB"/>
    <w:rsid w:val="00A26463"/>
    <w:rsid w:val="00A26608"/>
    <w:rsid w:val="00A2660E"/>
    <w:rsid w:val="00A26916"/>
    <w:rsid w:val="00A26A9D"/>
    <w:rsid w:val="00A26B09"/>
    <w:rsid w:val="00A26B47"/>
    <w:rsid w:val="00A26C4B"/>
    <w:rsid w:val="00A26DD9"/>
    <w:rsid w:val="00A26FF1"/>
    <w:rsid w:val="00A27062"/>
    <w:rsid w:val="00A277CE"/>
    <w:rsid w:val="00A27806"/>
    <w:rsid w:val="00A30130"/>
    <w:rsid w:val="00A30145"/>
    <w:rsid w:val="00A305E8"/>
    <w:rsid w:val="00A3068C"/>
    <w:rsid w:val="00A306C2"/>
    <w:rsid w:val="00A306EB"/>
    <w:rsid w:val="00A30D46"/>
    <w:rsid w:val="00A30EFF"/>
    <w:rsid w:val="00A3127F"/>
    <w:rsid w:val="00A314EB"/>
    <w:rsid w:val="00A31509"/>
    <w:rsid w:val="00A316E6"/>
    <w:rsid w:val="00A31922"/>
    <w:rsid w:val="00A3199F"/>
    <w:rsid w:val="00A31BCC"/>
    <w:rsid w:val="00A31C70"/>
    <w:rsid w:val="00A32382"/>
    <w:rsid w:val="00A32407"/>
    <w:rsid w:val="00A3258B"/>
    <w:rsid w:val="00A325BB"/>
    <w:rsid w:val="00A3297A"/>
    <w:rsid w:val="00A32A58"/>
    <w:rsid w:val="00A32D1C"/>
    <w:rsid w:val="00A32EEC"/>
    <w:rsid w:val="00A3318D"/>
    <w:rsid w:val="00A336C5"/>
    <w:rsid w:val="00A338D6"/>
    <w:rsid w:val="00A33BAB"/>
    <w:rsid w:val="00A33E98"/>
    <w:rsid w:val="00A34011"/>
    <w:rsid w:val="00A3439C"/>
    <w:rsid w:val="00A344A6"/>
    <w:rsid w:val="00A34CFE"/>
    <w:rsid w:val="00A34D71"/>
    <w:rsid w:val="00A34FAB"/>
    <w:rsid w:val="00A3510A"/>
    <w:rsid w:val="00A3515F"/>
    <w:rsid w:val="00A3537D"/>
    <w:rsid w:val="00A35498"/>
    <w:rsid w:val="00A3563C"/>
    <w:rsid w:val="00A35751"/>
    <w:rsid w:val="00A35762"/>
    <w:rsid w:val="00A3577F"/>
    <w:rsid w:val="00A35B52"/>
    <w:rsid w:val="00A35BBC"/>
    <w:rsid w:val="00A35DAB"/>
    <w:rsid w:val="00A35F00"/>
    <w:rsid w:val="00A35FAE"/>
    <w:rsid w:val="00A365F5"/>
    <w:rsid w:val="00A36679"/>
    <w:rsid w:val="00A36724"/>
    <w:rsid w:val="00A367AF"/>
    <w:rsid w:val="00A36AA0"/>
    <w:rsid w:val="00A36C13"/>
    <w:rsid w:val="00A37412"/>
    <w:rsid w:val="00A377C2"/>
    <w:rsid w:val="00A37A31"/>
    <w:rsid w:val="00A37C04"/>
    <w:rsid w:val="00A37D63"/>
    <w:rsid w:val="00A37F0E"/>
    <w:rsid w:val="00A4005A"/>
    <w:rsid w:val="00A40092"/>
    <w:rsid w:val="00A402EC"/>
    <w:rsid w:val="00A4061D"/>
    <w:rsid w:val="00A40B1F"/>
    <w:rsid w:val="00A40B4D"/>
    <w:rsid w:val="00A40B60"/>
    <w:rsid w:val="00A40CD7"/>
    <w:rsid w:val="00A411E2"/>
    <w:rsid w:val="00A41264"/>
    <w:rsid w:val="00A41302"/>
    <w:rsid w:val="00A41373"/>
    <w:rsid w:val="00A41552"/>
    <w:rsid w:val="00A415DF"/>
    <w:rsid w:val="00A415EF"/>
    <w:rsid w:val="00A41638"/>
    <w:rsid w:val="00A41961"/>
    <w:rsid w:val="00A41B15"/>
    <w:rsid w:val="00A421C9"/>
    <w:rsid w:val="00A4224E"/>
    <w:rsid w:val="00A4229F"/>
    <w:rsid w:val="00A4263C"/>
    <w:rsid w:val="00A4277E"/>
    <w:rsid w:val="00A427D0"/>
    <w:rsid w:val="00A428A9"/>
    <w:rsid w:val="00A42A3A"/>
    <w:rsid w:val="00A42ACA"/>
    <w:rsid w:val="00A435DB"/>
    <w:rsid w:val="00A436C0"/>
    <w:rsid w:val="00A43880"/>
    <w:rsid w:val="00A43AAB"/>
    <w:rsid w:val="00A43AFE"/>
    <w:rsid w:val="00A43B3E"/>
    <w:rsid w:val="00A43C50"/>
    <w:rsid w:val="00A43F38"/>
    <w:rsid w:val="00A440CD"/>
    <w:rsid w:val="00A4449E"/>
    <w:rsid w:val="00A449C8"/>
    <w:rsid w:val="00A44A37"/>
    <w:rsid w:val="00A44AAD"/>
    <w:rsid w:val="00A44CC6"/>
    <w:rsid w:val="00A44E8A"/>
    <w:rsid w:val="00A44EE6"/>
    <w:rsid w:val="00A45280"/>
    <w:rsid w:val="00A4562B"/>
    <w:rsid w:val="00A45647"/>
    <w:rsid w:val="00A4572F"/>
    <w:rsid w:val="00A458E1"/>
    <w:rsid w:val="00A45BF7"/>
    <w:rsid w:val="00A45D3B"/>
    <w:rsid w:val="00A45DBB"/>
    <w:rsid w:val="00A45F01"/>
    <w:rsid w:val="00A45FEA"/>
    <w:rsid w:val="00A46317"/>
    <w:rsid w:val="00A46323"/>
    <w:rsid w:val="00A463B5"/>
    <w:rsid w:val="00A463BA"/>
    <w:rsid w:val="00A46415"/>
    <w:rsid w:val="00A464D3"/>
    <w:rsid w:val="00A464F0"/>
    <w:rsid w:val="00A46675"/>
    <w:rsid w:val="00A47177"/>
    <w:rsid w:val="00A471A3"/>
    <w:rsid w:val="00A47597"/>
    <w:rsid w:val="00A47CB5"/>
    <w:rsid w:val="00A47E08"/>
    <w:rsid w:val="00A47E44"/>
    <w:rsid w:val="00A47F91"/>
    <w:rsid w:val="00A50385"/>
    <w:rsid w:val="00A507D7"/>
    <w:rsid w:val="00A508D0"/>
    <w:rsid w:val="00A50A5C"/>
    <w:rsid w:val="00A50BDE"/>
    <w:rsid w:val="00A50BE2"/>
    <w:rsid w:val="00A50CC6"/>
    <w:rsid w:val="00A50CE0"/>
    <w:rsid w:val="00A50E40"/>
    <w:rsid w:val="00A510C2"/>
    <w:rsid w:val="00A51135"/>
    <w:rsid w:val="00A51462"/>
    <w:rsid w:val="00A515CE"/>
    <w:rsid w:val="00A51946"/>
    <w:rsid w:val="00A51AA4"/>
    <w:rsid w:val="00A51C1F"/>
    <w:rsid w:val="00A51FF7"/>
    <w:rsid w:val="00A52035"/>
    <w:rsid w:val="00A52079"/>
    <w:rsid w:val="00A52143"/>
    <w:rsid w:val="00A521A4"/>
    <w:rsid w:val="00A521E9"/>
    <w:rsid w:val="00A5298E"/>
    <w:rsid w:val="00A52B3E"/>
    <w:rsid w:val="00A52D78"/>
    <w:rsid w:val="00A52DD5"/>
    <w:rsid w:val="00A53040"/>
    <w:rsid w:val="00A5306B"/>
    <w:rsid w:val="00A530F4"/>
    <w:rsid w:val="00A5313B"/>
    <w:rsid w:val="00A5320E"/>
    <w:rsid w:val="00A53415"/>
    <w:rsid w:val="00A5397B"/>
    <w:rsid w:val="00A53D6A"/>
    <w:rsid w:val="00A53F7B"/>
    <w:rsid w:val="00A54090"/>
    <w:rsid w:val="00A54282"/>
    <w:rsid w:val="00A54481"/>
    <w:rsid w:val="00A547E4"/>
    <w:rsid w:val="00A549A8"/>
    <w:rsid w:val="00A549D3"/>
    <w:rsid w:val="00A54BE2"/>
    <w:rsid w:val="00A54DF0"/>
    <w:rsid w:val="00A55366"/>
    <w:rsid w:val="00A554C8"/>
    <w:rsid w:val="00A55CB9"/>
    <w:rsid w:val="00A55CD1"/>
    <w:rsid w:val="00A55E09"/>
    <w:rsid w:val="00A5654A"/>
    <w:rsid w:val="00A56BCA"/>
    <w:rsid w:val="00A56E99"/>
    <w:rsid w:val="00A571C2"/>
    <w:rsid w:val="00A57212"/>
    <w:rsid w:val="00A575D2"/>
    <w:rsid w:val="00A5762E"/>
    <w:rsid w:val="00A57657"/>
    <w:rsid w:val="00A576C2"/>
    <w:rsid w:val="00A576CB"/>
    <w:rsid w:val="00A57880"/>
    <w:rsid w:val="00A578F8"/>
    <w:rsid w:val="00A57AEC"/>
    <w:rsid w:val="00A57D36"/>
    <w:rsid w:val="00A57E98"/>
    <w:rsid w:val="00A602C2"/>
    <w:rsid w:val="00A60849"/>
    <w:rsid w:val="00A60DDD"/>
    <w:rsid w:val="00A60E33"/>
    <w:rsid w:val="00A6105B"/>
    <w:rsid w:val="00A61117"/>
    <w:rsid w:val="00A61355"/>
    <w:rsid w:val="00A614D6"/>
    <w:rsid w:val="00A61668"/>
    <w:rsid w:val="00A61BB9"/>
    <w:rsid w:val="00A61E1F"/>
    <w:rsid w:val="00A61F11"/>
    <w:rsid w:val="00A6200C"/>
    <w:rsid w:val="00A620AA"/>
    <w:rsid w:val="00A62157"/>
    <w:rsid w:val="00A621CF"/>
    <w:rsid w:val="00A621D3"/>
    <w:rsid w:val="00A626B0"/>
    <w:rsid w:val="00A628F8"/>
    <w:rsid w:val="00A62B7A"/>
    <w:rsid w:val="00A62D72"/>
    <w:rsid w:val="00A6306E"/>
    <w:rsid w:val="00A63140"/>
    <w:rsid w:val="00A632EA"/>
    <w:rsid w:val="00A634BE"/>
    <w:rsid w:val="00A634CD"/>
    <w:rsid w:val="00A63579"/>
    <w:rsid w:val="00A6385E"/>
    <w:rsid w:val="00A639B9"/>
    <w:rsid w:val="00A63AD7"/>
    <w:rsid w:val="00A63B1E"/>
    <w:rsid w:val="00A63BFD"/>
    <w:rsid w:val="00A64024"/>
    <w:rsid w:val="00A6422A"/>
    <w:rsid w:val="00A643E3"/>
    <w:rsid w:val="00A6444A"/>
    <w:rsid w:val="00A6491F"/>
    <w:rsid w:val="00A64C72"/>
    <w:rsid w:val="00A64D1A"/>
    <w:rsid w:val="00A64EBE"/>
    <w:rsid w:val="00A64F00"/>
    <w:rsid w:val="00A65320"/>
    <w:rsid w:val="00A6580C"/>
    <w:rsid w:val="00A658E0"/>
    <w:rsid w:val="00A65A84"/>
    <w:rsid w:val="00A65BA5"/>
    <w:rsid w:val="00A65C52"/>
    <w:rsid w:val="00A65DD3"/>
    <w:rsid w:val="00A65FDF"/>
    <w:rsid w:val="00A66006"/>
    <w:rsid w:val="00A660F5"/>
    <w:rsid w:val="00A66288"/>
    <w:rsid w:val="00A66354"/>
    <w:rsid w:val="00A663C7"/>
    <w:rsid w:val="00A664C8"/>
    <w:rsid w:val="00A6668D"/>
    <w:rsid w:val="00A667B9"/>
    <w:rsid w:val="00A669B2"/>
    <w:rsid w:val="00A66E37"/>
    <w:rsid w:val="00A66ECF"/>
    <w:rsid w:val="00A672CE"/>
    <w:rsid w:val="00A67319"/>
    <w:rsid w:val="00A67A08"/>
    <w:rsid w:val="00A67ACD"/>
    <w:rsid w:val="00A67DDE"/>
    <w:rsid w:val="00A67E38"/>
    <w:rsid w:val="00A703E4"/>
    <w:rsid w:val="00A70A2E"/>
    <w:rsid w:val="00A70AC8"/>
    <w:rsid w:val="00A70DC6"/>
    <w:rsid w:val="00A70FFC"/>
    <w:rsid w:val="00A71058"/>
    <w:rsid w:val="00A71080"/>
    <w:rsid w:val="00A713B3"/>
    <w:rsid w:val="00A71854"/>
    <w:rsid w:val="00A71986"/>
    <w:rsid w:val="00A71AD6"/>
    <w:rsid w:val="00A71E73"/>
    <w:rsid w:val="00A71F4E"/>
    <w:rsid w:val="00A72740"/>
    <w:rsid w:val="00A7288A"/>
    <w:rsid w:val="00A728CE"/>
    <w:rsid w:val="00A72A7A"/>
    <w:rsid w:val="00A72D09"/>
    <w:rsid w:val="00A7317C"/>
    <w:rsid w:val="00A73596"/>
    <w:rsid w:val="00A73A64"/>
    <w:rsid w:val="00A73AD9"/>
    <w:rsid w:val="00A73B6C"/>
    <w:rsid w:val="00A73DD8"/>
    <w:rsid w:val="00A73E7D"/>
    <w:rsid w:val="00A742AD"/>
    <w:rsid w:val="00A74430"/>
    <w:rsid w:val="00A746D7"/>
    <w:rsid w:val="00A74914"/>
    <w:rsid w:val="00A74AB2"/>
    <w:rsid w:val="00A75124"/>
    <w:rsid w:val="00A7546F"/>
    <w:rsid w:val="00A75729"/>
    <w:rsid w:val="00A75A46"/>
    <w:rsid w:val="00A75B36"/>
    <w:rsid w:val="00A75C78"/>
    <w:rsid w:val="00A75CB0"/>
    <w:rsid w:val="00A760F2"/>
    <w:rsid w:val="00A762F1"/>
    <w:rsid w:val="00A7663A"/>
    <w:rsid w:val="00A7696B"/>
    <w:rsid w:val="00A769D4"/>
    <w:rsid w:val="00A769E7"/>
    <w:rsid w:val="00A76A42"/>
    <w:rsid w:val="00A76EB4"/>
    <w:rsid w:val="00A76F11"/>
    <w:rsid w:val="00A76FA7"/>
    <w:rsid w:val="00A7701F"/>
    <w:rsid w:val="00A774AD"/>
    <w:rsid w:val="00A775FB"/>
    <w:rsid w:val="00A77658"/>
    <w:rsid w:val="00A77C3D"/>
    <w:rsid w:val="00A77FCD"/>
    <w:rsid w:val="00A80268"/>
    <w:rsid w:val="00A803C3"/>
    <w:rsid w:val="00A803D4"/>
    <w:rsid w:val="00A804C7"/>
    <w:rsid w:val="00A805CD"/>
    <w:rsid w:val="00A80857"/>
    <w:rsid w:val="00A80A39"/>
    <w:rsid w:val="00A80DF0"/>
    <w:rsid w:val="00A80E64"/>
    <w:rsid w:val="00A81121"/>
    <w:rsid w:val="00A8126A"/>
    <w:rsid w:val="00A81898"/>
    <w:rsid w:val="00A81A16"/>
    <w:rsid w:val="00A8232E"/>
    <w:rsid w:val="00A823A7"/>
    <w:rsid w:val="00A825C8"/>
    <w:rsid w:val="00A82607"/>
    <w:rsid w:val="00A8265B"/>
    <w:rsid w:val="00A82692"/>
    <w:rsid w:val="00A82742"/>
    <w:rsid w:val="00A829B8"/>
    <w:rsid w:val="00A82DD3"/>
    <w:rsid w:val="00A8396C"/>
    <w:rsid w:val="00A83984"/>
    <w:rsid w:val="00A83A1E"/>
    <w:rsid w:val="00A84198"/>
    <w:rsid w:val="00A841AB"/>
    <w:rsid w:val="00A84219"/>
    <w:rsid w:val="00A842BE"/>
    <w:rsid w:val="00A84A37"/>
    <w:rsid w:val="00A84FFD"/>
    <w:rsid w:val="00A85026"/>
    <w:rsid w:val="00A85135"/>
    <w:rsid w:val="00A85191"/>
    <w:rsid w:val="00A85265"/>
    <w:rsid w:val="00A85B24"/>
    <w:rsid w:val="00A85D2F"/>
    <w:rsid w:val="00A86104"/>
    <w:rsid w:val="00A862A9"/>
    <w:rsid w:val="00A863FD"/>
    <w:rsid w:val="00A8655A"/>
    <w:rsid w:val="00A866EC"/>
    <w:rsid w:val="00A86955"/>
    <w:rsid w:val="00A86C42"/>
    <w:rsid w:val="00A86EB0"/>
    <w:rsid w:val="00A87203"/>
    <w:rsid w:val="00A872C7"/>
    <w:rsid w:val="00A87744"/>
    <w:rsid w:val="00A87AE6"/>
    <w:rsid w:val="00A87B09"/>
    <w:rsid w:val="00A87C22"/>
    <w:rsid w:val="00A87E0A"/>
    <w:rsid w:val="00A90590"/>
    <w:rsid w:val="00A905B3"/>
    <w:rsid w:val="00A906F7"/>
    <w:rsid w:val="00A90869"/>
    <w:rsid w:val="00A90A97"/>
    <w:rsid w:val="00A90BE9"/>
    <w:rsid w:val="00A90CB4"/>
    <w:rsid w:val="00A90D97"/>
    <w:rsid w:val="00A90DD0"/>
    <w:rsid w:val="00A910DA"/>
    <w:rsid w:val="00A912D4"/>
    <w:rsid w:val="00A914A3"/>
    <w:rsid w:val="00A91654"/>
    <w:rsid w:val="00A9184E"/>
    <w:rsid w:val="00A91B83"/>
    <w:rsid w:val="00A91E73"/>
    <w:rsid w:val="00A91EDF"/>
    <w:rsid w:val="00A92044"/>
    <w:rsid w:val="00A920E1"/>
    <w:rsid w:val="00A923D6"/>
    <w:rsid w:val="00A92B42"/>
    <w:rsid w:val="00A930A4"/>
    <w:rsid w:val="00A932AD"/>
    <w:rsid w:val="00A932C5"/>
    <w:rsid w:val="00A933AE"/>
    <w:rsid w:val="00A9367E"/>
    <w:rsid w:val="00A93863"/>
    <w:rsid w:val="00A9393C"/>
    <w:rsid w:val="00A93F00"/>
    <w:rsid w:val="00A9415E"/>
    <w:rsid w:val="00A9423F"/>
    <w:rsid w:val="00A942D0"/>
    <w:rsid w:val="00A94AD0"/>
    <w:rsid w:val="00A94B22"/>
    <w:rsid w:val="00A94D93"/>
    <w:rsid w:val="00A94E2A"/>
    <w:rsid w:val="00A94EBD"/>
    <w:rsid w:val="00A950B3"/>
    <w:rsid w:val="00A9510D"/>
    <w:rsid w:val="00A9519C"/>
    <w:rsid w:val="00A95474"/>
    <w:rsid w:val="00A954A5"/>
    <w:rsid w:val="00A954DE"/>
    <w:rsid w:val="00A955CC"/>
    <w:rsid w:val="00A956AC"/>
    <w:rsid w:val="00A95AD2"/>
    <w:rsid w:val="00A95B08"/>
    <w:rsid w:val="00A95B09"/>
    <w:rsid w:val="00A95D2A"/>
    <w:rsid w:val="00A95D7D"/>
    <w:rsid w:val="00A95E79"/>
    <w:rsid w:val="00A96214"/>
    <w:rsid w:val="00A9656D"/>
    <w:rsid w:val="00A96684"/>
    <w:rsid w:val="00A9669B"/>
    <w:rsid w:val="00A967E8"/>
    <w:rsid w:val="00A96979"/>
    <w:rsid w:val="00A96BA8"/>
    <w:rsid w:val="00A970CB"/>
    <w:rsid w:val="00A970EB"/>
    <w:rsid w:val="00A97668"/>
    <w:rsid w:val="00A9793B"/>
    <w:rsid w:val="00A979BD"/>
    <w:rsid w:val="00A979D6"/>
    <w:rsid w:val="00A97AF8"/>
    <w:rsid w:val="00A97C63"/>
    <w:rsid w:val="00A97D38"/>
    <w:rsid w:val="00A97F4B"/>
    <w:rsid w:val="00A97FE3"/>
    <w:rsid w:val="00AA04C5"/>
    <w:rsid w:val="00AA0758"/>
    <w:rsid w:val="00AA077D"/>
    <w:rsid w:val="00AA08A9"/>
    <w:rsid w:val="00AA1008"/>
    <w:rsid w:val="00AA1044"/>
    <w:rsid w:val="00AA10B1"/>
    <w:rsid w:val="00AA172B"/>
    <w:rsid w:val="00AA1769"/>
    <w:rsid w:val="00AA1810"/>
    <w:rsid w:val="00AA1F41"/>
    <w:rsid w:val="00AA20A8"/>
    <w:rsid w:val="00AA239B"/>
    <w:rsid w:val="00AA276B"/>
    <w:rsid w:val="00AA2803"/>
    <w:rsid w:val="00AA2BF2"/>
    <w:rsid w:val="00AA2D65"/>
    <w:rsid w:val="00AA2D68"/>
    <w:rsid w:val="00AA2D6F"/>
    <w:rsid w:val="00AA3987"/>
    <w:rsid w:val="00AA39F4"/>
    <w:rsid w:val="00AA3B68"/>
    <w:rsid w:val="00AA3E79"/>
    <w:rsid w:val="00AA3F37"/>
    <w:rsid w:val="00AA40FA"/>
    <w:rsid w:val="00AA447C"/>
    <w:rsid w:val="00AA49B9"/>
    <w:rsid w:val="00AA4FB4"/>
    <w:rsid w:val="00AA5957"/>
    <w:rsid w:val="00AA5B6F"/>
    <w:rsid w:val="00AA5C0B"/>
    <w:rsid w:val="00AA5D9A"/>
    <w:rsid w:val="00AA5E31"/>
    <w:rsid w:val="00AA5E3B"/>
    <w:rsid w:val="00AA63AD"/>
    <w:rsid w:val="00AA65B4"/>
    <w:rsid w:val="00AA65DC"/>
    <w:rsid w:val="00AA684F"/>
    <w:rsid w:val="00AA6BB3"/>
    <w:rsid w:val="00AA7002"/>
    <w:rsid w:val="00AA745E"/>
    <w:rsid w:val="00AA77EC"/>
    <w:rsid w:val="00AA7B41"/>
    <w:rsid w:val="00AA7E43"/>
    <w:rsid w:val="00AB015E"/>
    <w:rsid w:val="00AB0352"/>
    <w:rsid w:val="00AB047A"/>
    <w:rsid w:val="00AB04AA"/>
    <w:rsid w:val="00AB04AB"/>
    <w:rsid w:val="00AB06F1"/>
    <w:rsid w:val="00AB0733"/>
    <w:rsid w:val="00AB082F"/>
    <w:rsid w:val="00AB09D2"/>
    <w:rsid w:val="00AB0A49"/>
    <w:rsid w:val="00AB0B23"/>
    <w:rsid w:val="00AB0B64"/>
    <w:rsid w:val="00AB0C30"/>
    <w:rsid w:val="00AB0CC4"/>
    <w:rsid w:val="00AB0ECD"/>
    <w:rsid w:val="00AB161B"/>
    <w:rsid w:val="00AB173A"/>
    <w:rsid w:val="00AB176B"/>
    <w:rsid w:val="00AB1789"/>
    <w:rsid w:val="00AB1BAB"/>
    <w:rsid w:val="00AB2012"/>
    <w:rsid w:val="00AB24D7"/>
    <w:rsid w:val="00AB2A24"/>
    <w:rsid w:val="00AB2BDB"/>
    <w:rsid w:val="00AB3110"/>
    <w:rsid w:val="00AB3172"/>
    <w:rsid w:val="00AB3234"/>
    <w:rsid w:val="00AB3622"/>
    <w:rsid w:val="00AB37E6"/>
    <w:rsid w:val="00AB3949"/>
    <w:rsid w:val="00AB3D7B"/>
    <w:rsid w:val="00AB3DBA"/>
    <w:rsid w:val="00AB405A"/>
    <w:rsid w:val="00AB4138"/>
    <w:rsid w:val="00AB431C"/>
    <w:rsid w:val="00AB4440"/>
    <w:rsid w:val="00AB449C"/>
    <w:rsid w:val="00AB459A"/>
    <w:rsid w:val="00AB470E"/>
    <w:rsid w:val="00AB475F"/>
    <w:rsid w:val="00AB4D3F"/>
    <w:rsid w:val="00AB5427"/>
    <w:rsid w:val="00AB56C6"/>
    <w:rsid w:val="00AB5728"/>
    <w:rsid w:val="00AB5950"/>
    <w:rsid w:val="00AB5A7E"/>
    <w:rsid w:val="00AB5DFF"/>
    <w:rsid w:val="00AB5EDC"/>
    <w:rsid w:val="00AB5F9A"/>
    <w:rsid w:val="00AB6181"/>
    <w:rsid w:val="00AB6677"/>
    <w:rsid w:val="00AB66E7"/>
    <w:rsid w:val="00AB6943"/>
    <w:rsid w:val="00AB6CE4"/>
    <w:rsid w:val="00AB7500"/>
    <w:rsid w:val="00AB7538"/>
    <w:rsid w:val="00AB75A7"/>
    <w:rsid w:val="00AB77F3"/>
    <w:rsid w:val="00AB780F"/>
    <w:rsid w:val="00AB7BE7"/>
    <w:rsid w:val="00AB7C1D"/>
    <w:rsid w:val="00AB7DC3"/>
    <w:rsid w:val="00AC000E"/>
    <w:rsid w:val="00AC0AAD"/>
    <w:rsid w:val="00AC0C2A"/>
    <w:rsid w:val="00AC1231"/>
    <w:rsid w:val="00AC1269"/>
    <w:rsid w:val="00AC145C"/>
    <w:rsid w:val="00AC15D4"/>
    <w:rsid w:val="00AC1992"/>
    <w:rsid w:val="00AC1A7A"/>
    <w:rsid w:val="00AC1C97"/>
    <w:rsid w:val="00AC1D61"/>
    <w:rsid w:val="00AC1E14"/>
    <w:rsid w:val="00AC201F"/>
    <w:rsid w:val="00AC215E"/>
    <w:rsid w:val="00AC26A9"/>
    <w:rsid w:val="00AC2745"/>
    <w:rsid w:val="00AC2896"/>
    <w:rsid w:val="00AC2C4A"/>
    <w:rsid w:val="00AC2CFA"/>
    <w:rsid w:val="00AC2FC5"/>
    <w:rsid w:val="00AC3247"/>
    <w:rsid w:val="00AC3263"/>
    <w:rsid w:val="00AC3820"/>
    <w:rsid w:val="00AC3A6E"/>
    <w:rsid w:val="00AC3E12"/>
    <w:rsid w:val="00AC406E"/>
    <w:rsid w:val="00AC430C"/>
    <w:rsid w:val="00AC4706"/>
    <w:rsid w:val="00AC489A"/>
    <w:rsid w:val="00AC4A6B"/>
    <w:rsid w:val="00AC4B03"/>
    <w:rsid w:val="00AC5334"/>
    <w:rsid w:val="00AC5535"/>
    <w:rsid w:val="00AC572D"/>
    <w:rsid w:val="00AC58E4"/>
    <w:rsid w:val="00AC5AFC"/>
    <w:rsid w:val="00AC5C19"/>
    <w:rsid w:val="00AC5C24"/>
    <w:rsid w:val="00AC5DF8"/>
    <w:rsid w:val="00AC5EFF"/>
    <w:rsid w:val="00AC60F0"/>
    <w:rsid w:val="00AC638B"/>
    <w:rsid w:val="00AC6657"/>
    <w:rsid w:val="00AC6A24"/>
    <w:rsid w:val="00AC6D7A"/>
    <w:rsid w:val="00AC711D"/>
    <w:rsid w:val="00AC7140"/>
    <w:rsid w:val="00AC720A"/>
    <w:rsid w:val="00AC72B0"/>
    <w:rsid w:val="00AC7363"/>
    <w:rsid w:val="00AC73D3"/>
    <w:rsid w:val="00AC7401"/>
    <w:rsid w:val="00AC75FD"/>
    <w:rsid w:val="00AC7901"/>
    <w:rsid w:val="00AC79F3"/>
    <w:rsid w:val="00AC7F15"/>
    <w:rsid w:val="00AC7FDD"/>
    <w:rsid w:val="00AD00C1"/>
    <w:rsid w:val="00AD0140"/>
    <w:rsid w:val="00AD06D5"/>
    <w:rsid w:val="00AD08F5"/>
    <w:rsid w:val="00AD0949"/>
    <w:rsid w:val="00AD0F1D"/>
    <w:rsid w:val="00AD100B"/>
    <w:rsid w:val="00AD1179"/>
    <w:rsid w:val="00AD1359"/>
    <w:rsid w:val="00AD138E"/>
    <w:rsid w:val="00AD15FD"/>
    <w:rsid w:val="00AD194B"/>
    <w:rsid w:val="00AD1972"/>
    <w:rsid w:val="00AD19F0"/>
    <w:rsid w:val="00AD1CF3"/>
    <w:rsid w:val="00AD1EA7"/>
    <w:rsid w:val="00AD1FCE"/>
    <w:rsid w:val="00AD211F"/>
    <w:rsid w:val="00AD2130"/>
    <w:rsid w:val="00AD2668"/>
    <w:rsid w:val="00AD26E1"/>
    <w:rsid w:val="00AD29CC"/>
    <w:rsid w:val="00AD2C7B"/>
    <w:rsid w:val="00AD3268"/>
    <w:rsid w:val="00AD32EA"/>
    <w:rsid w:val="00AD3584"/>
    <w:rsid w:val="00AD3DE2"/>
    <w:rsid w:val="00AD4261"/>
    <w:rsid w:val="00AD4473"/>
    <w:rsid w:val="00AD46F5"/>
    <w:rsid w:val="00AD4841"/>
    <w:rsid w:val="00AD48E3"/>
    <w:rsid w:val="00AD4CC9"/>
    <w:rsid w:val="00AD4E1D"/>
    <w:rsid w:val="00AD4E5B"/>
    <w:rsid w:val="00AD50C6"/>
    <w:rsid w:val="00AD51A3"/>
    <w:rsid w:val="00AD54BA"/>
    <w:rsid w:val="00AD598B"/>
    <w:rsid w:val="00AD5B25"/>
    <w:rsid w:val="00AD5BF1"/>
    <w:rsid w:val="00AD5C65"/>
    <w:rsid w:val="00AD5CE9"/>
    <w:rsid w:val="00AD60B4"/>
    <w:rsid w:val="00AD684D"/>
    <w:rsid w:val="00AD708D"/>
    <w:rsid w:val="00AD7154"/>
    <w:rsid w:val="00AD7183"/>
    <w:rsid w:val="00AD7399"/>
    <w:rsid w:val="00AD73A3"/>
    <w:rsid w:val="00AD7499"/>
    <w:rsid w:val="00AD7844"/>
    <w:rsid w:val="00AD797D"/>
    <w:rsid w:val="00AD7A62"/>
    <w:rsid w:val="00AD7C94"/>
    <w:rsid w:val="00AD7C9F"/>
    <w:rsid w:val="00AD7E02"/>
    <w:rsid w:val="00AE0076"/>
    <w:rsid w:val="00AE014B"/>
    <w:rsid w:val="00AE01BB"/>
    <w:rsid w:val="00AE0483"/>
    <w:rsid w:val="00AE05DE"/>
    <w:rsid w:val="00AE08DD"/>
    <w:rsid w:val="00AE09AB"/>
    <w:rsid w:val="00AE0A20"/>
    <w:rsid w:val="00AE13BD"/>
    <w:rsid w:val="00AE1681"/>
    <w:rsid w:val="00AE1AF9"/>
    <w:rsid w:val="00AE1E60"/>
    <w:rsid w:val="00AE1E69"/>
    <w:rsid w:val="00AE2068"/>
    <w:rsid w:val="00AE2258"/>
    <w:rsid w:val="00AE24AE"/>
    <w:rsid w:val="00AE272A"/>
    <w:rsid w:val="00AE277E"/>
    <w:rsid w:val="00AE2A36"/>
    <w:rsid w:val="00AE2B6C"/>
    <w:rsid w:val="00AE2BC6"/>
    <w:rsid w:val="00AE2DC0"/>
    <w:rsid w:val="00AE2FC0"/>
    <w:rsid w:val="00AE3206"/>
    <w:rsid w:val="00AE3251"/>
    <w:rsid w:val="00AE3782"/>
    <w:rsid w:val="00AE382C"/>
    <w:rsid w:val="00AE3AE6"/>
    <w:rsid w:val="00AE3FE0"/>
    <w:rsid w:val="00AE4398"/>
    <w:rsid w:val="00AE44A2"/>
    <w:rsid w:val="00AE4893"/>
    <w:rsid w:val="00AE4A71"/>
    <w:rsid w:val="00AE4BD3"/>
    <w:rsid w:val="00AE4C9E"/>
    <w:rsid w:val="00AE4D3A"/>
    <w:rsid w:val="00AE4E11"/>
    <w:rsid w:val="00AE5058"/>
    <w:rsid w:val="00AE5079"/>
    <w:rsid w:val="00AE50CF"/>
    <w:rsid w:val="00AE5135"/>
    <w:rsid w:val="00AE5167"/>
    <w:rsid w:val="00AE5170"/>
    <w:rsid w:val="00AE51CD"/>
    <w:rsid w:val="00AE53DE"/>
    <w:rsid w:val="00AE5471"/>
    <w:rsid w:val="00AE54AA"/>
    <w:rsid w:val="00AE5697"/>
    <w:rsid w:val="00AE57C9"/>
    <w:rsid w:val="00AE5A35"/>
    <w:rsid w:val="00AE5E76"/>
    <w:rsid w:val="00AE5EF4"/>
    <w:rsid w:val="00AE60BD"/>
    <w:rsid w:val="00AE60E4"/>
    <w:rsid w:val="00AE63E5"/>
    <w:rsid w:val="00AE6502"/>
    <w:rsid w:val="00AE66B2"/>
    <w:rsid w:val="00AE6872"/>
    <w:rsid w:val="00AE6C58"/>
    <w:rsid w:val="00AE707C"/>
    <w:rsid w:val="00AE7288"/>
    <w:rsid w:val="00AE72C4"/>
    <w:rsid w:val="00AE7AFA"/>
    <w:rsid w:val="00AE7CB7"/>
    <w:rsid w:val="00AE7F05"/>
    <w:rsid w:val="00AE7F38"/>
    <w:rsid w:val="00AF054D"/>
    <w:rsid w:val="00AF0939"/>
    <w:rsid w:val="00AF0A7C"/>
    <w:rsid w:val="00AF0E17"/>
    <w:rsid w:val="00AF10B8"/>
    <w:rsid w:val="00AF16A3"/>
    <w:rsid w:val="00AF16D5"/>
    <w:rsid w:val="00AF1813"/>
    <w:rsid w:val="00AF182A"/>
    <w:rsid w:val="00AF1E83"/>
    <w:rsid w:val="00AF24E7"/>
    <w:rsid w:val="00AF272B"/>
    <w:rsid w:val="00AF291B"/>
    <w:rsid w:val="00AF2DAA"/>
    <w:rsid w:val="00AF2EBD"/>
    <w:rsid w:val="00AF3081"/>
    <w:rsid w:val="00AF31C2"/>
    <w:rsid w:val="00AF3256"/>
    <w:rsid w:val="00AF336A"/>
    <w:rsid w:val="00AF3395"/>
    <w:rsid w:val="00AF33AE"/>
    <w:rsid w:val="00AF369D"/>
    <w:rsid w:val="00AF3799"/>
    <w:rsid w:val="00AF3DC1"/>
    <w:rsid w:val="00AF409A"/>
    <w:rsid w:val="00AF443C"/>
    <w:rsid w:val="00AF44B1"/>
    <w:rsid w:val="00AF460F"/>
    <w:rsid w:val="00AF4797"/>
    <w:rsid w:val="00AF4817"/>
    <w:rsid w:val="00AF4F68"/>
    <w:rsid w:val="00AF4FD4"/>
    <w:rsid w:val="00AF50C8"/>
    <w:rsid w:val="00AF5584"/>
    <w:rsid w:val="00AF575F"/>
    <w:rsid w:val="00AF5800"/>
    <w:rsid w:val="00AF5DF1"/>
    <w:rsid w:val="00AF61A9"/>
    <w:rsid w:val="00AF61D1"/>
    <w:rsid w:val="00AF6793"/>
    <w:rsid w:val="00AF6986"/>
    <w:rsid w:val="00AF6C88"/>
    <w:rsid w:val="00AF6D1B"/>
    <w:rsid w:val="00AF6E73"/>
    <w:rsid w:val="00AF6FFD"/>
    <w:rsid w:val="00AF73ED"/>
    <w:rsid w:val="00AF782E"/>
    <w:rsid w:val="00AF7D02"/>
    <w:rsid w:val="00AF7D69"/>
    <w:rsid w:val="00AF7DCD"/>
    <w:rsid w:val="00AF7ED2"/>
    <w:rsid w:val="00B004D8"/>
    <w:rsid w:val="00B007D0"/>
    <w:rsid w:val="00B00830"/>
    <w:rsid w:val="00B009D9"/>
    <w:rsid w:val="00B00B94"/>
    <w:rsid w:val="00B00CC5"/>
    <w:rsid w:val="00B00E50"/>
    <w:rsid w:val="00B00EE2"/>
    <w:rsid w:val="00B012C8"/>
    <w:rsid w:val="00B0131E"/>
    <w:rsid w:val="00B014D1"/>
    <w:rsid w:val="00B016D2"/>
    <w:rsid w:val="00B0177A"/>
    <w:rsid w:val="00B018E3"/>
    <w:rsid w:val="00B01E41"/>
    <w:rsid w:val="00B02091"/>
    <w:rsid w:val="00B02851"/>
    <w:rsid w:val="00B02B3F"/>
    <w:rsid w:val="00B02B43"/>
    <w:rsid w:val="00B02BCB"/>
    <w:rsid w:val="00B02F12"/>
    <w:rsid w:val="00B03099"/>
    <w:rsid w:val="00B03140"/>
    <w:rsid w:val="00B0357E"/>
    <w:rsid w:val="00B03A03"/>
    <w:rsid w:val="00B03D36"/>
    <w:rsid w:val="00B03E02"/>
    <w:rsid w:val="00B03F3D"/>
    <w:rsid w:val="00B040D0"/>
    <w:rsid w:val="00B0414F"/>
    <w:rsid w:val="00B04384"/>
    <w:rsid w:val="00B043A4"/>
    <w:rsid w:val="00B04540"/>
    <w:rsid w:val="00B046E7"/>
    <w:rsid w:val="00B04A14"/>
    <w:rsid w:val="00B04F5E"/>
    <w:rsid w:val="00B04F88"/>
    <w:rsid w:val="00B05116"/>
    <w:rsid w:val="00B05180"/>
    <w:rsid w:val="00B051A7"/>
    <w:rsid w:val="00B051DB"/>
    <w:rsid w:val="00B05500"/>
    <w:rsid w:val="00B05574"/>
    <w:rsid w:val="00B055C6"/>
    <w:rsid w:val="00B0581C"/>
    <w:rsid w:val="00B05BB8"/>
    <w:rsid w:val="00B05EC7"/>
    <w:rsid w:val="00B05F1A"/>
    <w:rsid w:val="00B0601E"/>
    <w:rsid w:val="00B065FB"/>
    <w:rsid w:val="00B06A5E"/>
    <w:rsid w:val="00B06E2E"/>
    <w:rsid w:val="00B06EC5"/>
    <w:rsid w:val="00B072AF"/>
    <w:rsid w:val="00B07B33"/>
    <w:rsid w:val="00B07FA2"/>
    <w:rsid w:val="00B100CF"/>
    <w:rsid w:val="00B1042A"/>
    <w:rsid w:val="00B109CC"/>
    <w:rsid w:val="00B10A66"/>
    <w:rsid w:val="00B10E82"/>
    <w:rsid w:val="00B10ED1"/>
    <w:rsid w:val="00B111A6"/>
    <w:rsid w:val="00B1121F"/>
    <w:rsid w:val="00B1128F"/>
    <w:rsid w:val="00B11429"/>
    <w:rsid w:val="00B11499"/>
    <w:rsid w:val="00B115E5"/>
    <w:rsid w:val="00B117D4"/>
    <w:rsid w:val="00B118EE"/>
    <w:rsid w:val="00B11B03"/>
    <w:rsid w:val="00B11C5B"/>
    <w:rsid w:val="00B1214F"/>
    <w:rsid w:val="00B121CD"/>
    <w:rsid w:val="00B12343"/>
    <w:rsid w:val="00B12529"/>
    <w:rsid w:val="00B12783"/>
    <w:rsid w:val="00B128C5"/>
    <w:rsid w:val="00B12977"/>
    <w:rsid w:val="00B12B11"/>
    <w:rsid w:val="00B12BF9"/>
    <w:rsid w:val="00B12C94"/>
    <w:rsid w:val="00B12D00"/>
    <w:rsid w:val="00B12FAE"/>
    <w:rsid w:val="00B132FF"/>
    <w:rsid w:val="00B1332B"/>
    <w:rsid w:val="00B13548"/>
    <w:rsid w:val="00B135AB"/>
    <w:rsid w:val="00B137BF"/>
    <w:rsid w:val="00B13A1B"/>
    <w:rsid w:val="00B13A59"/>
    <w:rsid w:val="00B13AED"/>
    <w:rsid w:val="00B1406F"/>
    <w:rsid w:val="00B141B5"/>
    <w:rsid w:val="00B142D9"/>
    <w:rsid w:val="00B14343"/>
    <w:rsid w:val="00B148E0"/>
    <w:rsid w:val="00B14BC4"/>
    <w:rsid w:val="00B14EFA"/>
    <w:rsid w:val="00B154CF"/>
    <w:rsid w:val="00B156C8"/>
    <w:rsid w:val="00B158A3"/>
    <w:rsid w:val="00B15B25"/>
    <w:rsid w:val="00B15EA0"/>
    <w:rsid w:val="00B16585"/>
    <w:rsid w:val="00B166DA"/>
    <w:rsid w:val="00B1708D"/>
    <w:rsid w:val="00B172EC"/>
    <w:rsid w:val="00B174B9"/>
    <w:rsid w:val="00B17A4E"/>
    <w:rsid w:val="00B17B30"/>
    <w:rsid w:val="00B17C2F"/>
    <w:rsid w:val="00B17D47"/>
    <w:rsid w:val="00B200FF"/>
    <w:rsid w:val="00B209AB"/>
    <w:rsid w:val="00B20CDC"/>
    <w:rsid w:val="00B210B5"/>
    <w:rsid w:val="00B2112F"/>
    <w:rsid w:val="00B21175"/>
    <w:rsid w:val="00B2153E"/>
    <w:rsid w:val="00B2159B"/>
    <w:rsid w:val="00B21F49"/>
    <w:rsid w:val="00B21FA7"/>
    <w:rsid w:val="00B22022"/>
    <w:rsid w:val="00B2226D"/>
    <w:rsid w:val="00B2243A"/>
    <w:rsid w:val="00B225E4"/>
    <w:rsid w:val="00B2265B"/>
    <w:rsid w:val="00B22825"/>
    <w:rsid w:val="00B22A1A"/>
    <w:rsid w:val="00B23104"/>
    <w:rsid w:val="00B23512"/>
    <w:rsid w:val="00B235C0"/>
    <w:rsid w:val="00B23782"/>
    <w:rsid w:val="00B23837"/>
    <w:rsid w:val="00B23D78"/>
    <w:rsid w:val="00B23F7A"/>
    <w:rsid w:val="00B24065"/>
    <w:rsid w:val="00B240B1"/>
    <w:rsid w:val="00B24208"/>
    <w:rsid w:val="00B24562"/>
    <w:rsid w:val="00B24728"/>
    <w:rsid w:val="00B248A9"/>
    <w:rsid w:val="00B248C6"/>
    <w:rsid w:val="00B249BC"/>
    <w:rsid w:val="00B24BC4"/>
    <w:rsid w:val="00B24D28"/>
    <w:rsid w:val="00B24F1C"/>
    <w:rsid w:val="00B252BC"/>
    <w:rsid w:val="00B25890"/>
    <w:rsid w:val="00B25D76"/>
    <w:rsid w:val="00B26815"/>
    <w:rsid w:val="00B26876"/>
    <w:rsid w:val="00B26A9F"/>
    <w:rsid w:val="00B27032"/>
    <w:rsid w:val="00B27041"/>
    <w:rsid w:val="00B271E5"/>
    <w:rsid w:val="00B27E19"/>
    <w:rsid w:val="00B27EF9"/>
    <w:rsid w:val="00B30003"/>
    <w:rsid w:val="00B30572"/>
    <w:rsid w:val="00B307A3"/>
    <w:rsid w:val="00B30989"/>
    <w:rsid w:val="00B30B23"/>
    <w:rsid w:val="00B30BAD"/>
    <w:rsid w:val="00B30D1B"/>
    <w:rsid w:val="00B30E06"/>
    <w:rsid w:val="00B311E9"/>
    <w:rsid w:val="00B31201"/>
    <w:rsid w:val="00B3167E"/>
    <w:rsid w:val="00B319F7"/>
    <w:rsid w:val="00B31A9F"/>
    <w:rsid w:val="00B31B46"/>
    <w:rsid w:val="00B31B4B"/>
    <w:rsid w:val="00B31CD5"/>
    <w:rsid w:val="00B31E36"/>
    <w:rsid w:val="00B32403"/>
    <w:rsid w:val="00B3241D"/>
    <w:rsid w:val="00B32475"/>
    <w:rsid w:val="00B32E26"/>
    <w:rsid w:val="00B338B7"/>
    <w:rsid w:val="00B33B7F"/>
    <w:rsid w:val="00B33E71"/>
    <w:rsid w:val="00B33F36"/>
    <w:rsid w:val="00B34051"/>
    <w:rsid w:val="00B34061"/>
    <w:rsid w:val="00B34306"/>
    <w:rsid w:val="00B343E9"/>
    <w:rsid w:val="00B3440A"/>
    <w:rsid w:val="00B34441"/>
    <w:rsid w:val="00B34471"/>
    <w:rsid w:val="00B3447B"/>
    <w:rsid w:val="00B345EF"/>
    <w:rsid w:val="00B34C44"/>
    <w:rsid w:val="00B34CEB"/>
    <w:rsid w:val="00B352B9"/>
    <w:rsid w:val="00B35534"/>
    <w:rsid w:val="00B35578"/>
    <w:rsid w:val="00B35A87"/>
    <w:rsid w:val="00B35AB6"/>
    <w:rsid w:val="00B35AFD"/>
    <w:rsid w:val="00B35EDC"/>
    <w:rsid w:val="00B35F9A"/>
    <w:rsid w:val="00B36236"/>
    <w:rsid w:val="00B362E9"/>
    <w:rsid w:val="00B3642D"/>
    <w:rsid w:val="00B3662E"/>
    <w:rsid w:val="00B366D2"/>
    <w:rsid w:val="00B366FA"/>
    <w:rsid w:val="00B36A1D"/>
    <w:rsid w:val="00B36A70"/>
    <w:rsid w:val="00B36C85"/>
    <w:rsid w:val="00B36CC8"/>
    <w:rsid w:val="00B36E86"/>
    <w:rsid w:val="00B36FC2"/>
    <w:rsid w:val="00B37122"/>
    <w:rsid w:val="00B371F4"/>
    <w:rsid w:val="00B373D9"/>
    <w:rsid w:val="00B3751B"/>
    <w:rsid w:val="00B375EF"/>
    <w:rsid w:val="00B379BA"/>
    <w:rsid w:val="00B37E3C"/>
    <w:rsid w:val="00B37E56"/>
    <w:rsid w:val="00B37F5E"/>
    <w:rsid w:val="00B40139"/>
    <w:rsid w:val="00B401B7"/>
    <w:rsid w:val="00B40278"/>
    <w:rsid w:val="00B403CF"/>
    <w:rsid w:val="00B406C9"/>
    <w:rsid w:val="00B408A0"/>
    <w:rsid w:val="00B410E1"/>
    <w:rsid w:val="00B4115B"/>
    <w:rsid w:val="00B412FD"/>
    <w:rsid w:val="00B41572"/>
    <w:rsid w:val="00B41573"/>
    <w:rsid w:val="00B4185C"/>
    <w:rsid w:val="00B41F2F"/>
    <w:rsid w:val="00B422BE"/>
    <w:rsid w:val="00B42303"/>
    <w:rsid w:val="00B42419"/>
    <w:rsid w:val="00B4241D"/>
    <w:rsid w:val="00B424E7"/>
    <w:rsid w:val="00B42523"/>
    <w:rsid w:val="00B426BB"/>
    <w:rsid w:val="00B42CBF"/>
    <w:rsid w:val="00B42EB9"/>
    <w:rsid w:val="00B42F7E"/>
    <w:rsid w:val="00B42FAE"/>
    <w:rsid w:val="00B432FA"/>
    <w:rsid w:val="00B43303"/>
    <w:rsid w:val="00B434B8"/>
    <w:rsid w:val="00B434E9"/>
    <w:rsid w:val="00B43724"/>
    <w:rsid w:val="00B43729"/>
    <w:rsid w:val="00B43DEA"/>
    <w:rsid w:val="00B4402F"/>
    <w:rsid w:val="00B440B5"/>
    <w:rsid w:val="00B441FE"/>
    <w:rsid w:val="00B44821"/>
    <w:rsid w:val="00B44AD3"/>
    <w:rsid w:val="00B44BDC"/>
    <w:rsid w:val="00B45128"/>
    <w:rsid w:val="00B45152"/>
    <w:rsid w:val="00B451DA"/>
    <w:rsid w:val="00B4578D"/>
    <w:rsid w:val="00B45A2E"/>
    <w:rsid w:val="00B45A5E"/>
    <w:rsid w:val="00B45E1A"/>
    <w:rsid w:val="00B45E54"/>
    <w:rsid w:val="00B45F37"/>
    <w:rsid w:val="00B460F5"/>
    <w:rsid w:val="00B461E5"/>
    <w:rsid w:val="00B46298"/>
    <w:rsid w:val="00B464E4"/>
    <w:rsid w:val="00B4689A"/>
    <w:rsid w:val="00B46D5F"/>
    <w:rsid w:val="00B46E7B"/>
    <w:rsid w:val="00B46ED8"/>
    <w:rsid w:val="00B470E7"/>
    <w:rsid w:val="00B4728A"/>
    <w:rsid w:val="00B474A0"/>
    <w:rsid w:val="00B47502"/>
    <w:rsid w:val="00B47CBA"/>
    <w:rsid w:val="00B47DC5"/>
    <w:rsid w:val="00B501D3"/>
    <w:rsid w:val="00B5047D"/>
    <w:rsid w:val="00B5051D"/>
    <w:rsid w:val="00B505B3"/>
    <w:rsid w:val="00B50620"/>
    <w:rsid w:val="00B506EC"/>
    <w:rsid w:val="00B50A74"/>
    <w:rsid w:val="00B50AFA"/>
    <w:rsid w:val="00B50CBE"/>
    <w:rsid w:val="00B50E49"/>
    <w:rsid w:val="00B51473"/>
    <w:rsid w:val="00B51A52"/>
    <w:rsid w:val="00B51EF5"/>
    <w:rsid w:val="00B520A0"/>
    <w:rsid w:val="00B521B1"/>
    <w:rsid w:val="00B521DC"/>
    <w:rsid w:val="00B5257E"/>
    <w:rsid w:val="00B525CE"/>
    <w:rsid w:val="00B52686"/>
    <w:rsid w:val="00B52BF6"/>
    <w:rsid w:val="00B52CFD"/>
    <w:rsid w:val="00B5332C"/>
    <w:rsid w:val="00B5335B"/>
    <w:rsid w:val="00B53377"/>
    <w:rsid w:val="00B543A8"/>
    <w:rsid w:val="00B545A8"/>
    <w:rsid w:val="00B5465A"/>
    <w:rsid w:val="00B546FC"/>
    <w:rsid w:val="00B547E8"/>
    <w:rsid w:val="00B548E8"/>
    <w:rsid w:val="00B54950"/>
    <w:rsid w:val="00B54A8E"/>
    <w:rsid w:val="00B554EF"/>
    <w:rsid w:val="00B55800"/>
    <w:rsid w:val="00B55C3A"/>
    <w:rsid w:val="00B55D8D"/>
    <w:rsid w:val="00B55DD2"/>
    <w:rsid w:val="00B55F29"/>
    <w:rsid w:val="00B56355"/>
    <w:rsid w:val="00B56527"/>
    <w:rsid w:val="00B56918"/>
    <w:rsid w:val="00B56921"/>
    <w:rsid w:val="00B56DB4"/>
    <w:rsid w:val="00B56E78"/>
    <w:rsid w:val="00B56EC2"/>
    <w:rsid w:val="00B56F1E"/>
    <w:rsid w:val="00B57027"/>
    <w:rsid w:val="00B57469"/>
    <w:rsid w:val="00B576DA"/>
    <w:rsid w:val="00B576F1"/>
    <w:rsid w:val="00B57710"/>
    <w:rsid w:val="00B57A70"/>
    <w:rsid w:val="00B57AD2"/>
    <w:rsid w:val="00B57B64"/>
    <w:rsid w:val="00B57B93"/>
    <w:rsid w:val="00B57D7D"/>
    <w:rsid w:val="00B601C9"/>
    <w:rsid w:val="00B60357"/>
    <w:rsid w:val="00B60450"/>
    <w:rsid w:val="00B60551"/>
    <w:rsid w:val="00B60640"/>
    <w:rsid w:val="00B60C71"/>
    <w:rsid w:val="00B60D04"/>
    <w:rsid w:val="00B612A9"/>
    <w:rsid w:val="00B61482"/>
    <w:rsid w:val="00B614C8"/>
    <w:rsid w:val="00B61517"/>
    <w:rsid w:val="00B6153A"/>
    <w:rsid w:val="00B61702"/>
    <w:rsid w:val="00B61EE8"/>
    <w:rsid w:val="00B620C1"/>
    <w:rsid w:val="00B62D9B"/>
    <w:rsid w:val="00B62FFA"/>
    <w:rsid w:val="00B631CC"/>
    <w:rsid w:val="00B633A3"/>
    <w:rsid w:val="00B63533"/>
    <w:rsid w:val="00B6382C"/>
    <w:rsid w:val="00B63A14"/>
    <w:rsid w:val="00B63A7E"/>
    <w:rsid w:val="00B63BDB"/>
    <w:rsid w:val="00B63C0D"/>
    <w:rsid w:val="00B63FA1"/>
    <w:rsid w:val="00B642F8"/>
    <w:rsid w:val="00B644D7"/>
    <w:rsid w:val="00B647B3"/>
    <w:rsid w:val="00B64A0D"/>
    <w:rsid w:val="00B64A0E"/>
    <w:rsid w:val="00B64CC6"/>
    <w:rsid w:val="00B64DDF"/>
    <w:rsid w:val="00B65015"/>
    <w:rsid w:val="00B65203"/>
    <w:rsid w:val="00B65312"/>
    <w:rsid w:val="00B65728"/>
    <w:rsid w:val="00B6572F"/>
    <w:rsid w:val="00B65742"/>
    <w:rsid w:val="00B65776"/>
    <w:rsid w:val="00B65A46"/>
    <w:rsid w:val="00B6601E"/>
    <w:rsid w:val="00B6603E"/>
    <w:rsid w:val="00B660F7"/>
    <w:rsid w:val="00B66315"/>
    <w:rsid w:val="00B663AA"/>
    <w:rsid w:val="00B664A5"/>
    <w:rsid w:val="00B665E1"/>
    <w:rsid w:val="00B66DA2"/>
    <w:rsid w:val="00B66DD5"/>
    <w:rsid w:val="00B66F46"/>
    <w:rsid w:val="00B6715C"/>
    <w:rsid w:val="00B6733B"/>
    <w:rsid w:val="00B676B1"/>
    <w:rsid w:val="00B67B97"/>
    <w:rsid w:val="00B67CA3"/>
    <w:rsid w:val="00B67F01"/>
    <w:rsid w:val="00B701FA"/>
    <w:rsid w:val="00B7059A"/>
    <w:rsid w:val="00B707D4"/>
    <w:rsid w:val="00B70CDC"/>
    <w:rsid w:val="00B70E71"/>
    <w:rsid w:val="00B70F8E"/>
    <w:rsid w:val="00B711AB"/>
    <w:rsid w:val="00B714E9"/>
    <w:rsid w:val="00B714F0"/>
    <w:rsid w:val="00B7160D"/>
    <w:rsid w:val="00B71A40"/>
    <w:rsid w:val="00B71BFA"/>
    <w:rsid w:val="00B71C8C"/>
    <w:rsid w:val="00B71CB4"/>
    <w:rsid w:val="00B71CD8"/>
    <w:rsid w:val="00B71FD7"/>
    <w:rsid w:val="00B72003"/>
    <w:rsid w:val="00B7210F"/>
    <w:rsid w:val="00B7243C"/>
    <w:rsid w:val="00B72510"/>
    <w:rsid w:val="00B725E7"/>
    <w:rsid w:val="00B729D7"/>
    <w:rsid w:val="00B729DA"/>
    <w:rsid w:val="00B72C07"/>
    <w:rsid w:val="00B72C74"/>
    <w:rsid w:val="00B72C7F"/>
    <w:rsid w:val="00B72DF7"/>
    <w:rsid w:val="00B72F42"/>
    <w:rsid w:val="00B73641"/>
    <w:rsid w:val="00B73912"/>
    <w:rsid w:val="00B73DA0"/>
    <w:rsid w:val="00B73E44"/>
    <w:rsid w:val="00B73F51"/>
    <w:rsid w:val="00B740F8"/>
    <w:rsid w:val="00B74164"/>
    <w:rsid w:val="00B7421D"/>
    <w:rsid w:val="00B74251"/>
    <w:rsid w:val="00B74290"/>
    <w:rsid w:val="00B74510"/>
    <w:rsid w:val="00B746B7"/>
    <w:rsid w:val="00B74822"/>
    <w:rsid w:val="00B748DF"/>
    <w:rsid w:val="00B7492A"/>
    <w:rsid w:val="00B7499C"/>
    <w:rsid w:val="00B749F4"/>
    <w:rsid w:val="00B74BD4"/>
    <w:rsid w:val="00B74BF7"/>
    <w:rsid w:val="00B74C91"/>
    <w:rsid w:val="00B74D34"/>
    <w:rsid w:val="00B75370"/>
    <w:rsid w:val="00B757B4"/>
    <w:rsid w:val="00B75EDD"/>
    <w:rsid w:val="00B760C4"/>
    <w:rsid w:val="00B76185"/>
    <w:rsid w:val="00B765E9"/>
    <w:rsid w:val="00B7676C"/>
    <w:rsid w:val="00B76840"/>
    <w:rsid w:val="00B768BE"/>
    <w:rsid w:val="00B76BCD"/>
    <w:rsid w:val="00B76FBC"/>
    <w:rsid w:val="00B7707B"/>
    <w:rsid w:val="00B7782B"/>
    <w:rsid w:val="00B779E6"/>
    <w:rsid w:val="00B77E31"/>
    <w:rsid w:val="00B8009A"/>
    <w:rsid w:val="00B8019C"/>
    <w:rsid w:val="00B804E2"/>
    <w:rsid w:val="00B80514"/>
    <w:rsid w:val="00B8052A"/>
    <w:rsid w:val="00B80B41"/>
    <w:rsid w:val="00B8105C"/>
    <w:rsid w:val="00B811B2"/>
    <w:rsid w:val="00B81636"/>
    <w:rsid w:val="00B8173F"/>
    <w:rsid w:val="00B818E2"/>
    <w:rsid w:val="00B81BDE"/>
    <w:rsid w:val="00B81BF3"/>
    <w:rsid w:val="00B81D4B"/>
    <w:rsid w:val="00B82024"/>
    <w:rsid w:val="00B821FB"/>
    <w:rsid w:val="00B82212"/>
    <w:rsid w:val="00B8234B"/>
    <w:rsid w:val="00B8244C"/>
    <w:rsid w:val="00B82625"/>
    <w:rsid w:val="00B8267E"/>
    <w:rsid w:val="00B826FB"/>
    <w:rsid w:val="00B8276E"/>
    <w:rsid w:val="00B82CF3"/>
    <w:rsid w:val="00B82F8C"/>
    <w:rsid w:val="00B83006"/>
    <w:rsid w:val="00B832CE"/>
    <w:rsid w:val="00B834B5"/>
    <w:rsid w:val="00B83565"/>
    <w:rsid w:val="00B83997"/>
    <w:rsid w:val="00B83A62"/>
    <w:rsid w:val="00B83B52"/>
    <w:rsid w:val="00B83B59"/>
    <w:rsid w:val="00B83F43"/>
    <w:rsid w:val="00B84252"/>
    <w:rsid w:val="00B84677"/>
    <w:rsid w:val="00B8468F"/>
    <w:rsid w:val="00B84760"/>
    <w:rsid w:val="00B84B3C"/>
    <w:rsid w:val="00B84FC6"/>
    <w:rsid w:val="00B8511E"/>
    <w:rsid w:val="00B854AB"/>
    <w:rsid w:val="00B85721"/>
    <w:rsid w:val="00B85747"/>
    <w:rsid w:val="00B857F5"/>
    <w:rsid w:val="00B85A56"/>
    <w:rsid w:val="00B85B2C"/>
    <w:rsid w:val="00B85E17"/>
    <w:rsid w:val="00B85F45"/>
    <w:rsid w:val="00B8608B"/>
    <w:rsid w:val="00B8685D"/>
    <w:rsid w:val="00B86C69"/>
    <w:rsid w:val="00B86D6C"/>
    <w:rsid w:val="00B86E8C"/>
    <w:rsid w:val="00B86F47"/>
    <w:rsid w:val="00B86FF2"/>
    <w:rsid w:val="00B874B4"/>
    <w:rsid w:val="00B8757B"/>
    <w:rsid w:val="00B875E9"/>
    <w:rsid w:val="00B87729"/>
    <w:rsid w:val="00B877B9"/>
    <w:rsid w:val="00B87873"/>
    <w:rsid w:val="00B8787A"/>
    <w:rsid w:val="00B87887"/>
    <w:rsid w:val="00B87CEB"/>
    <w:rsid w:val="00B9003A"/>
    <w:rsid w:val="00B90123"/>
    <w:rsid w:val="00B90196"/>
    <w:rsid w:val="00B902B1"/>
    <w:rsid w:val="00B90330"/>
    <w:rsid w:val="00B90FBE"/>
    <w:rsid w:val="00B911C1"/>
    <w:rsid w:val="00B914D2"/>
    <w:rsid w:val="00B91550"/>
    <w:rsid w:val="00B91881"/>
    <w:rsid w:val="00B9197F"/>
    <w:rsid w:val="00B91A09"/>
    <w:rsid w:val="00B92008"/>
    <w:rsid w:val="00B922C3"/>
    <w:rsid w:val="00B922FA"/>
    <w:rsid w:val="00B92715"/>
    <w:rsid w:val="00B9272E"/>
    <w:rsid w:val="00B927A7"/>
    <w:rsid w:val="00B92A9E"/>
    <w:rsid w:val="00B92B9E"/>
    <w:rsid w:val="00B92CD8"/>
    <w:rsid w:val="00B93150"/>
    <w:rsid w:val="00B93315"/>
    <w:rsid w:val="00B93326"/>
    <w:rsid w:val="00B9337A"/>
    <w:rsid w:val="00B93430"/>
    <w:rsid w:val="00B93519"/>
    <w:rsid w:val="00B93662"/>
    <w:rsid w:val="00B9372A"/>
    <w:rsid w:val="00B93802"/>
    <w:rsid w:val="00B938F8"/>
    <w:rsid w:val="00B93E6A"/>
    <w:rsid w:val="00B93E6C"/>
    <w:rsid w:val="00B93FD0"/>
    <w:rsid w:val="00B94159"/>
    <w:rsid w:val="00B9425C"/>
    <w:rsid w:val="00B94487"/>
    <w:rsid w:val="00B94908"/>
    <w:rsid w:val="00B94AAF"/>
    <w:rsid w:val="00B94DB1"/>
    <w:rsid w:val="00B94E6D"/>
    <w:rsid w:val="00B94FC0"/>
    <w:rsid w:val="00B953FE"/>
    <w:rsid w:val="00B953FF"/>
    <w:rsid w:val="00B9550E"/>
    <w:rsid w:val="00B956B7"/>
    <w:rsid w:val="00B95A22"/>
    <w:rsid w:val="00B96141"/>
    <w:rsid w:val="00B9622D"/>
    <w:rsid w:val="00B96263"/>
    <w:rsid w:val="00B96452"/>
    <w:rsid w:val="00B968A5"/>
    <w:rsid w:val="00B969EF"/>
    <w:rsid w:val="00B96A04"/>
    <w:rsid w:val="00B96A5D"/>
    <w:rsid w:val="00B96C2B"/>
    <w:rsid w:val="00B972CD"/>
    <w:rsid w:val="00B9769B"/>
    <w:rsid w:val="00B97D02"/>
    <w:rsid w:val="00B97D3D"/>
    <w:rsid w:val="00BA0304"/>
    <w:rsid w:val="00BA0557"/>
    <w:rsid w:val="00BA060E"/>
    <w:rsid w:val="00BA0D49"/>
    <w:rsid w:val="00BA115C"/>
    <w:rsid w:val="00BA12C0"/>
    <w:rsid w:val="00BA144D"/>
    <w:rsid w:val="00BA15AB"/>
    <w:rsid w:val="00BA1823"/>
    <w:rsid w:val="00BA1BE1"/>
    <w:rsid w:val="00BA1F68"/>
    <w:rsid w:val="00BA2101"/>
    <w:rsid w:val="00BA25B5"/>
    <w:rsid w:val="00BA2A34"/>
    <w:rsid w:val="00BA2C78"/>
    <w:rsid w:val="00BA3038"/>
    <w:rsid w:val="00BA3163"/>
    <w:rsid w:val="00BA3319"/>
    <w:rsid w:val="00BA3482"/>
    <w:rsid w:val="00BA370A"/>
    <w:rsid w:val="00BA3826"/>
    <w:rsid w:val="00BA45B0"/>
    <w:rsid w:val="00BA48BC"/>
    <w:rsid w:val="00BA4990"/>
    <w:rsid w:val="00BA4A29"/>
    <w:rsid w:val="00BA4BB9"/>
    <w:rsid w:val="00BA4BE7"/>
    <w:rsid w:val="00BA52BC"/>
    <w:rsid w:val="00BA5345"/>
    <w:rsid w:val="00BA53F1"/>
    <w:rsid w:val="00BA5592"/>
    <w:rsid w:val="00BA5663"/>
    <w:rsid w:val="00BA58BA"/>
    <w:rsid w:val="00BA5BDB"/>
    <w:rsid w:val="00BA5D49"/>
    <w:rsid w:val="00BA5EA2"/>
    <w:rsid w:val="00BA5F20"/>
    <w:rsid w:val="00BA5F7A"/>
    <w:rsid w:val="00BA68D9"/>
    <w:rsid w:val="00BA7172"/>
    <w:rsid w:val="00BA7207"/>
    <w:rsid w:val="00BA7532"/>
    <w:rsid w:val="00BA772D"/>
    <w:rsid w:val="00BA7AEF"/>
    <w:rsid w:val="00BA7B01"/>
    <w:rsid w:val="00BA7BAD"/>
    <w:rsid w:val="00BA7C21"/>
    <w:rsid w:val="00BA7F56"/>
    <w:rsid w:val="00BB02D7"/>
    <w:rsid w:val="00BB0543"/>
    <w:rsid w:val="00BB064A"/>
    <w:rsid w:val="00BB098D"/>
    <w:rsid w:val="00BB0D9F"/>
    <w:rsid w:val="00BB0DEE"/>
    <w:rsid w:val="00BB0E0A"/>
    <w:rsid w:val="00BB1031"/>
    <w:rsid w:val="00BB1881"/>
    <w:rsid w:val="00BB1890"/>
    <w:rsid w:val="00BB1B33"/>
    <w:rsid w:val="00BB1D73"/>
    <w:rsid w:val="00BB1EB3"/>
    <w:rsid w:val="00BB1F17"/>
    <w:rsid w:val="00BB20B2"/>
    <w:rsid w:val="00BB236C"/>
    <w:rsid w:val="00BB2480"/>
    <w:rsid w:val="00BB251F"/>
    <w:rsid w:val="00BB2881"/>
    <w:rsid w:val="00BB2C4E"/>
    <w:rsid w:val="00BB2D45"/>
    <w:rsid w:val="00BB2E29"/>
    <w:rsid w:val="00BB2F74"/>
    <w:rsid w:val="00BB3169"/>
    <w:rsid w:val="00BB3206"/>
    <w:rsid w:val="00BB3269"/>
    <w:rsid w:val="00BB32C2"/>
    <w:rsid w:val="00BB3426"/>
    <w:rsid w:val="00BB36B7"/>
    <w:rsid w:val="00BB371A"/>
    <w:rsid w:val="00BB3B0D"/>
    <w:rsid w:val="00BB3BD9"/>
    <w:rsid w:val="00BB421E"/>
    <w:rsid w:val="00BB42FA"/>
    <w:rsid w:val="00BB437C"/>
    <w:rsid w:val="00BB463B"/>
    <w:rsid w:val="00BB46C1"/>
    <w:rsid w:val="00BB4775"/>
    <w:rsid w:val="00BB4B8C"/>
    <w:rsid w:val="00BB4E17"/>
    <w:rsid w:val="00BB4E20"/>
    <w:rsid w:val="00BB524C"/>
    <w:rsid w:val="00BB57E3"/>
    <w:rsid w:val="00BB5ACC"/>
    <w:rsid w:val="00BB5DAB"/>
    <w:rsid w:val="00BB5F15"/>
    <w:rsid w:val="00BB6000"/>
    <w:rsid w:val="00BB6195"/>
    <w:rsid w:val="00BB61A3"/>
    <w:rsid w:val="00BB67BA"/>
    <w:rsid w:val="00BB6830"/>
    <w:rsid w:val="00BB6DD0"/>
    <w:rsid w:val="00BB707E"/>
    <w:rsid w:val="00BB7385"/>
    <w:rsid w:val="00BB7568"/>
    <w:rsid w:val="00BB799D"/>
    <w:rsid w:val="00BB7A07"/>
    <w:rsid w:val="00BB7DB9"/>
    <w:rsid w:val="00BB7F0E"/>
    <w:rsid w:val="00BB7F82"/>
    <w:rsid w:val="00BC0058"/>
    <w:rsid w:val="00BC007C"/>
    <w:rsid w:val="00BC032F"/>
    <w:rsid w:val="00BC0AB2"/>
    <w:rsid w:val="00BC105B"/>
    <w:rsid w:val="00BC10C0"/>
    <w:rsid w:val="00BC1308"/>
    <w:rsid w:val="00BC150D"/>
    <w:rsid w:val="00BC1548"/>
    <w:rsid w:val="00BC1871"/>
    <w:rsid w:val="00BC1BF4"/>
    <w:rsid w:val="00BC1C1B"/>
    <w:rsid w:val="00BC1D07"/>
    <w:rsid w:val="00BC1F66"/>
    <w:rsid w:val="00BC2067"/>
    <w:rsid w:val="00BC22E9"/>
    <w:rsid w:val="00BC2600"/>
    <w:rsid w:val="00BC270A"/>
    <w:rsid w:val="00BC2DD1"/>
    <w:rsid w:val="00BC2F0F"/>
    <w:rsid w:val="00BC2F24"/>
    <w:rsid w:val="00BC327C"/>
    <w:rsid w:val="00BC32D0"/>
    <w:rsid w:val="00BC33BE"/>
    <w:rsid w:val="00BC33DD"/>
    <w:rsid w:val="00BC3A47"/>
    <w:rsid w:val="00BC3BAC"/>
    <w:rsid w:val="00BC3D8C"/>
    <w:rsid w:val="00BC3EBB"/>
    <w:rsid w:val="00BC3EEB"/>
    <w:rsid w:val="00BC3F1A"/>
    <w:rsid w:val="00BC4219"/>
    <w:rsid w:val="00BC463A"/>
    <w:rsid w:val="00BC4780"/>
    <w:rsid w:val="00BC479C"/>
    <w:rsid w:val="00BC4AA8"/>
    <w:rsid w:val="00BC4DD7"/>
    <w:rsid w:val="00BC4E7A"/>
    <w:rsid w:val="00BC4EE4"/>
    <w:rsid w:val="00BC4F46"/>
    <w:rsid w:val="00BC5255"/>
    <w:rsid w:val="00BC52C8"/>
    <w:rsid w:val="00BC5485"/>
    <w:rsid w:val="00BC549C"/>
    <w:rsid w:val="00BC5648"/>
    <w:rsid w:val="00BC5697"/>
    <w:rsid w:val="00BC570E"/>
    <w:rsid w:val="00BC58AC"/>
    <w:rsid w:val="00BC58AF"/>
    <w:rsid w:val="00BC5A6C"/>
    <w:rsid w:val="00BC5A85"/>
    <w:rsid w:val="00BC5AF6"/>
    <w:rsid w:val="00BC5B4B"/>
    <w:rsid w:val="00BC5C22"/>
    <w:rsid w:val="00BC5CC2"/>
    <w:rsid w:val="00BC5EDB"/>
    <w:rsid w:val="00BC5FED"/>
    <w:rsid w:val="00BC6392"/>
    <w:rsid w:val="00BC63A8"/>
    <w:rsid w:val="00BC6723"/>
    <w:rsid w:val="00BC6727"/>
    <w:rsid w:val="00BC6778"/>
    <w:rsid w:val="00BC69A2"/>
    <w:rsid w:val="00BC6ED6"/>
    <w:rsid w:val="00BC6F03"/>
    <w:rsid w:val="00BC6F4B"/>
    <w:rsid w:val="00BC6FA1"/>
    <w:rsid w:val="00BC72DD"/>
    <w:rsid w:val="00BC74AF"/>
    <w:rsid w:val="00BC76B1"/>
    <w:rsid w:val="00BC77F7"/>
    <w:rsid w:val="00BC794C"/>
    <w:rsid w:val="00BC7C85"/>
    <w:rsid w:val="00BC7F69"/>
    <w:rsid w:val="00BD024F"/>
    <w:rsid w:val="00BD03B6"/>
    <w:rsid w:val="00BD03BF"/>
    <w:rsid w:val="00BD0570"/>
    <w:rsid w:val="00BD0853"/>
    <w:rsid w:val="00BD0B23"/>
    <w:rsid w:val="00BD0CE0"/>
    <w:rsid w:val="00BD10A7"/>
    <w:rsid w:val="00BD112D"/>
    <w:rsid w:val="00BD180B"/>
    <w:rsid w:val="00BD1B11"/>
    <w:rsid w:val="00BD1C4F"/>
    <w:rsid w:val="00BD1E50"/>
    <w:rsid w:val="00BD1FBA"/>
    <w:rsid w:val="00BD203B"/>
    <w:rsid w:val="00BD214E"/>
    <w:rsid w:val="00BD2176"/>
    <w:rsid w:val="00BD22F7"/>
    <w:rsid w:val="00BD2395"/>
    <w:rsid w:val="00BD250A"/>
    <w:rsid w:val="00BD25B8"/>
    <w:rsid w:val="00BD26FD"/>
    <w:rsid w:val="00BD2842"/>
    <w:rsid w:val="00BD2892"/>
    <w:rsid w:val="00BD2B23"/>
    <w:rsid w:val="00BD30D7"/>
    <w:rsid w:val="00BD3120"/>
    <w:rsid w:val="00BD321A"/>
    <w:rsid w:val="00BD3354"/>
    <w:rsid w:val="00BD3431"/>
    <w:rsid w:val="00BD34D2"/>
    <w:rsid w:val="00BD3640"/>
    <w:rsid w:val="00BD368C"/>
    <w:rsid w:val="00BD384E"/>
    <w:rsid w:val="00BD3AC4"/>
    <w:rsid w:val="00BD3B8E"/>
    <w:rsid w:val="00BD3E76"/>
    <w:rsid w:val="00BD3EE2"/>
    <w:rsid w:val="00BD3F9E"/>
    <w:rsid w:val="00BD3FCF"/>
    <w:rsid w:val="00BD41C3"/>
    <w:rsid w:val="00BD42D2"/>
    <w:rsid w:val="00BD47AB"/>
    <w:rsid w:val="00BD47D7"/>
    <w:rsid w:val="00BD4860"/>
    <w:rsid w:val="00BD488A"/>
    <w:rsid w:val="00BD4EFB"/>
    <w:rsid w:val="00BD5076"/>
    <w:rsid w:val="00BD5551"/>
    <w:rsid w:val="00BD565E"/>
    <w:rsid w:val="00BD5AF1"/>
    <w:rsid w:val="00BD5D6D"/>
    <w:rsid w:val="00BD619B"/>
    <w:rsid w:val="00BD6443"/>
    <w:rsid w:val="00BD66A4"/>
    <w:rsid w:val="00BD6CE9"/>
    <w:rsid w:val="00BD6D43"/>
    <w:rsid w:val="00BD7090"/>
    <w:rsid w:val="00BD72BF"/>
    <w:rsid w:val="00BD7490"/>
    <w:rsid w:val="00BD767F"/>
    <w:rsid w:val="00BD7D65"/>
    <w:rsid w:val="00BE0481"/>
    <w:rsid w:val="00BE052D"/>
    <w:rsid w:val="00BE0582"/>
    <w:rsid w:val="00BE0589"/>
    <w:rsid w:val="00BE09C3"/>
    <w:rsid w:val="00BE0ACE"/>
    <w:rsid w:val="00BE0C27"/>
    <w:rsid w:val="00BE0F44"/>
    <w:rsid w:val="00BE0FB2"/>
    <w:rsid w:val="00BE15B8"/>
    <w:rsid w:val="00BE15BB"/>
    <w:rsid w:val="00BE198F"/>
    <w:rsid w:val="00BE1A78"/>
    <w:rsid w:val="00BE1C29"/>
    <w:rsid w:val="00BE226C"/>
    <w:rsid w:val="00BE23F1"/>
    <w:rsid w:val="00BE2896"/>
    <w:rsid w:val="00BE2F15"/>
    <w:rsid w:val="00BE301D"/>
    <w:rsid w:val="00BE3143"/>
    <w:rsid w:val="00BE326F"/>
    <w:rsid w:val="00BE333A"/>
    <w:rsid w:val="00BE335C"/>
    <w:rsid w:val="00BE33C1"/>
    <w:rsid w:val="00BE39DA"/>
    <w:rsid w:val="00BE4006"/>
    <w:rsid w:val="00BE421A"/>
    <w:rsid w:val="00BE42F4"/>
    <w:rsid w:val="00BE444E"/>
    <w:rsid w:val="00BE452A"/>
    <w:rsid w:val="00BE473E"/>
    <w:rsid w:val="00BE4D8F"/>
    <w:rsid w:val="00BE5135"/>
    <w:rsid w:val="00BE5245"/>
    <w:rsid w:val="00BE54FF"/>
    <w:rsid w:val="00BE5596"/>
    <w:rsid w:val="00BE5964"/>
    <w:rsid w:val="00BE5E8E"/>
    <w:rsid w:val="00BE5F2B"/>
    <w:rsid w:val="00BE5FC4"/>
    <w:rsid w:val="00BE660B"/>
    <w:rsid w:val="00BE664E"/>
    <w:rsid w:val="00BE6AC2"/>
    <w:rsid w:val="00BE6AFE"/>
    <w:rsid w:val="00BE6BBE"/>
    <w:rsid w:val="00BE6D07"/>
    <w:rsid w:val="00BE6FDA"/>
    <w:rsid w:val="00BE7021"/>
    <w:rsid w:val="00BE715A"/>
    <w:rsid w:val="00BE7300"/>
    <w:rsid w:val="00BE7723"/>
    <w:rsid w:val="00BE784F"/>
    <w:rsid w:val="00BE78CE"/>
    <w:rsid w:val="00BE7A0C"/>
    <w:rsid w:val="00BF00F5"/>
    <w:rsid w:val="00BF0238"/>
    <w:rsid w:val="00BF0717"/>
    <w:rsid w:val="00BF071D"/>
    <w:rsid w:val="00BF1750"/>
    <w:rsid w:val="00BF178E"/>
    <w:rsid w:val="00BF189F"/>
    <w:rsid w:val="00BF18A9"/>
    <w:rsid w:val="00BF199E"/>
    <w:rsid w:val="00BF1AB9"/>
    <w:rsid w:val="00BF1B44"/>
    <w:rsid w:val="00BF1F01"/>
    <w:rsid w:val="00BF1F6D"/>
    <w:rsid w:val="00BF21FF"/>
    <w:rsid w:val="00BF222E"/>
    <w:rsid w:val="00BF22E2"/>
    <w:rsid w:val="00BF22EE"/>
    <w:rsid w:val="00BF232C"/>
    <w:rsid w:val="00BF23CC"/>
    <w:rsid w:val="00BF243F"/>
    <w:rsid w:val="00BF24FB"/>
    <w:rsid w:val="00BF2683"/>
    <w:rsid w:val="00BF2807"/>
    <w:rsid w:val="00BF284E"/>
    <w:rsid w:val="00BF2DE3"/>
    <w:rsid w:val="00BF2F93"/>
    <w:rsid w:val="00BF2FE9"/>
    <w:rsid w:val="00BF30BC"/>
    <w:rsid w:val="00BF39CB"/>
    <w:rsid w:val="00BF3ACF"/>
    <w:rsid w:val="00BF3B0B"/>
    <w:rsid w:val="00BF3C2A"/>
    <w:rsid w:val="00BF3C65"/>
    <w:rsid w:val="00BF3C8D"/>
    <w:rsid w:val="00BF3CA8"/>
    <w:rsid w:val="00BF43B6"/>
    <w:rsid w:val="00BF4403"/>
    <w:rsid w:val="00BF44E6"/>
    <w:rsid w:val="00BF4596"/>
    <w:rsid w:val="00BF494B"/>
    <w:rsid w:val="00BF4C2B"/>
    <w:rsid w:val="00BF507A"/>
    <w:rsid w:val="00BF53A5"/>
    <w:rsid w:val="00BF53F1"/>
    <w:rsid w:val="00BF5717"/>
    <w:rsid w:val="00BF589F"/>
    <w:rsid w:val="00BF595D"/>
    <w:rsid w:val="00BF5B9D"/>
    <w:rsid w:val="00BF5CD8"/>
    <w:rsid w:val="00BF5FA3"/>
    <w:rsid w:val="00BF6053"/>
    <w:rsid w:val="00BF61CF"/>
    <w:rsid w:val="00BF6220"/>
    <w:rsid w:val="00BF62F2"/>
    <w:rsid w:val="00BF63A5"/>
    <w:rsid w:val="00BF6C65"/>
    <w:rsid w:val="00BF6D2B"/>
    <w:rsid w:val="00BF6D54"/>
    <w:rsid w:val="00BF6D6A"/>
    <w:rsid w:val="00BF6EE8"/>
    <w:rsid w:val="00BF7281"/>
    <w:rsid w:val="00BF72A7"/>
    <w:rsid w:val="00BF7537"/>
    <w:rsid w:val="00BF7558"/>
    <w:rsid w:val="00BF76E9"/>
    <w:rsid w:val="00BF7BBE"/>
    <w:rsid w:val="00BF7F2F"/>
    <w:rsid w:val="00C00134"/>
    <w:rsid w:val="00C002E3"/>
    <w:rsid w:val="00C0045C"/>
    <w:rsid w:val="00C00769"/>
    <w:rsid w:val="00C0111E"/>
    <w:rsid w:val="00C01163"/>
    <w:rsid w:val="00C01696"/>
    <w:rsid w:val="00C017CB"/>
    <w:rsid w:val="00C018DC"/>
    <w:rsid w:val="00C01A7B"/>
    <w:rsid w:val="00C01D5A"/>
    <w:rsid w:val="00C01DD9"/>
    <w:rsid w:val="00C01E10"/>
    <w:rsid w:val="00C022BD"/>
    <w:rsid w:val="00C024EE"/>
    <w:rsid w:val="00C02676"/>
    <w:rsid w:val="00C02728"/>
    <w:rsid w:val="00C029AB"/>
    <w:rsid w:val="00C02AB3"/>
    <w:rsid w:val="00C02BE6"/>
    <w:rsid w:val="00C02EEC"/>
    <w:rsid w:val="00C0321B"/>
    <w:rsid w:val="00C032F1"/>
    <w:rsid w:val="00C03B48"/>
    <w:rsid w:val="00C03BD5"/>
    <w:rsid w:val="00C03C8B"/>
    <w:rsid w:val="00C03CB2"/>
    <w:rsid w:val="00C03E69"/>
    <w:rsid w:val="00C03F3C"/>
    <w:rsid w:val="00C03F76"/>
    <w:rsid w:val="00C043A2"/>
    <w:rsid w:val="00C047DC"/>
    <w:rsid w:val="00C04923"/>
    <w:rsid w:val="00C049BE"/>
    <w:rsid w:val="00C04A71"/>
    <w:rsid w:val="00C04D21"/>
    <w:rsid w:val="00C04DF0"/>
    <w:rsid w:val="00C053FD"/>
    <w:rsid w:val="00C05631"/>
    <w:rsid w:val="00C05793"/>
    <w:rsid w:val="00C05A4C"/>
    <w:rsid w:val="00C05A67"/>
    <w:rsid w:val="00C05AE1"/>
    <w:rsid w:val="00C06494"/>
    <w:rsid w:val="00C06589"/>
    <w:rsid w:val="00C068B0"/>
    <w:rsid w:val="00C0714C"/>
    <w:rsid w:val="00C073E0"/>
    <w:rsid w:val="00C07620"/>
    <w:rsid w:val="00C07623"/>
    <w:rsid w:val="00C07645"/>
    <w:rsid w:val="00C07BFE"/>
    <w:rsid w:val="00C07F76"/>
    <w:rsid w:val="00C1001D"/>
    <w:rsid w:val="00C10119"/>
    <w:rsid w:val="00C1087E"/>
    <w:rsid w:val="00C108A4"/>
    <w:rsid w:val="00C10AA8"/>
    <w:rsid w:val="00C10B5A"/>
    <w:rsid w:val="00C11113"/>
    <w:rsid w:val="00C111B1"/>
    <w:rsid w:val="00C112F3"/>
    <w:rsid w:val="00C11687"/>
    <w:rsid w:val="00C117BE"/>
    <w:rsid w:val="00C11E28"/>
    <w:rsid w:val="00C1225B"/>
    <w:rsid w:val="00C122A6"/>
    <w:rsid w:val="00C122F9"/>
    <w:rsid w:val="00C12459"/>
    <w:rsid w:val="00C124E1"/>
    <w:rsid w:val="00C1253A"/>
    <w:rsid w:val="00C128C9"/>
    <w:rsid w:val="00C12B4F"/>
    <w:rsid w:val="00C12C9B"/>
    <w:rsid w:val="00C12CF3"/>
    <w:rsid w:val="00C12F88"/>
    <w:rsid w:val="00C130A1"/>
    <w:rsid w:val="00C1314B"/>
    <w:rsid w:val="00C131A8"/>
    <w:rsid w:val="00C1322D"/>
    <w:rsid w:val="00C133EF"/>
    <w:rsid w:val="00C1340C"/>
    <w:rsid w:val="00C135A3"/>
    <w:rsid w:val="00C135BC"/>
    <w:rsid w:val="00C13664"/>
    <w:rsid w:val="00C13BF6"/>
    <w:rsid w:val="00C1477A"/>
    <w:rsid w:val="00C14A62"/>
    <w:rsid w:val="00C14A87"/>
    <w:rsid w:val="00C14C55"/>
    <w:rsid w:val="00C14D8F"/>
    <w:rsid w:val="00C14E66"/>
    <w:rsid w:val="00C14E99"/>
    <w:rsid w:val="00C15322"/>
    <w:rsid w:val="00C15766"/>
    <w:rsid w:val="00C158D1"/>
    <w:rsid w:val="00C158EB"/>
    <w:rsid w:val="00C15967"/>
    <w:rsid w:val="00C159B1"/>
    <w:rsid w:val="00C15CE7"/>
    <w:rsid w:val="00C15EAF"/>
    <w:rsid w:val="00C16161"/>
    <w:rsid w:val="00C161B1"/>
    <w:rsid w:val="00C161F5"/>
    <w:rsid w:val="00C16224"/>
    <w:rsid w:val="00C1630A"/>
    <w:rsid w:val="00C16473"/>
    <w:rsid w:val="00C168FB"/>
    <w:rsid w:val="00C16C92"/>
    <w:rsid w:val="00C16CF6"/>
    <w:rsid w:val="00C1706B"/>
    <w:rsid w:val="00C17375"/>
    <w:rsid w:val="00C173B1"/>
    <w:rsid w:val="00C173D9"/>
    <w:rsid w:val="00C17530"/>
    <w:rsid w:val="00C1754B"/>
    <w:rsid w:val="00C17648"/>
    <w:rsid w:val="00C177A9"/>
    <w:rsid w:val="00C17A84"/>
    <w:rsid w:val="00C17ADF"/>
    <w:rsid w:val="00C17DB7"/>
    <w:rsid w:val="00C17E48"/>
    <w:rsid w:val="00C17E81"/>
    <w:rsid w:val="00C17FC3"/>
    <w:rsid w:val="00C17FF5"/>
    <w:rsid w:val="00C201E7"/>
    <w:rsid w:val="00C20382"/>
    <w:rsid w:val="00C20966"/>
    <w:rsid w:val="00C20A60"/>
    <w:rsid w:val="00C20AA2"/>
    <w:rsid w:val="00C20B62"/>
    <w:rsid w:val="00C20B91"/>
    <w:rsid w:val="00C21084"/>
    <w:rsid w:val="00C2112C"/>
    <w:rsid w:val="00C21155"/>
    <w:rsid w:val="00C21180"/>
    <w:rsid w:val="00C21188"/>
    <w:rsid w:val="00C212FF"/>
    <w:rsid w:val="00C2146C"/>
    <w:rsid w:val="00C214D7"/>
    <w:rsid w:val="00C21561"/>
    <w:rsid w:val="00C21676"/>
    <w:rsid w:val="00C2175A"/>
    <w:rsid w:val="00C21763"/>
    <w:rsid w:val="00C217EE"/>
    <w:rsid w:val="00C21CBC"/>
    <w:rsid w:val="00C21CBF"/>
    <w:rsid w:val="00C22784"/>
    <w:rsid w:val="00C227D6"/>
    <w:rsid w:val="00C228A6"/>
    <w:rsid w:val="00C228DA"/>
    <w:rsid w:val="00C232E2"/>
    <w:rsid w:val="00C2337B"/>
    <w:rsid w:val="00C2350A"/>
    <w:rsid w:val="00C2395D"/>
    <w:rsid w:val="00C23A4C"/>
    <w:rsid w:val="00C23D37"/>
    <w:rsid w:val="00C2419D"/>
    <w:rsid w:val="00C243A4"/>
    <w:rsid w:val="00C24416"/>
    <w:rsid w:val="00C2443F"/>
    <w:rsid w:val="00C248DB"/>
    <w:rsid w:val="00C249DB"/>
    <w:rsid w:val="00C24FE4"/>
    <w:rsid w:val="00C25229"/>
    <w:rsid w:val="00C25419"/>
    <w:rsid w:val="00C26170"/>
    <w:rsid w:val="00C261EF"/>
    <w:rsid w:val="00C26B5A"/>
    <w:rsid w:val="00C26D52"/>
    <w:rsid w:val="00C26F21"/>
    <w:rsid w:val="00C276D2"/>
    <w:rsid w:val="00C277DA"/>
    <w:rsid w:val="00C27E95"/>
    <w:rsid w:val="00C30020"/>
    <w:rsid w:val="00C303E4"/>
    <w:rsid w:val="00C3049A"/>
    <w:rsid w:val="00C30775"/>
    <w:rsid w:val="00C30930"/>
    <w:rsid w:val="00C30B8D"/>
    <w:rsid w:val="00C31057"/>
    <w:rsid w:val="00C310BA"/>
    <w:rsid w:val="00C3134E"/>
    <w:rsid w:val="00C314B0"/>
    <w:rsid w:val="00C315D8"/>
    <w:rsid w:val="00C317C4"/>
    <w:rsid w:val="00C318CD"/>
    <w:rsid w:val="00C31BEC"/>
    <w:rsid w:val="00C31C4A"/>
    <w:rsid w:val="00C31D18"/>
    <w:rsid w:val="00C31D2D"/>
    <w:rsid w:val="00C31E32"/>
    <w:rsid w:val="00C31F44"/>
    <w:rsid w:val="00C32639"/>
    <w:rsid w:val="00C329D8"/>
    <w:rsid w:val="00C32AD2"/>
    <w:rsid w:val="00C32B9D"/>
    <w:rsid w:val="00C333F7"/>
    <w:rsid w:val="00C33D0D"/>
    <w:rsid w:val="00C34193"/>
    <w:rsid w:val="00C3429B"/>
    <w:rsid w:val="00C3474D"/>
    <w:rsid w:val="00C347EE"/>
    <w:rsid w:val="00C347FD"/>
    <w:rsid w:val="00C34DAE"/>
    <w:rsid w:val="00C34E1E"/>
    <w:rsid w:val="00C34E5A"/>
    <w:rsid w:val="00C35006"/>
    <w:rsid w:val="00C35172"/>
    <w:rsid w:val="00C355A7"/>
    <w:rsid w:val="00C3582B"/>
    <w:rsid w:val="00C35A4C"/>
    <w:rsid w:val="00C35A84"/>
    <w:rsid w:val="00C35B49"/>
    <w:rsid w:val="00C35B5B"/>
    <w:rsid w:val="00C35E84"/>
    <w:rsid w:val="00C36145"/>
    <w:rsid w:val="00C36219"/>
    <w:rsid w:val="00C368A5"/>
    <w:rsid w:val="00C3698E"/>
    <w:rsid w:val="00C36CCA"/>
    <w:rsid w:val="00C36E1C"/>
    <w:rsid w:val="00C36F42"/>
    <w:rsid w:val="00C37127"/>
    <w:rsid w:val="00C3714C"/>
    <w:rsid w:val="00C3718A"/>
    <w:rsid w:val="00C37446"/>
    <w:rsid w:val="00C377B1"/>
    <w:rsid w:val="00C37969"/>
    <w:rsid w:val="00C379C5"/>
    <w:rsid w:val="00C37E84"/>
    <w:rsid w:val="00C37EEE"/>
    <w:rsid w:val="00C40346"/>
    <w:rsid w:val="00C40453"/>
    <w:rsid w:val="00C40E71"/>
    <w:rsid w:val="00C40EA6"/>
    <w:rsid w:val="00C40F1E"/>
    <w:rsid w:val="00C41352"/>
    <w:rsid w:val="00C4147D"/>
    <w:rsid w:val="00C41879"/>
    <w:rsid w:val="00C41A7C"/>
    <w:rsid w:val="00C41D0C"/>
    <w:rsid w:val="00C42452"/>
    <w:rsid w:val="00C42651"/>
    <w:rsid w:val="00C42694"/>
    <w:rsid w:val="00C42B6B"/>
    <w:rsid w:val="00C42CEF"/>
    <w:rsid w:val="00C42D55"/>
    <w:rsid w:val="00C4302F"/>
    <w:rsid w:val="00C43080"/>
    <w:rsid w:val="00C4315F"/>
    <w:rsid w:val="00C433A7"/>
    <w:rsid w:val="00C43459"/>
    <w:rsid w:val="00C434F1"/>
    <w:rsid w:val="00C435BB"/>
    <w:rsid w:val="00C4370E"/>
    <w:rsid w:val="00C43823"/>
    <w:rsid w:val="00C4384B"/>
    <w:rsid w:val="00C438E9"/>
    <w:rsid w:val="00C4393C"/>
    <w:rsid w:val="00C43C4D"/>
    <w:rsid w:val="00C43F8C"/>
    <w:rsid w:val="00C44021"/>
    <w:rsid w:val="00C44068"/>
    <w:rsid w:val="00C442AE"/>
    <w:rsid w:val="00C4448B"/>
    <w:rsid w:val="00C44838"/>
    <w:rsid w:val="00C44BAE"/>
    <w:rsid w:val="00C44C91"/>
    <w:rsid w:val="00C44D31"/>
    <w:rsid w:val="00C44DFB"/>
    <w:rsid w:val="00C44FAB"/>
    <w:rsid w:val="00C4518B"/>
    <w:rsid w:val="00C4527C"/>
    <w:rsid w:val="00C45687"/>
    <w:rsid w:val="00C45780"/>
    <w:rsid w:val="00C458D6"/>
    <w:rsid w:val="00C46268"/>
    <w:rsid w:val="00C4655A"/>
    <w:rsid w:val="00C466BF"/>
    <w:rsid w:val="00C46A4D"/>
    <w:rsid w:val="00C46CEE"/>
    <w:rsid w:val="00C46FFD"/>
    <w:rsid w:val="00C47020"/>
    <w:rsid w:val="00C470BA"/>
    <w:rsid w:val="00C471AF"/>
    <w:rsid w:val="00C47385"/>
    <w:rsid w:val="00C474D9"/>
    <w:rsid w:val="00C47555"/>
    <w:rsid w:val="00C476AC"/>
    <w:rsid w:val="00C47954"/>
    <w:rsid w:val="00C47AC4"/>
    <w:rsid w:val="00C47C84"/>
    <w:rsid w:val="00C47E67"/>
    <w:rsid w:val="00C47FD9"/>
    <w:rsid w:val="00C502D7"/>
    <w:rsid w:val="00C50387"/>
    <w:rsid w:val="00C5045B"/>
    <w:rsid w:val="00C50498"/>
    <w:rsid w:val="00C5077F"/>
    <w:rsid w:val="00C50C00"/>
    <w:rsid w:val="00C50C1A"/>
    <w:rsid w:val="00C5122B"/>
    <w:rsid w:val="00C51508"/>
    <w:rsid w:val="00C51644"/>
    <w:rsid w:val="00C516A9"/>
    <w:rsid w:val="00C51B57"/>
    <w:rsid w:val="00C51BE5"/>
    <w:rsid w:val="00C51D73"/>
    <w:rsid w:val="00C51D80"/>
    <w:rsid w:val="00C51DEB"/>
    <w:rsid w:val="00C51E23"/>
    <w:rsid w:val="00C52128"/>
    <w:rsid w:val="00C52228"/>
    <w:rsid w:val="00C522BF"/>
    <w:rsid w:val="00C524E0"/>
    <w:rsid w:val="00C52551"/>
    <w:rsid w:val="00C52821"/>
    <w:rsid w:val="00C52989"/>
    <w:rsid w:val="00C529FF"/>
    <w:rsid w:val="00C52A05"/>
    <w:rsid w:val="00C52AC6"/>
    <w:rsid w:val="00C52B40"/>
    <w:rsid w:val="00C52E8A"/>
    <w:rsid w:val="00C52E97"/>
    <w:rsid w:val="00C52EAF"/>
    <w:rsid w:val="00C53189"/>
    <w:rsid w:val="00C53211"/>
    <w:rsid w:val="00C532EC"/>
    <w:rsid w:val="00C534E5"/>
    <w:rsid w:val="00C534F4"/>
    <w:rsid w:val="00C5375B"/>
    <w:rsid w:val="00C53B15"/>
    <w:rsid w:val="00C53B1B"/>
    <w:rsid w:val="00C53B96"/>
    <w:rsid w:val="00C53BCE"/>
    <w:rsid w:val="00C53C33"/>
    <w:rsid w:val="00C53DA9"/>
    <w:rsid w:val="00C53EF7"/>
    <w:rsid w:val="00C54280"/>
    <w:rsid w:val="00C54682"/>
    <w:rsid w:val="00C54836"/>
    <w:rsid w:val="00C54929"/>
    <w:rsid w:val="00C54A07"/>
    <w:rsid w:val="00C54A7D"/>
    <w:rsid w:val="00C55301"/>
    <w:rsid w:val="00C554A3"/>
    <w:rsid w:val="00C5553F"/>
    <w:rsid w:val="00C556B1"/>
    <w:rsid w:val="00C558FF"/>
    <w:rsid w:val="00C55946"/>
    <w:rsid w:val="00C55A05"/>
    <w:rsid w:val="00C55A12"/>
    <w:rsid w:val="00C55AEC"/>
    <w:rsid w:val="00C55D02"/>
    <w:rsid w:val="00C56061"/>
    <w:rsid w:val="00C56101"/>
    <w:rsid w:val="00C563D0"/>
    <w:rsid w:val="00C565F2"/>
    <w:rsid w:val="00C5697B"/>
    <w:rsid w:val="00C56A2D"/>
    <w:rsid w:val="00C56C45"/>
    <w:rsid w:val="00C573CC"/>
    <w:rsid w:val="00C57973"/>
    <w:rsid w:val="00C57B81"/>
    <w:rsid w:val="00C57EC8"/>
    <w:rsid w:val="00C57FB9"/>
    <w:rsid w:val="00C60145"/>
    <w:rsid w:val="00C60296"/>
    <w:rsid w:val="00C6077B"/>
    <w:rsid w:val="00C60950"/>
    <w:rsid w:val="00C609FD"/>
    <w:rsid w:val="00C60B04"/>
    <w:rsid w:val="00C60DD1"/>
    <w:rsid w:val="00C60EB0"/>
    <w:rsid w:val="00C60F78"/>
    <w:rsid w:val="00C61299"/>
    <w:rsid w:val="00C61397"/>
    <w:rsid w:val="00C61565"/>
    <w:rsid w:val="00C61574"/>
    <w:rsid w:val="00C615B4"/>
    <w:rsid w:val="00C616FE"/>
    <w:rsid w:val="00C61765"/>
    <w:rsid w:val="00C61A90"/>
    <w:rsid w:val="00C61C39"/>
    <w:rsid w:val="00C61C7D"/>
    <w:rsid w:val="00C62082"/>
    <w:rsid w:val="00C6211D"/>
    <w:rsid w:val="00C623B0"/>
    <w:rsid w:val="00C6243A"/>
    <w:rsid w:val="00C62470"/>
    <w:rsid w:val="00C625E9"/>
    <w:rsid w:val="00C62923"/>
    <w:rsid w:val="00C62964"/>
    <w:rsid w:val="00C62A67"/>
    <w:rsid w:val="00C62B32"/>
    <w:rsid w:val="00C63029"/>
    <w:rsid w:val="00C637D8"/>
    <w:rsid w:val="00C63941"/>
    <w:rsid w:val="00C63AE8"/>
    <w:rsid w:val="00C63B04"/>
    <w:rsid w:val="00C63DED"/>
    <w:rsid w:val="00C63E88"/>
    <w:rsid w:val="00C641AC"/>
    <w:rsid w:val="00C648E8"/>
    <w:rsid w:val="00C64C66"/>
    <w:rsid w:val="00C64EBE"/>
    <w:rsid w:val="00C64F97"/>
    <w:rsid w:val="00C65585"/>
    <w:rsid w:val="00C656EB"/>
    <w:rsid w:val="00C65A73"/>
    <w:rsid w:val="00C65AB3"/>
    <w:rsid w:val="00C65C5A"/>
    <w:rsid w:val="00C65CD1"/>
    <w:rsid w:val="00C65D7B"/>
    <w:rsid w:val="00C65DF4"/>
    <w:rsid w:val="00C65E99"/>
    <w:rsid w:val="00C660E6"/>
    <w:rsid w:val="00C66380"/>
    <w:rsid w:val="00C6650F"/>
    <w:rsid w:val="00C66D38"/>
    <w:rsid w:val="00C6762C"/>
    <w:rsid w:val="00C67B49"/>
    <w:rsid w:val="00C70942"/>
    <w:rsid w:val="00C70B82"/>
    <w:rsid w:val="00C70D9F"/>
    <w:rsid w:val="00C71099"/>
    <w:rsid w:val="00C711F5"/>
    <w:rsid w:val="00C713A1"/>
    <w:rsid w:val="00C71668"/>
    <w:rsid w:val="00C71828"/>
    <w:rsid w:val="00C7191A"/>
    <w:rsid w:val="00C71B7B"/>
    <w:rsid w:val="00C71DAA"/>
    <w:rsid w:val="00C7205E"/>
    <w:rsid w:val="00C72105"/>
    <w:rsid w:val="00C72267"/>
    <w:rsid w:val="00C7232F"/>
    <w:rsid w:val="00C728D0"/>
    <w:rsid w:val="00C72BCE"/>
    <w:rsid w:val="00C72EC0"/>
    <w:rsid w:val="00C7334F"/>
    <w:rsid w:val="00C7439D"/>
    <w:rsid w:val="00C745F7"/>
    <w:rsid w:val="00C74839"/>
    <w:rsid w:val="00C74919"/>
    <w:rsid w:val="00C74954"/>
    <w:rsid w:val="00C74BFD"/>
    <w:rsid w:val="00C74D4B"/>
    <w:rsid w:val="00C751CC"/>
    <w:rsid w:val="00C7531B"/>
    <w:rsid w:val="00C75847"/>
    <w:rsid w:val="00C7597C"/>
    <w:rsid w:val="00C75DCA"/>
    <w:rsid w:val="00C75E3D"/>
    <w:rsid w:val="00C75E49"/>
    <w:rsid w:val="00C75F90"/>
    <w:rsid w:val="00C76028"/>
    <w:rsid w:val="00C7611F"/>
    <w:rsid w:val="00C76184"/>
    <w:rsid w:val="00C761DB"/>
    <w:rsid w:val="00C7620E"/>
    <w:rsid w:val="00C766FF"/>
    <w:rsid w:val="00C7673D"/>
    <w:rsid w:val="00C76A80"/>
    <w:rsid w:val="00C76B7D"/>
    <w:rsid w:val="00C76C27"/>
    <w:rsid w:val="00C76F07"/>
    <w:rsid w:val="00C76F87"/>
    <w:rsid w:val="00C770AE"/>
    <w:rsid w:val="00C772CA"/>
    <w:rsid w:val="00C7758E"/>
    <w:rsid w:val="00C779CD"/>
    <w:rsid w:val="00C77B2D"/>
    <w:rsid w:val="00C77BA6"/>
    <w:rsid w:val="00C77EF6"/>
    <w:rsid w:val="00C80358"/>
    <w:rsid w:val="00C8058C"/>
    <w:rsid w:val="00C80B4B"/>
    <w:rsid w:val="00C80D63"/>
    <w:rsid w:val="00C8108D"/>
    <w:rsid w:val="00C81167"/>
    <w:rsid w:val="00C812D5"/>
    <w:rsid w:val="00C8158A"/>
    <w:rsid w:val="00C815AF"/>
    <w:rsid w:val="00C81616"/>
    <w:rsid w:val="00C816BA"/>
    <w:rsid w:val="00C818D0"/>
    <w:rsid w:val="00C81BEA"/>
    <w:rsid w:val="00C81DF5"/>
    <w:rsid w:val="00C82188"/>
    <w:rsid w:val="00C8222D"/>
    <w:rsid w:val="00C82413"/>
    <w:rsid w:val="00C8242B"/>
    <w:rsid w:val="00C82713"/>
    <w:rsid w:val="00C8271B"/>
    <w:rsid w:val="00C829FA"/>
    <w:rsid w:val="00C82A50"/>
    <w:rsid w:val="00C82EE4"/>
    <w:rsid w:val="00C83240"/>
    <w:rsid w:val="00C832E7"/>
    <w:rsid w:val="00C83381"/>
    <w:rsid w:val="00C8339F"/>
    <w:rsid w:val="00C8351E"/>
    <w:rsid w:val="00C83580"/>
    <w:rsid w:val="00C83585"/>
    <w:rsid w:val="00C83607"/>
    <w:rsid w:val="00C83768"/>
    <w:rsid w:val="00C83A53"/>
    <w:rsid w:val="00C83B18"/>
    <w:rsid w:val="00C840B2"/>
    <w:rsid w:val="00C840C3"/>
    <w:rsid w:val="00C841B4"/>
    <w:rsid w:val="00C84266"/>
    <w:rsid w:val="00C844C2"/>
    <w:rsid w:val="00C846E7"/>
    <w:rsid w:val="00C8470A"/>
    <w:rsid w:val="00C849E0"/>
    <w:rsid w:val="00C84A38"/>
    <w:rsid w:val="00C84B74"/>
    <w:rsid w:val="00C84DD5"/>
    <w:rsid w:val="00C84E6B"/>
    <w:rsid w:val="00C8512A"/>
    <w:rsid w:val="00C85444"/>
    <w:rsid w:val="00C8560C"/>
    <w:rsid w:val="00C85938"/>
    <w:rsid w:val="00C85970"/>
    <w:rsid w:val="00C85C4A"/>
    <w:rsid w:val="00C85D12"/>
    <w:rsid w:val="00C85E9B"/>
    <w:rsid w:val="00C86234"/>
    <w:rsid w:val="00C86EB5"/>
    <w:rsid w:val="00C874C8"/>
    <w:rsid w:val="00C87AA2"/>
    <w:rsid w:val="00C87AF4"/>
    <w:rsid w:val="00C87BAD"/>
    <w:rsid w:val="00C90165"/>
    <w:rsid w:val="00C90302"/>
    <w:rsid w:val="00C904E1"/>
    <w:rsid w:val="00C904F0"/>
    <w:rsid w:val="00C90700"/>
    <w:rsid w:val="00C90733"/>
    <w:rsid w:val="00C90A3E"/>
    <w:rsid w:val="00C90B36"/>
    <w:rsid w:val="00C90C38"/>
    <w:rsid w:val="00C90DCF"/>
    <w:rsid w:val="00C918EB"/>
    <w:rsid w:val="00C919B3"/>
    <w:rsid w:val="00C91AB3"/>
    <w:rsid w:val="00C91F33"/>
    <w:rsid w:val="00C921C4"/>
    <w:rsid w:val="00C921FA"/>
    <w:rsid w:val="00C9235F"/>
    <w:rsid w:val="00C9257F"/>
    <w:rsid w:val="00C92600"/>
    <w:rsid w:val="00C92888"/>
    <w:rsid w:val="00C93035"/>
    <w:rsid w:val="00C9319C"/>
    <w:rsid w:val="00C9326F"/>
    <w:rsid w:val="00C934F6"/>
    <w:rsid w:val="00C93874"/>
    <w:rsid w:val="00C93A4C"/>
    <w:rsid w:val="00C9448D"/>
    <w:rsid w:val="00C945F0"/>
    <w:rsid w:val="00C9494A"/>
    <w:rsid w:val="00C94FD2"/>
    <w:rsid w:val="00C95027"/>
    <w:rsid w:val="00C95046"/>
    <w:rsid w:val="00C9514C"/>
    <w:rsid w:val="00C95341"/>
    <w:rsid w:val="00C9570D"/>
    <w:rsid w:val="00C95811"/>
    <w:rsid w:val="00C95836"/>
    <w:rsid w:val="00C95987"/>
    <w:rsid w:val="00C95AE3"/>
    <w:rsid w:val="00C95B76"/>
    <w:rsid w:val="00C95BF9"/>
    <w:rsid w:val="00C964C3"/>
    <w:rsid w:val="00C965A4"/>
    <w:rsid w:val="00C965F5"/>
    <w:rsid w:val="00C96635"/>
    <w:rsid w:val="00C966B7"/>
    <w:rsid w:val="00C966ED"/>
    <w:rsid w:val="00C969DB"/>
    <w:rsid w:val="00C96A6F"/>
    <w:rsid w:val="00C96D96"/>
    <w:rsid w:val="00C96E64"/>
    <w:rsid w:val="00C970F6"/>
    <w:rsid w:val="00C9716E"/>
    <w:rsid w:val="00C97A4A"/>
    <w:rsid w:val="00C97BD5"/>
    <w:rsid w:val="00C97DC9"/>
    <w:rsid w:val="00C97EE3"/>
    <w:rsid w:val="00CA00ED"/>
    <w:rsid w:val="00CA0305"/>
    <w:rsid w:val="00CA0705"/>
    <w:rsid w:val="00CA085D"/>
    <w:rsid w:val="00CA0953"/>
    <w:rsid w:val="00CA0A87"/>
    <w:rsid w:val="00CA12BA"/>
    <w:rsid w:val="00CA165C"/>
    <w:rsid w:val="00CA1C0D"/>
    <w:rsid w:val="00CA1C60"/>
    <w:rsid w:val="00CA1D3E"/>
    <w:rsid w:val="00CA1DAE"/>
    <w:rsid w:val="00CA2267"/>
    <w:rsid w:val="00CA25CF"/>
    <w:rsid w:val="00CA2714"/>
    <w:rsid w:val="00CA280C"/>
    <w:rsid w:val="00CA2AB6"/>
    <w:rsid w:val="00CA2E0B"/>
    <w:rsid w:val="00CA2F19"/>
    <w:rsid w:val="00CA2FB0"/>
    <w:rsid w:val="00CA30DE"/>
    <w:rsid w:val="00CA38AD"/>
    <w:rsid w:val="00CA3BE1"/>
    <w:rsid w:val="00CA413F"/>
    <w:rsid w:val="00CA43AB"/>
    <w:rsid w:val="00CA477E"/>
    <w:rsid w:val="00CA5083"/>
    <w:rsid w:val="00CA5098"/>
    <w:rsid w:val="00CA5503"/>
    <w:rsid w:val="00CA55C3"/>
    <w:rsid w:val="00CA57DC"/>
    <w:rsid w:val="00CA58FC"/>
    <w:rsid w:val="00CA59B1"/>
    <w:rsid w:val="00CA5A38"/>
    <w:rsid w:val="00CA5DC8"/>
    <w:rsid w:val="00CA5E6F"/>
    <w:rsid w:val="00CA5EEF"/>
    <w:rsid w:val="00CA64F6"/>
    <w:rsid w:val="00CA65B3"/>
    <w:rsid w:val="00CA6620"/>
    <w:rsid w:val="00CA66C3"/>
    <w:rsid w:val="00CA68C0"/>
    <w:rsid w:val="00CA6BAC"/>
    <w:rsid w:val="00CA6CAD"/>
    <w:rsid w:val="00CA70A8"/>
    <w:rsid w:val="00CA70D0"/>
    <w:rsid w:val="00CA7228"/>
    <w:rsid w:val="00CA749C"/>
    <w:rsid w:val="00CA74A4"/>
    <w:rsid w:val="00CA7683"/>
    <w:rsid w:val="00CA7C15"/>
    <w:rsid w:val="00CA7EA1"/>
    <w:rsid w:val="00CA7EEB"/>
    <w:rsid w:val="00CB009B"/>
    <w:rsid w:val="00CB0231"/>
    <w:rsid w:val="00CB04BE"/>
    <w:rsid w:val="00CB0813"/>
    <w:rsid w:val="00CB0838"/>
    <w:rsid w:val="00CB0ACA"/>
    <w:rsid w:val="00CB0CA1"/>
    <w:rsid w:val="00CB0DA9"/>
    <w:rsid w:val="00CB1112"/>
    <w:rsid w:val="00CB1242"/>
    <w:rsid w:val="00CB12A9"/>
    <w:rsid w:val="00CB1670"/>
    <w:rsid w:val="00CB1AFD"/>
    <w:rsid w:val="00CB1B7C"/>
    <w:rsid w:val="00CB1D64"/>
    <w:rsid w:val="00CB1E7F"/>
    <w:rsid w:val="00CB1EB3"/>
    <w:rsid w:val="00CB2126"/>
    <w:rsid w:val="00CB213C"/>
    <w:rsid w:val="00CB2451"/>
    <w:rsid w:val="00CB248E"/>
    <w:rsid w:val="00CB24AD"/>
    <w:rsid w:val="00CB26D5"/>
    <w:rsid w:val="00CB296F"/>
    <w:rsid w:val="00CB2C59"/>
    <w:rsid w:val="00CB2D9C"/>
    <w:rsid w:val="00CB33D6"/>
    <w:rsid w:val="00CB34AB"/>
    <w:rsid w:val="00CB3501"/>
    <w:rsid w:val="00CB3529"/>
    <w:rsid w:val="00CB3562"/>
    <w:rsid w:val="00CB372F"/>
    <w:rsid w:val="00CB38A9"/>
    <w:rsid w:val="00CB3A44"/>
    <w:rsid w:val="00CB3C0A"/>
    <w:rsid w:val="00CB3C65"/>
    <w:rsid w:val="00CB3F5F"/>
    <w:rsid w:val="00CB4728"/>
    <w:rsid w:val="00CB472E"/>
    <w:rsid w:val="00CB4994"/>
    <w:rsid w:val="00CB4AF7"/>
    <w:rsid w:val="00CB4C0B"/>
    <w:rsid w:val="00CB523B"/>
    <w:rsid w:val="00CB556C"/>
    <w:rsid w:val="00CB587C"/>
    <w:rsid w:val="00CB59E7"/>
    <w:rsid w:val="00CB5CD6"/>
    <w:rsid w:val="00CB5E4A"/>
    <w:rsid w:val="00CB5F86"/>
    <w:rsid w:val="00CB5FAF"/>
    <w:rsid w:val="00CB6150"/>
    <w:rsid w:val="00CB6546"/>
    <w:rsid w:val="00CB668A"/>
    <w:rsid w:val="00CB6791"/>
    <w:rsid w:val="00CB6976"/>
    <w:rsid w:val="00CB6988"/>
    <w:rsid w:val="00CB6FCA"/>
    <w:rsid w:val="00CB7041"/>
    <w:rsid w:val="00CB719B"/>
    <w:rsid w:val="00CB71B1"/>
    <w:rsid w:val="00CB71CB"/>
    <w:rsid w:val="00CB7211"/>
    <w:rsid w:val="00CB724D"/>
    <w:rsid w:val="00CB73EA"/>
    <w:rsid w:val="00CB7608"/>
    <w:rsid w:val="00CB7D4E"/>
    <w:rsid w:val="00CB7E2D"/>
    <w:rsid w:val="00CB7F49"/>
    <w:rsid w:val="00CC002B"/>
    <w:rsid w:val="00CC01CC"/>
    <w:rsid w:val="00CC0386"/>
    <w:rsid w:val="00CC07E5"/>
    <w:rsid w:val="00CC09F0"/>
    <w:rsid w:val="00CC0C11"/>
    <w:rsid w:val="00CC0EFE"/>
    <w:rsid w:val="00CC15B5"/>
    <w:rsid w:val="00CC1671"/>
    <w:rsid w:val="00CC1B03"/>
    <w:rsid w:val="00CC1EC3"/>
    <w:rsid w:val="00CC1F52"/>
    <w:rsid w:val="00CC2072"/>
    <w:rsid w:val="00CC233F"/>
    <w:rsid w:val="00CC2412"/>
    <w:rsid w:val="00CC2755"/>
    <w:rsid w:val="00CC27FD"/>
    <w:rsid w:val="00CC2AAF"/>
    <w:rsid w:val="00CC2CAA"/>
    <w:rsid w:val="00CC2E7E"/>
    <w:rsid w:val="00CC3073"/>
    <w:rsid w:val="00CC31E8"/>
    <w:rsid w:val="00CC33C6"/>
    <w:rsid w:val="00CC3686"/>
    <w:rsid w:val="00CC3A6F"/>
    <w:rsid w:val="00CC3AB9"/>
    <w:rsid w:val="00CC3C9E"/>
    <w:rsid w:val="00CC3E13"/>
    <w:rsid w:val="00CC3FAB"/>
    <w:rsid w:val="00CC410E"/>
    <w:rsid w:val="00CC45E0"/>
    <w:rsid w:val="00CC46C0"/>
    <w:rsid w:val="00CC4BBE"/>
    <w:rsid w:val="00CC4BC3"/>
    <w:rsid w:val="00CC4C84"/>
    <w:rsid w:val="00CC4D77"/>
    <w:rsid w:val="00CC4E3E"/>
    <w:rsid w:val="00CC4EBB"/>
    <w:rsid w:val="00CC4F43"/>
    <w:rsid w:val="00CC502F"/>
    <w:rsid w:val="00CC5045"/>
    <w:rsid w:val="00CC50C7"/>
    <w:rsid w:val="00CC5218"/>
    <w:rsid w:val="00CC5583"/>
    <w:rsid w:val="00CC55AC"/>
    <w:rsid w:val="00CC5859"/>
    <w:rsid w:val="00CC5C37"/>
    <w:rsid w:val="00CC5CC8"/>
    <w:rsid w:val="00CC6159"/>
    <w:rsid w:val="00CC623F"/>
    <w:rsid w:val="00CC6595"/>
    <w:rsid w:val="00CC65A8"/>
    <w:rsid w:val="00CC6686"/>
    <w:rsid w:val="00CC6761"/>
    <w:rsid w:val="00CC6825"/>
    <w:rsid w:val="00CC6F48"/>
    <w:rsid w:val="00CC6FF2"/>
    <w:rsid w:val="00CC7012"/>
    <w:rsid w:val="00CC7061"/>
    <w:rsid w:val="00CC71F3"/>
    <w:rsid w:val="00CC72C0"/>
    <w:rsid w:val="00CC72FD"/>
    <w:rsid w:val="00CC736F"/>
    <w:rsid w:val="00CC73ED"/>
    <w:rsid w:val="00CC757D"/>
    <w:rsid w:val="00CC7A5C"/>
    <w:rsid w:val="00CC7C74"/>
    <w:rsid w:val="00CD00DB"/>
    <w:rsid w:val="00CD0119"/>
    <w:rsid w:val="00CD07FD"/>
    <w:rsid w:val="00CD0866"/>
    <w:rsid w:val="00CD0B84"/>
    <w:rsid w:val="00CD0FCB"/>
    <w:rsid w:val="00CD0FEE"/>
    <w:rsid w:val="00CD1169"/>
    <w:rsid w:val="00CD118C"/>
    <w:rsid w:val="00CD121F"/>
    <w:rsid w:val="00CD1299"/>
    <w:rsid w:val="00CD14A2"/>
    <w:rsid w:val="00CD16C7"/>
    <w:rsid w:val="00CD182B"/>
    <w:rsid w:val="00CD1A40"/>
    <w:rsid w:val="00CD1B33"/>
    <w:rsid w:val="00CD1C70"/>
    <w:rsid w:val="00CD1F5A"/>
    <w:rsid w:val="00CD25E4"/>
    <w:rsid w:val="00CD25F3"/>
    <w:rsid w:val="00CD27FF"/>
    <w:rsid w:val="00CD2BB8"/>
    <w:rsid w:val="00CD2BDD"/>
    <w:rsid w:val="00CD2C48"/>
    <w:rsid w:val="00CD2CFA"/>
    <w:rsid w:val="00CD305C"/>
    <w:rsid w:val="00CD31AC"/>
    <w:rsid w:val="00CD3256"/>
    <w:rsid w:val="00CD35E6"/>
    <w:rsid w:val="00CD38D8"/>
    <w:rsid w:val="00CD3A6D"/>
    <w:rsid w:val="00CD3E1B"/>
    <w:rsid w:val="00CD3E5A"/>
    <w:rsid w:val="00CD3E63"/>
    <w:rsid w:val="00CD40A3"/>
    <w:rsid w:val="00CD4323"/>
    <w:rsid w:val="00CD4ACE"/>
    <w:rsid w:val="00CD4B54"/>
    <w:rsid w:val="00CD4B90"/>
    <w:rsid w:val="00CD4CD3"/>
    <w:rsid w:val="00CD510F"/>
    <w:rsid w:val="00CD5179"/>
    <w:rsid w:val="00CD51D2"/>
    <w:rsid w:val="00CD578C"/>
    <w:rsid w:val="00CD589F"/>
    <w:rsid w:val="00CD5F91"/>
    <w:rsid w:val="00CD60C9"/>
    <w:rsid w:val="00CD6345"/>
    <w:rsid w:val="00CD656D"/>
    <w:rsid w:val="00CD6A1E"/>
    <w:rsid w:val="00CD6BBB"/>
    <w:rsid w:val="00CD6C19"/>
    <w:rsid w:val="00CD6E47"/>
    <w:rsid w:val="00CD744D"/>
    <w:rsid w:val="00CD7482"/>
    <w:rsid w:val="00CD7635"/>
    <w:rsid w:val="00CD7DF5"/>
    <w:rsid w:val="00CE03D8"/>
    <w:rsid w:val="00CE052A"/>
    <w:rsid w:val="00CE0700"/>
    <w:rsid w:val="00CE07C1"/>
    <w:rsid w:val="00CE0926"/>
    <w:rsid w:val="00CE0E5B"/>
    <w:rsid w:val="00CE12EF"/>
    <w:rsid w:val="00CE1567"/>
    <w:rsid w:val="00CE166F"/>
    <w:rsid w:val="00CE1743"/>
    <w:rsid w:val="00CE186F"/>
    <w:rsid w:val="00CE1BC4"/>
    <w:rsid w:val="00CE1C09"/>
    <w:rsid w:val="00CE1D82"/>
    <w:rsid w:val="00CE1F38"/>
    <w:rsid w:val="00CE202E"/>
    <w:rsid w:val="00CE20E3"/>
    <w:rsid w:val="00CE24B7"/>
    <w:rsid w:val="00CE273A"/>
    <w:rsid w:val="00CE28DF"/>
    <w:rsid w:val="00CE2C8C"/>
    <w:rsid w:val="00CE321C"/>
    <w:rsid w:val="00CE3261"/>
    <w:rsid w:val="00CE32E8"/>
    <w:rsid w:val="00CE3319"/>
    <w:rsid w:val="00CE3700"/>
    <w:rsid w:val="00CE3B69"/>
    <w:rsid w:val="00CE3B77"/>
    <w:rsid w:val="00CE4042"/>
    <w:rsid w:val="00CE406D"/>
    <w:rsid w:val="00CE44C5"/>
    <w:rsid w:val="00CE4559"/>
    <w:rsid w:val="00CE4903"/>
    <w:rsid w:val="00CE4A1E"/>
    <w:rsid w:val="00CE4BA6"/>
    <w:rsid w:val="00CE5118"/>
    <w:rsid w:val="00CE53EF"/>
    <w:rsid w:val="00CE5487"/>
    <w:rsid w:val="00CE569B"/>
    <w:rsid w:val="00CE575E"/>
    <w:rsid w:val="00CE585E"/>
    <w:rsid w:val="00CE58E0"/>
    <w:rsid w:val="00CE59B5"/>
    <w:rsid w:val="00CE59DB"/>
    <w:rsid w:val="00CE5D3A"/>
    <w:rsid w:val="00CE5DFA"/>
    <w:rsid w:val="00CE6377"/>
    <w:rsid w:val="00CE6588"/>
    <w:rsid w:val="00CE6641"/>
    <w:rsid w:val="00CE6CEB"/>
    <w:rsid w:val="00CE7381"/>
    <w:rsid w:val="00CE73F8"/>
    <w:rsid w:val="00CE7447"/>
    <w:rsid w:val="00CE74CE"/>
    <w:rsid w:val="00CE799B"/>
    <w:rsid w:val="00CE7B47"/>
    <w:rsid w:val="00CE7F36"/>
    <w:rsid w:val="00CF079D"/>
    <w:rsid w:val="00CF0829"/>
    <w:rsid w:val="00CF0AB1"/>
    <w:rsid w:val="00CF0E74"/>
    <w:rsid w:val="00CF11C5"/>
    <w:rsid w:val="00CF130E"/>
    <w:rsid w:val="00CF1833"/>
    <w:rsid w:val="00CF1AEA"/>
    <w:rsid w:val="00CF1B4F"/>
    <w:rsid w:val="00CF1BF3"/>
    <w:rsid w:val="00CF1C8C"/>
    <w:rsid w:val="00CF1D6B"/>
    <w:rsid w:val="00CF2091"/>
    <w:rsid w:val="00CF2130"/>
    <w:rsid w:val="00CF21F6"/>
    <w:rsid w:val="00CF2278"/>
    <w:rsid w:val="00CF2916"/>
    <w:rsid w:val="00CF2A08"/>
    <w:rsid w:val="00CF2A4F"/>
    <w:rsid w:val="00CF2BBB"/>
    <w:rsid w:val="00CF2C62"/>
    <w:rsid w:val="00CF2F66"/>
    <w:rsid w:val="00CF337B"/>
    <w:rsid w:val="00CF348B"/>
    <w:rsid w:val="00CF348E"/>
    <w:rsid w:val="00CF3D76"/>
    <w:rsid w:val="00CF3FE7"/>
    <w:rsid w:val="00CF4059"/>
    <w:rsid w:val="00CF41B0"/>
    <w:rsid w:val="00CF4206"/>
    <w:rsid w:val="00CF4416"/>
    <w:rsid w:val="00CF4A50"/>
    <w:rsid w:val="00CF5035"/>
    <w:rsid w:val="00CF5466"/>
    <w:rsid w:val="00CF5762"/>
    <w:rsid w:val="00CF5C33"/>
    <w:rsid w:val="00CF5CAA"/>
    <w:rsid w:val="00CF5D0C"/>
    <w:rsid w:val="00CF5E3A"/>
    <w:rsid w:val="00CF5FF9"/>
    <w:rsid w:val="00CF6146"/>
    <w:rsid w:val="00CF6545"/>
    <w:rsid w:val="00CF65B4"/>
    <w:rsid w:val="00CF6846"/>
    <w:rsid w:val="00CF69B0"/>
    <w:rsid w:val="00CF6BD8"/>
    <w:rsid w:val="00CF6C05"/>
    <w:rsid w:val="00CF724C"/>
    <w:rsid w:val="00CF7485"/>
    <w:rsid w:val="00CF77B0"/>
    <w:rsid w:val="00CF793F"/>
    <w:rsid w:val="00CF7E56"/>
    <w:rsid w:val="00D0097A"/>
    <w:rsid w:val="00D00A78"/>
    <w:rsid w:val="00D00C0C"/>
    <w:rsid w:val="00D00D15"/>
    <w:rsid w:val="00D00E33"/>
    <w:rsid w:val="00D0139C"/>
    <w:rsid w:val="00D015F9"/>
    <w:rsid w:val="00D016BA"/>
    <w:rsid w:val="00D016F4"/>
    <w:rsid w:val="00D01744"/>
    <w:rsid w:val="00D01928"/>
    <w:rsid w:val="00D01AC9"/>
    <w:rsid w:val="00D025CE"/>
    <w:rsid w:val="00D026DF"/>
    <w:rsid w:val="00D027CE"/>
    <w:rsid w:val="00D02A0F"/>
    <w:rsid w:val="00D02DF3"/>
    <w:rsid w:val="00D02E58"/>
    <w:rsid w:val="00D02FB3"/>
    <w:rsid w:val="00D03181"/>
    <w:rsid w:val="00D037DC"/>
    <w:rsid w:val="00D0383B"/>
    <w:rsid w:val="00D03A8A"/>
    <w:rsid w:val="00D03B23"/>
    <w:rsid w:val="00D03D35"/>
    <w:rsid w:val="00D03D71"/>
    <w:rsid w:val="00D03DA4"/>
    <w:rsid w:val="00D03DA5"/>
    <w:rsid w:val="00D03F27"/>
    <w:rsid w:val="00D03F7E"/>
    <w:rsid w:val="00D043B7"/>
    <w:rsid w:val="00D043EE"/>
    <w:rsid w:val="00D0470D"/>
    <w:rsid w:val="00D04716"/>
    <w:rsid w:val="00D0478F"/>
    <w:rsid w:val="00D04CC8"/>
    <w:rsid w:val="00D05249"/>
    <w:rsid w:val="00D05455"/>
    <w:rsid w:val="00D055CA"/>
    <w:rsid w:val="00D059FC"/>
    <w:rsid w:val="00D05D8E"/>
    <w:rsid w:val="00D05DEF"/>
    <w:rsid w:val="00D063E4"/>
    <w:rsid w:val="00D0654F"/>
    <w:rsid w:val="00D0674B"/>
    <w:rsid w:val="00D067FE"/>
    <w:rsid w:val="00D06861"/>
    <w:rsid w:val="00D0688A"/>
    <w:rsid w:val="00D06F22"/>
    <w:rsid w:val="00D0715C"/>
    <w:rsid w:val="00D0724C"/>
    <w:rsid w:val="00D07316"/>
    <w:rsid w:val="00D07A9C"/>
    <w:rsid w:val="00D07E5E"/>
    <w:rsid w:val="00D10053"/>
    <w:rsid w:val="00D10076"/>
    <w:rsid w:val="00D1033B"/>
    <w:rsid w:val="00D10477"/>
    <w:rsid w:val="00D10508"/>
    <w:rsid w:val="00D107E2"/>
    <w:rsid w:val="00D10852"/>
    <w:rsid w:val="00D10BDC"/>
    <w:rsid w:val="00D10FEC"/>
    <w:rsid w:val="00D11931"/>
    <w:rsid w:val="00D11977"/>
    <w:rsid w:val="00D11AAE"/>
    <w:rsid w:val="00D11D76"/>
    <w:rsid w:val="00D11E70"/>
    <w:rsid w:val="00D11E73"/>
    <w:rsid w:val="00D121F5"/>
    <w:rsid w:val="00D126E4"/>
    <w:rsid w:val="00D1312D"/>
    <w:rsid w:val="00D131BF"/>
    <w:rsid w:val="00D132EB"/>
    <w:rsid w:val="00D134CD"/>
    <w:rsid w:val="00D1375B"/>
    <w:rsid w:val="00D13DE1"/>
    <w:rsid w:val="00D140E6"/>
    <w:rsid w:val="00D1415C"/>
    <w:rsid w:val="00D14793"/>
    <w:rsid w:val="00D14F18"/>
    <w:rsid w:val="00D151E5"/>
    <w:rsid w:val="00D1557E"/>
    <w:rsid w:val="00D15720"/>
    <w:rsid w:val="00D158EF"/>
    <w:rsid w:val="00D15A3F"/>
    <w:rsid w:val="00D15C14"/>
    <w:rsid w:val="00D15E74"/>
    <w:rsid w:val="00D15E9D"/>
    <w:rsid w:val="00D15E9F"/>
    <w:rsid w:val="00D15FAA"/>
    <w:rsid w:val="00D15FE1"/>
    <w:rsid w:val="00D16261"/>
    <w:rsid w:val="00D1677C"/>
    <w:rsid w:val="00D16929"/>
    <w:rsid w:val="00D169AC"/>
    <w:rsid w:val="00D169EA"/>
    <w:rsid w:val="00D16B54"/>
    <w:rsid w:val="00D16CC3"/>
    <w:rsid w:val="00D16CDF"/>
    <w:rsid w:val="00D16D2A"/>
    <w:rsid w:val="00D16ECB"/>
    <w:rsid w:val="00D16EEE"/>
    <w:rsid w:val="00D17167"/>
    <w:rsid w:val="00D1794C"/>
    <w:rsid w:val="00D17B83"/>
    <w:rsid w:val="00D17BA5"/>
    <w:rsid w:val="00D17D86"/>
    <w:rsid w:val="00D17D8D"/>
    <w:rsid w:val="00D17EC9"/>
    <w:rsid w:val="00D201CE"/>
    <w:rsid w:val="00D201FF"/>
    <w:rsid w:val="00D2058D"/>
    <w:rsid w:val="00D2062C"/>
    <w:rsid w:val="00D20782"/>
    <w:rsid w:val="00D20BD0"/>
    <w:rsid w:val="00D20EBB"/>
    <w:rsid w:val="00D21479"/>
    <w:rsid w:val="00D21550"/>
    <w:rsid w:val="00D21620"/>
    <w:rsid w:val="00D21628"/>
    <w:rsid w:val="00D2176E"/>
    <w:rsid w:val="00D2182A"/>
    <w:rsid w:val="00D219FD"/>
    <w:rsid w:val="00D21AD0"/>
    <w:rsid w:val="00D220A7"/>
    <w:rsid w:val="00D22105"/>
    <w:rsid w:val="00D2211C"/>
    <w:rsid w:val="00D2240B"/>
    <w:rsid w:val="00D224C7"/>
    <w:rsid w:val="00D22716"/>
    <w:rsid w:val="00D22819"/>
    <w:rsid w:val="00D228A9"/>
    <w:rsid w:val="00D22945"/>
    <w:rsid w:val="00D22B55"/>
    <w:rsid w:val="00D22C64"/>
    <w:rsid w:val="00D22DA2"/>
    <w:rsid w:val="00D22E15"/>
    <w:rsid w:val="00D23055"/>
    <w:rsid w:val="00D230AD"/>
    <w:rsid w:val="00D23361"/>
    <w:rsid w:val="00D23443"/>
    <w:rsid w:val="00D2355B"/>
    <w:rsid w:val="00D236DD"/>
    <w:rsid w:val="00D23763"/>
    <w:rsid w:val="00D23AA6"/>
    <w:rsid w:val="00D23FE3"/>
    <w:rsid w:val="00D240CC"/>
    <w:rsid w:val="00D24192"/>
    <w:rsid w:val="00D24745"/>
    <w:rsid w:val="00D24F81"/>
    <w:rsid w:val="00D251AB"/>
    <w:rsid w:val="00D2575E"/>
    <w:rsid w:val="00D25923"/>
    <w:rsid w:val="00D25AC6"/>
    <w:rsid w:val="00D25F92"/>
    <w:rsid w:val="00D261D3"/>
    <w:rsid w:val="00D2622A"/>
    <w:rsid w:val="00D26698"/>
    <w:rsid w:val="00D26C0A"/>
    <w:rsid w:val="00D26DD4"/>
    <w:rsid w:val="00D2747E"/>
    <w:rsid w:val="00D27B3C"/>
    <w:rsid w:val="00D27C05"/>
    <w:rsid w:val="00D27C06"/>
    <w:rsid w:val="00D27D84"/>
    <w:rsid w:val="00D27E67"/>
    <w:rsid w:val="00D3005A"/>
    <w:rsid w:val="00D303A5"/>
    <w:rsid w:val="00D3051A"/>
    <w:rsid w:val="00D305CB"/>
    <w:rsid w:val="00D306D5"/>
    <w:rsid w:val="00D30952"/>
    <w:rsid w:val="00D30AF2"/>
    <w:rsid w:val="00D310DF"/>
    <w:rsid w:val="00D31255"/>
    <w:rsid w:val="00D31486"/>
    <w:rsid w:val="00D3153B"/>
    <w:rsid w:val="00D315F7"/>
    <w:rsid w:val="00D31905"/>
    <w:rsid w:val="00D319DF"/>
    <w:rsid w:val="00D31F58"/>
    <w:rsid w:val="00D3225E"/>
    <w:rsid w:val="00D32397"/>
    <w:rsid w:val="00D32433"/>
    <w:rsid w:val="00D324BC"/>
    <w:rsid w:val="00D329F0"/>
    <w:rsid w:val="00D3303D"/>
    <w:rsid w:val="00D334F2"/>
    <w:rsid w:val="00D33565"/>
    <w:rsid w:val="00D33741"/>
    <w:rsid w:val="00D33762"/>
    <w:rsid w:val="00D33784"/>
    <w:rsid w:val="00D33807"/>
    <w:rsid w:val="00D33E71"/>
    <w:rsid w:val="00D34025"/>
    <w:rsid w:val="00D3413A"/>
    <w:rsid w:val="00D341F6"/>
    <w:rsid w:val="00D34357"/>
    <w:rsid w:val="00D345E1"/>
    <w:rsid w:val="00D3488B"/>
    <w:rsid w:val="00D34AED"/>
    <w:rsid w:val="00D34B86"/>
    <w:rsid w:val="00D34BD1"/>
    <w:rsid w:val="00D34F04"/>
    <w:rsid w:val="00D35177"/>
    <w:rsid w:val="00D354D5"/>
    <w:rsid w:val="00D356E1"/>
    <w:rsid w:val="00D35F08"/>
    <w:rsid w:val="00D35FB8"/>
    <w:rsid w:val="00D365D2"/>
    <w:rsid w:val="00D36772"/>
    <w:rsid w:val="00D3678C"/>
    <w:rsid w:val="00D3696F"/>
    <w:rsid w:val="00D36A34"/>
    <w:rsid w:val="00D36F58"/>
    <w:rsid w:val="00D37006"/>
    <w:rsid w:val="00D3765A"/>
    <w:rsid w:val="00D37770"/>
    <w:rsid w:val="00D3785B"/>
    <w:rsid w:val="00D378EC"/>
    <w:rsid w:val="00D37DDB"/>
    <w:rsid w:val="00D400AA"/>
    <w:rsid w:val="00D40609"/>
    <w:rsid w:val="00D40983"/>
    <w:rsid w:val="00D409CE"/>
    <w:rsid w:val="00D40E5F"/>
    <w:rsid w:val="00D41188"/>
    <w:rsid w:val="00D4144B"/>
    <w:rsid w:val="00D41616"/>
    <w:rsid w:val="00D4165D"/>
    <w:rsid w:val="00D417D3"/>
    <w:rsid w:val="00D418D5"/>
    <w:rsid w:val="00D41A6B"/>
    <w:rsid w:val="00D41B4C"/>
    <w:rsid w:val="00D41CE3"/>
    <w:rsid w:val="00D41DB1"/>
    <w:rsid w:val="00D42045"/>
    <w:rsid w:val="00D420C9"/>
    <w:rsid w:val="00D42166"/>
    <w:rsid w:val="00D42227"/>
    <w:rsid w:val="00D4276D"/>
    <w:rsid w:val="00D42798"/>
    <w:rsid w:val="00D428E8"/>
    <w:rsid w:val="00D42970"/>
    <w:rsid w:val="00D42C02"/>
    <w:rsid w:val="00D43039"/>
    <w:rsid w:val="00D4317D"/>
    <w:rsid w:val="00D43492"/>
    <w:rsid w:val="00D43551"/>
    <w:rsid w:val="00D4364E"/>
    <w:rsid w:val="00D438A3"/>
    <w:rsid w:val="00D43A39"/>
    <w:rsid w:val="00D43AED"/>
    <w:rsid w:val="00D43F46"/>
    <w:rsid w:val="00D43FF9"/>
    <w:rsid w:val="00D445AF"/>
    <w:rsid w:val="00D44916"/>
    <w:rsid w:val="00D451C6"/>
    <w:rsid w:val="00D4533D"/>
    <w:rsid w:val="00D4582E"/>
    <w:rsid w:val="00D458CA"/>
    <w:rsid w:val="00D45935"/>
    <w:rsid w:val="00D45CA4"/>
    <w:rsid w:val="00D45EA7"/>
    <w:rsid w:val="00D45F22"/>
    <w:rsid w:val="00D45F50"/>
    <w:rsid w:val="00D45FAD"/>
    <w:rsid w:val="00D46111"/>
    <w:rsid w:val="00D461DD"/>
    <w:rsid w:val="00D46408"/>
    <w:rsid w:val="00D46485"/>
    <w:rsid w:val="00D464FD"/>
    <w:rsid w:val="00D4695C"/>
    <w:rsid w:val="00D46E42"/>
    <w:rsid w:val="00D47178"/>
    <w:rsid w:val="00D4752E"/>
    <w:rsid w:val="00D47842"/>
    <w:rsid w:val="00D478A8"/>
    <w:rsid w:val="00D47BEF"/>
    <w:rsid w:val="00D5027C"/>
    <w:rsid w:val="00D50310"/>
    <w:rsid w:val="00D505E1"/>
    <w:rsid w:val="00D5065B"/>
    <w:rsid w:val="00D50826"/>
    <w:rsid w:val="00D509C5"/>
    <w:rsid w:val="00D50A4A"/>
    <w:rsid w:val="00D50CBD"/>
    <w:rsid w:val="00D51239"/>
    <w:rsid w:val="00D515E8"/>
    <w:rsid w:val="00D51675"/>
    <w:rsid w:val="00D51691"/>
    <w:rsid w:val="00D51800"/>
    <w:rsid w:val="00D51A75"/>
    <w:rsid w:val="00D51D39"/>
    <w:rsid w:val="00D51F73"/>
    <w:rsid w:val="00D521A1"/>
    <w:rsid w:val="00D5223D"/>
    <w:rsid w:val="00D523BA"/>
    <w:rsid w:val="00D5257B"/>
    <w:rsid w:val="00D52747"/>
    <w:rsid w:val="00D52827"/>
    <w:rsid w:val="00D529BE"/>
    <w:rsid w:val="00D52B0E"/>
    <w:rsid w:val="00D52CF6"/>
    <w:rsid w:val="00D53198"/>
    <w:rsid w:val="00D5322E"/>
    <w:rsid w:val="00D532DC"/>
    <w:rsid w:val="00D53310"/>
    <w:rsid w:val="00D53593"/>
    <w:rsid w:val="00D538B8"/>
    <w:rsid w:val="00D53B19"/>
    <w:rsid w:val="00D53C1E"/>
    <w:rsid w:val="00D53D3E"/>
    <w:rsid w:val="00D53F7B"/>
    <w:rsid w:val="00D540DC"/>
    <w:rsid w:val="00D542D1"/>
    <w:rsid w:val="00D54300"/>
    <w:rsid w:val="00D54393"/>
    <w:rsid w:val="00D54710"/>
    <w:rsid w:val="00D547E0"/>
    <w:rsid w:val="00D5495D"/>
    <w:rsid w:val="00D54992"/>
    <w:rsid w:val="00D54BF4"/>
    <w:rsid w:val="00D551A4"/>
    <w:rsid w:val="00D55291"/>
    <w:rsid w:val="00D5537A"/>
    <w:rsid w:val="00D55A8F"/>
    <w:rsid w:val="00D55C48"/>
    <w:rsid w:val="00D55E47"/>
    <w:rsid w:val="00D5602A"/>
    <w:rsid w:val="00D560FA"/>
    <w:rsid w:val="00D565C6"/>
    <w:rsid w:val="00D568A3"/>
    <w:rsid w:val="00D56997"/>
    <w:rsid w:val="00D56CB5"/>
    <w:rsid w:val="00D570E6"/>
    <w:rsid w:val="00D5730F"/>
    <w:rsid w:val="00D5774F"/>
    <w:rsid w:val="00D578A0"/>
    <w:rsid w:val="00D578B1"/>
    <w:rsid w:val="00D57945"/>
    <w:rsid w:val="00D57A52"/>
    <w:rsid w:val="00D57E84"/>
    <w:rsid w:val="00D57FDF"/>
    <w:rsid w:val="00D60809"/>
    <w:rsid w:val="00D608A4"/>
    <w:rsid w:val="00D60C15"/>
    <w:rsid w:val="00D60D3A"/>
    <w:rsid w:val="00D60D57"/>
    <w:rsid w:val="00D60D7F"/>
    <w:rsid w:val="00D60DF8"/>
    <w:rsid w:val="00D61797"/>
    <w:rsid w:val="00D61816"/>
    <w:rsid w:val="00D6186E"/>
    <w:rsid w:val="00D61899"/>
    <w:rsid w:val="00D61C9C"/>
    <w:rsid w:val="00D61D86"/>
    <w:rsid w:val="00D62111"/>
    <w:rsid w:val="00D62229"/>
    <w:rsid w:val="00D625B8"/>
    <w:rsid w:val="00D62648"/>
    <w:rsid w:val="00D626F8"/>
    <w:rsid w:val="00D62F5E"/>
    <w:rsid w:val="00D634CD"/>
    <w:rsid w:val="00D6366C"/>
    <w:rsid w:val="00D636DC"/>
    <w:rsid w:val="00D637BE"/>
    <w:rsid w:val="00D63941"/>
    <w:rsid w:val="00D63D55"/>
    <w:rsid w:val="00D63F4C"/>
    <w:rsid w:val="00D64265"/>
    <w:rsid w:val="00D6433E"/>
    <w:rsid w:val="00D64613"/>
    <w:rsid w:val="00D64702"/>
    <w:rsid w:val="00D65449"/>
    <w:rsid w:val="00D65502"/>
    <w:rsid w:val="00D66450"/>
    <w:rsid w:val="00D66747"/>
    <w:rsid w:val="00D667D1"/>
    <w:rsid w:val="00D66AD1"/>
    <w:rsid w:val="00D66BD9"/>
    <w:rsid w:val="00D66BFD"/>
    <w:rsid w:val="00D66C76"/>
    <w:rsid w:val="00D66C91"/>
    <w:rsid w:val="00D66E36"/>
    <w:rsid w:val="00D66E84"/>
    <w:rsid w:val="00D6713D"/>
    <w:rsid w:val="00D671BB"/>
    <w:rsid w:val="00D674EE"/>
    <w:rsid w:val="00D67535"/>
    <w:rsid w:val="00D675E9"/>
    <w:rsid w:val="00D67756"/>
    <w:rsid w:val="00D677BC"/>
    <w:rsid w:val="00D67855"/>
    <w:rsid w:val="00D67B2A"/>
    <w:rsid w:val="00D67BC9"/>
    <w:rsid w:val="00D67CB7"/>
    <w:rsid w:val="00D67DBC"/>
    <w:rsid w:val="00D70480"/>
    <w:rsid w:val="00D704D9"/>
    <w:rsid w:val="00D708AB"/>
    <w:rsid w:val="00D70B30"/>
    <w:rsid w:val="00D70BD2"/>
    <w:rsid w:val="00D70C99"/>
    <w:rsid w:val="00D713F2"/>
    <w:rsid w:val="00D715FF"/>
    <w:rsid w:val="00D717E4"/>
    <w:rsid w:val="00D717F9"/>
    <w:rsid w:val="00D71B5F"/>
    <w:rsid w:val="00D7208F"/>
    <w:rsid w:val="00D721AA"/>
    <w:rsid w:val="00D724F2"/>
    <w:rsid w:val="00D7257D"/>
    <w:rsid w:val="00D72705"/>
    <w:rsid w:val="00D72C04"/>
    <w:rsid w:val="00D7342C"/>
    <w:rsid w:val="00D7358E"/>
    <w:rsid w:val="00D738BF"/>
    <w:rsid w:val="00D7397E"/>
    <w:rsid w:val="00D73B3D"/>
    <w:rsid w:val="00D73B93"/>
    <w:rsid w:val="00D73C95"/>
    <w:rsid w:val="00D73F29"/>
    <w:rsid w:val="00D73F44"/>
    <w:rsid w:val="00D73F99"/>
    <w:rsid w:val="00D74192"/>
    <w:rsid w:val="00D744BD"/>
    <w:rsid w:val="00D745C1"/>
    <w:rsid w:val="00D7471B"/>
    <w:rsid w:val="00D74799"/>
    <w:rsid w:val="00D7483E"/>
    <w:rsid w:val="00D7490C"/>
    <w:rsid w:val="00D749CF"/>
    <w:rsid w:val="00D74B6E"/>
    <w:rsid w:val="00D74C97"/>
    <w:rsid w:val="00D74D95"/>
    <w:rsid w:val="00D750A4"/>
    <w:rsid w:val="00D75185"/>
    <w:rsid w:val="00D753AF"/>
    <w:rsid w:val="00D75676"/>
    <w:rsid w:val="00D7570F"/>
    <w:rsid w:val="00D75731"/>
    <w:rsid w:val="00D75925"/>
    <w:rsid w:val="00D75B45"/>
    <w:rsid w:val="00D75B5C"/>
    <w:rsid w:val="00D75F48"/>
    <w:rsid w:val="00D75F6E"/>
    <w:rsid w:val="00D75F8C"/>
    <w:rsid w:val="00D76050"/>
    <w:rsid w:val="00D76105"/>
    <w:rsid w:val="00D76309"/>
    <w:rsid w:val="00D76423"/>
    <w:rsid w:val="00D767BF"/>
    <w:rsid w:val="00D767DF"/>
    <w:rsid w:val="00D76CB4"/>
    <w:rsid w:val="00D76D77"/>
    <w:rsid w:val="00D76F65"/>
    <w:rsid w:val="00D77251"/>
    <w:rsid w:val="00D77278"/>
    <w:rsid w:val="00D775B5"/>
    <w:rsid w:val="00D7772F"/>
    <w:rsid w:val="00D7789B"/>
    <w:rsid w:val="00D778A5"/>
    <w:rsid w:val="00D77914"/>
    <w:rsid w:val="00D77917"/>
    <w:rsid w:val="00D77961"/>
    <w:rsid w:val="00D77B20"/>
    <w:rsid w:val="00D77B33"/>
    <w:rsid w:val="00D77B3B"/>
    <w:rsid w:val="00D8007C"/>
    <w:rsid w:val="00D80444"/>
    <w:rsid w:val="00D804B9"/>
    <w:rsid w:val="00D8079F"/>
    <w:rsid w:val="00D8082D"/>
    <w:rsid w:val="00D80BA5"/>
    <w:rsid w:val="00D80C7A"/>
    <w:rsid w:val="00D8103B"/>
    <w:rsid w:val="00D81055"/>
    <w:rsid w:val="00D8111B"/>
    <w:rsid w:val="00D81242"/>
    <w:rsid w:val="00D812D2"/>
    <w:rsid w:val="00D81383"/>
    <w:rsid w:val="00D81B2C"/>
    <w:rsid w:val="00D81C68"/>
    <w:rsid w:val="00D81CE2"/>
    <w:rsid w:val="00D822FA"/>
    <w:rsid w:val="00D82369"/>
    <w:rsid w:val="00D823E3"/>
    <w:rsid w:val="00D826C2"/>
    <w:rsid w:val="00D827F3"/>
    <w:rsid w:val="00D82D02"/>
    <w:rsid w:val="00D82D0F"/>
    <w:rsid w:val="00D82EE5"/>
    <w:rsid w:val="00D83079"/>
    <w:rsid w:val="00D832DA"/>
    <w:rsid w:val="00D83556"/>
    <w:rsid w:val="00D838D6"/>
    <w:rsid w:val="00D83925"/>
    <w:rsid w:val="00D83A5A"/>
    <w:rsid w:val="00D83A79"/>
    <w:rsid w:val="00D83C3D"/>
    <w:rsid w:val="00D83F9A"/>
    <w:rsid w:val="00D84157"/>
    <w:rsid w:val="00D84323"/>
    <w:rsid w:val="00D845EF"/>
    <w:rsid w:val="00D848D8"/>
    <w:rsid w:val="00D84BD7"/>
    <w:rsid w:val="00D84DCA"/>
    <w:rsid w:val="00D84EEE"/>
    <w:rsid w:val="00D84F77"/>
    <w:rsid w:val="00D850FC"/>
    <w:rsid w:val="00D85114"/>
    <w:rsid w:val="00D855E3"/>
    <w:rsid w:val="00D857BC"/>
    <w:rsid w:val="00D86144"/>
    <w:rsid w:val="00D8622E"/>
    <w:rsid w:val="00D8626E"/>
    <w:rsid w:val="00D866AC"/>
    <w:rsid w:val="00D86EE9"/>
    <w:rsid w:val="00D8718F"/>
    <w:rsid w:val="00D871B6"/>
    <w:rsid w:val="00D87223"/>
    <w:rsid w:val="00D8741A"/>
    <w:rsid w:val="00D87435"/>
    <w:rsid w:val="00D875E1"/>
    <w:rsid w:val="00D87609"/>
    <w:rsid w:val="00D8772C"/>
    <w:rsid w:val="00D8784B"/>
    <w:rsid w:val="00D878A1"/>
    <w:rsid w:val="00D87D94"/>
    <w:rsid w:val="00D9000B"/>
    <w:rsid w:val="00D90275"/>
    <w:rsid w:val="00D902F5"/>
    <w:rsid w:val="00D90303"/>
    <w:rsid w:val="00D90347"/>
    <w:rsid w:val="00D90678"/>
    <w:rsid w:val="00D9075D"/>
    <w:rsid w:val="00D90959"/>
    <w:rsid w:val="00D90B3E"/>
    <w:rsid w:val="00D9102B"/>
    <w:rsid w:val="00D912A5"/>
    <w:rsid w:val="00D91378"/>
    <w:rsid w:val="00D913AF"/>
    <w:rsid w:val="00D91410"/>
    <w:rsid w:val="00D91438"/>
    <w:rsid w:val="00D91594"/>
    <w:rsid w:val="00D9171C"/>
    <w:rsid w:val="00D91A21"/>
    <w:rsid w:val="00D91A8F"/>
    <w:rsid w:val="00D91A9B"/>
    <w:rsid w:val="00D91ABE"/>
    <w:rsid w:val="00D91B02"/>
    <w:rsid w:val="00D91CF0"/>
    <w:rsid w:val="00D91DFB"/>
    <w:rsid w:val="00D9216E"/>
    <w:rsid w:val="00D921DA"/>
    <w:rsid w:val="00D92227"/>
    <w:rsid w:val="00D926C4"/>
    <w:rsid w:val="00D92C2F"/>
    <w:rsid w:val="00D92E50"/>
    <w:rsid w:val="00D92F7F"/>
    <w:rsid w:val="00D93329"/>
    <w:rsid w:val="00D9333C"/>
    <w:rsid w:val="00D9342F"/>
    <w:rsid w:val="00D934D2"/>
    <w:rsid w:val="00D93514"/>
    <w:rsid w:val="00D93B3C"/>
    <w:rsid w:val="00D93B97"/>
    <w:rsid w:val="00D93D0E"/>
    <w:rsid w:val="00D93D21"/>
    <w:rsid w:val="00D940D6"/>
    <w:rsid w:val="00D940FD"/>
    <w:rsid w:val="00D944EC"/>
    <w:rsid w:val="00D9459D"/>
    <w:rsid w:val="00D94730"/>
    <w:rsid w:val="00D94765"/>
    <w:rsid w:val="00D947BB"/>
    <w:rsid w:val="00D94858"/>
    <w:rsid w:val="00D94972"/>
    <w:rsid w:val="00D94BEC"/>
    <w:rsid w:val="00D94EC5"/>
    <w:rsid w:val="00D954A1"/>
    <w:rsid w:val="00D95519"/>
    <w:rsid w:val="00D95613"/>
    <w:rsid w:val="00D95744"/>
    <w:rsid w:val="00D958FC"/>
    <w:rsid w:val="00D9594F"/>
    <w:rsid w:val="00D959AE"/>
    <w:rsid w:val="00D95DC2"/>
    <w:rsid w:val="00D960BD"/>
    <w:rsid w:val="00D9622A"/>
    <w:rsid w:val="00D96636"/>
    <w:rsid w:val="00D96662"/>
    <w:rsid w:val="00D96678"/>
    <w:rsid w:val="00D966E3"/>
    <w:rsid w:val="00D96AB2"/>
    <w:rsid w:val="00D96BB7"/>
    <w:rsid w:val="00D96C73"/>
    <w:rsid w:val="00D96D46"/>
    <w:rsid w:val="00D9752E"/>
    <w:rsid w:val="00D97A99"/>
    <w:rsid w:val="00D97C27"/>
    <w:rsid w:val="00DA04A9"/>
    <w:rsid w:val="00DA0526"/>
    <w:rsid w:val="00DA0639"/>
    <w:rsid w:val="00DA079F"/>
    <w:rsid w:val="00DA08CB"/>
    <w:rsid w:val="00DA0CF7"/>
    <w:rsid w:val="00DA0E96"/>
    <w:rsid w:val="00DA1203"/>
    <w:rsid w:val="00DA13BE"/>
    <w:rsid w:val="00DA15FA"/>
    <w:rsid w:val="00DA1825"/>
    <w:rsid w:val="00DA18DA"/>
    <w:rsid w:val="00DA19EC"/>
    <w:rsid w:val="00DA1A9C"/>
    <w:rsid w:val="00DA1B45"/>
    <w:rsid w:val="00DA1BCE"/>
    <w:rsid w:val="00DA1EE2"/>
    <w:rsid w:val="00DA1F0C"/>
    <w:rsid w:val="00DA1F38"/>
    <w:rsid w:val="00DA23C5"/>
    <w:rsid w:val="00DA2413"/>
    <w:rsid w:val="00DA2752"/>
    <w:rsid w:val="00DA2BC0"/>
    <w:rsid w:val="00DA2F0F"/>
    <w:rsid w:val="00DA3138"/>
    <w:rsid w:val="00DA3399"/>
    <w:rsid w:val="00DA3474"/>
    <w:rsid w:val="00DA349E"/>
    <w:rsid w:val="00DA3565"/>
    <w:rsid w:val="00DA384D"/>
    <w:rsid w:val="00DA38D7"/>
    <w:rsid w:val="00DA3914"/>
    <w:rsid w:val="00DA3A1C"/>
    <w:rsid w:val="00DA3A5B"/>
    <w:rsid w:val="00DA3D0B"/>
    <w:rsid w:val="00DA3F51"/>
    <w:rsid w:val="00DA3FDC"/>
    <w:rsid w:val="00DA402C"/>
    <w:rsid w:val="00DA4336"/>
    <w:rsid w:val="00DA4541"/>
    <w:rsid w:val="00DA4597"/>
    <w:rsid w:val="00DA45DB"/>
    <w:rsid w:val="00DA48D9"/>
    <w:rsid w:val="00DA49F8"/>
    <w:rsid w:val="00DA4AAE"/>
    <w:rsid w:val="00DA501B"/>
    <w:rsid w:val="00DA51BF"/>
    <w:rsid w:val="00DA5354"/>
    <w:rsid w:val="00DA5572"/>
    <w:rsid w:val="00DA5AAB"/>
    <w:rsid w:val="00DA5AF4"/>
    <w:rsid w:val="00DA5B43"/>
    <w:rsid w:val="00DA5C70"/>
    <w:rsid w:val="00DA5CFA"/>
    <w:rsid w:val="00DA629D"/>
    <w:rsid w:val="00DA66DA"/>
    <w:rsid w:val="00DA66EC"/>
    <w:rsid w:val="00DA6718"/>
    <w:rsid w:val="00DA68D8"/>
    <w:rsid w:val="00DA691E"/>
    <w:rsid w:val="00DA6A15"/>
    <w:rsid w:val="00DA6BC9"/>
    <w:rsid w:val="00DA6CC2"/>
    <w:rsid w:val="00DA6D2F"/>
    <w:rsid w:val="00DA7023"/>
    <w:rsid w:val="00DA7029"/>
    <w:rsid w:val="00DA731C"/>
    <w:rsid w:val="00DA74D1"/>
    <w:rsid w:val="00DA77A0"/>
    <w:rsid w:val="00DA7CE5"/>
    <w:rsid w:val="00DA7EAD"/>
    <w:rsid w:val="00DB02CC"/>
    <w:rsid w:val="00DB0401"/>
    <w:rsid w:val="00DB0602"/>
    <w:rsid w:val="00DB0736"/>
    <w:rsid w:val="00DB076A"/>
    <w:rsid w:val="00DB09A2"/>
    <w:rsid w:val="00DB0ABE"/>
    <w:rsid w:val="00DB0C79"/>
    <w:rsid w:val="00DB0FFB"/>
    <w:rsid w:val="00DB103D"/>
    <w:rsid w:val="00DB10A0"/>
    <w:rsid w:val="00DB1448"/>
    <w:rsid w:val="00DB1512"/>
    <w:rsid w:val="00DB158A"/>
    <w:rsid w:val="00DB1767"/>
    <w:rsid w:val="00DB1998"/>
    <w:rsid w:val="00DB1D42"/>
    <w:rsid w:val="00DB1E3E"/>
    <w:rsid w:val="00DB1FC4"/>
    <w:rsid w:val="00DB21F0"/>
    <w:rsid w:val="00DB24C0"/>
    <w:rsid w:val="00DB26EB"/>
    <w:rsid w:val="00DB2834"/>
    <w:rsid w:val="00DB2947"/>
    <w:rsid w:val="00DB2C5F"/>
    <w:rsid w:val="00DB2EB6"/>
    <w:rsid w:val="00DB3A58"/>
    <w:rsid w:val="00DB3BDF"/>
    <w:rsid w:val="00DB3C58"/>
    <w:rsid w:val="00DB3D46"/>
    <w:rsid w:val="00DB3EBC"/>
    <w:rsid w:val="00DB401C"/>
    <w:rsid w:val="00DB4041"/>
    <w:rsid w:val="00DB40EE"/>
    <w:rsid w:val="00DB4219"/>
    <w:rsid w:val="00DB46C8"/>
    <w:rsid w:val="00DB48DE"/>
    <w:rsid w:val="00DB49C5"/>
    <w:rsid w:val="00DB4A2B"/>
    <w:rsid w:val="00DB4BF5"/>
    <w:rsid w:val="00DB5207"/>
    <w:rsid w:val="00DB540E"/>
    <w:rsid w:val="00DB5A63"/>
    <w:rsid w:val="00DB6166"/>
    <w:rsid w:val="00DB6173"/>
    <w:rsid w:val="00DB6227"/>
    <w:rsid w:val="00DB6559"/>
    <w:rsid w:val="00DB656B"/>
    <w:rsid w:val="00DB6639"/>
    <w:rsid w:val="00DB691E"/>
    <w:rsid w:val="00DB6F9A"/>
    <w:rsid w:val="00DB75A3"/>
    <w:rsid w:val="00DB75DA"/>
    <w:rsid w:val="00DB7625"/>
    <w:rsid w:val="00DB7692"/>
    <w:rsid w:val="00DB799D"/>
    <w:rsid w:val="00DB79C8"/>
    <w:rsid w:val="00DB7A42"/>
    <w:rsid w:val="00DB7BEF"/>
    <w:rsid w:val="00DB7BF2"/>
    <w:rsid w:val="00DB7C49"/>
    <w:rsid w:val="00DB7F2C"/>
    <w:rsid w:val="00DC01C1"/>
    <w:rsid w:val="00DC0564"/>
    <w:rsid w:val="00DC0574"/>
    <w:rsid w:val="00DC0595"/>
    <w:rsid w:val="00DC0617"/>
    <w:rsid w:val="00DC07EE"/>
    <w:rsid w:val="00DC0A82"/>
    <w:rsid w:val="00DC0C65"/>
    <w:rsid w:val="00DC0CD6"/>
    <w:rsid w:val="00DC1302"/>
    <w:rsid w:val="00DC1424"/>
    <w:rsid w:val="00DC16BF"/>
    <w:rsid w:val="00DC16E1"/>
    <w:rsid w:val="00DC16FC"/>
    <w:rsid w:val="00DC1881"/>
    <w:rsid w:val="00DC1ED7"/>
    <w:rsid w:val="00DC2524"/>
    <w:rsid w:val="00DC3082"/>
    <w:rsid w:val="00DC315A"/>
    <w:rsid w:val="00DC31D8"/>
    <w:rsid w:val="00DC36DE"/>
    <w:rsid w:val="00DC37B9"/>
    <w:rsid w:val="00DC37EE"/>
    <w:rsid w:val="00DC3A6F"/>
    <w:rsid w:val="00DC3D1C"/>
    <w:rsid w:val="00DC3F69"/>
    <w:rsid w:val="00DC409F"/>
    <w:rsid w:val="00DC43AB"/>
    <w:rsid w:val="00DC43B5"/>
    <w:rsid w:val="00DC43E1"/>
    <w:rsid w:val="00DC4653"/>
    <w:rsid w:val="00DC47B7"/>
    <w:rsid w:val="00DC49EA"/>
    <w:rsid w:val="00DC4C57"/>
    <w:rsid w:val="00DC4EE7"/>
    <w:rsid w:val="00DC50D6"/>
    <w:rsid w:val="00DC5199"/>
    <w:rsid w:val="00DC5272"/>
    <w:rsid w:val="00DC5779"/>
    <w:rsid w:val="00DC58EF"/>
    <w:rsid w:val="00DC5A32"/>
    <w:rsid w:val="00DC5BC0"/>
    <w:rsid w:val="00DC5DC5"/>
    <w:rsid w:val="00DC5E4E"/>
    <w:rsid w:val="00DC603F"/>
    <w:rsid w:val="00DC63B3"/>
    <w:rsid w:val="00DC651B"/>
    <w:rsid w:val="00DC6574"/>
    <w:rsid w:val="00DC662F"/>
    <w:rsid w:val="00DC6662"/>
    <w:rsid w:val="00DC66FB"/>
    <w:rsid w:val="00DC67CD"/>
    <w:rsid w:val="00DC6E78"/>
    <w:rsid w:val="00DC7143"/>
    <w:rsid w:val="00DC7239"/>
    <w:rsid w:val="00DC727C"/>
    <w:rsid w:val="00DC729A"/>
    <w:rsid w:val="00DC731D"/>
    <w:rsid w:val="00DC7328"/>
    <w:rsid w:val="00DC73B1"/>
    <w:rsid w:val="00DC7519"/>
    <w:rsid w:val="00DC75C6"/>
    <w:rsid w:val="00DC7630"/>
    <w:rsid w:val="00DC7707"/>
    <w:rsid w:val="00DC7A23"/>
    <w:rsid w:val="00DC7A4D"/>
    <w:rsid w:val="00DC7AB5"/>
    <w:rsid w:val="00DC7EB5"/>
    <w:rsid w:val="00DC7F17"/>
    <w:rsid w:val="00DD0023"/>
    <w:rsid w:val="00DD010A"/>
    <w:rsid w:val="00DD01A0"/>
    <w:rsid w:val="00DD04AC"/>
    <w:rsid w:val="00DD04DD"/>
    <w:rsid w:val="00DD0507"/>
    <w:rsid w:val="00DD0576"/>
    <w:rsid w:val="00DD0891"/>
    <w:rsid w:val="00DD0B35"/>
    <w:rsid w:val="00DD0E77"/>
    <w:rsid w:val="00DD0F4D"/>
    <w:rsid w:val="00DD0F9F"/>
    <w:rsid w:val="00DD1054"/>
    <w:rsid w:val="00DD11A7"/>
    <w:rsid w:val="00DD1298"/>
    <w:rsid w:val="00DD1733"/>
    <w:rsid w:val="00DD1A51"/>
    <w:rsid w:val="00DD1C53"/>
    <w:rsid w:val="00DD2300"/>
    <w:rsid w:val="00DD2309"/>
    <w:rsid w:val="00DD28B3"/>
    <w:rsid w:val="00DD2CDF"/>
    <w:rsid w:val="00DD2DE3"/>
    <w:rsid w:val="00DD2DE8"/>
    <w:rsid w:val="00DD316F"/>
    <w:rsid w:val="00DD32E9"/>
    <w:rsid w:val="00DD337B"/>
    <w:rsid w:val="00DD33B5"/>
    <w:rsid w:val="00DD357C"/>
    <w:rsid w:val="00DD37CA"/>
    <w:rsid w:val="00DD382E"/>
    <w:rsid w:val="00DD3A90"/>
    <w:rsid w:val="00DD3D55"/>
    <w:rsid w:val="00DD3DF7"/>
    <w:rsid w:val="00DD3ED6"/>
    <w:rsid w:val="00DD4568"/>
    <w:rsid w:val="00DD45CF"/>
    <w:rsid w:val="00DD47B8"/>
    <w:rsid w:val="00DD4909"/>
    <w:rsid w:val="00DD4AE2"/>
    <w:rsid w:val="00DD4BFA"/>
    <w:rsid w:val="00DD4F1C"/>
    <w:rsid w:val="00DD5064"/>
    <w:rsid w:val="00DD51F8"/>
    <w:rsid w:val="00DD5624"/>
    <w:rsid w:val="00DD5795"/>
    <w:rsid w:val="00DD5F56"/>
    <w:rsid w:val="00DD6388"/>
    <w:rsid w:val="00DD6571"/>
    <w:rsid w:val="00DD66CB"/>
    <w:rsid w:val="00DD675D"/>
    <w:rsid w:val="00DD6764"/>
    <w:rsid w:val="00DD6832"/>
    <w:rsid w:val="00DD6C53"/>
    <w:rsid w:val="00DD6E8B"/>
    <w:rsid w:val="00DD70F8"/>
    <w:rsid w:val="00DD7198"/>
    <w:rsid w:val="00DD7199"/>
    <w:rsid w:val="00DD7756"/>
    <w:rsid w:val="00DD7B04"/>
    <w:rsid w:val="00DD7C44"/>
    <w:rsid w:val="00DD7CB6"/>
    <w:rsid w:val="00DD7E55"/>
    <w:rsid w:val="00DE0077"/>
    <w:rsid w:val="00DE0137"/>
    <w:rsid w:val="00DE01BA"/>
    <w:rsid w:val="00DE0601"/>
    <w:rsid w:val="00DE0C54"/>
    <w:rsid w:val="00DE0DCF"/>
    <w:rsid w:val="00DE1177"/>
    <w:rsid w:val="00DE137B"/>
    <w:rsid w:val="00DE13D4"/>
    <w:rsid w:val="00DE13FD"/>
    <w:rsid w:val="00DE146B"/>
    <w:rsid w:val="00DE15EC"/>
    <w:rsid w:val="00DE1623"/>
    <w:rsid w:val="00DE19D9"/>
    <w:rsid w:val="00DE1C18"/>
    <w:rsid w:val="00DE1CDE"/>
    <w:rsid w:val="00DE1DC6"/>
    <w:rsid w:val="00DE1F59"/>
    <w:rsid w:val="00DE1F77"/>
    <w:rsid w:val="00DE2025"/>
    <w:rsid w:val="00DE21C6"/>
    <w:rsid w:val="00DE22AA"/>
    <w:rsid w:val="00DE25BB"/>
    <w:rsid w:val="00DE27B8"/>
    <w:rsid w:val="00DE288F"/>
    <w:rsid w:val="00DE2D49"/>
    <w:rsid w:val="00DE2F2B"/>
    <w:rsid w:val="00DE2F82"/>
    <w:rsid w:val="00DE2F94"/>
    <w:rsid w:val="00DE388A"/>
    <w:rsid w:val="00DE3E66"/>
    <w:rsid w:val="00DE3F75"/>
    <w:rsid w:val="00DE41F9"/>
    <w:rsid w:val="00DE432C"/>
    <w:rsid w:val="00DE45F5"/>
    <w:rsid w:val="00DE4828"/>
    <w:rsid w:val="00DE4AAD"/>
    <w:rsid w:val="00DE4B43"/>
    <w:rsid w:val="00DE4C0C"/>
    <w:rsid w:val="00DE4FC8"/>
    <w:rsid w:val="00DE53B5"/>
    <w:rsid w:val="00DE5974"/>
    <w:rsid w:val="00DE5A50"/>
    <w:rsid w:val="00DE5AEC"/>
    <w:rsid w:val="00DE5D01"/>
    <w:rsid w:val="00DE60C5"/>
    <w:rsid w:val="00DE6204"/>
    <w:rsid w:val="00DE626E"/>
    <w:rsid w:val="00DE6507"/>
    <w:rsid w:val="00DE6F2C"/>
    <w:rsid w:val="00DE71CB"/>
    <w:rsid w:val="00DE7323"/>
    <w:rsid w:val="00DE75F0"/>
    <w:rsid w:val="00DE77CB"/>
    <w:rsid w:val="00DE77FE"/>
    <w:rsid w:val="00DE7EBA"/>
    <w:rsid w:val="00DF04BD"/>
    <w:rsid w:val="00DF068D"/>
    <w:rsid w:val="00DF0D3A"/>
    <w:rsid w:val="00DF0E72"/>
    <w:rsid w:val="00DF16C8"/>
    <w:rsid w:val="00DF1A9A"/>
    <w:rsid w:val="00DF1C20"/>
    <w:rsid w:val="00DF1C2D"/>
    <w:rsid w:val="00DF1DB6"/>
    <w:rsid w:val="00DF1F8A"/>
    <w:rsid w:val="00DF20DC"/>
    <w:rsid w:val="00DF2170"/>
    <w:rsid w:val="00DF226A"/>
    <w:rsid w:val="00DF2333"/>
    <w:rsid w:val="00DF248E"/>
    <w:rsid w:val="00DF253D"/>
    <w:rsid w:val="00DF2681"/>
    <w:rsid w:val="00DF2E17"/>
    <w:rsid w:val="00DF2F9D"/>
    <w:rsid w:val="00DF30D1"/>
    <w:rsid w:val="00DF3222"/>
    <w:rsid w:val="00DF3577"/>
    <w:rsid w:val="00DF36F9"/>
    <w:rsid w:val="00DF3C97"/>
    <w:rsid w:val="00DF3D03"/>
    <w:rsid w:val="00DF4063"/>
    <w:rsid w:val="00DF4165"/>
    <w:rsid w:val="00DF4417"/>
    <w:rsid w:val="00DF474E"/>
    <w:rsid w:val="00DF5110"/>
    <w:rsid w:val="00DF56F3"/>
    <w:rsid w:val="00DF5A2D"/>
    <w:rsid w:val="00DF5CA2"/>
    <w:rsid w:val="00DF5DEB"/>
    <w:rsid w:val="00DF5F13"/>
    <w:rsid w:val="00DF61A5"/>
    <w:rsid w:val="00DF63DD"/>
    <w:rsid w:val="00DF6A73"/>
    <w:rsid w:val="00DF6B62"/>
    <w:rsid w:val="00DF6C97"/>
    <w:rsid w:val="00DF76BA"/>
    <w:rsid w:val="00DF77E8"/>
    <w:rsid w:val="00DF7828"/>
    <w:rsid w:val="00DF7B4A"/>
    <w:rsid w:val="00DF7B6B"/>
    <w:rsid w:val="00DF7BD0"/>
    <w:rsid w:val="00DF7BDF"/>
    <w:rsid w:val="00DF7D39"/>
    <w:rsid w:val="00E002D5"/>
    <w:rsid w:val="00E00303"/>
    <w:rsid w:val="00E00489"/>
    <w:rsid w:val="00E00608"/>
    <w:rsid w:val="00E0060E"/>
    <w:rsid w:val="00E009A1"/>
    <w:rsid w:val="00E00A62"/>
    <w:rsid w:val="00E00CDE"/>
    <w:rsid w:val="00E00F4E"/>
    <w:rsid w:val="00E010A0"/>
    <w:rsid w:val="00E0125E"/>
    <w:rsid w:val="00E01474"/>
    <w:rsid w:val="00E0162A"/>
    <w:rsid w:val="00E01668"/>
    <w:rsid w:val="00E0173A"/>
    <w:rsid w:val="00E01835"/>
    <w:rsid w:val="00E01849"/>
    <w:rsid w:val="00E01D56"/>
    <w:rsid w:val="00E01EAE"/>
    <w:rsid w:val="00E020D1"/>
    <w:rsid w:val="00E028E4"/>
    <w:rsid w:val="00E02B21"/>
    <w:rsid w:val="00E02B64"/>
    <w:rsid w:val="00E02BC9"/>
    <w:rsid w:val="00E02EAD"/>
    <w:rsid w:val="00E02FEC"/>
    <w:rsid w:val="00E0361D"/>
    <w:rsid w:val="00E03D3F"/>
    <w:rsid w:val="00E03E6A"/>
    <w:rsid w:val="00E040A4"/>
    <w:rsid w:val="00E0437C"/>
    <w:rsid w:val="00E0447F"/>
    <w:rsid w:val="00E0452C"/>
    <w:rsid w:val="00E04D61"/>
    <w:rsid w:val="00E04F27"/>
    <w:rsid w:val="00E0504C"/>
    <w:rsid w:val="00E05074"/>
    <w:rsid w:val="00E05284"/>
    <w:rsid w:val="00E05489"/>
    <w:rsid w:val="00E05741"/>
    <w:rsid w:val="00E05929"/>
    <w:rsid w:val="00E05F7F"/>
    <w:rsid w:val="00E06930"/>
    <w:rsid w:val="00E0694B"/>
    <w:rsid w:val="00E06971"/>
    <w:rsid w:val="00E06B43"/>
    <w:rsid w:val="00E06BDB"/>
    <w:rsid w:val="00E06E32"/>
    <w:rsid w:val="00E06EC4"/>
    <w:rsid w:val="00E06F8C"/>
    <w:rsid w:val="00E070D9"/>
    <w:rsid w:val="00E07456"/>
    <w:rsid w:val="00E0748E"/>
    <w:rsid w:val="00E076B7"/>
    <w:rsid w:val="00E0781C"/>
    <w:rsid w:val="00E07A5B"/>
    <w:rsid w:val="00E07C6B"/>
    <w:rsid w:val="00E07E39"/>
    <w:rsid w:val="00E10278"/>
    <w:rsid w:val="00E105B3"/>
    <w:rsid w:val="00E106CF"/>
    <w:rsid w:val="00E10846"/>
    <w:rsid w:val="00E108F4"/>
    <w:rsid w:val="00E10A4B"/>
    <w:rsid w:val="00E10D0E"/>
    <w:rsid w:val="00E10D4E"/>
    <w:rsid w:val="00E1100C"/>
    <w:rsid w:val="00E1112D"/>
    <w:rsid w:val="00E11486"/>
    <w:rsid w:val="00E11489"/>
    <w:rsid w:val="00E11711"/>
    <w:rsid w:val="00E119FD"/>
    <w:rsid w:val="00E11E63"/>
    <w:rsid w:val="00E121E0"/>
    <w:rsid w:val="00E1249D"/>
    <w:rsid w:val="00E124E8"/>
    <w:rsid w:val="00E12514"/>
    <w:rsid w:val="00E12696"/>
    <w:rsid w:val="00E12840"/>
    <w:rsid w:val="00E12975"/>
    <w:rsid w:val="00E12C23"/>
    <w:rsid w:val="00E12DEE"/>
    <w:rsid w:val="00E1310D"/>
    <w:rsid w:val="00E13352"/>
    <w:rsid w:val="00E13359"/>
    <w:rsid w:val="00E1364A"/>
    <w:rsid w:val="00E1379D"/>
    <w:rsid w:val="00E138BF"/>
    <w:rsid w:val="00E138CE"/>
    <w:rsid w:val="00E13A98"/>
    <w:rsid w:val="00E13AB0"/>
    <w:rsid w:val="00E13FBF"/>
    <w:rsid w:val="00E14534"/>
    <w:rsid w:val="00E1493B"/>
    <w:rsid w:val="00E14994"/>
    <w:rsid w:val="00E149C9"/>
    <w:rsid w:val="00E14AF6"/>
    <w:rsid w:val="00E14E94"/>
    <w:rsid w:val="00E14EFA"/>
    <w:rsid w:val="00E151B9"/>
    <w:rsid w:val="00E154DC"/>
    <w:rsid w:val="00E1560D"/>
    <w:rsid w:val="00E1566E"/>
    <w:rsid w:val="00E15783"/>
    <w:rsid w:val="00E158C4"/>
    <w:rsid w:val="00E15B09"/>
    <w:rsid w:val="00E15D10"/>
    <w:rsid w:val="00E15D5C"/>
    <w:rsid w:val="00E161E6"/>
    <w:rsid w:val="00E162F9"/>
    <w:rsid w:val="00E167C9"/>
    <w:rsid w:val="00E1689B"/>
    <w:rsid w:val="00E1698C"/>
    <w:rsid w:val="00E16CF6"/>
    <w:rsid w:val="00E16EE6"/>
    <w:rsid w:val="00E16FEA"/>
    <w:rsid w:val="00E170C8"/>
    <w:rsid w:val="00E172BE"/>
    <w:rsid w:val="00E17869"/>
    <w:rsid w:val="00E17A21"/>
    <w:rsid w:val="00E17CF7"/>
    <w:rsid w:val="00E17E3F"/>
    <w:rsid w:val="00E200F1"/>
    <w:rsid w:val="00E20377"/>
    <w:rsid w:val="00E20441"/>
    <w:rsid w:val="00E205D6"/>
    <w:rsid w:val="00E20917"/>
    <w:rsid w:val="00E20944"/>
    <w:rsid w:val="00E20A7D"/>
    <w:rsid w:val="00E20B42"/>
    <w:rsid w:val="00E20E19"/>
    <w:rsid w:val="00E20FA0"/>
    <w:rsid w:val="00E216EC"/>
    <w:rsid w:val="00E2189A"/>
    <w:rsid w:val="00E21A32"/>
    <w:rsid w:val="00E228AE"/>
    <w:rsid w:val="00E22A54"/>
    <w:rsid w:val="00E22B5A"/>
    <w:rsid w:val="00E22B68"/>
    <w:rsid w:val="00E22BE8"/>
    <w:rsid w:val="00E22C1D"/>
    <w:rsid w:val="00E22C99"/>
    <w:rsid w:val="00E22D10"/>
    <w:rsid w:val="00E231C9"/>
    <w:rsid w:val="00E23379"/>
    <w:rsid w:val="00E233E6"/>
    <w:rsid w:val="00E235D1"/>
    <w:rsid w:val="00E235DF"/>
    <w:rsid w:val="00E23738"/>
    <w:rsid w:val="00E23805"/>
    <w:rsid w:val="00E238A8"/>
    <w:rsid w:val="00E23B73"/>
    <w:rsid w:val="00E23EBF"/>
    <w:rsid w:val="00E23F64"/>
    <w:rsid w:val="00E23FD5"/>
    <w:rsid w:val="00E240BA"/>
    <w:rsid w:val="00E24669"/>
    <w:rsid w:val="00E246C7"/>
    <w:rsid w:val="00E2487F"/>
    <w:rsid w:val="00E248B2"/>
    <w:rsid w:val="00E24AE5"/>
    <w:rsid w:val="00E24C48"/>
    <w:rsid w:val="00E24D50"/>
    <w:rsid w:val="00E24DF8"/>
    <w:rsid w:val="00E24F0B"/>
    <w:rsid w:val="00E258FA"/>
    <w:rsid w:val="00E25981"/>
    <w:rsid w:val="00E259B1"/>
    <w:rsid w:val="00E25BC1"/>
    <w:rsid w:val="00E25C9E"/>
    <w:rsid w:val="00E26141"/>
    <w:rsid w:val="00E26525"/>
    <w:rsid w:val="00E26563"/>
    <w:rsid w:val="00E266F5"/>
    <w:rsid w:val="00E266F7"/>
    <w:rsid w:val="00E26C4C"/>
    <w:rsid w:val="00E26F02"/>
    <w:rsid w:val="00E26F90"/>
    <w:rsid w:val="00E270D3"/>
    <w:rsid w:val="00E27EE9"/>
    <w:rsid w:val="00E27FC7"/>
    <w:rsid w:val="00E30656"/>
    <w:rsid w:val="00E30700"/>
    <w:rsid w:val="00E30767"/>
    <w:rsid w:val="00E30A26"/>
    <w:rsid w:val="00E30BE0"/>
    <w:rsid w:val="00E30D84"/>
    <w:rsid w:val="00E30D87"/>
    <w:rsid w:val="00E30E57"/>
    <w:rsid w:val="00E311B1"/>
    <w:rsid w:val="00E31236"/>
    <w:rsid w:val="00E31360"/>
    <w:rsid w:val="00E3155A"/>
    <w:rsid w:val="00E316A2"/>
    <w:rsid w:val="00E31D28"/>
    <w:rsid w:val="00E32192"/>
    <w:rsid w:val="00E321C5"/>
    <w:rsid w:val="00E325FF"/>
    <w:rsid w:val="00E32917"/>
    <w:rsid w:val="00E32C63"/>
    <w:rsid w:val="00E32CB8"/>
    <w:rsid w:val="00E33234"/>
    <w:rsid w:val="00E334C3"/>
    <w:rsid w:val="00E33668"/>
    <w:rsid w:val="00E33893"/>
    <w:rsid w:val="00E33B01"/>
    <w:rsid w:val="00E33BD5"/>
    <w:rsid w:val="00E33C15"/>
    <w:rsid w:val="00E33E7B"/>
    <w:rsid w:val="00E3419B"/>
    <w:rsid w:val="00E3440F"/>
    <w:rsid w:val="00E34418"/>
    <w:rsid w:val="00E344A3"/>
    <w:rsid w:val="00E34810"/>
    <w:rsid w:val="00E34B52"/>
    <w:rsid w:val="00E34BAA"/>
    <w:rsid w:val="00E34E98"/>
    <w:rsid w:val="00E34F3A"/>
    <w:rsid w:val="00E35030"/>
    <w:rsid w:val="00E35297"/>
    <w:rsid w:val="00E3554B"/>
    <w:rsid w:val="00E35CE0"/>
    <w:rsid w:val="00E35F99"/>
    <w:rsid w:val="00E35F9A"/>
    <w:rsid w:val="00E360D1"/>
    <w:rsid w:val="00E36165"/>
    <w:rsid w:val="00E361A8"/>
    <w:rsid w:val="00E3637F"/>
    <w:rsid w:val="00E364B6"/>
    <w:rsid w:val="00E366E7"/>
    <w:rsid w:val="00E36723"/>
    <w:rsid w:val="00E36DF1"/>
    <w:rsid w:val="00E36FF1"/>
    <w:rsid w:val="00E3713C"/>
    <w:rsid w:val="00E371AD"/>
    <w:rsid w:val="00E3756C"/>
    <w:rsid w:val="00E37626"/>
    <w:rsid w:val="00E37679"/>
    <w:rsid w:val="00E3767B"/>
    <w:rsid w:val="00E37979"/>
    <w:rsid w:val="00E37A3D"/>
    <w:rsid w:val="00E37E1C"/>
    <w:rsid w:val="00E40126"/>
    <w:rsid w:val="00E40C2E"/>
    <w:rsid w:val="00E40CBF"/>
    <w:rsid w:val="00E40E6B"/>
    <w:rsid w:val="00E40E7D"/>
    <w:rsid w:val="00E40EE4"/>
    <w:rsid w:val="00E413C6"/>
    <w:rsid w:val="00E41C4E"/>
    <w:rsid w:val="00E41CE4"/>
    <w:rsid w:val="00E41DA1"/>
    <w:rsid w:val="00E41EB7"/>
    <w:rsid w:val="00E42010"/>
    <w:rsid w:val="00E420D5"/>
    <w:rsid w:val="00E42517"/>
    <w:rsid w:val="00E42D55"/>
    <w:rsid w:val="00E42D6C"/>
    <w:rsid w:val="00E42FFE"/>
    <w:rsid w:val="00E4316E"/>
    <w:rsid w:val="00E43236"/>
    <w:rsid w:val="00E433E6"/>
    <w:rsid w:val="00E435AB"/>
    <w:rsid w:val="00E43778"/>
    <w:rsid w:val="00E439D2"/>
    <w:rsid w:val="00E43A80"/>
    <w:rsid w:val="00E43DC4"/>
    <w:rsid w:val="00E44275"/>
    <w:rsid w:val="00E44777"/>
    <w:rsid w:val="00E447B6"/>
    <w:rsid w:val="00E44C4D"/>
    <w:rsid w:val="00E44D24"/>
    <w:rsid w:val="00E451C6"/>
    <w:rsid w:val="00E45314"/>
    <w:rsid w:val="00E4535F"/>
    <w:rsid w:val="00E4536D"/>
    <w:rsid w:val="00E454EF"/>
    <w:rsid w:val="00E4570F"/>
    <w:rsid w:val="00E46030"/>
    <w:rsid w:val="00E46044"/>
    <w:rsid w:val="00E46144"/>
    <w:rsid w:val="00E466BC"/>
    <w:rsid w:val="00E4686A"/>
    <w:rsid w:val="00E46FD4"/>
    <w:rsid w:val="00E47538"/>
    <w:rsid w:val="00E479FD"/>
    <w:rsid w:val="00E47E51"/>
    <w:rsid w:val="00E50115"/>
    <w:rsid w:val="00E5029A"/>
    <w:rsid w:val="00E50342"/>
    <w:rsid w:val="00E50483"/>
    <w:rsid w:val="00E504D6"/>
    <w:rsid w:val="00E50687"/>
    <w:rsid w:val="00E50B6F"/>
    <w:rsid w:val="00E50DF1"/>
    <w:rsid w:val="00E50EBE"/>
    <w:rsid w:val="00E50F69"/>
    <w:rsid w:val="00E50FC6"/>
    <w:rsid w:val="00E511BA"/>
    <w:rsid w:val="00E51349"/>
    <w:rsid w:val="00E5145E"/>
    <w:rsid w:val="00E517CD"/>
    <w:rsid w:val="00E51940"/>
    <w:rsid w:val="00E519E2"/>
    <w:rsid w:val="00E52185"/>
    <w:rsid w:val="00E52334"/>
    <w:rsid w:val="00E52372"/>
    <w:rsid w:val="00E52466"/>
    <w:rsid w:val="00E5259F"/>
    <w:rsid w:val="00E52691"/>
    <w:rsid w:val="00E52786"/>
    <w:rsid w:val="00E52AFC"/>
    <w:rsid w:val="00E52B6D"/>
    <w:rsid w:val="00E52C21"/>
    <w:rsid w:val="00E52D43"/>
    <w:rsid w:val="00E52E9A"/>
    <w:rsid w:val="00E52F05"/>
    <w:rsid w:val="00E535A0"/>
    <w:rsid w:val="00E5377E"/>
    <w:rsid w:val="00E53785"/>
    <w:rsid w:val="00E537EA"/>
    <w:rsid w:val="00E53961"/>
    <w:rsid w:val="00E53DB1"/>
    <w:rsid w:val="00E53F25"/>
    <w:rsid w:val="00E540CA"/>
    <w:rsid w:val="00E54430"/>
    <w:rsid w:val="00E54B37"/>
    <w:rsid w:val="00E54DE9"/>
    <w:rsid w:val="00E54DEE"/>
    <w:rsid w:val="00E551A2"/>
    <w:rsid w:val="00E552D5"/>
    <w:rsid w:val="00E55B28"/>
    <w:rsid w:val="00E55C1F"/>
    <w:rsid w:val="00E55C3B"/>
    <w:rsid w:val="00E55E7E"/>
    <w:rsid w:val="00E55F00"/>
    <w:rsid w:val="00E56134"/>
    <w:rsid w:val="00E5627B"/>
    <w:rsid w:val="00E564EF"/>
    <w:rsid w:val="00E56588"/>
    <w:rsid w:val="00E565FE"/>
    <w:rsid w:val="00E5680B"/>
    <w:rsid w:val="00E56919"/>
    <w:rsid w:val="00E56B8B"/>
    <w:rsid w:val="00E56D4A"/>
    <w:rsid w:val="00E56E81"/>
    <w:rsid w:val="00E57119"/>
    <w:rsid w:val="00E5719E"/>
    <w:rsid w:val="00E573DB"/>
    <w:rsid w:val="00E57563"/>
    <w:rsid w:val="00E57733"/>
    <w:rsid w:val="00E57D7B"/>
    <w:rsid w:val="00E57E49"/>
    <w:rsid w:val="00E57F4B"/>
    <w:rsid w:val="00E602E5"/>
    <w:rsid w:val="00E602F8"/>
    <w:rsid w:val="00E605CE"/>
    <w:rsid w:val="00E60631"/>
    <w:rsid w:val="00E6085B"/>
    <w:rsid w:val="00E60AB2"/>
    <w:rsid w:val="00E60BD5"/>
    <w:rsid w:val="00E60FBA"/>
    <w:rsid w:val="00E60FBF"/>
    <w:rsid w:val="00E61420"/>
    <w:rsid w:val="00E615CB"/>
    <w:rsid w:val="00E616AD"/>
    <w:rsid w:val="00E616F9"/>
    <w:rsid w:val="00E61852"/>
    <w:rsid w:val="00E61A0C"/>
    <w:rsid w:val="00E61D22"/>
    <w:rsid w:val="00E61D96"/>
    <w:rsid w:val="00E61E4B"/>
    <w:rsid w:val="00E61F14"/>
    <w:rsid w:val="00E6231E"/>
    <w:rsid w:val="00E6279B"/>
    <w:rsid w:val="00E62849"/>
    <w:rsid w:val="00E6308F"/>
    <w:rsid w:val="00E63429"/>
    <w:rsid w:val="00E6342F"/>
    <w:rsid w:val="00E635D5"/>
    <w:rsid w:val="00E636E2"/>
    <w:rsid w:val="00E63CA3"/>
    <w:rsid w:val="00E63D55"/>
    <w:rsid w:val="00E63DA2"/>
    <w:rsid w:val="00E642AF"/>
    <w:rsid w:val="00E644C6"/>
    <w:rsid w:val="00E64555"/>
    <w:rsid w:val="00E64595"/>
    <w:rsid w:val="00E646BB"/>
    <w:rsid w:val="00E64BCF"/>
    <w:rsid w:val="00E64D24"/>
    <w:rsid w:val="00E64D53"/>
    <w:rsid w:val="00E64E69"/>
    <w:rsid w:val="00E64EEB"/>
    <w:rsid w:val="00E651B5"/>
    <w:rsid w:val="00E65351"/>
    <w:rsid w:val="00E653E4"/>
    <w:rsid w:val="00E6549C"/>
    <w:rsid w:val="00E654B9"/>
    <w:rsid w:val="00E65528"/>
    <w:rsid w:val="00E6589D"/>
    <w:rsid w:val="00E65E8C"/>
    <w:rsid w:val="00E65FF2"/>
    <w:rsid w:val="00E665E7"/>
    <w:rsid w:val="00E66784"/>
    <w:rsid w:val="00E667D6"/>
    <w:rsid w:val="00E66C96"/>
    <w:rsid w:val="00E66DAC"/>
    <w:rsid w:val="00E66EBE"/>
    <w:rsid w:val="00E66F7C"/>
    <w:rsid w:val="00E67036"/>
    <w:rsid w:val="00E6703E"/>
    <w:rsid w:val="00E670CC"/>
    <w:rsid w:val="00E673BB"/>
    <w:rsid w:val="00E673C0"/>
    <w:rsid w:val="00E67499"/>
    <w:rsid w:val="00E6778E"/>
    <w:rsid w:val="00E678DA"/>
    <w:rsid w:val="00E67C3A"/>
    <w:rsid w:val="00E67ED9"/>
    <w:rsid w:val="00E67EE7"/>
    <w:rsid w:val="00E70130"/>
    <w:rsid w:val="00E704DB"/>
    <w:rsid w:val="00E7063F"/>
    <w:rsid w:val="00E707FD"/>
    <w:rsid w:val="00E709C1"/>
    <w:rsid w:val="00E70AD3"/>
    <w:rsid w:val="00E70DE9"/>
    <w:rsid w:val="00E715FC"/>
    <w:rsid w:val="00E71796"/>
    <w:rsid w:val="00E717BB"/>
    <w:rsid w:val="00E718DF"/>
    <w:rsid w:val="00E71A45"/>
    <w:rsid w:val="00E71B2D"/>
    <w:rsid w:val="00E71C21"/>
    <w:rsid w:val="00E7205D"/>
    <w:rsid w:val="00E7210C"/>
    <w:rsid w:val="00E72BD9"/>
    <w:rsid w:val="00E72D84"/>
    <w:rsid w:val="00E730FC"/>
    <w:rsid w:val="00E7310A"/>
    <w:rsid w:val="00E7318D"/>
    <w:rsid w:val="00E731E0"/>
    <w:rsid w:val="00E734F6"/>
    <w:rsid w:val="00E736FB"/>
    <w:rsid w:val="00E7385A"/>
    <w:rsid w:val="00E73CE6"/>
    <w:rsid w:val="00E74250"/>
    <w:rsid w:val="00E743F0"/>
    <w:rsid w:val="00E74423"/>
    <w:rsid w:val="00E744D6"/>
    <w:rsid w:val="00E745D9"/>
    <w:rsid w:val="00E7467B"/>
    <w:rsid w:val="00E74780"/>
    <w:rsid w:val="00E74783"/>
    <w:rsid w:val="00E7487D"/>
    <w:rsid w:val="00E74893"/>
    <w:rsid w:val="00E748A3"/>
    <w:rsid w:val="00E74919"/>
    <w:rsid w:val="00E74956"/>
    <w:rsid w:val="00E751D5"/>
    <w:rsid w:val="00E752E0"/>
    <w:rsid w:val="00E752F7"/>
    <w:rsid w:val="00E75707"/>
    <w:rsid w:val="00E75830"/>
    <w:rsid w:val="00E75848"/>
    <w:rsid w:val="00E759D4"/>
    <w:rsid w:val="00E75D99"/>
    <w:rsid w:val="00E76A3C"/>
    <w:rsid w:val="00E76C8C"/>
    <w:rsid w:val="00E76EDC"/>
    <w:rsid w:val="00E76F54"/>
    <w:rsid w:val="00E76F9B"/>
    <w:rsid w:val="00E771FC"/>
    <w:rsid w:val="00E772BC"/>
    <w:rsid w:val="00E773E5"/>
    <w:rsid w:val="00E77511"/>
    <w:rsid w:val="00E777B0"/>
    <w:rsid w:val="00E7799A"/>
    <w:rsid w:val="00E77A54"/>
    <w:rsid w:val="00E77BDD"/>
    <w:rsid w:val="00E77BEC"/>
    <w:rsid w:val="00E77CCC"/>
    <w:rsid w:val="00E806D3"/>
    <w:rsid w:val="00E81BC7"/>
    <w:rsid w:val="00E81C34"/>
    <w:rsid w:val="00E81D83"/>
    <w:rsid w:val="00E821BB"/>
    <w:rsid w:val="00E822E9"/>
    <w:rsid w:val="00E82419"/>
    <w:rsid w:val="00E826FE"/>
    <w:rsid w:val="00E8275E"/>
    <w:rsid w:val="00E827AF"/>
    <w:rsid w:val="00E828E3"/>
    <w:rsid w:val="00E82DE9"/>
    <w:rsid w:val="00E83253"/>
    <w:rsid w:val="00E836BE"/>
    <w:rsid w:val="00E83B69"/>
    <w:rsid w:val="00E842C5"/>
    <w:rsid w:val="00E844AB"/>
    <w:rsid w:val="00E84518"/>
    <w:rsid w:val="00E8473C"/>
    <w:rsid w:val="00E84BDF"/>
    <w:rsid w:val="00E84C97"/>
    <w:rsid w:val="00E84F5F"/>
    <w:rsid w:val="00E85005"/>
    <w:rsid w:val="00E85296"/>
    <w:rsid w:val="00E8530D"/>
    <w:rsid w:val="00E8533B"/>
    <w:rsid w:val="00E853EB"/>
    <w:rsid w:val="00E85505"/>
    <w:rsid w:val="00E8575B"/>
    <w:rsid w:val="00E85931"/>
    <w:rsid w:val="00E8594C"/>
    <w:rsid w:val="00E85E4E"/>
    <w:rsid w:val="00E8618B"/>
    <w:rsid w:val="00E862BB"/>
    <w:rsid w:val="00E86327"/>
    <w:rsid w:val="00E868A5"/>
    <w:rsid w:val="00E869B5"/>
    <w:rsid w:val="00E86DF0"/>
    <w:rsid w:val="00E86E18"/>
    <w:rsid w:val="00E8709E"/>
    <w:rsid w:val="00E871E7"/>
    <w:rsid w:val="00E873C1"/>
    <w:rsid w:val="00E8748C"/>
    <w:rsid w:val="00E8768A"/>
    <w:rsid w:val="00E877EA"/>
    <w:rsid w:val="00E8785D"/>
    <w:rsid w:val="00E878DA"/>
    <w:rsid w:val="00E87B3D"/>
    <w:rsid w:val="00E87BD2"/>
    <w:rsid w:val="00E87C0B"/>
    <w:rsid w:val="00E87CDC"/>
    <w:rsid w:val="00E906E0"/>
    <w:rsid w:val="00E90910"/>
    <w:rsid w:val="00E90A7D"/>
    <w:rsid w:val="00E90B33"/>
    <w:rsid w:val="00E90F53"/>
    <w:rsid w:val="00E91103"/>
    <w:rsid w:val="00E911E0"/>
    <w:rsid w:val="00E91652"/>
    <w:rsid w:val="00E91E81"/>
    <w:rsid w:val="00E92001"/>
    <w:rsid w:val="00E921B8"/>
    <w:rsid w:val="00E92602"/>
    <w:rsid w:val="00E926C6"/>
    <w:rsid w:val="00E93407"/>
    <w:rsid w:val="00E93543"/>
    <w:rsid w:val="00E93591"/>
    <w:rsid w:val="00E937E7"/>
    <w:rsid w:val="00E940A8"/>
    <w:rsid w:val="00E94198"/>
    <w:rsid w:val="00E9446C"/>
    <w:rsid w:val="00E94759"/>
    <w:rsid w:val="00E947E8"/>
    <w:rsid w:val="00E94B0F"/>
    <w:rsid w:val="00E94B35"/>
    <w:rsid w:val="00E9503F"/>
    <w:rsid w:val="00E95384"/>
    <w:rsid w:val="00E956AD"/>
    <w:rsid w:val="00E9592A"/>
    <w:rsid w:val="00E96502"/>
    <w:rsid w:val="00E966CB"/>
    <w:rsid w:val="00E96726"/>
    <w:rsid w:val="00E96760"/>
    <w:rsid w:val="00E96818"/>
    <w:rsid w:val="00E9692B"/>
    <w:rsid w:val="00E96CC4"/>
    <w:rsid w:val="00E96E68"/>
    <w:rsid w:val="00E96EC4"/>
    <w:rsid w:val="00E973BA"/>
    <w:rsid w:val="00E973C0"/>
    <w:rsid w:val="00E97872"/>
    <w:rsid w:val="00E97EA1"/>
    <w:rsid w:val="00EA0032"/>
    <w:rsid w:val="00EA00EF"/>
    <w:rsid w:val="00EA05F5"/>
    <w:rsid w:val="00EA0BBE"/>
    <w:rsid w:val="00EA1249"/>
    <w:rsid w:val="00EA173B"/>
    <w:rsid w:val="00EA1934"/>
    <w:rsid w:val="00EA1FBC"/>
    <w:rsid w:val="00EA1FE1"/>
    <w:rsid w:val="00EA20A1"/>
    <w:rsid w:val="00EA212B"/>
    <w:rsid w:val="00EA24FB"/>
    <w:rsid w:val="00EA2D44"/>
    <w:rsid w:val="00EA306E"/>
    <w:rsid w:val="00EA3182"/>
    <w:rsid w:val="00EA32F4"/>
    <w:rsid w:val="00EA33FA"/>
    <w:rsid w:val="00EA36D3"/>
    <w:rsid w:val="00EA3A1D"/>
    <w:rsid w:val="00EA3B78"/>
    <w:rsid w:val="00EA3BFC"/>
    <w:rsid w:val="00EA3CD7"/>
    <w:rsid w:val="00EA3E2D"/>
    <w:rsid w:val="00EA3F5F"/>
    <w:rsid w:val="00EA429D"/>
    <w:rsid w:val="00EA43AF"/>
    <w:rsid w:val="00EA452C"/>
    <w:rsid w:val="00EA4676"/>
    <w:rsid w:val="00EA4A0B"/>
    <w:rsid w:val="00EA4C7C"/>
    <w:rsid w:val="00EA4D4C"/>
    <w:rsid w:val="00EA542C"/>
    <w:rsid w:val="00EA554F"/>
    <w:rsid w:val="00EA5B44"/>
    <w:rsid w:val="00EA6250"/>
    <w:rsid w:val="00EA6539"/>
    <w:rsid w:val="00EA66A4"/>
    <w:rsid w:val="00EA66BE"/>
    <w:rsid w:val="00EA6819"/>
    <w:rsid w:val="00EA69E1"/>
    <w:rsid w:val="00EA69E4"/>
    <w:rsid w:val="00EA6A1E"/>
    <w:rsid w:val="00EA6E67"/>
    <w:rsid w:val="00EA75BD"/>
    <w:rsid w:val="00EA760C"/>
    <w:rsid w:val="00EA7726"/>
    <w:rsid w:val="00EA79E3"/>
    <w:rsid w:val="00EA7A8B"/>
    <w:rsid w:val="00EA7C47"/>
    <w:rsid w:val="00EB0020"/>
    <w:rsid w:val="00EB0327"/>
    <w:rsid w:val="00EB04A1"/>
    <w:rsid w:val="00EB0738"/>
    <w:rsid w:val="00EB0C01"/>
    <w:rsid w:val="00EB0C9A"/>
    <w:rsid w:val="00EB0F0F"/>
    <w:rsid w:val="00EB1053"/>
    <w:rsid w:val="00EB12A5"/>
    <w:rsid w:val="00EB12E1"/>
    <w:rsid w:val="00EB136A"/>
    <w:rsid w:val="00EB139D"/>
    <w:rsid w:val="00EB1451"/>
    <w:rsid w:val="00EB1785"/>
    <w:rsid w:val="00EB19AF"/>
    <w:rsid w:val="00EB1BDE"/>
    <w:rsid w:val="00EB1FA1"/>
    <w:rsid w:val="00EB2097"/>
    <w:rsid w:val="00EB2200"/>
    <w:rsid w:val="00EB22DA"/>
    <w:rsid w:val="00EB24D8"/>
    <w:rsid w:val="00EB256A"/>
    <w:rsid w:val="00EB277B"/>
    <w:rsid w:val="00EB2A18"/>
    <w:rsid w:val="00EB2F20"/>
    <w:rsid w:val="00EB2F35"/>
    <w:rsid w:val="00EB300E"/>
    <w:rsid w:val="00EB31DB"/>
    <w:rsid w:val="00EB3422"/>
    <w:rsid w:val="00EB3A31"/>
    <w:rsid w:val="00EB3A76"/>
    <w:rsid w:val="00EB4103"/>
    <w:rsid w:val="00EB42DA"/>
    <w:rsid w:val="00EB42F1"/>
    <w:rsid w:val="00EB444D"/>
    <w:rsid w:val="00EB4A44"/>
    <w:rsid w:val="00EB4C34"/>
    <w:rsid w:val="00EB4EAF"/>
    <w:rsid w:val="00EB5161"/>
    <w:rsid w:val="00EB548E"/>
    <w:rsid w:val="00EB5500"/>
    <w:rsid w:val="00EB571D"/>
    <w:rsid w:val="00EB5982"/>
    <w:rsid w:val="00EB5A96"/>
    <w:rsid w:val="00EB5C41"/>
    <w:rsid w:val="00EB5F5A"/>
    <w:rsid w:val="00EB62C4"/>
    <w:rsid w:val="00EB657E"/>
    <w:rsid w:val="00EB6846"/>
    <w:rsid w:val="00EB694A"/>
    <w:rsid w:val="00EB695E"/>
    <w:rsid w:val="00EB69D1"/>
    <w:rsid w:val="00EB6F1C"/>
    <w:rsid w:val="00EB6FE9"/>
    <w:rsid w:val="00EB725D"/>
    <w:rsid w:val="00EB72FF"/>
    <w:rsid w:val="00EB74E6"/>
    <w:rsid w:val="00EB756F"/>
    <w:rsid w:val="00EB7684"/>
    <w:rsid w:val="00EB7811"/>
    <w:rsid w:val="00EB790D"/>
    <w:rsid w:val="00EB798F"/>
    <w:rsid w:val="00EB79C8"/>
    <w:rsid w:val="00EB7B66"/>
    <w:rsid w:val="00EB7D5F"/>
    <w:rsid w:val="00EB7E78"/>
    <w:rsid w:val="00EC0301"/>
    <w:rsid w:val="00EC0379"/>
    <w:rsid w:val="00EC09C6"/>
    <w:rsid w:val="00EC0D24"/>
    <w:rsid w:val="00EC0EA5"/>
    <w:rsid w:val="00EC0F11"/>
    <w:rsid w:val="00EC1056"/>
    <w:rsid w:val="00EC13C6"/>
    <w:rsid w:val="00EC1401"/>
    <w:rsid w:val="00EC1470"/>
    <w:rsid w:val="00EC1F95"/>
    <w:rsid w:val="00EC2216"/>
    <w:rsid w:val="00EC222E"/>
    <w:rsid w:val="00EC25CD"/>
    <w:rsid w:val="00EC2716"/>
    <w:rsid w:val="00EC2B3D"/>
    <w:rsid w:val="00EC2C27"/>
    <w:rsid w:val="00EC2DBB"/>
    <w:rsid w:val="00EC3107"/>
    <w:rsid w:val="00EC33C0"/>
    <w:rsid w:val="00EC358E"/>
    <w:rsid w:val="00EC36EE"/>
    <w:rsid w:val="00EC38A4"/>
    <w:rsid w:val="00EC3914"/>
    <w:rsid w:val="00EC392F"/>
    <w:rsid w:val="00EC3B60"/>
    <w:rsid w:val="00EC3B67"/>
    <w:rsid w:val="00EC3F3F"/>
    <w:rsid w:val="00EC3FD2"/>
    <w:rsid w:val="00EC4095"/>
    <w:rsid w:val="00EC43B5"/>
    <w:rsid w:val="00EC4537"/>
    <w:rsid w:val="00EC4763"/>
    <w:rsid w:val="00EC4960"/>
    <w:rsid w:val="00EC4AE3"/>
    <w:rsid w:val="00EC4D03"/>
    <w:rsid w:val="00EC522B"/>
    <w:rsid w:val="00EC52D4"/>
    <w:rsid w:val="00EC54EE"/>
    <w:rsid w:val="00EC59B2"/>
    <w:rsid w:val="00EC5A3B"/>
    <w:rsid w:val="00EC5C09"/>
    <w:rsid w:val="00EC5DCD"/>
    <w:rsid w:val="00EC5E4A"/>
    <w:rsid w:val="00EC62E2"/>
    <w:rsid w:val="00EC682E"/>
    <w:rsid w:val="00EC686F"/>
    <w:rsid w:val="00EC6BA8"/>
    <w:rsid w:val="00EC6BCB"/>
    <w:rsid w:val="00EC70EC"/>
    <w:rsid w:val="00EC71BC"/>
    <w:rsid w:val="00EC7214"/>
    <w:rsid w:val="00EC770D"/>
    <w:rsid w:val="00EC774E"/>
    <w:rsid w:val="00EC786C"/>
    <w:rsid w:val="00EC7ADD"/>
    <w:rsid w:val="00EC7BAE"/>
    <w:rsid w:val="00ED04FE"/>
    <w:rsid w:val="00ED0824"/>
    <w:rsid w:val="00ED0DD0"/>
    <w:rsid w:val="00ED1523"/>
    <w:rsid w:val="00ED1919"/>
    <w:rsid w:val="00ED1989"/>
    <w:rsid w:val="00ED1D4F"/>
    <w:rsid w:val="00ED28F2"/>
    <w:rsid w:val="00ED2B58"/>
    <w:rsid w:val="00ED2F01"/>
    <w:rsid w:val="00ED3145"/>
    <w:rsid w:val="00ED316B"/>
    <w:rsid w:val="00ED32CC"/>
    <w:rsid w:val="00ED3309"/>
    <w:rsid w:val="00ED3384"/>
    <w:rsid w:val="00ED3516"/>
    <w:rsid w:val="00ED356E"/>
    <w:rsid w:val="00ED3B0D"/>
    <w:rsid w:val="00ED3BDA"/>
    <w:rsid w:val="00ED3DA4"/>
    <w:rsid w:val="00ED3EC2"/>
    <w:rsid w:val="00ED3ED6"/>
    <w:rsid w:val="00ED3F09"/>
    <w:rsid w:val="00ED4064"/>
    <w:rsid w:val="00ED485E"/>
    <w:rsid w:val="00ED48BC"/>
    <w:rsid w:val="00ED4B67"/>
    <w:rsid w:val="00ED4B69"/>
    <w:rsid w:val="00ED4BCC"/>
    <w:rsid w:val="00ED507B"/>
    <w:rsid w:val="00ED5632"/>
    <w:rsid w:val="00ED5812"/>
    <w:rsid w:val="00ED5A3B"/>
    <w:rsid w:val="00ED5A49"/>
    <w:rsid w:val="00ED5C30"/>
    <w:rsid w:val="00ED5E02"/>
    <w:rsid w:val="00ED5EED"/>
    <w:rsid w:val="00ED5F0B"/>
    <w:rsid w:val="00ED645B"/>
    <w:rsid w:val="00ED6B1C"/>
    <w:rsid w:val="00ED6C5C"/>
    <w:rsid w:val="00ED6CF7"/>
    <w:rsid w:val="00ED6F33"/>
    <w:rsid w:val="00ED741E"/>
    <w:rsid w:val="00ED75E9"/>
    <w:rsid w:val="00ED7716"/>
    <w:rsid w:val="00ED7737"/>
    <w:rsid w:val="00ED7747"/>
    <w:rsid w:val="00ED7BB8"/>
    <w:rsid w:val="00ED7CF4"/>
    <w:rsid w:val="00ED7E74"/>
    <w:rsid w:val="00EE00FE"/>
    <w:rsid w:val="00EE0495"/>
    <w:rsid w:val="00EE0503"/>
    <w:rsid w:val="00EE067A"/>
    <w:rsid w:val="00EE08E9"/>
    <w:rsid w:val="00EE09AA"/>
    <w:rsid w:val="00EE0E1D"/>
    <w:rsid w:val="00EE0EA8"/>
    <w:rsid w:val="00EE1615"/>
    <w:rsid w:val="00EE18D7"/>
    <w:rsid w:val="00EE1B0E"/>
    <w:rsid w:val="00EE21BE"/>
    <w:rsid w:val="00EE22EF"/>
    <w:rsid w:val="00EE22FB"/>
    <w:rsid w:val="00EE2336"/>
    <w:rsid w:val="00EE2407"/>
    <w:rsid w:val="00EE2629"/>
    <w:rsid w:val="00EE26AE"/>
    <w:rsid w:val="00EE29C8"/>
    <w:rsid w:val="00EE2A41"/>
    <w:rsid w:val="00EE2A54"/>
    <w:rsid w:val="00EE2FC2"/>
    <w:rsid w:val="00EE3266"/>
    <w:rsid w:val="00EE3280"/>
    <w:rsid w:val="00EE32EE"/>
    <w:rsid w:val="00EE3305"/>
    <w:rsid w:val="00EE3384"/>
    <w:rsid w:val="00EE3524"/>
    <w:rsid w:val="00EE37D0"/>
    <w:rsid w:val="00EE3B88"/>
    <w:rsid w:val="00EE3BEE"/>
    <w:rsid w:val="00EE4750"/>
    <w:rsid w:val="00EE475B"/>
    <w:rsid w:val="00EE4B75"/>
    <w:rsid w:val="00EE4BF3"/>
    <w:rsid w:val="00EE4CA6"/>
    <w:rsid w:val="00EE4DBD"/>
    <w:rsid w:val="00EE50BB"/>
    <w:rsid w:val="00EE57D6"/>
    <w:rsid w:val="00EE5B41"/>
    <w:rsid w:val="00EE6025"/>
    <w:rsid w:val="00EE60BC"/>
    <w:rsid w:val="00EE659B"/>
    <w:rsid w:val="00EE691B"/>
    <w:rsid w:val="00EE6AC6"/>
    <w:rsid w:val="00EE6E26"/>
    <w:rsid w:val="00EE6F15"/>
    <w:rsid w:val="00EE6F3B"/>
    <w:rsid w:val="00EE772C"/>
    <w:rsid w:val="00EE784F"/>
    <w:rsid w:val="00EE7A1D"/>
    <w:rsid w:val="00EE7BF7"/>
    <w:rsid w:val="00EE7DF4"/>
    <w:rsid w:val="00EF009C"/>
    <w:rsid w:val="00EF00DC"/>
    <w:rsid w:val="00EF0255"/>
    <w:rsid w:val="00EF0360"/>
    <w:rsid w:val="00EF0500"/>
    <w:rsid w:val="00EF06AA"/>
    <w:rsid w:val="00EF0B66"/>
    <w:rsid w:val="00EF0C9A"/>
    <w:rsid w:val="00EF0DDC"/>
    <w:rsid w:val="00EF0E9E"/>
    <w:rsid w:val="00EF1002"/>
    <w:rsid w:val="00EF143F"/>
    <w:rsid w:val="00EF147B"/>
    <w:rsid w:val="00EF170E"/>
    <w:rsid w:val="00EF18AC"/>
    <w:rsid w:val="00EF1DD7"/>
    <w:rsid w:val="00EF23D8"/>
    <w:rsid w:val="00EF25B0"/>
    <w:rsid w:val="00EF2A5A"/>
    <w:rsid w:val="00EF2A87"/>
    <w:rsid w:val="00EF2CB7"/>
    <w:rsid w:val="00EF2DB5"/>
    <w:rsid w:val="00EF2F87"/>
    <w:rsid w:val="00EF31CC"/>
    <w:rsid w:val="00EF3735"/>
    <w:rsid w:val="00EF3746"/>
    <w:rsid w:val="00EF3A74"/>
    <w:rsid w:val="00EF3AE9"/>
    <w:rsid w:val="00EF3EA5"/>
    <w:rsid w:val="00EF40DC"/>
    <w:rsid w:val="00EF4106"/>
    <w:rsid w:val="00EF46AF"/>
    <w:rsid w:val="00EF480A"/>
    <w:rsid w:val="00EF49FB"/>
    <w:rsid w:val="00EF4D23"/>
    <w:rsid w:val="00EF50D7"/>
    <w:rsid w:val="00EF50DE"/>
    <w:rsid w:val="00EF55D6"/>
    <w:rsid w:val="00EF585B"/>
    <w:rsid w:val="00EF58F2"/>
    <w:rsid w:val="00EF59F0"/>
    <w:rsid w:val="00EF5A85"/>
    <w:rsid w:val="00EF5BF1"/>
    <w:rsid w:val="00EF5F60"/>
    <w:rsid w:val="00EF5F8E"/>
    <w:rsid w:val="00EF6419"/>
    <w:rsid w:val="00EF644D"/>
    <w:rsid w:val="00EF69B5"/>
    <w:rsid w:val="00EF69C0"/>
    <w:rsid w:val="00EF6D29"/>
    <w:rsid w:val="00EF6FBD"/>
    <w:rsid w:val="00EF7028"/>
    <w:rsid w:val="00EF7138"/>
    <w:rsid w:val="00EF7149"/>
    <w:rsid w:val="00EF7357"/>
    <w:rsid w:val="00EF7CD4"/>
    <w:rsid w:val="00EF7DB5"/>
    <w:rsid w:val="00F0015A"/>
    <w:rsid w:val="00F0063F"/>
    <w:rsid w:val="00F00817"/>
    <w:rsid w:val="00F00881"/>
    <w:rsid w:val="00F008C0"/>
    <w:rsid w:val="00F00917"/>
    <w:rsid w:val="00F00A19"/>
    <w:rsid w:val="00F01032"/>
    <w:rsid w:val="00F010BB"/>
    <w:rsid w:val="00F0114E"/>
    <w:rsid w:val="00F012C1"/>
    <w:rsid w:val="00F012C3"/>
    <w:rsid w:val="00F0175F"/>
    <w:rsid w:val="00F017D1"/>
    <w:rsid w:val="00F017F3"/>
    <w:rsid w:val="00F01C5B"/>
    <w:rsid w:val="00F01CEB"/>
    <w:rsid w:val="00F01E44"/>
    <w:rsid w:val="00F020C2"/>
    <w:rsid w:val="00F02274"/>
    <w:rsid w:val="00F02379"/>
    <w:rsid w:val="00F02898"/>
    <w:rsid w:val="00F028DA"/>
    <w:rsid w:val="00F029BD"/>
    <w:rsid w:val="00F02AA8"/>
    <w:rsid w:val="00F02D97"/>
    <w:rsid w:val="00F03280"/>
    <w:rsid w:val="00F03466"/>
    <w:rsid w:val="00F0362A"/>
    <w:rsid w:val="00F036B5"/>
    <w:rsid w:val="00F0385C"/>
    <w:rsid w:val="00F038D8"/>
    <w:rsid w:val="00F03A25"/>
    <w:rsid w:val="00F03ABE"/>
    <w:rsid w:val="00F04345"/>
    <w:rsid w:val="00F047A4"/>
    <w:rsid w:val="00F04ABD"/>
    <w:rsid w:val="00F04C05"/>
    <w:rsid w:val="00F04F52"/>
    <w:rsid w:val="00F04FF7"/>
    <w:rsid w:val="00F0510F"/>
    <w:rsid w:val="00F05568"/>
    <w:rsid w:val="00F05574"/>
    <w:rsid w:val="00F055AD"/>
    <w:rsid w:val="00F0563F"/>
    <w:rsid w:val="00F058EE"/>
    <w:rsid w:val="00F05CE0"/>
    <w:rsid w:val="00F05F58"/>
    <w:rsid w:val="00F061B3"/>
    <w:rsid w:val="00F061CF"/>
    <w:rsid w:val="00F06239"/>
    <w:rsid w:val="00F064EF"/>
    <w:rsid w:val="00F06521"/>
    <w:rsid w:val="00F06558"/>
    <w:rsid w:val="00F06587"/>
    <w:rsid w:val="00F069E1"/>
    <w:rsid w:val="00F06D2F"/>
    <w:rsid w:val="00F06E0B"/>
    <w:rsid w:val="00F06F42"/>
    <w:rsid w:val="00F07122"/>
    <w:rsid w:val="00F074C9"/>
    <w:rsid w:val="00F07C82"/>
    <w:rsid w:val="00F07F5E"/>
    <w:rsid w:val="00F1001E"/>
    <w:rsid w:val="00F100D4"/>
    <w:rsid w:val="00F106BB"/>
    <w:rsid w:val="00F11027"/>
    <w:rsid w:val="00F1106C"/>
    <w:rsid w:val="00F111BA"/>
    <w:rsid w:val="00F112E1"/>
    <w:rsid w:val="00F116DD"/>
    <w:rsid w:val="00F11D45"/>
    <w:rsid w:val="00F11D9F"/>
    <w:rsid w:val="00F11E31"/>
    <w:rsid w:val="00F12488"/>
    <w:rsid w:val="00F128FC"/>
    <w:rsid w:val="00F13137"/>
    <w:rsid w:val="00F13617"/>
    <w:rsid w:val="00F136F1"/>
    <w:rsid w:val="00F13AA1"/>
    <w:rsid w:val="00F13F2A"/>
    <w:rsid w:val="00F140EC"/>
    <w:rsid w:val="00F1448F"/>
    <w:rsid w:val="00F147A1"/>
    <w:rsid w:val="00F14980"/>
    <w:rsid w:val="00F14B9D"/>
    <w:rsid w:val="00F15097"/>
    <w:rsid w:val="00F150DF"/>
    <w:rsid w:val="00F155C9"/>
    <w:rsid w:val="00F15671"/>
    <w:rsid w:val="00F15BA6"/>
    <w:rsid w:val="00F15DC7"/>
    <w:rsid w:val="00F16564"/>
    <w:rsid w:val="00F16695"/>
    <w:rsid w:val="00F16B89"/>
    <w:rsid w:val="00F16F3D"/>
    <w:rsid w:val="00F17009"/>
    <w:rsid w:val="00F17081"/>
    <w:rsid w:val="00F177FE"/>
    <w:rsid w:val="00F17829"/>
    <w:rsid w:val="00F17BEF"/>
    <w:rsid w:val="00F200B6"/>
    <w:rsid w:val="00F202E3"/>
    <w:rsid w:val="00F204DE"/>
    <w:rsid w:val="00F205EB"/>
    <w:rsid w:val="00F20BCC"/>
    <w:rsid w:val="00F20C1E"/>
    <w:rsid w:val="00F20C6E"/>
    <w:rsid w:val="00F20D6C"/>
    <w:rsid w:val="00F21713"/>
    <w:rsid w:val="00F2242D"/>
    <w:rsid w:val="00F2255F"/>
    <w:rsid w:val="00F225CF"/>
    <w:rsid w:val="00F22882"/>
    <w:rsid w:val="00F22985"/>
    <w:rsid w:val="00F22AC7"/>
    <w:rsid w:val="00F22AD0"/>
    <w:rsid w:val="00F22AEF"/>
    <w:rsid w:val="00F22F7A"/>
    <w:rsid w:val="00F231B5"/>
    <w:rsid w:val="00F2322E"/>
    <w:rsid w:val="00F2343C"/>
    <w:rsid w:val="00F23443"/>
    <w:rsid w:val="00F238CF"/>
    <w:rsid w:val="00F23937"/>
    <w:rsid w:val="00F239F7"/>
    <w:rsid w:val="00F23CFC"/>
    <w:rsid w:val="00F23D02"/>
    <w:rsid w:val="00F23DD1"/>
    <w:rsid w:val="00F24012"/>
    <w:rsid w:val="00F24076"/>
    <w:rsid w:val="00F240CB"/>
    <w:rsid w:val="00F2414B"/>
    <w:rsid w:val="00F24690"/>
    <w:rsid w:val="00F2490E"/>
    <w:rsid w:val="00F2492F"/>
    <w:rsid w:val="00F24989"/>
    <w:rsid w:val="00F249B0"/>
    <w:rsid w:val="00F24A21"/>
    <w:rsid w:val="00F24B59"/>
    <w:rsid w:val="00F24C4B"/>
    <w:rsid w:val="00F24E2B"/>
    <w:rsid w:val="00F24E2C"/>
    <w:rsid w:val="00F2500D"/>
    <w:rsid w:val="00F2544F"/>
    <w:rsid w:val="00F2565D"/>
    <w:rsid w:val="00F256DA"/>
    <w:rsid w:val="00F25742"/>
    <w:rsid w:val="00F257DA"/>
    <w:rsid w:val="00F2596D"/>
    <w:rsid w:val="00F25CAA"/>
    <w:rsid w:val="00F25DCD"/>
    <w:rsid w:val="00F25EE1"/>
    <w:rsid w:val="00F2601F"/>
    <w:rsid w:val="00F261C9"/>
    <w:rsid w:val="00F26364"/>
    <w:rsid w:val="00F26510"/>
    <w:rsid w:val="00F2697A"/>
    <w:rsid w:val="00F26AD6"/>
    <w:rsid w:val="00F27039"/>
    <w:rsid w:val="00F27061"/>
    <w:rsid w:val="00F27084"/>
    <w:rsid w:val="00F2711C"/>
    <w:rsid w:val="00F276BF"/>
    <w:rsid w:val="00F277E1"/>
    <w:rsid w:val="00F277E8"/>
    <w:rsid w:val="00F27B04"/>
    <w:rsid w:val="00F27E3D"/>
    <w:rsid w:val="00F27EB2"/>
    <w:rsid w:val="00F30016"/>
    <w:rsid w:val="00F301D0"/>
    <w:rsid w:val="00F3063A"/>
    <w:rsid w:val="00F3069F"/>
    <w:rsid w:val="00F309DC"/>
    <w:rsid w:val="00F30B8C"/>
    <w:rsid w:val="00F30BA9"/>
    <w:rsid w:val="00F30C3F"/>
    <w:rsid w:val="00F30C60"/>
    <w:rsid w:val="00F30EFB"/>
    <w:rsid w:val="00F30F38"/>
    <w:rsid w:val="00F30F76"/>
    <w:rsid w:val="00F311D1"/>
    <w:rsid w:val="00F313DA"/>
    <w:rsid w:val="00F3158A"/>
    <w:rsid w:val="00F3161C"/>
    <w:rsid w:val="00F318DB"/>
    <w:rsid w:val="00F31992"/>
    <w:rsid w:val="00F3199C"/>
    <w:rsid w:val="00F31B67"/>
    <w:rsid w:val="00F31F7D"/>
    <w:rsid w:val="00F325EA"/>
    <w:rsid w:val="00F3263B"/>
    <w:rsid w:val="00F32885"/>
    <w:rsid w:val="00F32AFF"/>
    <w:rsid w:val="00F32F2E"/>
    <w:rsid w:val="00F333B9"/>
    <w:rsid w:val="00F334A0"/>
    <w:rsid w:val="00F33825"/>
    <w:rsid w:val="00F33A8B"/>
    <w:rsid w:val="00F33BEC"/>
    <w:rsid w:val="00F33C89"/>
    <w:rsid w:val="00F33C90"/>
    <w:rsid w:val="00F33D3B"/>
    <w:rsid w:val="00F341D4"/>
    <w:rsid w:val="00F341E0"/>
    <w:rsid w:val="00F342EC"/>
    <w:rsid w:val="00F34411"/>
    <w:rsid w:val="00F344B1"/>
    <w:rsid w:val="00F344EC"/>
    <w:rsid w:val="00F34A96"/>
    <w:rsid w:val="00F34BA1"/>
    <w:rsid w:val="00F34BCA"/>
    <w:rsid w:val="00F34CA9"/>
    <w:rsid w:val="00F34EBF"/>
    <w:rsid w:val="00F34F05"/>
    <w:rsid w:val="00F34F85"/>
    <w:rsid w:val="00F353B0"/>
    <w:rsid w:val="00F356D5"/>
    <w:rsid w:val="00F357D7"/>
    <w:rsid w:val="00F35BD9"/>
    <w:rsid w:val="00F3603B"/>
    <w:rsid w:val="00F361AE"/>
    <w:rsid w:val="00F36240"/>
    <w:rsid w:val="00F363EB"/>
    <w:rsid w:val="00F365DE"/>
    <w:rsid w:val="00F3672B"/>
    <w:rsid w:val="00F36764"/>
    <w:rsid w:val="00F367CF"/>
    <w:rsid w:val="00F36D37"/>
    <w:rsid w:val="00F36E66"/>
    <w:rsid w:val="00F3710A"/>
    <w:rsid w:val="00F3719A"/>
    <w:rsid w:val="00F37296"/>
    <w:rsid w:val="00F375FF"/>
    <w:rsid w:val="00F37634"/>
    <w:rsid w:val="00F3776D"/>
    <w:rsid w:val="00F37782"/>
    <w:rsid w:val="00F37831"/>
    <w:rsid w:val="00F3783C"/>
    <w:rsid w:val="00F379BF"/>
    <w:rsid w:val="00F37EA7"/>
    <w:rsid w:val="00F403BC"/>
    <w:rsid w:val="00F403D9"/>
    <w:rsid w:val="00F4051C"/>
    <w:rsid w:val="00F40603"/>
    <w:rsid w:val="00F40644"/>
    <w:rsid w:val="00F40805"/>
    <w:rsid w:val="00F40C5E"/>
    <w:rsid w:val="00F40E3E"/>
    <w:rsid w:val="00F4154B"/>
    <w:rsid w:val="00F4163A"/>
    <w:rsid w:val="00F416D2"/>
    <w:rsid w:val="00F41873"/>
    <w:rsid w:val="00F419C3"/>
    <w:rsid w:val="00F41A0D"/>
    <w:rsid w:val="00F41D91"/>
    <w:rsid w:val="00F41E2B"/>
    <w:rsid w:val="00F423BE"/>
    <w:rsid w:val="00F424A5"/>
    <w:rsid w:val="00F425EF"/>
    <w:rsid w:val="00F428AC"/>
    <w:rsid w:val="00F42910"/>
    <w:rsid w:val="00F4299C"/>
    <w:rsid w:val="00F42EE3"/>
    <w:rsid w:val="00F4304C"/>
    <w:rsid w:val="00F43069"/>
    <w:rsid w:val="00F43660"/>
    <w:rsid w:val="00F4384C"/>
    <w:rsid w:val="00F43C53"/>
    <w:rsid w:val="00F43E30"/>
    <w:rsid w:val="00F4403A"/>
    <w:rsid w:val="00F44148"/>
    <w:rsid w:val="00F442E7"/>
    <w:rsid w:val="00F44432"/>
    <w:rsid w:val="00F44542"/>
    <w:rsid w:val="00F44886"/>
    <w:rsid w:val="00F448DD"/>
    <w:rsid w:val="00F44937"/>
    <w:rsid w:val="00F44C5F"/>
    <w:rsid w:val="00F44DB8"/>
    <w:rsid w:val="00F450CC"/>
    <w:rsid w:val="00F45760"/>
    <w:rsid w:val="00F45925"/>
    <w:rsid w:val="00F45A28"/>
    <w:rsid w:val="00F469E6"/>
    <w:rsid w:val="00F46BA6"/>
    <w:rsid w:val="00F46C97"/>
    <w:rsid w:val="00F46D2E"/>
    <w:rsid w:val="00F46FD0"/>
    <w:rsid w:val="00F4703E"/>
    <w:rsid w:val="00F47436"/>
    <w:rsid w:val="00F476E1"/>
    <w:rsid w:val="00F501AB"/>
    <w:rsid w:val="00F503C6"/>
    <w:rsid w:val="00F50511"/>
    <w:rsid w:val="00F50512"/>
    <w:rsid w:val="00F50781"/>
    <w:rsid w:val="00F507D4"/>
    <w:rsid w:val="00F50CA3"/>
    <w:rsid w:val="00F50EE1"/>
    <w:rsid w:val="00F50FED"/>
    <w:rsid w:val="00F51136"/>
    <w:rsid w:val="00F517ED"/>
    <w:rsid w:val="00F51A81"/>
    <w:rsid w:val="00F51F3F"/>
    <w:rsid w:val="00F51FAC"/>
    <w:rsid w:val="00F52133"/>
    <w:rsid w:val="00F5232B"/>
    <w:rsid w:val="00F52461"/>
    <w:rsid w:val="00F52633"/>
    <w:rsid w:val="00F528B5"/>
    <w:rsid w:val="00F528E7"/>
    <w:rsid w:val="00F52AAA"/>
    <w:rsid w:val="00F52BF0"/>
    <w:rsid w:val="00F52C8A"/>
    <w:rsid w:val="00F52CB2"/>
    <w:rsid w:val="00F52F3D"/>
    <w:rsid w:val="00F52F3F"/>
    <w:rsid w:val="00F53615"/>
    <w:rsid w:val="00F53A91"/>
    <w:rsid w:val="00F53AAB"/>
    <w:rsid w:val="00F53E6B"/>
    <w:rsid w:val="00F53FFE"/>
    <w:rsid w:val="00F5407A"/>
    <w:rsid w:val="00F54496"/>
    <w:rsid w:val="00F54783"/>
    <w:rsid w:val="00F547E9"/>
    <w:rsid w:val="00F5494E"/>
    <w:rsid w:val="00F549F9"/>
    <w:rsid w:val="00F54ABE"/>
    <w:rsid w:val="00F553D2"/>
    <w:rsid w:val="00F5564F"/>
    <w:rsid w:val="00F556AE"/>
    <w:rsid w:val="00F55804"/>
    <w:rsid w:val="00F55F01"/>
    <w:rsid w:val="00F55F1A"/>
    <w:rsid w:val="00F561E5"/>
    <w:rsid w:val="00F5626F"/>
    <w:rsid w:val="00F56310"/>
    <w:rsid w:val="00F5648D"/>
    <w:rsid w:val="00F5684C"/>
    <w:rsid w:val="00F56F6E"/>
    <w:rsid w:val="00F570A0"/>
    <w:rsid w:val="00F57143"/>
    <w:rsid w:val="00F57210"/>
    <w:rsid w:val="00F574DA"/>
    <w:rsid w:val="00F577FC"/>
    <w:rsid w:val="00F57907"/>
    <w:rsid w:val="00F57B10"/>
    <w:rsid w:val="00F57FC9"/>
    <w:rsid w:val="00F601B9"/>
    <w:rsid w:val="00F602F0"/>
    <w:rsid w:val="00F6098E"/>
    <w:rsid w:val="00F60C90"/>
    <w:rsid w:val="00F60E88"/>
    <w:rsid w:val="00F60EAF"/>
    <w:rsid w:val="00F619EE"/>
    <w:rsid w:val="00F61CF5"/>
    <w:rsid w:val="00F61FF9"/>
    <w:rsid w:val="00F62069"/>
    <w:rsid w:val="00F62159"/>
    <w:rsid w:val="00F62286"/>
    <w:rsid w:val="00F62A7C"/>
    <w:rsid w:val="00F62B93"/>
    <w:rsid w:val="00F62EDA"/>
    <w:rsid w:val="00F6303E"/>
    <w:rsid w:val="00F632B7"/>
    <w:rsid w:val="00F6336C"/>
    <w:rsid w:val="00F633E5"/>
    <w:rsid w:val="00F634E7"/>
    <w:rsid w:val="00F63652"/>
    <w:rsid w:val="00F637C2"/>
    <w:rsid w:val="00F63A07"/>
    <w:rsid w:val="00F63A6A"/>
    <w:rsid w:val="00F63BDB"/>
    <w:rsid w:val="00F63C89"/>
    <w:rsid w:val="00F63F80"/>
    <w:rsid w:val="00F64074"/>
    <w:rsid w:val="00F641FC"/>
    <w:rsid w:val="00F643CA"/>
    <w:rsid w:val="00F644BD"/>
    <w:rsid w:val="00F6454E"/>
    <w:rsid w:val="00F647EC"/>
    <w:rsid w:val="00F64840"/>
    <w:rsid w:val="00F64AD7"/>
    <w:rsid w:val="00F64BF8"/>
    <w:rsid w:val="00F64BF9"/>
    <w:rsid w:val="00F64D57"/>
    <w:rsid w:val="00F64FAB"/>
    <w:rsid w:val="00F65329"/>
    <w:rsid w:val="00F6546A"/>
    <w:rsid w:val="00F654DC"/>
    <w:rsid w:val="00F654F2"/>
    <w:rsid w:val="00F65790"/>
    <w:rsid w:val="00F6590A"/>
    <w:rsid w:val="00F65CEA"/>
    <w:rsid w:val="00F65F15"/>
    <w:rsid w:val="00F65F9B"/>
    <w:rsid w:val="00F66443"/>
    <w:rsid w:val="00F668EF"/>
    <w:rsid w:val="00F66D69"/>
    <w:rsid w:val="00F6705A"/>
    <w:rsid w:val="00F671EB"/>
    <w:rsid w:val="00F675D4"/>
    <w:rsid w:val="00F675DE"/>
    <w:rsid w:val="00F675EA"/>
    <w:rsid w:val="00F6764D"/>
    <w:rsid w:val="00F679A0"/>
    <w:rsid w:val="00F67BEB"/>
    <w:rsid w:val="00F67DFF"/>
    <w:rsid w:val="00F67E75"/>
    <w:rsid w:val="00F67EAF"/>
    <w:rsid w:val="00F70263"/>
    <w:rsid w:val="00F703B5"/>
    <w:rsid w:val="00F7074A"/>
    <w:rsid w:val="00F70B94"/>
    <w:rsid w:val="00F7113B"/>
    <w:rsid w:val="00F711A0"/>
    <w:rsid w:val="00F712BA"/>
    <w:rsid w:val="00F71687"/>
    <w:rsid w:val="00F71708"/>
    <w:rsid w:val="00F717C1"/>
    <w:rsid w:val="00F719C6"/>
    <w:rsid w:val="00F71AB3"/>
    <w:rsid w:val="00F71B4E"/>
    <w:rsid w:val="00F71C5A"/>
    <w:rsid w:val="00F71D19"/>
    <w:rsid w:val="00F71DB4"/>
    <w:rsid w:val="00F72501"/>
    <w:rsid w:val="00F72549"/>
    <w:rsid w:val="00F725D3"/>
    <w:rsid w:val="00F7281E"/>
    <w:rsid w:val="00F72925"/>
    <w:rsid w:val="00F72C1A"/>
    <w:rsid w:val="00F72C3D"/>
    <w:rsid w:val="00F72FAE"/>
    <w:rsid w:val="00F73269"/>
    <w:rsid w:val="00F734E5"/>
    <w:rsid w:val="00F735E6"/>
    <w:rsid w:val="00F737AB"/>
    <w:rsid w:val="00F739DC"/>
    <w:rsid w:val="00F73D9D"/>
    <w:rsid w:val="00F73F1D"/>
    <w:rsid w:val="00F7400D"/>
    <w:rsid w:val="00F741AD"/>
    <w:rsid w:val="00F741DA"/>
    <w:rsid w:val="00F74216"/>
    <w:rsid w:val="00F74781"/>
    <w:rsid w:val="00F747DC"/>
    <w:rsid w:val="00F74ACC"/>
    <w:rsid w:val="00F74E7B"/>
    <w:rsid w:val="00F74F0F"/>
    <w:rsid w:val="00F74F67"/>
    <w:rsid w:val="00F75018"/>
    <w:rsid w:val="00F751A4"/>
    <w:rsid w:val="00F75731"/>
    <w:rsid w:val="00F7576D"/>
    <w:rsid w:val="00F75841"/>
    <w:rsid w:val="00F75B74"/>
    <w:rsid w:val="00F7627B"/>
    <w:rsid w:val="00F76333"/>
    <w:rsid w:val="00F763F7"/>
    <w:rsid w:val="00F768D8"/>
    <w:rsid w:val="00F77100"/>
    <w:rsid w:val="00F772D9"/>
    <w:rsid w:val="00F779C8"/>
    <w:rsid w:val="00F77C84"/>
    <w:rsid w:val="00F77E4C"/>
    <w:rsid w:val="00F77F68"/>
    <w:rsid w:val="00F80298"/>
    <w:rsid w:val="00F802A3"/>
    <w:rsid w:val="00F80606"/>
    <w:rsid w:val="00F806E0"/>
    <w:rsid w:val="00F8090D"/>
    <w:rsid w:val="00F8090F"/>
    <w:rsid w:val="00F80BCA"/>
    <w:rsid w:val="00F8139A"/>
    <w:rsid w:val="00F813AD"/>
    <w:rsid w:val="00F81785"/>
    <w:rsid w:val="00F81ABE"/>
    <w:rsid w:val="00F81C5A"/>
    <w:rsid w:val="00F81D3B"/>
    <w:rsid w:val="00F81DAF"/>
    <w:rsid w:val="00F81FF2"/>
    <w:rsid w:val="00F8200C"/>
    <w:rsid w:val="00F820C7"/>
    <w:rsid w:val="00F820ED"/>
    <w:rsid w:val="00F82431"/>
    <w:rsid w:val="00F828C1"/>
    <w:rsid w:val="00F82A04"/>
    <w:rsid w:val="00F82AAE"/>
    <w:rsid w:val="00F82F1D"/>
    <w:rsid w:val="00F8319B"/>
    <w:rsid w:val="00F8322D"/>
    <w:rsid w:val="00F834BE"/>
    <w:rsid w:val="00F834EE"/>
    <w:rsid w:val="00F83681"/>
    <w:rsid w:val="00F838A9"/>
    <w:rsid w:val="00F839FB"/>
    <w:rsid w:val="00F83AF4"/>
    <w:rsid w:val="00F84106"/>
    <w:rsid w:val="00F842A3"/>
    <w:rsid w:val="00F8435C"/>
    <w:rsid w:val="00F844C4"/>
    <w:rsid w:val="00F849E3"/>
    <w:rsid w:val="00F84B4E"/>
    <w:rsid w:val="00F84C44"/>
    <w:rsid w:val="00F84CD5"/>
    <w:rsid w:val="00F851B7"/>
    <w:rsid w:val="00F8526C"/>
    <w:rsid w:val="00F85390"/>
    <w:rsid w:val="00F8566C"/>
    <w:rsid w:val="00F858D4"/>
    <w:rsid w:val="00F85B97"/>
    <w:rsid w:val="00F85C45"/>
    <w:rsid w:val="00F85C65"/>
    <w:rsid w:val="00F8602C"/>
    <w:rsid w:val="00F8608A"/>
    <w:rsid w:val="00F860EB"/>
    <w:rsid w:val="00F861DD"/>
    <w:rsid w:val="00F86268"/>
    <w:rsid w:val="00F868B6"/>
    <w:rsid w:val="00F8695C"/>
    <w:rsid w:val="00F86968"/>
    <w:rsid w:val="00F86B4C"/>
    <w:rsid w:val="00F86C37"/>
    <w:rsid w:val="00F86E21"/>
    <w:rsid w:val="00F86E42"/>
    <w:rsid w:val="00F86FD9"/>
    <w:rsid w:val="00F8718F"/>
    <w:rsid w:val="00F872A9"/>
    <w:rsid w:val="00F875A9"/>
    <w:rsid w:val="00F876E6"/>
    <w:rsid w:val="00F87825"/>
    <w:rsid w:val="00F87838"/>
    <w:rsid w:val="00F879A9"/>
    <w:rsid w:val="00F879E8"/>
    <w:rsid w:val="00F87CA5"/>
    <w:rsid w:val="00F87FCE"/>
    <w:rsid w:val="00F90009"/>
    <w:rsid w:val="00F9008B"/>
    <w:rsid w:val="00F900B8"/>
    <w:rsid w:val="00F9015E"/>
    <w:rsid w:val="00F9029D"/>
    <w:rsid w:val="00F903B2"/>
    <w:rsid w:val="00F906EA"/>
    <w:rsid w:val="00F90C58"/>
    <w:rsid w:val="00F914CC"/>
    <w:rsid w:val="00F91669"/>
    <w:rsid w:val="00F9184F"/>
    <w:rsid w:val="00F91943"/>
    <w:rsid w:val="00F9194F"/>
    <w:rsid w:val="00F919C6"/>
    <w:rsid w:val="00F922A5"/>
    <w:rsid w:val="00F9278E"/>
    <w:rsid w:val="00F927E0"/>
    <w:rsid w:val="00F92914"/>
    <w:rsid w:val="00F92A66"/>
    <w:rsid w:val="00F92B27"/>
    <w:rsid w:val="00F92FAF"/>
    <w:rsid w:val="00F931CF"/>
    <w:rsid w:val="00F9336C"/>
    <w:rsid w:val="00F93529"/>
    <w:rsid w:val="00F93675"/>
    <w:rsid w:val="00F93A31"/>
    <w:rsid w:val="00F93A8F"/>
    <w:rsid w:val="00F93BA1"/>
    <w:rsid w:val="00F93C1F"/>
    <w:rsid w:val="00F93C5A"/>
    <w:rsid w:val="00F93D6E"/>
    <w:rsid w:val="00F93EC1"/>
    <w:rsid w:val="00F94021"/>
    <w:rsid w:val="00F9423D"/>
    <w:rsid w:val="00F9426B"/>
    <w:rsid w:val="00F944B1"/>
    <w:rsid w:val="00F9451E"/>
    <w:rsid w:val="00F94609"/>
    <w:rsid w:val="00F946B2"/>
    <w:rsid w:val="00F94CE7"/>
    <w:rsid w:val="00F94F07"/>
    <w:rsid w:val="00F95182"/>
    <w:rsid w:val="00F95483"/>
    <w:rsid w:val="00F95566"/>
    <w:rsid w:val="00F95591"/>
    <w:rsid w:val="00F957D2"/>
    <w:rsid w:val="00F95A0C"/>
    <w:rsid w:val="00F95D94"/>
    <w:rsid w:val="00F9663D"/>
    <w:rsid w:val="00F96739"/>
    <w:rsid w:val="00F9679E"/>
    <w:rsid w:val="00F96C6F"/>
    <w:rsid w:val="00F96F86"/>
    <w:rsid w:val="00F96FD7"/>
    <w:rsid w:val="00F96FFA"/>
    <w:rsid w:val="00F9751C"/>
    <w:rsid w:val="00F97711"/>
    <w:rsid w:val="00F97A2A"/>
    <w:rsid w:val="00F97E0E"/>
    <w:rsid w:val="00F97E93"/>
    <w:rsid w:val="00F97F9D"/>
    <w:rsid w:val="00FA0026"/>
    <w:rsid w:val="00FA0097"/>
    <w:rsid w:val="00FA02B8"/>
    <w:rsid w:val="00FA07A1"/>
    <w:rsid w:val="00FA0832"/>
    <w:rsid w:val="00FA0980"/>
    <w:rsid w:val="00FA0E52"/>
    <w:rsid w:val="00FA0E53"/>
    <w:rsid w:val="00FA0EFB"/>
    <w:rsid w:val="00FA0F8F"/>
    <w:rsid w:val="00FA1028"/>
    <w:rsid w:val="00FA10F7"/>
    <w:rsid w:val="00FA157E"/>
    <w:rsid w:val="00FA178F"/>
    <w:rsid w:val="00FA181F"/>
    <w:rsid w:val="00FA19AA"/>
    <w:rsid w:val="00FA1C1F"/>
    <w:rsid w:val="00FA1C36"/>
    <w:rsid w:val="00FA1E82"/>
    <w:rsid w:val="00FA1ED4"/>
    <w:rsid w:val="00FA1F2C"/>
    <w:rsid w:val="00FA1FF6"/>
    <w:rsid w:val="00FA20D0"/>
    <w:rsid w:val="00FA2137"/>
    <w:rsid w:val="00FA21B0"/>
    <w:rsid w:val="00FA272C"/>
    <w:rsid w:val="00FA272D"/>
    <w:rsid w:val="00FA2A27"/>
    <w:rsid w:val="00FA2C40"/>
    <w:rsid w:val="00FA2CC6"/>
    <w:rsid w:val="00FA2DEB"/>
    <w:rsid w:val="00FA338D"/>
    <w:rsid w:val="00FA34A2"/>
    <w:rsid w:val="00FA351F"/>
    <w:rsid w:val="00FA3629"/>
    <w:rsid w:val="00FA3742"/>
    <w:rsid w:val="00FA3837"/>
    <w:rsid w:val="00FA38E9"/>
    <w:rsid w:val="00FA39FC"/>
    <w:rsid w:val="00FA3AA4"/>
    <w:rsid w:val="00FA3D8D"/>
    <w:rsid w:val="00FA44B4"/>
    <w:rsid w:val="00FA44FD"/>
    <w:rsid w:val="00FA4538"/>
    <w:rsid w:val="00FA4713"/>
    <w:rsid w:val="00FA482B"/>
    <w:rsid w:val="00FA486C"/>
    <w:rsid w:val="00FA4998"/>
    <w:rsid w:val="00FA4A94"/>
    <w:rsid w:val="00FA4CAA"/>
    <w:rsid w:val="00FA4DC2"/>
    <w:rsid w:val="00FA5043"/>
    <w:rsid w:val="00FA51E0"/>
    <w:rsid w:val="00FA55E9"/>
    <w:rsid w:val="00FA560A"/>
    <w:rsid w:val="00FA5BE4"/>
    <w:rsid w:val="00FA5C87"/>
    <w:rsid w:val="00FA5EA3"/>
    <w:rsid w:val="00FA6017"/>
    <w:rsid w:val="00FA6272"/>
    <w:rsid w:val="00FA6645"/>
    <w:rsid w:val="00FA67E3"/>
    <w:rsid w:val="00FA6BC7"/>
    <w:rsid w:val="00FA6EE5"/>
    <w:rsid w:val="00FA6FEC"/>
    <w:rsid w:val="00FA7157"/>
    <w:rsid w:val="00FA733B"/>
    <w:rsid w:val="00FA73A6"/>
    <w:rsid w:val="00FA7698"/>
    <w:rsid w:val="00FA78C2"/>
    <w:rsid w:val="00FA7A2D"/>
    <w:rsid w:val="00FA7B4F"/>
    <w:rsid w:val="00FA7DC2"/>
    <w:rsid w:val="00FA7DD8"/>
    <w:rsid w:val="00FA7F36"/>
    <w:rsid w:val="00FB00F7"/>
    <w:rsid w:val="00FB06E7"/>
    <w:rsid w:val="00FB06E9"/>
    <w:rsid w:val="00FB0725"/>
    <w:rsid w:val="00FB0822"/>
    <w:rsid w:val="00FB0975"/>
    <w:rsid w:val="00FB09AA"/>
    <w:rsid w:val="00FB0A7E"/>
    <w:rsid w:val="00FB0E8C"/>
    <w:rsid w:val="00FB1093"/>
    <w:rsid w:val="00FB13A0"/>
    <w:rsid w:val="00FB153E"/>
    <w:rsid w:val="00FB1574"/>
    <w:rsid w:val="00FB1B1B"/>
    <w:rsid w:val="00FB227E"/>
    <w:rsid w:val="00FB22AB"/>
    <w:rsid w:val="00FB23F3"/>
    <w:rsid w:val="00FB267D"/>
    <w:rsid w:val="00FB297D"/>
    <w:rsid w:val="00FB2A18"/>
    <w:rsid w:val="00FB2BF4"/>
    <w:rsid w:val="00FB2C8D"/>
    <w:rsid w:val="00FB2DC6"/>
    <w:rsid w:val="00FB3505"/>
    <w:rsid w:val="00FB351A"/>
    <w:rsid w:val="00FB38F6"/>
    <w:rsid w:val="00FB3DDA"/>
    <w:rsid w:val="00FB3E3F"/>
    <w:rsid w:val="00FB4CC2"/>
    <w:rsid w:val="00FB4DB1"/>
    <w:rsid w:val="00FB4DBA"/>
    <w:rsid w:val="00FB4FDE"/>
    <w:rsid w:val="00FB50A8"/>
    <w:rsid w:val="00FB51B7"/>
    <w:rsid w:val="00FB5DD6"/>
    <w:rsid w:val="00FB5E81"/>
    <w:rsid w:val="00FB63FE"/>
    <w:rsid w:val="00FB64F6"/>
    <w:rsid w:val="00FB692D"/>
    <w:rsid w:val="00FB6E39"/>
    <w:rsid w:val="00FB6E6C"/>
    <w:rsid w:val="00FB6EA2"/>
    <w:rsid w:val="00FB70F0"/>
    <w:rsid w:val="00FB71B0"/>
    <w:rsid w:val="00FB723A"/>
    <w:rsid w:val="00FB7ABA"/>
    <w:rsid w:val="00FB7C21"/>
    <w:rsid w:val="00FB7C3F"/>
    <w:rsid w:val="00FB7C46"/>
    <w:rsid w:val="00FB7CF0"/>
    <w:rsid w:val="00FC0298"/>
    <w:rsid w:val="00FC04E0"/>
    <w:rsid w:val="00FC08FD"/>
    <w:rsid w:val="00FC0AA9"/>
    <w:rsid w:val="00FC0D98"/>
    <w:rsid w:val="00FC0E1A"/>
    <w:rsid w:val="00FC0F19"/>
    <w:rsid w:val="00FC1042"/>
    <w:rsid w:val="00FC11C6"/>
    <w:rsid w:val="00FC1473"/>
    <w:rsid w:val="00FC17D8"/>
    <w:rsid w:val="00FC18F0"/>
    <w:rsid w:val="00FC1DC0"/>
    <w:rsid w:val="00FC1E6D"/>
    <w:rsid w:val="00FC2340"/>
    <w:rsid w:val="00FC24A6"/>
    <w:rsid w:val="00FC25A7"/>
    <w:rsid w:val="00FC279A"/>
    <w:rsid w:val="00FC288C"/>
    <w:rsid w:val="00FC2AF1"/>
    <w:rsid w:val="00FC2BAB"/>
    <w:rsid w:val="00FC2DB3"/>
    <w:rsid w:val="00FC324D"/>
    <w:rsid w:val="00FC33BA"/>
    <w:rsid w:val="00FC3672"/>
    <w:rsid w:val="00FC38AF"/>
    <w:rsid w:val="00FC39A1"/>
    <w:rsid w:val="00FC3BC3"/>
    <w:rsid w:val="00FC3E47"/>
    <w:rsid w:val="00FC4015"/>
    <w:rsid w:val="00FC401E"/>
    <w:rsid w:val="00FC44C2"/>
    <w:rsid w:val="00FC49D9"/>
    <w:rsid w:val="00FC4B53"/>
    <w:rsid w:val="00FC4B66"/>
    <w:rsid w:val="00FC4B90"/>
    <w:rsid w:val="00FC4BAE"/>
    <w:rsid w:val="00FC4BFE"/>
    <w:rsid w:val="00FC4C8B"/>
    <w:rsid w:val="00FC5046"/>
    <w:rsid w:val="00FC5160"/>
    <w:rsid w:val="00FC52CE"/>
    <w:rsid w:val="00FC58B4"/>
    <w:rsid w:val="00FC5A36"/>
    <w:rsid w:val="00FC61D4"/>
    <w:rsid w:val="00FC61DE"/>
    <w:rsid w:val="00FC6254"/>
    <w:rsid w:val="00FC679A"/>
    <w:rsid w:val="00FC69CF"/>
    <w:rsid w:val="00FC6B0B"/>
    <w:rsid w:val="00FC6F4F"/>
    <w:rsid w:val="00FC7004"/>
    <w:rsid w:val="00FC713B"/>
    <w:rsid w:val="00FC761B"/>
    <w:rsid w:val="00FC7862"/>
    <w:rsid w:val="00FC798F"/>
    <w:rsid w:val="00FC79D5"/>
    <w:rsid w:val="00FC7B35"/>
    <w:rsid w:val="00FC7B53"/>
    <w:rsid w:val="00FC7EDE"/>
    <w:rsid w:val="00FD016E"/>
    <w:rsid w:val="00FD0177"/>
    <w:rsid w:val="00FD02BD"/>
    <w:rsid w:val="00FD0480"/>
    <w:rsid w:val="00FD051A"/>
    <w:rsid w:val="00FD06FA"/>
    <w:rsid w:val="00FD0AE7"/>
    <w:rsid w:val="00FD0B44"/>
    <w:rsid w:val="00FD0F70"/>
    <w:rsid w:val="00FD1092"/>
    <w:rsid w:val="00FD13D0"/>
    <w:rsid w:val="00FD1568"/>
    <w:rsid w:val="00FD1617"/>
    <w:rsid w:val="00FD2315"/>
    <w:rsid w:val="00FD23B0"/>
    <w:rsid w:val="00FD2725"/>
    <w:rsid w:val="00FD29A7"/>
    <w:rsid w:val="00FD2B15"/>
    <w:rsid w:val="00FD2E97"/>
    <w:rsid w:val="00FD2F71"/>
    <w:rsid w:val="00FD3092"/>
    <w:rsid w:val="00FD30B4"/>
    <w:rsid w:val="00FD35A1"/>
    <w:rsid w:val="00FD3AEA"/>
    <w:rsid w:val="00FD3C61"/>
    <w:rsid w:val="00FD3FAB"/>
    <w:rsid w:val="00FD40FC"/>
    <w:rsid w:val="00FD412E"/>
    <w:rsid w:val="00FD420F"/>
    <w:rsid w:val="00FD42EB"/>
    <w:rsid w:val="00FD4503"/>
    <w:rsid w:val="00FD4578"/>
    <w:rsid w:val="00FD46C1"/>
    <w:rsid w:val="00FD491E"/>
    <w:rsid w:val="00FD4BFB"/>
    <w:rsid w:val="00FD4C63"/>
    <w:rsid w:val="00FD4E34"/>
    <w:rsid w:val="00FD4F2F"/>
    <w:rsid w:val="00FD506A"/>
    <w:rsid w:val="00FD51F7"/>
    <w:rsid w:val="00FD523A"/>
    <w:rsid w:val="00FD5258"/>
    <w:rsid w:val="00FD52BF"/>
    <w:rsid w:val="00FD53D4"/>
    <w:rsid w:val="00FD5602"/>
    <w:rsid w:val="00FD5A2A"/>
    <w:rsid w:val="00FD5AAB"/>
    <w:rsid w:val="00FD5AE2"/>
    <w:rsid w:val="00FD5C3A"/>
    <w:rsid w:val="00FD5D4D"/>
    <w:rsid w:val="00FD5DB7"/>
    <w:rsid w:val="00FD601F"/>
    <w:rsid w:val="00FD61A8"/>
    <w:rsid w:val="00FD62B4"/>
    <w:rsid w:val="00FD6352"/>
    <w:rsid w:val="00FD66C4"/>
    <w:rsid w:val="00FD6AE9"/>
    <w:rsid w:val="00FD6D0A"/>
    <w:rsid w:val="00FD6FC2"/>
    <w:rsid w:val="00FD70FE"/>
    <w:rsid w:val="00FD7106"/>
    <w:rsid w:val="00FD7142"/>
    <w:rsid w:val="00FD750F"/>
    <w:rsid w:val="00FD7836"/>
    <w:rsid w:val="00FD7FCC"/>
    <w:rsid w:val="00FD7FED"/>
    <w:rsid w:val="00FE011C"/>
    <w:rsid w:val="00FE07DC"/>
    <w:rsid w:val="00FE0A3F"/>
    <w:rsid w:val="00FE0ABA"/>
    <w:rsid w:val="00FE0BDD"/>
    <w:rsid w:val="00FE0F7B"/>
    <w:rsid w:val="00FE1116"/>
    <w:rsid w:val="00FE161A"/>
    <w:rsid w:val="00FE188E"/>
    <w:rsid w:val="00FE1E64"/>
    <w:rsid w:val="00FE1F13"/>
    <w:rsid w:val="00FE2075"/>
    <w:rsid w:val="00FE2080"/>
    <w:rsid w:val="00FE2647"/>
    <w:rsid w:val="00FE279E"/>
    <w:rsid w:val="00FE27B9"/>
    <w:rsid w:val="00FE28C8"/>
    <w:rsid w:val="00FE2A43"/>
    <w:rsid w:val="00FE2E0B"/>
    <w:rsid w:val="00FE2E37"/>
    <w:rsid w:val="00FE3156"/>
    <w:rsid w:val="00FE315D"/>
    <w:rsid w:val="00FE3640"/>
    <w:rsid w:val="00FE3780"/>
    <w:rsid w:val="00FE3954"/>
    <w:rsid w:val="00FE3CF7"/>
    <w:rsid w:val="00FE4071"/>
    <w:rsid w:val="00FE41BD"/>
    <w:rsid w:val="00FE41F3"/>
    <w:rsid w:val="00FE42E3"/>
    <w:rsid w:val="00FE4629"/>
    <w:rsid w:val="00FE4BBB"/>
    <w:rsid w:val="00FE4CBD"/>
    <w:rsid w:val="00FE4DF4"/>
    <w:rsid w:val="00FE4E71"/>
    <w:rsid w:val="00FE4ECD"/>
    <w:rsid w:val="00FE52A9"/>
    <w:rsid w:val="00FE52B7"/>
    <w:rsid w:val="00FE535F"/>
    <w:rsid w:val="00FE53C5"/>
    <w:rsid w:val="00FE53D5"/>
    <w:rsid w:val="00FE5588"/>
    <w:rsid w:val="00FE5678"/>
    <w:rsid w:val="00FE5807"/>
    <w:rsid w:val="00FE5BAC"/>
    <w:rsid w:val="00FE5C39"/>
    <w:rsid w:val="00FE5C57"/>
    <w:rsid w:val="00FE5F6A"/>
    <w:rsid w:val="00FE5FBA"/>
    <w:rsid w:val="00FE6064"/>
    <w:rsid w:val="00FE624E"/>
    <w:rsid w:val="00FE6415"/>
    <w:rsid w:val="00FE651D"/>
    <w:rsid w:val="00FE6535"/>
    <w:rsid w:val="00FE6648"/>
    <w:rsid w:val="00FE6901"/>
    <w:rsid w:val="00FE69E7"/>
    <w:rsid w:val="00FE6BB8"/>
    <w:rsid w:val="00FE6E76"/>
    <w:rsid w:val="00FE786E"/>
    <w:rsid w:val="00FE79AD"/>
    <w:rsid w:val="00FE7ACF"/>
    <w:rsid w:val="00FE7B94"/>
    <w:rsid w:val="00FE7F1E"/>
    <w:rsid w:val="00FF027B"/>
    <w:rsid w:val="00FF06DD"/>
    <w:rsid w:val="00FF07FB"/>
    <w:rsid w:val="00FF09B7"/>
    <w:rsid w:val="00FF0C6A"/>
    <w:rsid w:val="00FF0E1A"/>
    <w:rsid w:val="00FF0FFE"/>
    <w:rsid w:val="00FF10D8"/>
    <w:rsid w:val="00FF1174"/>
    <w:rsid w:val="00FF14D9"/>
    <w:rsid w:val="00FF165A"/>
    <w:rsid w:val="00FF1A9F"/>
    <w:rsid w:val="00FF1B72"/>
    <w:rsid w:val="00FF1BF9"/>
    <w:rsid w:val="00FF1C58"/>
    <w:rsid w:val="00FF1C84"/>
    <w:rsid w:val="00FF1CE1"/>
    <w:rsid w:val="00FF1CF1"/>
    <w:rsid w:val="00FF1F4C"/>
    <w:rsid w:val="00FF200B"/>
    <w:rsid w:val="00FF2153"/>
    <w:rsid w:val="00FF22F1"/>
    <w:rsid w:val="00FF2654"/>
    <w:rsid w:val="00FF2E9D"/>
    <w:rsid w:val="00FF3255"/>
    <w:rsid w:val="00FF35DC"/>
    <w:rsid w:val="00FF3975"/>
    <w:rsid w:val="00FF3A6A"/>
    <w:rsid w:val="00FF3C7A"/>
    <w:rsid w:val="00FF3E09"/>
    <w:rsid w:val="00FF4004"/>
    <w:rsid w:val="00FF411C"/>
    <w:rsid w:val="00FF456F"/>
    <w:rsid w:val="00FF4594"/>
    <w:rsid w:val="00FF49D7"/>
    <w:rsid w:val="00FF4AA8"/>
    <w:rsid w:val="00FF4B2E"/>
    <w:rsid w:val="00FF4C38"/>
    <w:rsid w:val="00FF4E4B"/>
    <w:rsid w:val="00FF4E4E"/>
    <w:rsid w:val="00FF5049"/>
    <w:rsid w:val="00FF5266"/>
    <w:rsid w:val="00FF5816"/>
    <w:rsid w:val="00FF588A"/>
    <w:rsid w:val="00FF59E9"/>
    <w:rsid w:val="00FF5AEC"/>
    <w:rsid w:val="00FF5C2D"/>
    <w:rsid w:val="00FF5D1F"/>
    <w:rsid w:val="00FF5F95"/>
    <w:rsid w:val="00FF600D"/>
    <w:rsid w:val="00FF6126"/>
    <w:rsid w:val="00FF61F5"/>
    <w:rsid w:val="00FF62AA"/>
    <w:rsid w:val="00FF64D7"/>
    <w:rsid w:val="00FF6B6C"/>
    <w:rsid w:val="00FF6CA5"/>
    <w:rsid w:val="00FF70A0"/>
    <w:rsid w:val="00FF7191"/>
    <w:rsid w:val="00FF748A"/>
    <w:rsid w:val="00FF7A00"/>
    <w:rsid w:val="00FF7FD4"/>
    <w:rsid w:val="01420B2A"/>
    <w:rsid w:val="01915AE3"/>
    <w:rsid w:val="01AA2C10"/>
    <w:rsid w:val="02CB76A6"/>
    <w:rsid w:val="02D7201B"/>
    <w:rsid w:val="037738D8"/>
    <w:rsid w:val="03EE579D"/>
    <w:rsid w:val="05A96137"/>
    <w:rsid w:val="05B53FF0"/>
    <w:rsid w:val="075F0692"/>
    <w:rsid w:val="07D13C08"/>
    <w:rsid w:val="08F53B23"/>
    <w:rsid w:val="09F935EE"/>
    <w:rsid w:val="0A070656"/>
    <w:rsid w:val="0A913ED8"/>
    <w:rsid w:val="0B24171E"/>
    <w:rsid w:val="0BB33687"/>
    <w:rsid w:val="0D081F34"/>
    <w:rsid w:val="0D584403"/>
    <w:rsid w:val="0DDA523F"/>
    <w:rsid w:val="0F333B7C"/>
    <w:rsid w:val="0F5F3EF3"/>
    <w:rsid w:val="101C0A97"/>
    <w:rsid w:val="10F67974"/>
    <w:rsid w:val="116353E3"/>
    <w:rsid w:val="117C7228"/>
    <w:rsid w:val="12372407"/>
    <w:rsid w:val="12D6790A"/>
    <w:rsid w:val="12F438A7"/>
    <w:rsid w:val="1348121B"/>
    <w:rsid w:val="13977E74"/>
    <w:rsid w:val="141B7F51"/>
    <w:rsid w:val="146F2C7A"/>
    <w:rsid w:val="149E4992"/>
    <w:rsid w:val="15A217AD"/>
    <w:rsid w:val="15C026F1"/>
    <w:rsid w:val="15E87522"/>
    <w:rsid w:val="17064457"/>
    <w:rsid w:val="189439F5"/>
    <w:rsid w:val="18C643E3"/>
    <w:rsid w:val="191A2DAF"/>
    <w:rsid w:val="1A442DE9"/>
    <w:rsid w:val="1BB91DBD"/>
    <w:rsid w:val="1D321E13"/>
    <w:rsid w:val="1D8700CA"/>
    <w:rsid w:val="1F3543D1"/>
    <w:rsid w:val="1F462152"/>
    <w:rsid w:val="1F6B6784"/>
    <w:rsid w:val="20780ECB"/>
    <w:rsid w:val="21455F84"/>
    <w:rsid w:val="224176AA"/>
    <w:rsid w:val="228C1199"/>
    <w:rsid w:val="235634BB"/>
    <w:rsid w:val="242D24F6"/>
    <w:rsid w:val="24801EBF"/>
    <w:rsid w:val="24977600"/>
    <w:rsid w:val="267C65EA"/>
    <w:rsid w:val="26AA0F6E"/>
    <w:rsid w:val="26C804AF"/>
    <w:rsid w:val="272F1A96"/>
    <w:rsid w:val="27AC0841"/>
    <w:rsid w:val="2848646B"/>
    <w:rsid w:val="297B0CF7"/>
    <w:rsid w:val="2A51423E"/>
    <w:rsid w:val="2B1E0D76"/>
    <w:rsid w:val="2C064E2B"/>
    <w:rsid w:val="2DC240C6"/>
    <w:rsid w:val="2EDD2DD9"/>
    <w:rsid w:val="2EFA61AC"/>
    <w:rsid w:val="2F723467"/>
    <w:rsid w:val="2FD27A4A"/>
    <w:rsid w:val="320F09C0"/>
    <w:rsid w:val="32743041"/>
    <w:rsid w:val="32A02B99"/>
    <w:rsid w:val="33D414D0"/>
    <w:rsid w:val="35733184"/>
    <w:rsid w:val="35CD358A"/>
    <w:rsid w:val="362A09EF"/>
    <w:rsid w:val="369C1105"/>
    <w:rsid w:val="37467D39"/>
    <w:rsid w:val="385F359C"/>
    <w:rsid w:val="3AF11C2B"/>
    <w:rsid w:val="3BA80B19"/>
    <w:rsid w:val="3BF5569A"/>
    <w:rsid w:val="3C09205F"/>
    <w:rsid w:val="3C4240EC"/>
    <w:rsid w:val="3E213B45"/>
    <w:rsid w:val="3E997760"/>
    <w:rsid w:val="3F3A1FEB"/>
    <w:rsid w:val="405F6B9A"/>
    <w:rsid w:val="40885740"/>
    <w:rsid w:val="4096034B"/>
    <w:rsid w:val="40C95A27"/>
    <w:rsid w:val="41CB5019"/>
    <w:rsid w:val="42253D73"/>
    <w:rsid w:val="42DC0426"/>
    <w:rsid w:val="43BF32E9"/>
    <w:rsid w:val="43C76649"/>
    <w:rsid w:val="44B91A5D"/>
    <w:rsid w:val="452F03D4"/>
    <w:rsid w:val="459A3BBF"/>
    <w:rsid w:val="46B65E72"/>
    <w:rsid w:val="47843179"/>
    <w:rsid w:val="48667A9D"/>
    <w:rsid w:val="4A845C50"/>
    <w:rsid w:val="4AF875FC"/>
    <w:rsid w:val="4B976A53"/>
    <w:rsid w:val="4CB26265"/>
    <w:rsid w:val="4E6268C7"/>
    <w:rsid w:val="4EAC5711"/>
    <w:rsid w:val="4EDA0D8F"/>
    <w:rsid w:val="4FAD3644"/>
    <w:rsid w:val="505C7478"/>
    <w:rsid w:val="508477D3"/>
    <w:rsid w:val="519412E6"/>
    <w:rsid w:val="51B2004B"/>
    <w:rsid w:val="527C2D46"/>
    <w:rsid w:val="54835239"/>
    <w:rsid w:val="55622629"/>
    <w:rsid w:val="557701D2"/>
    <w:rsid w:val="58193A4F"/>
    <w:rsid w:val="581E2406"/>
    <w:rsid w:val="594F1843"/>
    <w:rsid w:val="595D0375"/>
    <w:rsid w:val="5A3A2DDD"/>
    <w:rsid w:val="5A441D2F"/>
    <w:rsid w:val="5D0426C1"/>
    <w:rsid w:val="5D201747"/>
    <w:rsid w:val="5DA31D4F"/>
    <w:rsid w:val="5DF76D59"/>
    <w:rsid w:val="60447752"/>
    <w:rsid w:val="60916C0C"/>
    <w:rsid w:val="614B42F9"/>
    <w:rsid w:val="61501C31"/>
    <w:rsid w:val="63A14D89"/>
    <w:rsid w:val="64441196"/>
    <w:rsid w:val="646978EA"/>
    <w:rsid w:val="6561242F"/>
    <w:rsid w:val="68C70FC8"/>
    <w:rsid w:val="69842CB6"/>
    <w:rsid w:val="6B241A17"/>
    <w:rsid w:val="6B28556D"/>
    <w:rsid w:val="6B7A2359"/>
    <w:rsid w:val="6BBD7A57"/>
    <w:rsid w:val="6E9C0F6F"/>
    <w:rsid w:val="6F983C7A"/>
    <w:rsid w:val="6FC13B19"/>
    <w:rsid w:val="7103031A"/>
    <w:rsid w:val="71121F70"/>
    <w:rsid w:val="711B76F1"/>
    <w:rsid w:val="71AD7318"/>
    <w:rsid w:val="71E90908"/>
    <w:rsid w:val="726D70E7"/>
    <w:rsid w:val="73EF7875"/>
    <w:rsid w:val="744D5EC9"/>
    <w:rsid w:val="758C5A49"/>
    <w:rsid w:val="75FF8994"/>
    <w:rsid w:val="76275962"/>
    <w:rsid w:val="76FF7EFD"/>
    <w:rsid w:val="77CC74DE"/>
    <w:rsid w:val="77F315D6"/>
    <w:rsid w:val="78264556"/>
    <w:rsid w:val="78F66516"/>
    <w:rsid w:val="79E65A52"/>
    <w:rsid w:val="79FB30C9"/>
    <w:rsid w:val="7A3538A9"/>
    <w:rsid w:val="7A7C4102"/>
    <w:rsid w:val="7B1403CC"/>
    <w:rsid w:val="7C6505C5"/>
    <w:rsid w:val="7C744EE5"/>
    <w:rsid w:val="7C9C4E59"/>
    <w:rsid w:val="7DBA7990"/>
    <w:rsid w:val="7E1700E3"/>
    <w:rsid w:val="7E477448"/>
    <w:rsid w:val="7ED2669B"/>
    <w:rsid w:val="7F3FFAC3"/>
    <w:rsid w:val="FECFB9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qFormat="1" w:uiPriority="99" w:semiHidden="0" w:name="table of figures"/>
    <w:lsdException w:uiPriority="99" w:name="envelope address"/>
    <w:lsdException w:uiPriority="99" w:name="envelope return"/>
    <w:lsdException w:qFormat="1" w:uiPriority="99" w:semiHidden="0" w:name="footnote reference"/>
    <w:lsdException w:qFormat="1" w:uiPriority="0"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67"/>
    <w:qFormat/>
    <w:uiPriority w:val="0"/>
    <w:pPr>
      <w:keepNext/>
      <w:keepLines/>
      <w:spacing w:before="260" w:after="260" w:line="416" w:lineRule="auto"/>
      <w:outlineLvl w:val="1"/>
    </w:pPr>
    <w:rPr>
      <w:rFonts w:ascii="Arial" w:hAnsi="Arial" w:eastAsia="黑体"/>
      <w:b/>
      <w:bCs/>
      <w:kern w:val="0"/>
      <w:sz w:val="32"/>
      <w:szCs w:val="32"/>
    </w:rPr>
  </w:style>
  <w:style w:type="paragraph" w:styleId="4">
    <w:name w:val="heading 3"/>
    <w:basedOn w:val="1"/>
    <w:next w:val="1"/>
    <w:link w:val="68"/>
    <w:qFormat/>
    <w:uiPriority w:val="0"/>
    <w:pPr>
      <w:keepNext/>
      <w:keepLines/>
      <w:spacing w:before="260" w:after="260" w:line="416" w:lineRule="auto"/>
      <w:outlineLvl w:val="2"/>
    </w:pPr>
    <w:rPr>
      <w:b/>
      <w:bCs/>
      <w:kern w:val="0"/>
      <w:sz w:val="32"/>
      <w:szCs w:val="32"/>
    </w:rPr>
  </w:style>
  <w:style w:type="paragraph" w:styleId="5">
    <w:name w:val="heading 4"/>
    <w:basedOn w:val="1"/>
    <w:next w:val="1"/>
    <w:link w:val="69"/>
    <w:qFormat/>
    <w:uiPriority w:val="9"/>
    <w:pPr>
      <w:keepNext/>
      <w:keepLines/>
      <w:spacing w:before="280" w:after="290" w:line="376" w:lineRule="auto"/>
      <w:outlineLvl w:val="3"/>
    </w:pPr>
    <w:rPr>
      <w:rFonts w:ascii="Calibri Light" w:hAnsi="Calibri Light"/>
      <w:b/>
      <w:bCs/>
      <w:sz w:val="28"/>
      <w:szCs w:val="28"/>
    </w:rPr>
  </w:style>
  <w:style w:type="paragraph" w:styleId="6">
    <w:name w:val="heading 5"/>
    <w:basedOn w:val="1"/>
    <w:next w:val="7"/>
    <w:link w:val="70"/>
    <w:qFormat/>
    <w:uiPriority w:val="0"/>
    <w:pPr>
      <w:keepNext/>
      <w:keepLines/>
      <w:numPr>
        <w:ilvl w:val="4"/>
        <w:numId w:val="1"/>
      </w:numPr>
      <w:spacing w:before="280" w:after="290" w:line="376" w:lineRule="auto"/>
      <w:outlineLvl w:val="4"/>
    </w:pPr>
    <w:rPr>
      <w:b/>
      <w:sz w:val="28"/>
    </w:rPr>
  </w:style>
  <w:style w:type="paragraph" w:styleId="8">
    <w:name w:val="heading 6"/>
    <w:basedOn w:val="1"/>
    <w:next w:val="7"/>
    <w:link w:val="72"/>
    <w:qFormat/>
    <w:uiPriority w:val="0"/>
    <w:pPr>
      <w:keepNext/>
      <w:keepLines/>
      <w:numPr>
        <w:ilvl w:val="5"/>
        <w:numId w:val="1"/>
      </w:numPr>
      <w:spacing w:before="240" w:after="64" w:line="320" w:lineRule="auto"/>
      <w:outlineLvl w:val="5"/>
    </w:pPr>
    <w:rPr>
      <w:rFonts w:ascii="Arial" w:hAnsi="Arial" w:eastAsia="黑体"/>
      <w:b/>
      <w:sz w:val="24"/>
    </w:rPr>
  </w:style>
  <w:style w:type="paragraph" w:styleId="9">
    <w:name w:val="heading 7"/>
    <w:basedOn w:val="1"/>
    <w:next w:val="7"/>
    <w:link w:val="73"/>
    <w:qFormat/>
    <w:uiPriority w:val="0"/>
    <w:pPr>
      <w:keepNext/>
      <w:keepLines/>
      <w:numPr>
        <w:ilvl w:val="6"/>
        <w:numId w:val="1"/>
      </w:numPr>
      <w:spacing w:before="240" w:after="64" w:line="320" w:lineRule="auto"/>
      <w:outlineLvl w:val="6"/>
    </w:pPr>
    <w:rPr>
      <w:b/>
      <w:sz w:val="24"/>
    </w:rPr>
  </w:style>
  <w:style w:type="paragraph" w:styleId="10">
    <w:name w:val="heading 8"/>
    <w:basedOn w:val="1"/>
    <w:next w:val="7"/>
    <w:link w:val="74"/>
    <w:qFormat/>
    <w:uiPriority w:val="0"/>
    <w:pPr>
      <w:keepNext/>
      <w:keepLines/>
      <w:numPr>
        <w:ilvl w:val="7"/>
        <w:numId w:val="1"/>
      </w:numPr>
      <w:spacing w:before="240" w:after="64" w:line="320" w:lineRule="auto"/>
      <w:outlineLvl w:val="7"/>
    </w:pPr>
    <w:rPr>
      <w:rFonts w:ascii="Arial" w:hAnsi="Arial" w:eastAsia="黑体"/>
      <w:sz w:val="24"/>
    </w:rPr>
  </w:style>
  <w:style w:type="paragraph" w:styleId="11">
    <w:name w:val="heading 9"/>
    <w:basedOn w:val="1"/>
    <w:next w:val="7"/>
    <w:link w:val="75"/>
    <w:qFormat/>
    <w:uiPriority w:val="0"/>
    <w:pPr>
      <w:keepNext/>
      <w:keepLines/>
      <w:numPr>
        <w:ilvl w:val="8"/>
        <w:numId w:val="1"/>
      </w:numPr>
      <w:spacing w:before="240" w:after="64" w:line="320" w:lineRule="auto"/>
      <w:outlineLvl w:val="8"/>
    </w:pPr>
    <w:rPr>
      <w:rFonts w:ascii="Arial" w:hAnsi="Arial" w:eastAsia="黑体"/>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71"/>
    <w:qFormat/>
    <w:uiPriority w:val="0"/>
    <w:pPr>
      <w:ind w:firstLine="420"/>
    </w:pPr>
    <w:rPr>
      <w:szCs w:val="20"/>
    </w:rPr>
  </w:style>
  <w:style w:type="paragraph" w:styleId="12">
    <w:name w:val="toc 7"/>
    <w:basedOn w:val="1"/>
    <w:next w:val="1"/>
    <w:unhideWhenUsed/>
    <w:qFormat/>
    <w:uiPriority w:val="39"/>
    <w:pPr>
      <w:ind w:left="2520" w:leftChars="1200"/>
    </w:pPr>
    <w:rPr>
      <w:rFonts w:ascii="Calibri" w:hAnsi="Calibri"/>
      <w:szCs w:val="22"/>
    </w:rPr>
  </w:style>
  <w:style w:type="paragraph" w:styleId="13">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4">
    <w:name w:val="caption"/>
    <w:basedOn w:val="1"/>
    <w:next w:val="1"/>
    <w:qFormat/>
    <w:uiPriority w:val="0"/>
    <w:pPr>
      <w:spacing w:before="152" w:after="160"/>
    </w:pPr>
    <w:rPr>
      <w:rFonts w:ascii="Arial" w:hAnsi="Arial" w:eastAsia="黑体" w:cs="Arial"/>
      <w:sz w:val="20"/>
      <w:szCs w:val="20"/>
    </w:rPr>
  </w:style>
  <w:style w:type="paragraph" w:styleId="15">
    <w:name w:val="Document Map"/>
    <w:basedOn w:val="1"/>
    <w:link w:val="76"/>
    <w:unhideWhenUsed/>
    <w:qFormat/>
    <w:uiPriority w:val="0"/>
    <w:pPr>
      <w:shd w:val="clear" w:color="auto" w:fill="000080"/>
    </w:pPr>
    <w:rPr>
      <w:rFonts w:ascii="宋体" w:hAnsi="宋体"/>
      <w:kern w:val="0"/>
      <w:sz w:val="20"/>
      <w:szCs w:val="20"/>
    </w:rPr>
  </w:style>
  <w:style w:type="paragraph" w:styleId="16">
    <w:name w:val="annotation text"/>
    <w:basedOn w:val="1"/>
    <w:link w:val="77"/>
    <w:unhideWhenUsed/>
    <w:qFormat/>
    <w:uiPriority w:val="0"/>
    <w:pPr>
      <w:jc w:val="left"/>
    </w:pPr>
  </w:style>
  <w:style w:type="paragraph" w:styleId="17">
    <w:name w:val="Body Text 3"/>
    <w:basedOn w:val="1"/>
    <w:link w:val="78"/>
    <w:qFormat/>
    <w:uiPriority w:val="0"/>
    <w:pPr>
      <w:spacing w:line="500" w:lineRule="exact"/>
    </w:pPr>
    <w:rPr>
      <w:b/>
      <w:bCs/>
      <w:kern w:val="0"/>
      <w:sz w:val="24"/>
    </w:rPr>
  </w:style>
  <w:style w:type="paragraph" w:styleId="18">
    <w:name w:val="Body Text"/>
    <w:basedOn w:val="1"/>
    <w:link w:val="79"/>
    <w:qFormat/>
    <w:uiPriority w:val="99"/>
    <w:pPr>
      <w:spacing w:line="380" w:lineRule="exact"/>
    </w:pPr>
    <w:rPr>
      <w:kern w:val="0"/>
      <w:sz w:val="24"/>
    </w:rPr>
  </w:style>
  <w:style w:type="paragraph" w:styleId="19">
    <w:name w:val="Body Text Indent"/>
    <w:basedOn w:val="1"/>
    <w:link w:val="80"/>
    <w:qFormat/>
    <w:uiPriority w:val="0"/>
    <w:pPr>
      <w:ind w:firstLine="830" w:firstLineChars="352"/>
    </w:pPr>
    <w:rPr>
      <w:rFonts w:ascii="仿宋_GB2312" w:eastAsia="仿宋_GB2312"/>
      <w:kern w:val="0"/>
      <w:sz w:val="32"/>
      <w:szCs w:val="20"/>
    </w:rPr>
  </w:style>
  <w:style w:type="paragraph" w:styleId="20">
    <w:name w:val="List Number 3"/>
    <w:basedOn w:val="1"/>
    <w:qFormat/>
    <w:uiPriority w:val="0"/>
    <w:pPr>
      <w:numPr>
        <w:ilvl w:val="0"/>
        <w:numId w:val="2"/>
      </w:numPr>
    </w:pPr>
  </w:style>
  <w:style w:type="paragraph" w:styleId="21">
    <w:name w:val="List 2"/>
    <w:basedOn w:val="1"/>
    <w:qFormat/>
    <w:uiPriority w:val="0"/>
    <w:pPr>
      <w:ind w:left="100" w:leftChars="200" w:hanging="200" w:hangingChars="200"/>
    </w:pPr>
    <w:rPr>
      <w:sz w:val="28"/>
    </w:rPr>
  </w:style>
  <w:style w:type="paragraph" w:styleId="22">
    <w:name w:val="toc 5"/>
    <w:basedOn w:val="1"/>
    <w:next w:val="1"/>
    <w:unhideWhenUsed/>
    <w:qFormat/>
    <w:uiPriority w:val="39"/>
    <w:pPr>
      <w:ind w:left="1680" w:leftChars="800"/>
    </w:pPr>
    <w:rPr>
      <w:rFonts w:ascii="Calibri" w:hAnsi="Calibri"/>
      <w:szCs w:val="22"/>
    </w:rPr>
  </w:style>
  <w:style w:type="paragraph" w:styleId="23">
    <w:name w:val="toc 3"/>
    <w:basedOn w:val="1"/>
    <w:next w:val="1"/>
    <w:unhideWhenUsed/>
    <w:qFormat/>
    <w:uiPriority w:val="39"/>
    <w:pPr>
      <w:ind w:left="840" w:leftChars="400"/>
    </w:pPr>
    <w:rPr>
      <w:rFonts w:ascii="Calibri" w:hAnsi="Calibri"/>
      <w:szCs w:val="22"/>
    </w:rPr>
  </w:style>
  <w:style w:type="paragraph" w:styleId="24">
    <w:name w:val="Plain Text"/>
    <w:basedOn w:val="1"/>
    <w:link w:val="81"/>
    <w:qFormat/>
    <w:uiPriority w:val="99"/>
    <w:rPr>
      <w:rFonts w:ascii="宋体" w:hAnsi="Courier New"/>
      <w:kern w:val="0"/>
      <w:sz w:val="20"/>
      <w:szCs w:val="21"/>
    </w:rPr>
  </w:style>
  <w:style w:type="paragraph" w:styleId="25">
    <w:name w:val="toc 8"/>
    <w:basedOn w:val="1"/>
    <w:next w:val="1"/>
    <w:unhideWhenUsed/>
    <w:qFormat/>
    <w:uiPriority w:val="39"/>
    <w:pPr>
      <w:ind w:left="2940" w:leftChars="1400"/>
    </w:pPr>
    <w:rPr>
      <w:rFonts w:ascii="Calibri" w:hAnsi="Calibri"/>
      <w:szCs w:val="22"/>
    </w:rPr>
  </w:style>
  <w:style w:type="paragraph" w:styleId="26">
    <w:name w:val="Date"/>
    <w:basedOn w:val="1"/>
    <w:next w:val="1"/>
    <w:link w:val="82"/>
    <w:qFormat/>
    <w:uiPriority w:val="0"/>
    <w:pPr>
      <w:ind w:left="100" w:leftChars="2500"/>
    </w:pPr>
    <w:rPr>
      <w:rFonts w:ascii="宋体" w:hAnsi="Courier New"/>
      <w:kern w:val="0"/>
      <w:sz w:val="20"/>
      <w:szCs w:val="21"/>
    </w:rPr>
  </w:style>
  <w:style w:type="paragraph" w:styleId="27">
    <w:name w:val="Body Text Indent 2"/>
    <w:basedOn w:val="1"/>
    <w:link w:val="83"/>
    <w:qFormat/>
    <w:uiPriority w:val="0"/>
    <w:pPr>
      <w:ind w:firstLine="630"/>
    </w:pPr>
    <w:rPr>
      <w:kern w:val="0"/>
      <w:sz w:val="32"/>
      <w:szCs w:val="20"/>
    </w:rPr>
  </w:style>
  <w:style w:type="paragraph" w:styleId="28">
    <w:name w:val="endnote text"/>
    <w:basedOn w:val="1"/>
    <w:link w:val="84"/>
    <w:unhideWhenUsed/>
    <w:qFormat/>
    <w:uiPriority w:val="99"/>
    <w:pPr>
      <w:snapToGrid w:val="0"/>
      <w:jc w:val="left"/>
    </w:pPr>
  </w:style>
  <w:style w:type="paragraph" w:styleId="29">
    <w:name w:val="Balloon Text"/>
    <w:basedOn w:val="1"/>
    <w:link w:val="85"/>
    <w:semiHidden/>
    <w:qFormat/>
    <w:uiPriority w:val="0"/>
    <w:rPr>
      <w:kern w:val="0"/>
      <w:sz w:val="18"/>
      <w:szCs w:val="18"/>
    </w:rPr>
  </w:style>
  <w:style w:type="paragraph" w:styleId="30">
    <w:name w:val="footer"/>
    <w:basedOn w:val="1"/>
    <w:link w:val="86"/>
    <w:unhideWhenUsed/>
    <w:qFormat/>
    <w:uiPriority w:val="99"/>
    <w:pPr>
      <w:tabs>
        <w:tab w:val="center" w:pos="4153"/>
        <w:tab w:val="right" w:pos="8306"/>
      </w:tabs>
      <w:snapToGrid w:val="0"/>
      <w:jc w:val="left"/>
    </w:pPr>
    <w:rPr>
      <w:kern w:val="0"/>
      <w:sz w:val="18"/>
      <w:szCs w:val="18"/>
    </w:rPr>
  </w:style>
  <w:style w:type="paragraph" w:styleId="31">
    <w:name w:val="header"/>
    <w:basedOn w:val="1"/>
    <w:link w:val="87"/>
    <w:unhideWhenUsed/>
    <w:qFormat/>
    <w:uiPriority w:val="99"/>
    <w:pPr>
      <w:pBdr>
        <w:bottom w:val="single" w:color="auto" w:sz="6" w:space="1"/>
      </w:pBdr>
      <w:tabs>
        <w:tab w:val="center" w:pos="0"/>
        <w:tab w:val="left" w:pos="8306"/>
      </w:tabs>
      <w:snapToGrid w:val="0"/>
      <w:jc w:val="center"/>
    </w:pPr>
    <w:rPr>
      <w:sz w:val="18"/>
      <w:szCs w:val="18"/>
    </w:rPr>
  </w:style>
  <w:style w:type="paragraph" w:styleId="32">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paragraph" w:styleId="33">
    <w:name w:val="toc 4"/>
    <w:basedOn w:val="1"/>
    <w:next w:val="1"/>
    <w:unhideWhenUsed/>
    <w:qFormat/>
    <w:uiPriority w:val="39"/>
    <w:pPr>
      <w:ind w:left="1260" w:leftChars="600"/>
    </w:pPr>
    <w:rPr>
      <w:rFonts w:ascii="Calibri" w:hAnsi="Calibri"/>
      <w:szCs w:val="22"/>
    </w:rPr>
  </w:style>
  <w:style w:type="paragraph" w:styleId="34">
    <w:name w:val="Subtitle"/>
    <w:basedOn w:val="1"/>
    <w:next w:val="1"/>
    <w:link w:val="88"/>
    <w:qFormat/>
    <w:uiPriority w:val="11"/>
    <w:pPr>
      <w:overflowPunct w:val="0"/>
      <w:spacing w:before="240" w:after="60" w:line="312" w:lineRule="auto"/>
      <w:jc w:val="center"/>
    </w:pPr>
    <w:rPr>
      <w:rFonts w:ascii="Calibri" w:hAnsi="Calibri"/>
      <w:b/>
      <w:bCs/>
      <w:kern w:val="28"/>
      <w:sz w:val="44"/>
      <w:szCs w:val="32"/>
    </w:rPr>
  </w:style>
  <w:style w:type="paragraph" w:styleId="35">
    <w:name w:val="List"/>
    <w:basedOn w:val="1"/>
    <w:qFormat/>
    <w:uiPriority w:val="0"/>
    <w:pPr>
      <w:ind w:left="200" w:hanging="200" w:hangingChars="200"/>
    </w:pPr>
    <w:rPr>
      <w:sz w:val="28"/>
    </w:rPr>
  </w:style>
  <w:style w:type="paragraph" w:styleId="36">
    <w:name w:val="footnote text"/>
    <w:basedOn w:val="1"/>
    <w:link w:val="89"/>
    <w:unhideWhenUsed/>
    <w:qFormat/>
    <w:uiPriority w:val="99"/>
    <w:pPr>
      <w:snapToGrid w:val="0"/>
      <w:jc w:val="left"/>
    </w:pPr>
    <w:rPr>
      <w:sz w:val="18"/>
      <w:szCs w:val="18"/>
    </w:rPr>
  </w:style>
  <w:style w:type="paragraph" w:styleId="37">
    <w:name w:val="toc 6"/>
    <w:basedOn w:val="1"/>
    <w:next w:val="1"/>
    <w:unhideWhenUsed/>
    <w:qFormat/>
    <w:uiPriority w:val="39"/>
    <w:pPr>
      <w:ind w:left="2100" w:leftChars="1000"/>
    </w:pPr>
    <w:rPr>
      <w:rFonts w:ascii="Calibri" w:hAnsi="Calibri"/>
      <w:szCs w:val="22"/>
    </w:rPr>
  </w:style>
  <w:style w:type="paragraph" w:styleId="38">
    <w:name w:val="Body Text Indent 3"/>
    <w:basedOn w:val="1"/>
    <w:link w:val="90"/>
    <w:qFormat/>
    <w:uiPriority w:val="0"/>
    <w:pPr>
      <w:spacing w:after="120"/>
      <w:ind w:left="420" w:leftChars="200"/>
    </w:pPr>
    <w:rPr>
      <w:kern w:val="0"/>
      <w:sz w:val="16"/>
      <w:szCs w:val="16"/>
    </w:rPr>
  </w:style>
  <w:style w:type="paragraph" w:styleId="39">
    <w:name w:val="table of figures"/>
    <w:basedOn w:val="1"/>
    <w:next w:val="1"/>
    <w:unhideWhenUsed/>
    <w:qFormat/>
    <w:uiPriority w:val="99"/>
    <w:pPr>
      <w:overflowPunct w:val="0"/>
      <w:ind w:left="200" w:hanging="200" w:hangingChars="200"/>
    </w:pPr>
    <w:rPr>
      <w:rFonts w:ascii="宋体" w:hAnsi="Calibri"/>
      <w:sz w:val="24"/>
      <w:szCs w:val="21"/>
    </w:rPr>
  </w:style>
  <w:style w:type="paragraph" w:styleId="40">
    <w:name w:val="toc 2"/>
    <w:basedOn w:val="1"/>
    <w:next w:val="1"/>
    <w:unhideWhenUsed/>
    <w:qFormat/>
    <w:uiPriority w:val="39"/>
    <w:pPr>
      <w:ind w:left="420" w:leftChars="200"/>
    </w:pPr>
  </w:style>
  <w:style w:type="paragraph" w:styleId="41">
    <w:name w:val="toc 9"/>
    <w:basedOn w:val="1"/>
    <w:next w:val="1"/>
    <w:unhideWhenUsed/>
    <w:qFormat/>
    <w:uiPriority w:val="39"/>
    <w:pPr>
      <w:ind w:left="3360" w:leftChars="1600"/>
    </w:pPr>
    <w:rPr>
      <w:rFonts w:ascii="Calibri" w:hAnsi="Calibri"/>
      <w:szCs w:val="22"/>
    </w:rPr>
  </w:style>
  <w:style w:type="paragraph" w:styleId="42">
    <w:name w:val="Body Text 2"/>
    <w:basedOn w:val="1"/>
    <w:link w:val="91"/>
    <w:qFormat/>
    <w:uiPriority w:val="0"/>
    <w:pPr>
      <w:spacing w:after="120" w:line="480" w:lineRule="auto"/>
    </w:pPr>
    <w:rPr>
      <w:kern w:val="0"/>
      <w:sz w:val="20"/>
    </w:rPr>
  </w:style>
  <w:style w:type="paragraph" w:styleId="43">
    <w:name w:val="Normal (Web)"/>
    <w:basedOn w:val="1"/>
    <w:qFormat/>
    <w:uiPriority w:val="0"/>
    <w:pPr>
      <w:widowControl/>
      <w:spacing w:before="100" w:beforeAutospacing="1" w:after="100" w:afterAutospacing="1"/>
      <w:jc w:val="left"/>
    </w:pPr>
    <w:rPr>
      <w:rFonts w:ascii="宋体" w:hAnsi="宋体"/>
      <w:kern w:val="0"/>
      <w:sz w:val="24"/>
    </w:rPr>
  </w:style>
  <w:style w:type="paragraph" w:styleId="44">
    <w:name w:val="index 1"/>
    <w:basedOn w:val="1"/>
    <w:next w:val="1"/>
    <w:semiHidden/>
    <w:qFormat/>
    <w:uiPriority w:val="0"/>
    <w:pPr>
      <w:spacing w:line="400" w:lineRule="exact"/>
      <w:ind w:firstLine="420" w:firstLineChars="200"/>
    </w:pPr>
    <w:rPr>
      <w:rFonts w:ascii="宋体" w:hAnsi="Courier New"/>
      <w:b/>
      <w:szCs w:val="20"/>
    </w:rPr>
  </w:style>
  <w:style w:type="paragraph" w:styleId="45">
    <w:name w:val="Title"/>
    <w:basedOn w:val="1"/>
    <w:next w:val="1"/>
    <w:link w:val="92"/>
    <w:qFormat/>
    <w:uiPriority w:val="10"/>
    <w:pPr>
      <w:spacing w:before="240" w:after="60"/>
      <w:jc w:val="center"/>
      <w:outlineLvl w:val="0"/>
    </w:pPr>
    <w:rPr>
      <w:rFonts w:ascii="Cambria" w:hAnsi="Cambria"/>
      <w:b/>
      <w:bCs/>
      <w:sz w:val="32"/>
      <w:szCs w:val="32"/>
    </w:rPr>
  </w:style>
  <w:style w:type="paragraph" w:styleId="46">
    <w:name w:val="annotation subject"/>
    <w:basedOn w:val="16"/>
    <w:next w:val="16"/>
    <w:link w:val="93"/>
    <w:unhideWhenUsed/>
    <w:qFormat/>
    <w:uiPriority w:val="99"/>
    <w:rPr>
      <w:b/>
      <w:bCs/>
    </w:rPr>
  </w:style>
  <w:style w:type="paragraph" w:styleId="47">
    <w:name w:val="Body Text First Indent"/>
    <w:basedOn w:val="18"/>
    <w:link w:val="94"/>
    <w:unhideWhenUsed/>
    <w:qFormat/>
    <w:uiPriority w:val="99"/>
    <w:pPr>
      <w:spacing w:after="120" w:line="240" w:lineRule="auto"/>
      <w:ind w:firstLine="420" w:firstLineChars="100"/>
    </w:pPr>
    <w:rPr>
      <w:kern w:val="2"/>
      <w:sz w:val="21"/>
    </w:rPr>
  </w:style>
  <w:style w:type="paragraph" w:styleId="48">
    <w:name w:val="Body Text First Indent 2"/>
    <w:basedOn w:val="19"/>
    <w:link w:val="95"/>
    <w:unhideWhenUsed/>
    <w:qFormat/>
    <w:uiPriority w:val="99"/>
    <w:pPr>
      <w:spacing w:after="120"/>
      <w:ind w:left="420" w:leftChars="200" w:firstLine="420" w:firstLineChars="200"/>
    </w:pPr>
    <w:rPr>
      <w:kern w:val="2"/>
      <w:sz w:val="21"/>
      <w:szCs w:val="24"/>
    </w:rPr>
  </w:style>
  <w:style w:type="table" w:styleId="50">
    <w:name w:val="Table Grid"/>
    <w:basedOn w:val="49"/>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22"/>
    <w:rPr>
      <w:b/>
      <w:bCs/>
    </w:rPr>
  </w:style>
  <w:style w:type="character" w:styleId="53">
    <w:name w:val="endnote reference"/>
    <w:unhideWhenUsed/>
    <w:qFormat/>
    <w:uiPriority w:val="99"/>
    <w:rPr>
      <w:vertAlign w:val="superscript"/>
    </w:rPr>
  </w:style>
  <w:style w:type="character" w:styleId="54">
    <w:name w:val="page number"/>
    <w:qFormat/>
    <w:uiPriority w:val="0"/>
  </w:style>
  <w:style w:type="character" w:styleId="55">
    <w:name w:val="FollowedHyperlink"/>
    <w:qFormat/>
    <w:uiPriority w:val="99"/>
    <w:rPr>
      <w:color w:val="800080"/>
      <w:u w:val="single"/>
    </w:rPr>
  </w:style>
  <w:style w:type="character" w:styleId="56">
    <w:name w:val="Hyperlink"/>
    <w:qFormat/>
    <w:uiPriority w:val="99"/>
    <w:rPr>
      <w:color w:val="0000FF"/>
      <w:u w:val="single"/>
    </w:rPr>
  </w:style>
  <w:style w:type="character" w:styleId="57">
    <w:name w:val="annotation reference"/>
    <w:unhideWhenUsed/>
    <w:qFormat/>
    <w:uiPriority w:val="0"/>
    <w:rPr>
      <w:sz w:val="21"/>
      <w:szCs w:val="21"/>
    </w:rPr>
  </w:style>
  <w:style w:type="character" w:styleId="58">
    <w:name w:val="footnote reference"/>
    <w:unhideWhenUsed/>
    <w:qFormat/>
    <w:uiPriority w:val="99"/>
    <w:rPr>
      <w:vertAlign w:val="superscript"/>
    </w:rPr>
  </w:style>
  <w:style w:type="character" w:customStyle="1" w:styleId="59">
    <w:name w:val="标题 2 字符"/>
    <w:semiHidden/>
    <w:qFormat/>
    <w:uiPriority w:val="0"/>
    <w:rPr>
      <w:rFonts w:ascii="等线 Light" w:hAnsi="等线 Light" w:eastAsia="等线 Light" w:cs="Times New Roman"/>
      <w:b/>
      <w:bCs/>
      <w:kern w:val="2"/>
      <w:sz w:val="32"/>
      <w:szCs w:val="32"/>
    </w:rPr>
  </w:style>
  <w:style w:type="paragraph" w:customStyle="1" w:styleId="60">
    <w:name w:val="表格文字"/>
    <w:basedOn w:val="61"/>
    <w:next w:val="63"/>
    <w:qFormat/>
    <w:uiPriority w:val="0"/>
    <w:pPr>
      <w:spacing w:before="25" w:after="25"/>
      <w:jc w:val="left"/>
    </w:pPr>
    <w:rPr>
      <w:bCs/>
      <w:spacing w:val="10"/>
      <w:kern w:val="0"/>
      <w:sz w:val="24"/>
      <w:szCs w:val="20"/>
    </w:rPr>
  </w:style>
  <w:style w:type="paragraph" w:customStyle="1" w:styleId="61">
    <w:name w:val="正文文本缩进_0"/>
    <w:basedOn w:val="62"/>
    <w:qFormat/>
    <w:uiPriority w:val="99"/>
    <w:pPr>
      <w:spacing w:before="240" w:line="360" w:lineRule="auto"/>
      <w:ind w:firstLine="552" w:firstLineChars="263"/>
    </w:pPr>
    <w:rPr>
      <w:rFonts w:ascii="宋体"/>
    </w:rPr>
  </w:style>
  <w:style w:type="paragraph" w:customStyle="1" w:styleId="62">
    <w:name w:val="正文_2"/>
    <w:next w:val="6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3">
    <w:name w:val="正文文本_0"/>
    <w:basedOn w:val="64"/>
    <w:next w:val="62"/>
    <w:unhideWhenUsed/>
    <w:qFormat/>
    <w:uiPriority w:val="0"/>
    <w:pPr>
      <w:adjustRightInd w:val="0"/>
      <w:spacing w:after="60" w:line="360" w:lineRule="atLeast"/>
      <w:ind w:left="72" w:leftChars="30" w:right="30" w:rightChars="30"/>
      <w:jc w:val="center"/>
    </w:pPr>
    <w:rPr>
      <w:rFonts w:ascii="Times New Roman" w:hAnsi="Times New Roman"/>
      <w:kern w:val="0"/>
      <w:sz w:val="20"/>
      <w:szCs w:val="20"/>
    </w:rPr>
  </w:style>
  <w:style w:type="paragraph" w:customStyle="1" w:styleId="64">
    <w:name w:val="正文_4"/>
    <w:qFormat/>
    <w:uiPriority w:val="0"/>
    <w:pPr>
      <w:widowControl w:val="0"/>
      <w:jc w:val="both"/>
    </w:pPr>
    <w:rPr>
      <w:rFonts w:ascii="Calibri" w:hAnsi="Calibri" w:eastAsia="宋体" w:cs="Times New Roman"/>
      <w:kern w:val="2"/>
      <w:sz w:val="21"/>
      <w:szCs w:val="22"/>
      <w:lang w:val="en-US" w:eastAsia="zh-CN" w:bidi="ar-SA"/>
    </w:rPr>
  </w:style>
  <w:style w:type="character" w:customStyle="1" w:styleId="65">
    <w:name w:val="标题 5 Char"/>
    <w:qFormat/>
    <w:uiPriority w:val="0"/>
    <w:rPr>
      <w:b/>
      <w:kern w:val="2"/>
      <w:sz w:val="28"/>
      <w:szCs w:val="24"/>
    </w:rPr>
  </w:style>
  <w:style w:type="character" w:customStyle="1" w:styleId="66">
    <w:name w:val="标题 1 字符1"/>
    <w:link w:val="2"/>
    <w:qFormat/>
    <w:uiPriority w:val="9"/>
    <w:rPr>
      <w:rFonts w:ascii="Times New Roman" w:hAnsi="Times New Roman" w:eastAsia="宋体" w:cs="Times New Roman"/>
      <w:b/>
      <w:bCs/>
      <w:kern w:val="44"/>
      <w:sz w:val="44"/>
      <w:szCs w:val="44"/>
    </w:rPr>
  </w:style>
  <w:style w:type="character" w:customStyle="1" w:styleId="67">
    <w:name w:val="标题 2 字符1"/>
    <w:link w:val="3"/>
    <w:qFormat/>
    <w:uiPriority w:val="0"/>
    <w:rPr>
      <w:rFonts w:ascii="Arial" w:hAnsi="Arial" w:eastAsia="黑体" w:cs="Times New Roman"/>
      <w:b/>
      <w:bCs/>
      <w:sz w:val="32"/>
      <w:szCs w:val="32"/>
    </w:rPr>
  </w:style>
  <w:style w:type="character" w:customStyle="1" w:styleId="68">
    <w:name w:val="标题 3 字符1"/>
    <w:link w:val="4"/>
    <w:qFormat/>
    <w:uiPriority w:val="0"/>
    <w:rPr>
      <w:rFonts w:ascii="Times New Roman" w:hAnsi="Times New Roman" w:eastAsia="宋体" w:cs="Times New Roman"/>
      <w:b/>
      <w:bCs/>
      <w:sz w:val="32"/>
      <w:szCs w:val="32"/>
    </w:rPr>
  </w:style>
  <w:style w:type="character" w:customStyle="1" w:styleId="69">
    <w:name w:val="标题 4 字符"/>
    <w:link w:val="5"/>
    <w:qFormat/>
    <w:uiPriority w:val="9"/>
    <w:rPr>
      <w:rFonts w:ascii="Calibri Light" w:hAnsi="Calibri Light" w:eastAsia="宋体" w:cs="Times New Roman"/>
      <w:b/>
      <w:bCs/>
      <w:kern w:val="2"/>
      <w:sz w:val="28"/>
      <w:szCs w:val="28"/>
    </w:rPr>
  </w:style>
  <w:style w:type="character" w:customStyle="1" w:styleId="70">
    <w:name w:val="标题 5 字符1"/>
    <w:link w:val="6"/>
    <w:qFormat/>
    <w:uiPriority w:val="0"/>
    <w:rPr>
      <w:b/>
      <w:kern w:val="2"/>
      <w:sz w:val="28"/>
      <w:szCs w:val="24"/>
    </w:rPr>
  </w:style>
  <w:style w:type="character" w:customStyle="1" w:styleId="71">
    <w:name w:val="正文缩进 字符"/>
    <w:link w:val="7"/>
    <w:qFormat/>
    <w:uiPriority w:val="0"/>
    <w:rPr>
      <w:kern w:val="2"/>
      <w:sz w:val="21"/>
    </w:rPr>
  </w:style>
  <w:style w:type="character" w:customStyle="1" w:styleId="72">
    <w:name w:val="标题 6 字符1"/>
    <w:link w:val="8"/>
    <w:qFormat/>
    <w:uiPriority w:val="0"/>
    <w:rPr>
      <w:rFonts w:ascii="Arial" w:hAnsi="Arial" w:eastAsia="黑体"/>
      <w:b/>
      <w:kern w:val="2"/>
      <w:sz w:val="24"/>
      <w:szCs w:val="24"/>
    </w:rPr>
  </w:style>
  <w:style w:type="character" w:customStyle="1" w:styleId="73">
    <w:name w:val="标题 7 字符1"/>
    <w:link w:val="9"/>
    <w:qFormat/>
    <w:uiPriority w:val="0"/>
    <w:rPr>
      <w:b/>
      <w:kern w:val="2"/>
      <w:sz w:val="24"/>
      <w:szCs w:val="24"/>
    </w:rPr>
  </w:style>
  <w:style w:type="character" w:customStyle="1" w:styleId="74">
    <w:name w:val="标题 8 字符1"/>
    <w:link w:val="10"/>
    <w:qFormat/>
    <w:uiPriority w:val="0"/>
    <w:rPr>
      <w:rFonts w:ascii="Arial" w:hAnsi="Arial" w:eastAsia="黑体"/>
      <w:kern w:val="2"/>
      <w:sz w:val="24"/>
      <w:szCs w:val="24"/>
    </w:rPr>
  </w:style>
  <w:style w:type="character" w:customStyle="1" w:styleId="75">
    <w:name w:val="标题 9 字符1"/>
    <w:link w:val="11"/>
    <w:qFormat/>
    <w:uiPriority w:val="0"/>
    <w:rPr>
      <w:rFonts w:ascii="Arial" w:hAnsi="Arial" w:eastAsia="黑体"/>
      <w:kern w:val="2"/>
      <w:sz w:val="21"/>
      <w:szCs w:val="24"/>
    </w:rPr>
  </w:style>
  <w:style w:type="character" w:customStyle="1" w:styleId="76">
    <w:name w:val="文档结构图 字符1"/>
    <w:link w:val="15"/>
    <w:qFormat/>
    <w:uiPriority w:val="0"/>
    <w:rPr>
      <w:rFonts w:ascii="宋体" w:hAnsi="宋体"/>
      <w:shd w:val="clear" w:color="auto" w:fill="000080"/>
    </w:rPr>
  </w:style>
  <w:style w:type="character" w:customStyle="1" w:styleId="77">
    <w:name w:val="批注文字 字符7"/>
    <w:link w:val="16"/>
    <w:qFormat/>
    <w:uiPriority w:val="0"/>
    <w:rPr>
      <w:rFonts w:ascii="Times New Roman" w:hAnsi="Times New Roman"/>
      <w:kern w:val="2"/>
      <w:sz w:val="21"/>
      <w:szCs w:val="24"/>
    </w:rPr>
  </w:style>
  <w:style w:type="character" w:customStyle="1" w:styleId="78">
    <w:name w:val="正文文本 3 字符1"/>
    <w:link w:val="17"/>
    <w:qFormat/>
    <w:uiPriority w:val="0"/>
    <w:rPr>
      <w:rFonts w:ascii="Times New Roman" w:hAnsi="Times New Roman" w:eastAsia="宋体" w:cs="Times New Roman"/>
      <w:b/>
      <w:bCs/>
      <w:sz w:val="24"/>
      <w:szCs w:val="24"/>
    </w:rPr>
  </w:style>
  <w:style w:type="character" w:customStyle="1" w:styleId="79">
    <w:name w:val="正文文本 字符1"/>
    <w:link w:val="18"/>
    <w:qFormat/>
    <w:uiPriority w:val="99"/>
    <w:rPr>
      <w:rFonts w:ascii="Times New Roman" w:hAnsi="Times New Roman" w:eastAsia="宋体" w:cs="Times New Roman"/>
      <w:sz w:val="24"/>
      <w:szCs w:val="24"/>
    </w:rPr>
  </w:style>
  <w:style w:type="character" w:customStyle="1" w:styleId="80">
    <w:name w:val="正文文本缩进 字符1"/>
    <w:link w:val="19"/>
    <w:qFormat/>
    <w:uiPriority w:val="0"/>
    <w:rPr>
      <w:rFonts w:ascii="仿宋_GB2312" w:hAnsi="Times New Roman" w:eastAsia="仿宋_GB2312" w:cs="Times New Roman"/>
      <w:sz w:val="32"/>
      <w:szCs w:val="20"/>
    </w:rPr>
  </w:style>
  <w:style w:type="character" w:customStyle="1" w:styleId="81">
    <w:name w:val="纯文本 字符2"/>
    <w:link w:val="24"/>
    <w:qFormat/>
    <w:uiPriority w:val="99"/>
    <w:rPr>
      <w:rFonts w:ascii="宋体" w:hAnsi="Courier New" w:eastAsia="宋体" w:cs="Courier New"/>
      <w:szCs w:val="21"/>
    </w:rPr>
  </w:style>
  <w:style w:type="character" w:customStyle="1" w:styleId="82">
    <w:name w:val="日期 字符1"/>
    <w:link w:val="26"/>
    <w:qFormat/>
    <w:uiPriority w:val="0"/>
    <w:rPr>
      <w:rFonts w:ascii="宋体" w:hAnsi="Courier New" w:eastAsia="宋体" w:cs="Courier New"/>
      <w:szCs w:val="21"/>
    </w:rPr>
  </w:style>
  <w:style w:type="character" w:customStyle="1" w:styleId="83">
    <w:name w:val="正文文本缩进 2 字符1"/>
    <w:link w:val="27"/>
    <w:qFormat/>
    <w:uiPriority w:val="0"/>
    <w:rPr>
      <w:rFonts w:ascii="Times New Roman" w:hAnsi="Times New Roman" w:eastAsia="宋体" w:cs="Times New Roman"/>
      <w:sz w:val="32"/>
      <w:szCs w:val="20"/>
    </w:rPr>
  </w:style>
  <w:style w:type="character" w:customStyle="1" w:styleId="84">
    <w:name w:val="尾注文本 字符1"/>
    <w:link w:val="28"/>
    <w:qFormat/>
    <w:uiPriority w:val="99"/>
    <w:rPr>
      <w:rFonts w:ascii="Times New Roman" w:hAnsi="Times New Roman"/>
      <w:kern w:val="2"/>
      <w:sz w:val="21"/>
      <w:szCs w:val="24"/>
    </w:rPr>
  </w:style>
  <w:style w:type="character" w:customStyle="1" w:styleId="85">
    <w:name w:val="批注框文本 字符1"/>
    <w:link w:val="29"/>
    <w:semiHidden/>
    <w:qFormat/>
    <w:uiPriority w:val="0"/>
    <w:rPr>
      <w:rFonts w:ascii="Times New Roman" w:hAnsi="Times New Roman" w:eastAsia="宋体" w:cs="Times New Roman"/>
      <w:sz w:val="18"/>
      <w:szCs w:val="18"/>
    </w:rPr>
  </w:style>
  <w:style w:type="character" w:customStyle="1" w:styleId="86">
    <w:name w:val="页脚 字符1"/>
    <w:link w:val="30"/>
    <w:qFormat/>
    <w:uiPriority w:val="99"/>
    <w:rPr>
      <w:sz w:val="18"/>
      <w:szCs w:val="18"/>
    </w:rPr>
  </w:style>
  <w:style w:type="character" w:customStyle="1" w:styleId="87">
    <w:name w:val="页眉 字符1"/>
    <w:link w:val="31"/>
    <w:qFormat/>
    <w:uiPriority w:val="99"/>
    <w:rPr>
      <w:rFonts w:ascii="Times New Roman" w:hAnsi="Times New Roman"/>
      <w:kern w:val="2"/>
      <w:sz w:val="18"/>
      <w:szCs w:val="18"/>
    </w:rPr>
  </w:style>
  <w:style w:type="character" w:customStyle="1" w:styleId="88">
    <w:name w:val="副标题 字符"/>
    <w:link w:val="34"/>
    <w:qFormat/>
    <w:uiPriority w:val="11"/>
    <w:rPr>
      <w:rFonts w:ascii="Calibri" w:hAnsi="Calibri" w:cs="Times New Roman"/>
      <w:b/>
      <w:bCs/>
      <w:kern w:val="28"/>
      <w:sz w:val="44"/>
      <w:szCs w:val="32"/>
    </w:rPr>
  </w:style>
  <w:style w:type="character" w:customStyle="1" w:styleId="89">
    <w:name w:val="脚注文本 字符1"/>
    <w:link w:val="36"/>
    <w:qFormat/>
    <w:uiPriority w:val="99"/>
    <w:rPr>
      <w:rFonts w:ascii="Times New Roman" w:hAnsi="Times New Roman"/>
      <w:kern w:val="2"/>
      <w:sz w:val="18"/>
      <w:szCs w:val="18"/>
    </w:rPr>
  </w:style>
  <w:style w:type="character" w:customStyle="1" w:styleId="90">
    <w:name w:val="正文文本缩进 3 字符1"/>
    <w:link w:val="38"/>
    <w:qFormat/>
    <w:uiPriority w:val="0"/>
    <w:rPr>
      <w:rFonts w:ascii="Times New Roman" w:hAnsi="Times New Roman" w:eastAsia="宋体" w:cs="Times New Roman"/>
      <w:sz w:val="16"/>
      <w:szCs w:val="16"/>
    </w:rPr>
  </w:style>
  <w:style w:type="character" w:customStyle="1" w:styleId="91">
    <w:name w:val="正文文本 2 字符1"/>
    <w:link w:val="42"/>
    <w:qFormat/>
    <w:uiPriority w:val="0"/>
    <w:rPr>
      <w:rFonts w:ascii="Times New Roman" w:hAnsi="Times New Roman" w:eastAsia="宋体" w:cs="Times New Roman"/>
      <w:szCs w:val="24"/>
    </w:rPr>
  </w:style>
  <w:style w:type="character" w:customStyle="1" w:styleId="92">
    <w:name w:val="标题 字符1"/>
    <w:link w:val="45"/>
    <w:qFormat/>
    <w:uiPriority w:val="10"/>
    <w:rPr>
      <w:rFonts w:ascii="Cambria" w:hAnsi="Cambria" w:cs="Times New Roman"/>
      <w:b/>
      <w:bCs/>
      <w:kern w:val="2"/>
      <w:sz w:val="32"/>
      <w:szCs w:val="32"/>
    </w:rPr>
  </w:style>
  <w:style w:type="character" w:customStyle="1" w:styleId="93">
    <w:name w:val="批注主题 字符1"/>
    <w:link w:val="46"/>
    <w:qFormat/>
    <w:uiPriority w:val="99"/>
    <w:rPr>
      <w:rFonts w:ascii="Times New Roman" w:hAnsi="Times New Roman"/>
      <w:b/>
      <w:bCs/>
      <w:kern w:val="2"/>
      <w:sz w:val="21"/>
      <w:szCs w:val="24"/>
    </w:rPr>
  </w:style>
  <w:style w:type="character" w:customStyle="1" w:styleId="94">
    <w:name w:val="正文文本首行缩进 字符"/>
    <w:link w:val="47"/>
    <w:semiHidden/>
    <w:qFormat/>
    <w:uiPriority w:val="99"/>
    <w:rPr>
      <w:rFonts w:ascii="Times New Roman" w:hAnsi="Times New Roman" w:eastAsia="宋体" w:cs="Times New Roman"/>
      <w:kern w:val="2"/>
      <w:sz w:val="21"/>
      <w:szCs w:val="24"/>
    </w:rPr>
  </w:style>
  <w:style w:type="character" w:customStyle="1" w:styleId="95">
    <w:name w:val="正文文本首行缩进 2 字符"/>
    <w:link w:val="48"/>
    <w:semiHidden/>
    <w:qFormat/>
    <w:uiPriority w:val="99"/>
    <w:rPr>
      <w:rFonts w:ascii="仿宋_GB2312" w:hAnsi="Times New Roman" w:eastAsia="仿宋_GB2312" w:cs="Times New Roman"/>
      <w:kern w:val="2"/>
      <w:sz w:val="21"/>
      <w:szCs w:val="24"/>
    </w:rPr>
  </w:style>
  <w:style w:type="character" w:customStyle="1" w:styleId="96">
    <w:name w:val="纯文本 字符1"/>
    <w:qFormat/>
    <w:uiPriority w:val="0"/>
    <w:rPr>
      <w:rFonts w:ascii="宋体" w:hAnsi="Courier New"/>
    </w:rPr>
  </w:style>
  <w:style w:type="character" w:customStyle="1" w:styleId="97">
    <w:name w:val="批注文字 Char1"/>
    <w:qFormat/>
    <w:locked/>
    <w:uiPriority w:val="0"/>
    <w:rPr>
      <w:rFonts w:ascii="Times New Roman" w:hAnsi="Times New Roman"/>
      <w:kern w:val="2"/>
      <w:sz w:val="21"/>
      <w:szCs w:val="24"/>
    </w:rPr>
  </w:style>
  <w:style w:type="character" w:customStyle="1" w:styleId="98">
    <w:name w:val="headline-content4"/>
    <w:qFormat/>
    <w:uiPriority w:val="0"/>
  </w:style>
  <w:style w:type="character" w:customStyle="1" w:styleId="99">
    <w:name w:val="批注文字 字符"/>
    <w:qFormat/>
    <w:uiPriority w:val="0"/>
    <w:rPr>
      <w:rFonts w:ascii="Times New Roman" w:hAnsi="Times New Roman"/>
      <w:kern w:val="2"/>
      <w:sz w:val="21"/>
      <w:szCs w:val="24"/>
    </w:rPr>
  </w:style>
  <w:style w:type="character" w:customStyle="1" w:styleId="100">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101">
    <w:name w:val="批注文字 Char"/>
    <w:qFormat/>
    <w:uiPriority w:val="0"/>
    <w:rPr>
      <w:rFonts w:ascii="Times New Roman" w:hAnsi="Times New Roman"/>
      <w:kern w:val="2"/>
      <w:sz w:val="21"/>
      <w:szCs w:val="24"/>
    </w:rPr>
  </w:style>
  <w:style w:type="character" w:customStyle="1" w:styleId="102">
    <w:name w:val="标题 1 字符"/>
    <w:qFormat/>
    <w:uiPriority w:val="9"/>
    <w:rPr>
      <w:rFonts w:ascii="Times New Roman" w:hAnsi="Times New Roman" w:eastAsia="宋体" w:cs="Times New Roman"/>
      <w:b/>
      <w:bCs/>
      <w:kern w:val="44"/>
      <w:sz w:val="44"/>
      <w:szCs w:val="44"/>
    </w:rPr>
  </w:style>
  <w:style w:type="character" w:customStyle="1" w:styleId="103">
    <w:name w:val="apple-style-span"/>
    <w:qFormat/>
    <w:uiPriority w:val="0"/>
  </w:style>
  <w:style w:type="character" w:customStyle="1" w:styleId="104">
    <w:name w:val="正文文本缩进 字符"/>
    <w:qFormat/>
    <w:uiPriority w:val="0"/>
    <w:rPr>
      <w:rFonts w:ascii="仿宋_GB2312" w:hAnsi="Times New Roman" w:eastAsia="仿宋_GB2312" w:cs="Times New Roman"/>
      <w:sz w:val="32"/>
      <w:szCs w:val="20"/>
    </w:rPr>
  </w:style>
  <w:style w:type="character" w:customStyle="1" w:styleId="105">
    <w:name w:val="case31"/>
    <w:qFormat/>
    <w:uiPriority w:val="0"/>
    <w:rPr>
      <w:rFonts w:hint="default" w:ascii="_x000B__x000C_" w:hAnsi="_x000B__x000C_"/>
      <w:sz w:val="21"/>
      <w:szCs w:val="21"/>
    </w:rPr>
  </w:style>
  <w:style w:type="character" w:customStyle="1" w:styleId="106">
    <w:name w:val="纯文本 字符"/>
    <w:qFormat/>
    <w:uiPriority w:val="99"/>
    <w:rPr>
      <w:rFonts w:ascii="宋体" w:hAnsi="Courier New" w:eastAsia="宋体" w:cs="Courier New"/>
      <w:szCs w:val="21"/>
    </w:rPr>
  </w:style>
  <w:style w:type="character" w:customStyle="1" w:styleId="107">
    <w:name w:val="textcontents"/>
    <w:qFormat/>
    <w:uiPriority w:val="0"/>
  </w:style>
  <w:style w:type="character" w:customStyle="1" w:styleId="108">
    <w:name w:val="普通文字 Char Char2"/>
    <w:qFormat/>
    <w:uiPriority w:val="0"/>
    <w:rPr>
      <w:rFonts w:ascii="宋体" w:hAnsi="Courier New" w:eastAsia="宋体"/>
      <w:kern w:val="2"/>
      <w:sz w:val="21"/>
      <w:lang w:val="en-US" w:eastAsia="zh-CN" w:bidi="ar-SA"/>
    </w:rPr>
  </w:style>
  <w:style w:type="paragraph" w:customStyle="1" w:styleId="109">
    <w:name w:val="正文段"/>
    <w:basedOn w:val="1"/>
    <w:qFormat/>
    <w:uiPriority w:val="0"/>
    <w:pPr>
      <w:widowControl/>
      <w:snapToGrid w:val="0"/>
      <w:spacing w:after="50" w:afterLines="50"/>
      <w:ind w:firstLine="200" w:firstLineChars="200"/>
    </w:pPr>
    <w:rPr>
      <w:kern w:val="0"/>
      <w:sz w:val="24"/>
      <w:szCs w:val="20"/>
    </w:rPr>
  </w:style>
  <w:style w:type="paragraph" w:customStyle="1" w:styleId="110">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paragraph" w:customStyle="1" w:styleId="112">
    <w:name w:val="xl22"/>
    <w:basedOn w:val="1"/>
    <w:qFormat/>
    <w:uiPriority w:val="0"/>
    <w:pPr>
      <w:widowControl/>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113">
    <w:name w:val="样式"/>
    <w:qFormat/>
    <w:uiPriority w:val="0"/>
    <w:pPr>
      <w:widowControl w:val="0"/>
      <w:autoSpaceDE w:val="0"/>
      <w:autoSpaceDN w:val="0"/>
      <w:adjustRightInd w:val="0"/>
      <w:jc w:val="center"/>
    </w:pPr>
    <w:rPr>
      <w:rFonts w:ascii="宋体" w:hAnsi="宋体" w:eastAsia="宋体" w:cs="宋体"/>
      <w:sz w:val="24"/>
      <w:szCs w:val="24"/>
      <w:lang w:val="en-US" w:eastAsia="zh-CN" w:bidi="ar-SA"/>
    </w:rPr>
  </w:style>
  <w:style w:type="paragraph" w:customStyle="1" w:styleId="114">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sz w:val="28"/>
      <w:szCs w:val="20"/>
    </w:rPr>
  </w:style>
  <w:style w:type="paragraph" w:customStyle="1" w:styleId="115">
    <w:name w:val="Table Paragraph"/>
    <w:basedOn w:val="1"/>
    <w:qFormat/>
    <w:uiPriority w:val="1"/>
    <w:pPr>
      <w:jc w:val="left"/>
    </w:pPr>
    <w:rPr>
      <w:rFonts w:ascii="Calibri" w:hAnsi="Calibri"/>
      <w:kern w:val="0"/>
      <w:sz w:val="22"/>
      <w:szCs w:val="22"/>
      <w:lang w:eastAsia="en-US"/>
    </w:rPr>
  </w:style>
  <w:style w:type="paragraph" w:customStyle="1" w:styleId="116">
    <w:name w:val="Char1"/>
    <w:basedOn w:val="1"/>
    <w:qFormat/>
    <w:uiPriority w:val="0"/>
    <w:rPr>
      <w:szCs w:val="21"/>
    </w:rPr>
  </w:style>
  <w:style w:type="paragraph" w:customStyle="1" w:styleId="117">
    <w:name w:val="正文首行缩进两字符"/>
    <w:basedOn w:val="1"/>
    <w:qFormat/>
    <w:uiPriority w:val="0"/>
    <w:pPr>
      <w:spacing w:line="360" w:lineRule="auto"/>
      <w:ind w:firstLine="200" w:firstLineChars="200"/>
    </w:pPr>
  </w:style>
  <w:style w:type="paragraph" w:customStyle="1" w:styleId="118">
    <w:name w:val="表格"/>
    <w:basedOn w:val="1"/>
    <w:qFormat/>
    <w:uiPriority w:val="0"/>
    <w:pPr>
      <w:spacing w:line="400" w:lineRule="exact"/>
    </w:pPr>
    <w:rPr>
      <w:sz w:val="24"/>
    </w:rPr>
  </w:style>
  <w:style w:type="paragraph" w:customStyle="1" w:styleId="119">
    <w:name w:val="样式 首行缩进:  2 字符"/>
    <w:basedOn w:val="1"/>
    <w:qFormat/>
    <w:uiPriority w:val="0"/>
    <w:pPr>
      <w:spacing w:line="400" w:lineRule="exact"/>
      <w:ind w:firstLine="200" w:firstLineChars="200"/>
    </w:pPr>
    <w:rPr>
      <w:rFonts w:cs="宋体"/>
      <w:sz w:val="24"/>
    </w:rPr>
  </w:style>
  <w:style w:type="paragraph" w:customStyle="1" w:styleId="120">
    <w:name w:val="纯文本1"/>
    <w:basedOn w:val="1"/>
    <w:qFormat/>
    <w:uiPriority w:val="0"/>
    <w:rPr>
      <w:rFonts w:ascii="宋体" w:hAnsi="Courier New" w:cs="Century"/>
      <w:szCs w:val="21"/>
    </w:rPr>
  </w:style>
  <w:style w:type="paragraph" w:customStyle="1" w:styleId="121">
    <w:name w:val="样式 标题 3 + (中文) 黑体 小四 非加粗 段前: 7.8 磅 段后: 0 磅 行距: 固定值 20 磅"/>
    <w:basedOn w:val="4"/>
    <w:qFormat/>
    <w:uiPriority w:val="0"/>
    <w:pPr>
      <w:spacing w:before="0" w:after="0" w:line="400" w:lineRule="exact"/>
    </w:pPr>
    <w:rPr>
      <w:rFonts w:eastAsia="黑体" w:cs="宋体"/>
      <w:b w:val="0"/>
      <w:bCs w:val="0"/>
      <w:sz w:val="24"/>
      <w:szCs w:val="20"/>
    </w:rPr>
  </w:style>
  <w:style w:type="paragraph" w:styleId="122">
    <w:name w:val="List Paragraph"/>
    <w:basedOn w:val="1"/>
    <w:qFormat/>
    <w:uiPriority w:val="34"/>
    <w:pPr>
      <w:ind w:firstLine="420" w:firstLineChars="200"/>
    </w:pPr>
  </w:style>
  <w:style w:type="table" w:customStyle="1" w:styleId="123">
    <w:name w:val="Table Normal"/>
    <w:semiHidden/>
    <w:qFormat/>
    <w:uiPriority w:val="2"/>
    <w:pPr>
      <w:widowControl w:val="0"/>
    </w:pPr>
    <w:rPr>
      <w:rFonts w:ascii="Calibri" w:hAnsi="Calibri" w:eastAsia="Times New Roman"/>
      <w:sz w:val="22"/>
      <w:szCs w:val="22"/>
      <w:lang w:eastAsia="en-US"/>
    </w:rPr>
    <w:tblPr>
      <w:tblCellMar>
        <w:top w:w="0" w:type="dxa"/>
        <w:left w:w="0" w:type="dxa"/>
        <w:bottom w:w="0" w:type="dxa"/>
        <w:right w:w="0" w:type="dxa"/>
      </w:tblCellMar>
    </w:tblPr>
  </w:style>
  <w:style w:type="character" w:customStyle="1" w:styleId="124">
    <w:name w:val="纯文本 Char1"/>
    <w:qFormat/>
    <w:uiPriority w:val="0"/>
    <w:rPr>
      <w:rFonts w:ascii="宋体" w:hAnsi="Courier New" w:eastAsia="宋体" w:cs="Courier New"/>
      <w:szCs w:val="21"/>
    </w:rPr>
  </w:style>
  <w:style w:type="character" w:customStyle="1" w:styleId="125">
    <w:name w:val="标题 5 Char1"/>
    <w:qFormat/>
    <w:uiPriority w:val="0"/>
    <w:rPr>
      <w:b/>
      <w:kern w:val="2"/>
      <w:sz w:val="28"/>
      <w:szCs w:val="24"/>
    </w:rPr>
  </w:style>
  <w:style w:type="character" w:customStyle="1" w:styleId="126">
    <w:name w:val="批注文字 字符2"/>
    <w:qFormat/>
    <w:uiPriority w:val="0"/>
    <w:rPr>
      <w:rFonts w:ascii="Times New Roman" w:hAnsi="Times New Roman"/>
      <w:kern w:val="2"/>
      <w:sz w:val="21"/>
      <w:szCs w:val="24"/>
    </w:rPr>
  </w:style>
  <w:style w:type="character" w:customStyle="1" w:styleId="127">
    <w:name w:val="纯文本 Char"/>
    <w:qFormat/>
    <w:uiPriority w:val="99"/>
    <w:rPr>
      <w:rFonts w:ascii="宋体" w:hAnsi="Courier New" w:eastAsia="宋体" w:cs="Courier New"/>
      <w:szCs w:val="21"/>
    </w:rPr>
  </w:style>
  <w:style w:type="paragraph" w:customStyle="1" w:styleId="128">
    <w:name w:val="正文2"/>
    <w:basedOn w:val="1"/>
    <w:link w:val="129"/>
    <w:qFormat/>
    <w:uiPriority w:val="0"/>
    <w:pPr>
      <w:adjustRightInd w:val="0"/>
      <w:spacing w:before="156" w:line="360" w:lineRule="auto"/>
      <w:ind w:firstLine="510" w:firstLineChars="200"/>
    </w:pPr>
    <w:rPr>
      <w:sz w:val="24"/>
      <w:szCs w:val="20"/>
    </w:rPr>
  </w:style>
  <w:style w:type="character" w:customStyle="1" w:styleId="129">
    <w:name w:val="正文2 Char Char"/>
    <w:link w:val="128"/>
    <w:qFormat/>
    <w:uiPriority w:val="0"/>
    <w:rPr>
      <w:kern w:val="2"/>
      <w:sz w:val="24"/>
    </w:rPr>
  </w:style>
  <w:style w:type="paragraph" w:customStyle="1" w:styleId="130">
    <w:name w:val="文章正文"/>
    <w:basedOn w:val="1"/>
    <w:link w:val="131"/>
    <w:qFormat/>
    <w:uiPriority w:val="0"/>
    <w:pPr>
      <w:spacing w:line="360" w:lineRule="auto"/>
      <w:ind w:firstLine="200" w:firstLineChars="200"/>
    </w:pPr>
    <w:rPr>
      <w:rFonts w:ascii="Calibri" w:hAnsi="Calibri" w:eastAsia="仿宋"/>
      <w:sz w:val="28"/>
      <w:szCs w:val="22"/>
    </w:rPr>
  </w:style>
  <w:style w:type="character" w:customStyle="1" w:styleId="131">
    <w:name w:val="文章正文 Char"/>
    <w:link w:val="130"/>
    <w:qFormat/>
    <w:uiPriority w:val="0"/>
    <w:rPr>
      <w:rFonts w:ascii="Calibri" w:hAnsi="Calibri" w:eastAsia="仿宋"/>
      <w:kern w:val="2"/>
      <w:sz w:val="28"/>
      <w:szCs w:val="22"/>
    </w:rPr>
  </w:style>
  <w:style w:type="paragraph" w:customStyle="1" w:styleId="132">
    <w:name w:val="正文_0_0"/>
    <w:qFormat/>
    <w:uiPriority w:val="0"/>
    <w:pPr>
      <w:widowControl w:val="0"/>
      <w:jc w:val="both"/>
    </w:pPr>
    <w:rPr>
      <w:rFonts w:ascii="Calibri" w:hAnsi="Calibri" w:eastAsia="宋体" w:cs="Calibri"/>
      <w:kern w:val="2"/>
      <w:sz w:val="21"/>
      <w:szCs w:val="21"/>
      <w:lang w:val="en-US" w:eastAsia="zh-CN" w:bidi="ar-SA"/>
    </w:rPr>
  </w:style>
  <w:style w:type="paragraph" w:customStyle="1" w:styleId="133">
    <w:name w:val="Indent Normal"/>
    <w:basedOn w:val="1"/>
    <w:qFormat/>
    <w:uiPriority w:val="0"/>
    <w:pPr>
      <w:ind w:firstLine="150" w:firstLineChars="150"/>
    </w:pPr>
    <w:rPr>
      <w:rFonts w:ascii="Calibri" w:hAnsi="Calibri"/>
      <w:sz w:val="24"/>
    </w:rPr>
  </w:style>
  <w:style w:type="paragraph" w:customStyle="1" w:styleId="134">
    <w:name w:val="正文-首行缩进-自定义"/>
    <w:basedOn w:val="1"/>
    <w:qFormat/>
    <w:uiPriority w:val="0"/>
    <w:pPr>
      <w:overflowPunct w:val="0"/>
      <w:spacing w:line="360" w:lineRule="auto"/>
      <w:ind w:firstLine="200" w:firstLineChars="200"/>
    </w:pPr>
    <w:rPr>
      <w:rFonts w:ascii="宋体" w:hAnsi="Calibri"/>
      <w:sz w:val="24"/>
      <w:szCs w:val="21"/>
    </w:rPr>
  </w:style>
  <w:style w:type="paragraph" w:customStyle="1" w:styleId="135">
    <w:name w:val="表格-文稿-标题"/>
    <w:qFormat/>
    <w:uiPriority w:val="0"/>
    <w:pPr>
      <w:jc w:val="center"/>
    </w:pPr>
    <w:rPr>
      <w:rFonts w:ascii="宋体" w:hAnsi="Calibri" w:eastAsia="宋体" w:cs="Times New Roman"/>
      <w:b/>
      <w:kern w:val="2"/>
      <w:sz w:val="24"/>
      <w:szCs w:val="21"/>
      <w:lang w:val="en-US" w:eastAsia="zh-CN" w:bidi="ar-SA"/>
    </w:rPr>
  </w:style>
  <w:style w:type="paragraph" w:customStyle="1" w:styleId="136">
    <w:name w:val="表格-文稿-内容"/>
    <w:qFormat/>
    <w:uiPriority w:val="0"/>
    <w:pPr>
      <w:jc w:val="both"/>
    </w:pPr>
    <w:rPr>
      <w:rFonts w:ascii="宋体" w:hAnsi="Calibri" w:eastAsia="宋体" w:cs="Times New Roman"/>
      <w:kern w:val="2"/>
      <w:sz w:val="24"/>
      <w:szCs w:val="21"/>
      <w:lang w:val="en-US" w:eastAsia="zh-CN" w:bidi="ar-SA"/>
    </w:rPr>
  </w:style>
  <w:style w:type="paragraph" w:customStyle="1" w:styleId="137">
    <w:name w:val="正文-首行缩进-强调-自定义"/>
    <w:basedOn w:val="134"/>
    <w:next w:val="134"/>
    <w:qFormat/>
    <w:uiPriority w:val="0"/>
    <w:pPr>
      <w:ind w:firstLine="480"/>
    </w:pPr>
    <w:rPr>
      <w:b/>
    </w:rPr>
  </w:style>
  <w:style w:type="table" w:customStyle="1" w:styleId="138">
    <w:name w:val="无格式表格 11"/>
    <w:basedOn w:val="49"/>
    <w:qFormat/>
    <w:uiPriority w:val="41"/>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tblStylePr w:type="firstRow">
      <w:rPr>
        <w:b/>
        <w:bCs/>
      </w:rPr>
    </w:tblStylePr>
    <w:tblStylePr w:type="lastRow">
      <w:rPr>
        <w:b/>
        <w:bCs/>
      </w:rPr>
      <w:tcPr>
        <w:tcBorders>
          <w:top w:val="double" w:color="BFBFBF"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F2F2F2"/>
      </w:tcPr>
    </w:tblStylePr>
    <w:tblStylePr w:type="band1Horz">
      <w:tcPr>
        <w:shd w:val="clear" w:color="auto" w:fill="F2F2F2"/>
      </w:tcPr>
    </w:tblStylePr>
  </w:style>
  <w:style w:type="table" w:customStyle="1" w:styleId="139">
    <w:name w:val="网格型浅色1"/>
    <w:basedOn w:val="49"/>
    <w:qFormat/>
    <w:uiPriority w:val="40"/>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paragraph" w:customStyle="1" w:styleId="140">
    <w:name w:val="正文-横线-自定义"/>
    <w:basedOn w:val="1"/>
    <w:next w:val="1"/>
    <w:qFormat/>
    <w:uiPriority w:val="0"/>
    <w:pPr>
      <w:pBdr>
        <w:bottom w:val="thinThickSmallGap" w:color="auto" w:sz="36" w:space="1"/>
      </w:pBdr>
      <w:overflowPunct w:val="0"/>
      <w:spacing w:line="360" w:lineRule="auto"/>
      <w:jc w:val="center"/>
    </w:pPr>
    <w:rPr>
      <w:rFonts w:ascii="宋体" w:hAnsi="Calibri"/>
      <w:sz w:val="24"/>
      <w:szCs w:val="21"/>
    </w:rPr>
  </w:style>
  <w:style w:type="paragraph" w:customStyle="1" w:styleId="141">
    <w:name w:val="正文-嵌入式图片-自定义"/>
    <w:basedOn w:val="140"/>
    <w:next w:val="134"/>
    <w:qFormat/>
    <w:uiPriority w:val="0"/>
    <w:pPr>
      <w:pBdr>
        <w:bottom w:val="none" w:color="auto" w:sz="0" w:space="0"/>
      </w:pBdr>
    </w:pPr>
  </w:style>
  <w:style w:type="paragraph" w:customStyle="1" w:styleId="142">
    <w:name w:val="正文-编号列表-1、-首行缩进-自定义"/>
    <w:basedOn w:val="1"/>
    <w:next w:val="134"/>
    <w:qFormat/>
    <w:uiPriority w:val="0"/>
    <w:pPr>
      <w:numPr>
        <w:ilvl w:val="0"/>
        <w:numId w:val="3"/>
      </w:numPr>
      <w:overflowPunct w:val="0"/>
      <w:spacing w:line="360" w:lineRule="auto"/>
    </w:pPr>
    <w:rPr>
      <w:rFonts w:ascii="宋体" w:hAnsi="Calibri"/>
      <w:sz w:val="24"/>
      <w:szCs w:val="21"/>
    </w:rPr>
  </w:style>
  <w:style w:type="paragraph" w:customStyle="1" w:styleId="143">
    <w:name w:val="正文-编号列表-（一）-首行缩进-自定义"/>
    <w:basedOn w:val="1"/>
    <w:next w:val="134"/>
    <w:qFormat/>
    <w:uiPriority w:val="0"/>
    <w:pPr>
      <w:numPr>
        <w:ilvl w:val="0"/>
        <w:numId w:val="4"/>
      </w:numPr>
      <w:overflowPunct w:val="0"/>
      <w:spacing w:line="360" w:lineRule="auto"/>
      <w:ind w:firstLine="200" w:firstLineChars="200"/>
    </w:pPr>
    <w:rPr>
      <w:rFonts w:ascii="宋体" w:hAnsi="Calibri"/>
      <w:b/>
      <w:sz w:val="24"/>
      <w:szCs w:val="21"/>
    </w:rPr>
  </w:style>
  <w:style w:type="paragraph" w:customStyle="1" w:styleId="144">
    <w:name w:val="正文-编号列表-（1）-首行缩进-自定义"/>
    <w:basedOn w:val="1"/>
    <w:next w:val="134"/>
    <w:qFormat/>
    <w:uiPriority w:val="0"/>
    <w:pPr>
      <w:numPr>
        <w:ilvl w:val="0"/>
        <w:numId w:val="5"/>
      </w:numPr>
      <w:overflowPunct w:val="0"/>
      <w:spacing w:line="360" w:lineRule="auto"/>
    </w:pPr>
    <w:rPr>
      <w:rFonts w:ascii="宋体" w:hAnsi="Calibri"/>
      <w:sz w:val="24"/>
      <w:szCs w:val="21"/>
    </w:rPr>
  </w:style>
  <w:style w:type="paragraph" w:customStyle="1" w:styleId="145">
    <w:name w:val="正文-编号列表-1）-首行缩进-自定义"/>
    <w:basedOn w:val="1"/>
    <w:next w:val="134"/>
    <w:qFormat/>
    <w:uiPriority w:val="0"/>
    <w:pPr>
      <w:numPr>
        <w:ilvl w:val="0"/>
        <w:numId w:val="6"/>
      </w:numPr>
      <w:overflowPunct w:val="0"/>
      <w:spacing w:line="360" w:lineRule="auto"/>
    </w:pPr>
    <w:rPr>
      <w:rFonts w:ascii="宋体" w:hAnsi="Calibri"/>
      <w:sz w:val="24"/>
      <w:szCs w:val="21"/>
    </w:rPr>
  </w:style>
  <w:style w:type="paragraph" w:customStyle="1" w:styleId="146">
    <w:name w:val="正文-编号列表-1.-首行缩进-自定义"/>
    <w:basedOn w:val="1"/>
    <w:next w:val="134"/>
    <w:qFormat/>
    <w:uiPriority w:val="0"/>
    <w:pPr>
      <w:numPr>
        <w:ilvl w:val="0"/>
        <w:numId w:val="7"/>
      </w:numPr>
      <w:overflowPunct w:val="0"/>
      <w:spacing w:line="360" w:lineRule="auto"/>
    </w:pPr>
    <w:rPr>
      <w:rFonts w:ascii="宋体" w:hAnsi="Calibri"/>
      <w:sz w:val="24"/>
      <w:szCs w:val="21"/>
    </w:rPr>
  </w:style>
  <w:style w:type="paragraph" w:customStyle="1" w:styleId="147">
    <w:name w:val="表格-清单-内容"/>
    <w:qFormat/>
    <w:uiPriority w:val="0"/>
    <w:pPr>
      <w:autoSpaceDE w:val="0"/>
      <w:autoSpaceDN w:val="0"/>
      <w:adjustRightInd w:val="0"/>
      <w:jc w:val="both"/>
    </w:pPr>
    <w:rPr>
      <w:rFonts w:ascii="等线" w:hAnsi="Calibri" w:eastAsia="等线" w:cs="等线"/>
      <w:bCs/>
      <w:color w:val="000000"/>
      <w:lang w:val="en-US" w:eastAsia="zh-CN" w:bidi="ar-SA"/>
    </w:rPr>
  </w:style>
  <w:style w:type="paragraph" w:customStyle="1" w:styleId="148">
    <w:name w:val="表格-清单-标题"/>
    <w:qFormat/>
    <w:uiPriority w:val="0"/>
    <w:pPr>
      <w:jc w:val="center"/>
    </w:pPr>
    <w:rPr>
      <w:rFonts w:ascii="等线" w:hAnsi="Calibri" w:eastAsia="等线" w:cs="等线"/>
      <w:b/>
      <w:bCs/>
      <w:color w:val="000000"/>
      <w:lang w:val="en-US" w:eastAsia="zh-CN" w:bidi="ar-SA"/>
    </w:rPr>
  </w:style>
  <w:style w:type="paragraph" w:customStyle="1" w:styleId="149">
    <w:name w:val="正文-编号列表-一、-首行缩进--自定义"/>
    <w:basedOn w:val="1"/>
    <w:next w:val="134"/>
    <w:qFormat/>
    <w:uiPriority w:val="0"/>
    <w:pPr>
      <w:widowControl/>
      <w:numPr>
        <w:ilvl w:val="0"/>
        <w:numId w:val="8"/>
      </w:numPr>
      <w:spacing w:line="360" w:lineRule="auto"/>
      <w:ind w:firstLine="200" w:firstLineChars="200"/>
      <w:jc w:val="left"/>
    </w:pPr>
    <w:rPr>
      <w:rFonts w:ascii="宋体" w:hAnsi="宋体"/>
      <w:b/>
      <w:bCs/>
      <w:kern w:val="0"/>
      <w:sz w:val="24"/>
    </w:rPr>
  </w:style>
  <w:style w:type="table" w:customStyle="1" w:styleId="150">
    <w:name w:val="网格型1"/>
    <w:basedOn w:val="4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
    <w:name w:val="网格型11"/>
    <w:basedOn w:val="4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2">
    <w:name w:val="正文-编号列表-（1）-悬挂缩进-自定义"/>
    <w:basedOn w:val="1"/>
    <w:next w:val="134"/>
    <w:qFormat/>
    <w:uiPriority w:val="0"/>
    <w:pPr>
      <w:numPr>
        <w:ilvl w:val="0"/>
        <w:numId w:val="9"/>
      </w:numPr>
      <w:overflowPunct w:val="0"/>
      <w:spacing w:line="360" w:lineRule="auto"/>
    </w:pPr>
    <w:rPr>
      <w:rFonts w:ascii="宋体" w:hAnsi="Calibri"/>
      <w:sz w:val="24"/>
      <w:szCs w:val="21"/>
    </w:rPr>
  </w:style>
  <w:style w:type="table" w:customStyle="1" w:styleId="153">
    <w:name w:val="网格型2"/>
    <w:basedOn w:val="4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4">
    <w:name w:val="修订1"/>
    <w:semiHidden/>
    <w:qFormat/>
    <w:uiPriority w:val="99"/>
    <w:rPr>
      <w:rFonts w:ascii="宋体" w:hAnsi="Calibri" w:eastAsia="宋体" w:cs="Times New Roman"/>
      <w:kern w:val="2"/>
      <w:sz w:val="24"/>
      <w:szCs w:val="21"/>
      <w:lang w:val="en-US" w:eastAsia="zh-CN" w:bidi="ar-SA"/>
    </w:rPr>
  </w:style>
  <w:style w:type="table" w:customStyle="1" w:styleId="155">
    <w:name w:val="网格型21"/>
    <w:basedOn w:val="4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
    <w:name w:val="网格型111"/>
    <w:basedOn w:val="4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
    <w:name w:val="网格型211"/>
    <w:basedOn w:val="4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8">
    <w:name w:val="正文-编号列表-1）-悬挂缩进-自定义"/>
    <w:basedOn w:val="1"/>
    <w:next w:val="134"/>
    <w:qFormat/>
    <w:uiPriority w:val="0"/>
    <w:pPr>
      <w:numPr>
        <w:ilvl w:val="0"/>
        <w:numId w:val="10"/>
      </w:numPr>
      <w:overflowPunct w:val="0"/>
      <w:spacing w:line="360" w:lineRule="auto"/>
    </w:pPr>
    <w:rPr>
      <w:rFonts w:ascii="宋体" w:hAnsi="Calibri"/>
      <w:sz w:val="24"/>
      <w:szCs w:val="21"/>
    </w:rPr>
  </w:style>
  <w:style w:type="paragraph" w:customStyle="1" w:styleId="159">
    <w:name w:val="副标题-黑体-三号-自定义"/>
    <w:basedOn w:val="34"/>
    <w:qFormat/>
    <w:uiPriority w:val="0"/>
    <w:rPr>
      <w:rFonts w:ascii="Times New Roman" w:hAnsi="Times New Roman" w:eastAsia="黑体"/>
      <w:sz w:val="32"/>
    </w:rPr>
  </w:style>
  <w:style w:type="paragraph" w:customStyle="1" w:styleId="160">
    <w:name w:val="TOC 标题1"/>
    <w:basedOn w:val="2"/>
    <w:next w:val="1"/>
    <w:unhideWhenUsed/>
    <w:qFormat/>
    <w:uiPriority w:val="39"/>
    <w:pPr>
      <w:widowControl/>
      <w:spacing w:before="240" w:after="0" w:line="259" w:lineRule="auto"/>
      <w:jc w:val="left"/>
      <w:outlineLvl w:val="9"/>
    </w:pPr>
    <w:rPr>
      <w:rFonts w:ascii="Cambria" w:hAnsi="Cambria" w:eastAsia="黑体"/>
      <w:bCs w:val="0"/>
      <w:kern w:val="0"/>
      <w:sz w:val="32"/>
      <w:szCs w:val="32"/>
    </w:rPr>
  </w:style>
  <w:style w:type="character" w:customStyle="1" w:styleId="161">
    <w:name w:val="FC正文 Char"/>
    <w:link w:val="162"/>
    <w:qFormat/>
    <w:locked/>
    <w:uiPriority w:val="0"/>
    <w:rPr>
      <w:sz w:val="24"/>
      <w:szCs w:val="28"/>
    </w:rPr>
  </w:style>
  <w:style w:type="paragraph" w:customStyle="1" w:styleId="162">
    <w:name w:val="FC正文"/>
    <w:basedOn w:val="1"/>
    <w:link w:val="161"/>
    <w:qFormat/>
    <w:uiPriority w:val="0"/>
    <w:pPr>
      <w:autoSpaceDE w:val="0"/>
      <w:autoSpaceDN w:val="0"/>
      <w:adjustRightInd w:val="0"/>
      <w:spacing w:line="360" w:lineRule="auto"/>
      <w:ind w:firstLine="200" w:firstLineChars="200"/>
    </w:pPr>
    <w:rPr>
      <w:kern w:val="0"/>
      <w:sz w:val="24"/>
      <w:szCs w:val="28"/>
    </w:rPr>
  </w:style>
  <w:style w:type="table" w:customStyle="1" w:styleId="163">
    <w:name w:val="网格型3"/>
    <w:basedOn w:val="49"/>
    <w:qFormat/>
    <w:uiPriority w:val="5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64">
    <w:name w:val="纯文本 字符4"/>
    <w:qFormat/>
    <w:uiPriority w:val="0"/>
    <w:rPr>
      <w:rFonts w:ascii="宋体" w:hAnsi="Courier New" w:eastAsia="宋体" w:cs="Courier New"/>
      <w:szCs w:val="21"/>
    </w:rPr>
  </w:style>
  <w:style w:type="character" w:customStyle="1" w:styleId="165">
    <w:name w:val="批注文字 字符3"/>
    <w:qFormat/>
    <w:uiPriority w:val="0"/>
    <w:rPr>
      <w:rFonts w:ascii="Times New Roman" w:hAnsi="Times New Roman"/>
      <w:kern w:val="2"/>
      <w:sz w:val="21"/>
      <w:szCs w:val="24"/>
    </w:rPr>
  </w:style>
  <w:style w:type="character" w:customStyle="1" w:styleId="166">
    <w:name w:val="批注主题 字符"/>
    <w:qFormat/>
    <w:uiPriority w:val="99"/>
    <w:rPr>
      <w:rFonts w:ascii="Times New Roman" w:hAnsi="Times New Roman"/>
      <w:b/>
      <w:bCs/>
      <w:kern w:val="2"/>
      <w:sz w:val="21"/>
      <w:szCs w:val="24"/>
    </w:rPr>
  </w:style>
  <w:style w:type="character" w:customStyle="1" w:styleId="167">
    <w:name w:val="批注文字 字符1"/>
    <w:qFormat/>
    <w:uiPriority w:val="0"/>
    <w:rPr>
      <w:rFonts w:ascii="Times New Roman" w:hAnsi="Times New Roman"/>
      <w:kern w:val="2"/>
      <w:sz w:val="21"/>
      <w:szCs w:val="24"/>
    </w:rPr>
  </w:style>
  <w:style w:type="character" w:customStyle="1" w:styleId="168">
    <w:name w:val="页脚 字符"/>
    <w:qFormat/>
    <w:uiPriority w:val="99"/>
  </w:style>
  <w:style w:type="character" w:customStyle="1" w:styleId="169">
    <w:name w:val="font31"/>
    <w:qFormat/>
    <w:uiPriority w:val="0"/>
    <w:rPr>
      <w:rFonts w:hint="eastAsia" w:ascii="宋体" w:hAnsi="宋体" w:eastAsia="宋体" w:cs="宋体"/>
      <w:color w:val="000000"/>
      <w:sz w:val="20"/>
      <w:szCs w:val="20"/>
      <w:u w:val="none"/>
    </w:rPr>
  </w:style>
  <w:style w:type="character" w:customStyle="1" w:styleId="170">
    <w:name w:val="批注文字 字符4"/>
    <w:qFormat/>
    <w:uiPriority w:val="0"/>
    <w:rPr>
      <w:rFonts w:ascii="Times New Roman" w:hAnsi="Times New Roman"/>
      <w:kern w:val="2"/>
      <w:sz w:val="21"/>
      <w:szCs w:val="24"/>
    </w:rPr>
  </w:style>
  <w:style w:type="character" w:customStyle="1" w:styleId="171">
    <w:name w:val="标题 3 字符"/>
    <w:semiHidden/>
    <w:qFormat/>
    <w:uiPriority w:val="9"/>
    <w:rPr>
      <w:b/>
      <w:bCs/>
      <w:kern w:val="2"/>
      <w:sz w:val="32"/>
      <w:szCs w:val="32"/>
    </w:rPr>
  </w:style>
  <w:style w:type="character" w:customStyle="1" w:styleId="172">
    <w:name w:val="标题 5 字符"/>
    <w:qFormat/>
    <w:uiPriority w:val="9"/>
    <w:rPr>
      <w:b/>
      <w:bCs/>
      <w:kern w:val="2"/>
      <w:sz w:val="28"/>
      <w:szCs w:val="28"/>
    </w:rPr>
  </w:style>
  <w:style w:type="character" w:customStyle="1" w:styleId="173">
    <w:name w:val="标题 6 字符"/>
    <w:semiHidden/>
    <w:qFormat/>
    <w:uiPriority w:val="0"/>
    <w:rPr>
      <w:rFonts w:ascii="等线 Light" w:hAnsi="等线 Light" w:eastAsia="等线 Light" w:cs="Times New Roman"/>
      <w:b/>
      <w:bCs/>
      <w:kern w:val="2"/>
      <w:sz w:val="24"/>
      <w:szCs w:val="24"/>
    </w:rPr>
  </w:style>
  <w:style w:type="character" w:customStyle="1" w:styleId="174">
    <w:name w:val="标题 7 字符"/>
    <w:semiHidden/>
    <w:qFormat/>
    <w:uiPriority w:val="0"/>
    <w:rPr>
      <w:b/>
      <w:bCs/>
      <w:kern w:val="2"/>
      <w:sz w:val="24"/>
      <w:szCs w:val="24"/>
    </w:rPr>
  </w:style>
  <w:style w:type="character" w:customStyle="1" w:styleId="175">
    <w:name w:val="标题 8 字符"/>
    <w:semiHidden/>
    <w:qFormat/>
    <w:uiPriority w:val="0"/>
    <w:rPr>
      <w:rFonts w:ascii="等线 Light" w:hAnsi="等线 Light" w:eastAsia="等线 Light" w:cs="Times New Roman"/>
      <w:kern w:val="2"/>
      <w:sz w:val="24"/>
      <w:szCs w:val="24"/>
    </w:rPr>
  </w:style>
  <w:style w:type="character" w:customStyle="1" w:styleId="176">
    <w:name w:val="标题 9 字符"/>
    <w:semiHidden/>
    <w:qFormat/>
    <w:uiPriority w:val="0"/>
    <w:rPr>
      <w:rFonts w:ascii="等线 Light" w:hAnsi="等线 Light" w:eastAsia="等线 Light" w:cs="Times New Roman"/>
      <w:kern w:val="2"/>
      <w:sz w:val="21"/>
      <w:szCs w:val="21"/>
    </w:rPr>
  </w:style>
  <w:style w:type="character" w:customStyle="1" w:styleId="177">
    <w:name w:val="正文文本 字符"/>
    <w:qFormat/>
    <w:uiPriority w:val="99"/>
    <w:rPr>
      <w:kern w:val="2"/>
      <w:sz w:val="21"/>
      <w:szCs w:val="24"/>
    </w:rPr>
  </w:style>
  <w:style w:type="paragraph" w:customStyle="1" w:styleId="178">
    <w:name w:val="_Style 166"/>
    <w:basedOn w:val="19"/>
    <w:next w:val="48"/>
    <w:unhideWhenUsed/>
    <w:qFormat/>
    <w:uiPriority w:val="0"/>
    <w:pPr>
      <w:spacing w:after="120"/>
      <w:ind w:left="420" w:leftChars="200" w:firstLine="420" w:firstLineChars="200"/>
    </w:pPr>
    <w:rPr>
      <w:rFonts w:ascii="宋体" w:hAnsi="Courier New"/>
      <w:kern w:val="2"/>
      <w:sz w:val="21"/>
    </w:rPr>
  </w:style>
  <w:style w:type="character" w:customStyle="1" w:styleId="179">
    <w:name w:val="文档结构图 字符"/>
    <w:semiHidden/>
    <w:qFormat/>
    <w:uiPriority w:val="0"/>
    <w:rPr>
      <w:rFonts w:ascii="Microsoft YaHei UI" w:eastAsia="Microsoft YaHei UI"/>
      <w:kern w:val="2"/>
      <w:sz w:val="18"/>
      <w:szCs w:val="18"/>
    </w:rPr>
  </w:style>
  <w:style w:type="character" w:customStyle="1" w:styleId="180">
    <w:name w:val="正文文本 3 字符"/>
    <w:qFormat/>
    <w:uiPriority w:val="0"/>
    <w:rPr>
      <w:kern w:val="2"/>
      <w:sz w:val="16"/>
      <w:szCs w:val="16"/>
    </w:rPr>
  </w:style>
  <w:style w:type="character" w:customStyle="1" w:styleId="181">
    <w:name w:val="日期 字符"/>
    <w:semiHidden/>
    <w:qFormat/>
    <w:uiPriority w:val="99"/>
    <w:rPr>
      <w:kern w:val="2"/>
      <w:sz w:val="21"/>
      <w:szCs w:val="24"/>
    </w:rPr>
  </w:style>
  <w:style w:type="character" w:customStyle="1" w:styleId="182">
    <w:name w:val="正文文本缩进 2 字符"/>
    <w:semiHidden/>
    <w:qFormat/>
    <w:uiPriority w:val="0"/>
    <w:rPr>
      <w:kern w:val="2"/>
      <w:sz w:val="21"/>
      <w:szCs w:val="24"/>
    </w:rPr>
  </w:style>
  <w:style w:type="character" w:customStyle="1" w:styleId="183">
    <w:name w:val="尾注文本 字符"/>
    <w:semiHidden/>
    <w:qFormat/>
    <w:uiPriority w:val="99"/>
    <w:rPr>
      <w:kern w:val="2"/>
      <w:sz w:val="21"/>
      <w:szCs w:val="24"/>
    </w:rPr>
  </w:style>
  <w:style w:type="character" w:customStyle="1" w:styleId="184">
    <w:name w:val="批注框文本 字符"/>
    <w:semiHidden/>
    <w:qFormat/>
    <w:uiPriority w:val="0"/>
    <w:rPr>
      <w:kern w:val="2"/>
      <w:sz w:val="18"/>
      <w:szCs w:val="18"/>
    </w:rPr>
  </w:style>
  <w:style w:type="character" w:customStyle="1" w:styleId="185">
    <w:name w:val="页眉 字符"/>
    <w:semiHidden/>
    <w:qFormat/>
    <w:uiPriority w:val="99"/>
    <w:rPr>
      <w:kern w:val="2"/>
      <w:sz w:val="18"/>
      <w:szCs w:val="18"/>
    </w:rPr>
  </w:style>
  <w:style w:type="character" w:customStyle="1" w:styleId="186">
    <w:name w:val="脚注文本 字符"/>
    <w:semiHidden/>
    <w:qFormat/>
    <w:uiPriority w:val="99"/>
    <w:rPr>
      <w:kern w:val="2"/>
      <w:sz w:val="18"/>
      <w:szCs w:val="18"/>
    </w:rPr>
  </w:style>
  <w:style w:type="character" w:customStyle="1" w:styleId="187">
    <w:name w:val="正文文本缩进 3 字符"/>
    <w:semiHidden/>
    <w:qFormat/>
    <w:uiPriority w:val="0"/>
    <w:rPr>
      <w:kern w:val="2"/>
      <w:sz w:val="16"/>
      <w:szCs w:val="16"/>
    </w:rPr>
  </w:style>
  <w:style w:type="character" w:customStyle="1" w:styleId="188">
    <w:name w:val="正文文本 2 字符"/>
    <w:semiHidden/>
    <w:qFormat/>
    <w:uiPriority w:val="0"/>
    <w:rPr>
      <w:kern w:val="2"/>
      <w:sz w:val="21"/>
      <w:szCs w:val="24"/>
    </w:rPr>
  </w:style>
  <w:style w:type="character" w:customStyle="1" w:styleId="189">
    <w:name w:val="标题 字符"/>
    <w:qFormat/>
    <w:uiPriority w:val="10"/>
    <w:rPr>
      <w:rFonts w:ascii="等线 Light" w:hAnsi="等线 Light" w:eastAsia="等线 Light" w:cs="Times New Roman"/>
      <w:b/>
      <w:bCs/>
      <w:kern w:val="2"/>
      <w:sz w:val="32"/>
      <w:szCs w:val="32"/>
    </w:rPr>
  </w:style>
  <w:style w:type="character" w:customStyle="1" w:styleId="190">
    <w:name w:val="正文文本 Char1"/>
    <w:semiHidden/>
    <w:qFormat/>
    <w:locked/>
    <w:uiPriority w:val="99"/>
    <w:rPr>
      <w:sz w:val="24"/>
      <w:szCs w:val="24"/>
    </w:rPr>
  </w:style>
  <w:style w:type="paragraph" w:customStyle="1" w:styleId="191">
    <w:name w:val="_Style 190"/>
    <w:unhideWhenUsed/>
    <w:qFormat/>
    <w:uiPriority w:val="99"/>
    <w:rPr>
      <w:rFonts w:ascii="Times New Roman" w:hAnsi="Times New Roman" w:eastAsia="宋体" w:cs="Times New Roman"/>
      <w:kern w:val="2"/>
      <w:sz w:val="21"/>
      <w:szCs w:val="24"/>
      <w:lang w:val="en-US" w:eastAsia="zh-CN" w:bidi="ar-SA"/>
    </w:rPr>
  </w:style>
  <w:style w:type="paragraph" w:customStyle="1" w:styleId="192">
    <w:name w:val="Default"/>
    <w:basedOn w:val="1"/>
    <w:next w:val="1"/>
    <w:qFormat/>
    <w:uiPriority w:val="0"/>
    <w:pPr>
      <w:autoSpaceDE w:val="0"/>
      <w:autoSpaceDN w:val="0"/>
      <w:adjustRightInd w:val="0"/>
      <w:jc w:val="left"/>
    </w:pPr>
    <w:rPr>
      <w:rFonts w:ascii="仿宋_GB2312" w:hAnsi="宋体" w:eastAsia="仿宋_GB2312"/>
      <w:color w:val="000000"/>
      <w:kern w:val="0"/>
      <w:sz w:val="24"/>
    </w:rPr>
  </w:style>
  <w:style w:type="character" w:customStyle="1" w:styleId="193">
    <w:name w:val="font41"/>
    <w:basedOn w:val="51"/>
    <w:qFormat/>
    <w:uiPriority w:val="0"/>
    <w:rPr>
      <w:rFonts w:hint="eastAsia" w:ascii="宋体" w:hAnsi="宋体" w:eastAsia="宋体" w:cs="宋体"/>
      <w:color w:val="000000"/>
      <w:sz w:val="18"/>
      <w:szCs w:val="18"/>
      <w:u w:val="none"/>
    </w:rPr>
  </w:style>
  <w:style w:type="character" w:customStyle="1" w:styleId="194">
    <w:name w:val="font51"/>
    <w:basedOn w:val="51"/>
    <w:qFormat/>
    <w:uiPriority w:val="0"/>
    <w:rPr>
      <w:rFonts w:hint="eastAsia" w:ascii="宋体" w:hAnsi="宋体" w:eastAsia="宋体" w:cs="宋体"/>
      <w:color w:val="000000"/>
      <w:sz w:val="21"/>
      <w:szCs w:val="21"/>
      <w:u w:val="none"/>
    </w:rPr>
  </w:style>
  <w:style w:type="character" w:customStyle="1" w:styleId="195">
    <w:name w:val="font01"/>
    <w:basedOn w:val="51"/>
    <w:qFormat/>
    <w:uiPriority w:val="0"/>
    <w:rPr>
      <w:rFonts w:hint="eastAsia" w:ascii="宋体" w:hAnsi="宋体" w:eastAsia="宋体" w:cs="宋体"/>
      <w:color w:val="000000"/>
      <w:sz w:val="22"/>
      <w:szCs w:val="22"/>
      <w:u w:val="none"/>
    </w:rPr>
  </w:style>
  <w:style w:type="character" w:customStyle="1" w:styleId="196">
    <w:name w:val="font81"/>
    <w:qFormat/>
    <w:uiPriority w:val="0"/>
    <w:rPr>
      <w:rFonts w:ascii="微软雅黑" w:hAnsi="微软雅黑" w:eastAsia="微软雅黑" w:cs="微软雅黑"/>
      <w:color w:val="000000"/>
      <w:sz w:val="18"/>
      <w:szCs w:val="18"/>
      <w:u w:val="none"/>
    </w:rPr>
  </w:style>
  <w:style w:type="character" w:customStyle="1" w:styleId="197">
    <w:name w:val="font21"/>
    <w:qFormat/>
    <w:uiPriority w:val="0"/>
    <w:rPr>
      <w:rFonts w:hint="eastAsia" w:ascii="微软雅黑" w:hAnsi="微软雅黑" w:eastAsia="微软雅黑" w:cs="微软雅黑"/>
      <w:color w:val="000000"/>
      <w:sz w:val="18"/>
      <w:szCs w:val="18"/>
      <w:u w:val="none"/>
    </w:rPr>
  </w:style>
  <w:style w:type="paragraph" w:customStyle="1" w:styleId="198">
    <w:name w:val="首行缩进"/>
    <w:basedOn w:val="1"/>
    <w:qFormat/>
    <w:uiPriority w:val="0"/>
    <w:pPr>
      <w:ind w:firstLine="480" w:firstLineChars="200"/>
    </w:pPr>
    <w:rPr>
      <w:rFonts w:ascii="Calibri" w:hAnsi="Calibri"/>
    </w:rPr>
  </w:style>
  <w:style w:type="character" w:customStyle="1" w:styleId="199">
    <w:name w:val="正文首行缩进 Char"/>
    <w:semiHidden/>
    <w:qFormat/>
    <w:uiPriority w:val="99"/>
    <w:rPr>
      <w:rFonts w:ascii="Times New Roman" w:hAnsi="Times New Roman" w:eastAsia="宋体" w:cs="Times New Roman"/>
      <w:kern w:val="2"/>
      <w:sz w:val="21"/>
      <w:szCs w:val="24"/>
    </w:rPr>
  </w:style>
  <w:style w:type="paragraph" w:customStyle="1" w:styleId="200">
    <w:name w:val="BodyText1I"/>
    <w:basedOn w:val="1"/>
    <w:qFormat/>
    <w:uiPriority w:val="99"/>
    <w:pPr>
      <w:spacing w:after="120"/>
      <w:ind w:firstLine="420" w:firstLineChars="100"/>
    </w:pPr>
  </w:style>
  <w:style w:type="character" w:customStyle="1" w:styleId="201">
    <w:name w:val="NormalCharacter"/>
    <w:semiHidden/>
    <w:qFormat/>
    <w:uiPriority w:val="0"/>
    <w:rPr>
      <w:rFonts w:hint="default" w:ascii="Calibri" w:hAnsi="Calibri" w:eastAsia="宋体" w:cs="Times New Roman"/>
      <w:kern w:val="2"/>
      <w:sz w:val="21"/>
      <w:szCs w:val="22"/>
      <w:lang w:val="en-US" w:eastAsia="zh-CN" w:bidi="ar-SA"/>
    </w:rPr>
  </w:style>
  <w:style w:type="paragraph" w:customStyle="1" w:styleId="202">
    <w:name w:val="PlainText"/>
    <w:basedOn w:val="1"/>
    <w:qFormat/>
    <w:uiPriority w:val="0"/>
    <w:pPr>
      <w:widowControl/>
      <w:textAlignment w:val="baseline"/>
    </w:pPr>
    <w:rPr>
      <w:rFonts w:ascii="宋体" w:hAnsi="Courier New"/>
      <w:szCs w:val="21"/>
    </w:rPr>
  </w:style>
  <w:style w:type="character" w:customStyle="1" w:styleId="203">
    <w:name w:val="正文首行缩进 2 Char"/>
    <w:link w:val="204"/>
    <w:qFormat/>
    <w:uiPriority w:val="0"/>
    <w:rPr>
      <w:rFonts w:ascii="宋体" w:hAnsi="Courier New" w:eastAsia="仿宋_GB2312"/>
      <w:kern w:val="2"/>
      <w:sz w:val="21"/>
    </w:rPr>
  </w:style>
  <w:style w:type="paragraph" w:customStyle="1" w:styleId="204">
    <w:name w:val="_Style 200"/>
    <w:basedOn w:val="19"/>
    <w:next w:val="48"/>
    <w:link w:val="203"/>
    <w:unhideWhenUsed/>
    <w:qFormat/>
    <w:uiPriority w:val="0"/>
    <w:pPr>
      <w:spacing w:after="120"/>
      <w:ind w:left="420" w:leftChars="200" w:firstLine="420" w:firstLineChars="200"/>
    </w:pPr>
    <w:rPr>
      <w:rFonts w:ascii="宋体" w:hAnsi="Courier New"/>
      <w:kern w:val="2"/>
      <w:sz w:val="21"/>
    </w:rPr>
  </w:style>
  <w:style w:type="character" w:customStyle="1" w:styleId="205">
    <w:name w:val="批注文字 字符5"/>
    <w:qFormat/>
    <w:uiPriority w:val="0"/>
    <w:rPr>
      <w:rFonts w:ascii="Times New Roman" w:hAnsi="Times New Roman"/>
      <w:kern w:val="2"/>
      <w:sz w:val="21"/>
      <w:szCs w:val="24"/>
    </w:rPr>
  </w:style>
  <w:style w:type="character" w:customStyle="1" w:styleId="206">
    <w:name w:val="批注文字 字符6"/>
    <w:qFormat/>
    <w:uiPriority w:val="0"/>
    <w:rPr>
      <w:rFonts w:ascii="Times New Roman" w:hAnsi="Times New Roman"/>
      <w:kern w:val="2"/>
      <w:sz w:val="21"/>
      <w:szCs w:val="24"/>
    </w:rPr>
  </w:style>
  <w:style w:type="paragraph" w:customStyle="1" w:styleId="207">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208">
    <w:name w:val="font0"/>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209">
    <w:name w:val="font1"/>
    <w:basedOn w:val="1"/>
    <w:qFormat/>
    <w:uiPriority w:val="0"/>
    <w:pPr>
      <w:widowControl/>
      <w:spacing w:before="100" w:beforeAutospacing="1" w:after="100" w:afterAutospacing="1"/>
      <w:jc w:val="left"/>
    </w:pPr>
    <w:rPr>
      <w:rFonts w:ascii="仿宋_GB2312" w:hAnsi="宋体" w:eastAsia="仿宋_GB2312" w:cs="宋体"/>
      <w:color w:val="000000"/>
      <w:kern w:val="0"/>
      <w:sz w:val="22"/>
      <w:szCs w:val="22"/>
    </w:rPr>
  </w:style>
  <w:style w:type="paragraph" w:customStyle="1" w:styleId="210">
    <w:name w:val="font2"/>
    <w:basedOn w:val="1"/>
    <w:qFormat/>
    <w:uiPriority w:val="0"/>
    <w:pPr>
      <w:widowControl/>
      <w:spacing w:before="100" w:beforeAutospacing="1" w:after="100" w:afterAutospacing="1"/>
      <w:jc w:val="left"/>
    </w:pPr>
    <w:rPr>
      <w:rFonts w:ascii="仿宋_GB2312" w:hAnsi="宋体" w:eastAsia="仿宋_GB2312" w:cs="宋体"/>
      <w:b/>
      <w:bCs/>
      <w:color w:val="000000"/>
      <w:kern w:val="0"/>
      <w:sz w:val="22"/>
      <w:szCs w:val="22"/>
    </w:rPr>
  </w:style>
  <w:style w:type="paragraph" w:customStyle="1" w:styleId="211">
    <w:name w:val="font3"/>
    <w:basedOn w:val="1"/>
    <w:qFormat/>
    <w:uiPriority w:val="0"/>
    <w:pPr>
      <w:widowControl/>
      <w:spacing w:before="100" w:beforeAutospacing="1" w:after="100" w:afterAutospacing="1"/>
      <w:jc w:val="left"/>
    </w:pPr>
    <w:rPr>
      <w:rFonts w:ascii="仿宋_GB2312" w:hAnsi="宋体" w:eastAsia="仿宋_GB2312" w:cs="宋体"/>
      <w:b/>
      <w:bCs/>
      <w:color w:val="000000"/>
      <w:kern w:val="0"/>
      <w:sz w:val="22"/>
      <w:szCs w:val="22"/>
    </w:rPr>
  </w:style>
  <w:style w:type="paragraph" w:customStyle="1" w:styleId="212">
    <w:name w:val="font4"/>
    <w:basedOn w:val="1"/>
    <w:qFormat/>
    <w:uiPriority w:val="0"/>
    <w:pPr>
      <w:widowControl/>
      <w:spacing w:before="100" w:beforeAutospacing="1" w:after="100" w:afterAutospacing="1"/>
      <w:jc w:val="left"/>
    </w:pPr>
    <w:rPr>
      <w:rFonts w:ascii="仿宋_GB2312" w:hAnsi="宋体" w:eastAsia="仿宋_GB2312" w:cs="宋体"/>
      <w:color w:val="000000"/>
      <w:kern w:val="0"/>
      <w:sz w:val="22"/>
      <w:szCs w:val="22"/>
    </w:rPr>
  </w:style>
  <w:style w:type="paragraph" w:customStyle="1" w:styleId="213">
    <w:name w:val="font5"/>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214">
    <w:name w:val="font6"/>
    <w:basedOn w:val="1"/>
    <w:qFormat/>
    <w:uiPriority w:val="0"/>
    <w:pPr>
      <w:widowControl/>
      <w:spacing w:before="100" w:beforeAutospacing="1" w:after="100" w:afterAutospacing="1"/>
      <w:jc w:val="left"/>
    </w:pPr>
    <w:rPr>
      <w:rFonts w:ascii="仿宋_GB2312" w:hAnsi="宋体" w:eastAsia="仿宋_GB2312" w:cs="宋体"/>
      <w:color w:val="000000"/>
      <w:kern w:val="0"/>
      <w:sz w:val="22"/>
      <w:szCs w:val="22"/>
    </w:rPr>
  </w:style>
  <w:style w:type="paragraph" w:customStyle="1" w:styleId="215">
    <w:name w:val="font7"/>
    <w:basedOn w:val="1"/>
    <w:qFormat/>
    <w:uiPriority w:val="0"/>
    <w:pPr>
      <w:widowControl/>
      <w:spacing w:before="100" w:beforeAutospacing="1" w:after="100" w:afterAutospacing="1"/>
      <w:jc w:val="left"/>
    </w:pPr>
    <w:rPr>
      <w:rFonts w:ascii="仿宋_GB2312" w:hAnsi="宋体" w:eastAsia="仿宋_GB2312" w:cs="宋体"/>
      <w:color w:val="000000"/>
      <w:kern w:val="0"/>
      <w:sz w:val="22"/>
      <w:szCs w:val="22"/>
    </w:rPr>
  </w:style>
  <w:style w:type="paragraph" w:customStyle="1" w:styleId="216">
    <w:name w:val="font8"/>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217">
    <w:name w:val="font9"/>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218">
    <w:name w:val="font10"/>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219">
    <w:name w:val="et4"/>
    <w:basedOn w:val="1"/>
    <w:qFormat/>
    <w:uiPriority w:val="0"/>
    <w:pPr>
      <w:widowControl/>
      <w:spacing w:before="100" w:beforeAutospacing="1" w:after="100" w:afterAutospacing="1"/>
      <w:jc w:val="left"/>
    </w:pPr>
    <w:rPr>
      <w:rFonts w:ascii="仿宋_GB2312" w:hAnsi="宋体" w:eastAsia="仿宋_GB2312" w:cs="宋体"/>
      <w:color w:val="000000"/>
      <w:kern w:val="0"/>
      <w:sz w:val="24"/>
    </w:rPr>
  </w:style>
  <w:style w:type="paragraph" w:customStyle="1" w:styleId="220">
    <w:name w:val="et5"/>
    <w:basedOn w:val="1"/>
    <w:qFormat/>
    <w:uiPriority w:val="0"/>
    <w:pPr>
      <w:widowControl/>
      <w:spacing w:before="100" w:beforeAutospacing="1" w:after="100" w:afterAutospacing="1"/>
      <w:jc w:val="center"/>
    </w:pPr>
    <w:rPr>
      <w:rFonts w:ascii="仿宋_GB2312" w:hAnsi="宋体" w:eastAsia="仿宋_GB2312" w:cs="宋体"/>
      <w:color w:val="000000"/>
      <w:kern w:val="0"/>
      <w:sz w:val="24"/>
    </w:rPr>
  </w:style>
  <w:style w:type="paragraph" w:customStyle="1" w:styleId="221">
    <w:name w:val="et6"/>
    <w:basedOn w:val="1"/>
    <w:qFormat/>
    <w:uiPriority w:val="0"/>
    <w:pPr>
      <w:widowControl/>
      <w:spacing w:before="100" w:beforeAutospacing="1" w:after="100" w:afterAutospacing="1"/>
      <w:jc w:val="left"/>
    </w:pPr>
    <w:rPr>
      <w:rFonts w:ascii="仿宋_GB2312" w:hAnsi="宋体" w:eastAsia="仿宋_GB2312" w:cs="宋体"/>
      <w:color w:val="000000"/>
      <w:kern w:val="0"/>
      <w:sz w:val="24"/>
    </w:rPr>
  </w:style>
  <w:style w:type="paragraph" w:customStyle="1" w:styleId="222">
    <w:name w:val="et7"/>
    <w:basedOn w:val="1"/>
    <w:qFormat/>
    <w:uiPriority w:val="0"/>
    <w:pPr>
      <w:widowControl/>
      <w:spacing w:before="100" w:beforeAutospacing="1" w:after="100" w:afterAutospacing="1"/>
      <w:jc w:val="left"/>
    </w:pPr>
    <w:rPr>
      <w:rFonts w:ascii="仿宋_GB2312" w:hAnsi="宋体" w:eastAsia="仿宋_GB2312" w:cs="宋体"/>
      <w:b/>
      <w:bCs/>
      <w:color w:val="000000"/>
      <w:kern w:val="0"/>
      <w:sz w:val="24"/>
    </w:rPr>
  </w:style>
  <w:style w:type="paragraph" w:customStyle="1" w:styleId="223">
    <w:name w:val="et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_GB2312" w:hAnsi="宋体" w:eastAsia="仿宋_GB2312" w:cs="宋体"/>
      <w:b/>
      <w:bCs/>
      <w:kern w:val="0"/>
      <w:sz w:val="24"/>
    </w:rPr>
  </w:style>
  <w:style w:type="paragraph" w:customStyle="1" w:styleId="224">
    <w:name w:val="et1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_GB2312" w:hAnsi="宋体" w:eastAsia="仿宋_GB2312" w:cs="宋体"/>
      <w:b/>
      <w:bCs/>
      <w:color w:val="000000"/>
      <w:kern w:val="0"/>
      <w:sz w:val="24"/>
    </w:rPr>
  </w:style>
  <w:style w:type="paragraph" w:customStyle="1" w:styleId="225">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_GB2312" w:hAnsi="宋体" w:eastAsia="仿宋_GB2312" w:cs="宋体"/>
      <w:kern w:val="0"/>
      <w:sz w:val="24"/>
    </w:rPr>
  </w:style>
  <w:style w:type="paragraph" w:customStyle="1" w:styleId="226">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_GB2312" w:hAnsi="宋体" w:eastAsia="仿宋_GB2312" w:cs="宋体"/>
      <w:kern w:val="0"/>
      <w:sz w:val="24"/>
    </w:rPr>
  </w:style>
  <w:style w:type="paragraph" w:customStyle="1" w:styleId="227">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仿宋_GB2312" w:hAnsi="宋体" w:eastAsia="仿宋_GB2312" w:cs="宋体"/>
      <w:kern w:val="0"/>
      <w:sz w:val="24"/>
    </w:rPr>
  </w:style>
  <w:style w:type="paragraph" w:customStyle="1" w:styleId="228">
    <w:name w:val="et1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_GB2312" w:hAnsi="宋体" w:eastAsia="仿宋_GB2312" w:cs="宋体"/>
      <w:color w:val="000000"/>
      <w:kern w:val="0"/>
      <w:sz w:val="24"/>
    </w:rPr>
  </w:style>
  <w:style w:type="paragraph" w:customStyle="1" w:styleId="229">
    <w:name w:val="et1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仿宋_GB2312" w:hAnsi="宋体" w:eastAsia="仿宋_GB2312" w:cs="宋体"/>
      <w:b/>
      <w:bCs/>
      <w:color w:val="000000"/>
      <w:kern w:val="0"/>
      <w:sz w:val="24"/>
    </w:rPr>
  </w:style>
  <w:style w:type="paragraph" w:customStyle="1" w:styleId="230">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_GB2312" w:hAnsi="宋体" w:eastAsia="仿宋_GB2312" w:cs="宋体"/>
      <w:b/>
      <w:bCs/>
      <w:color w:val="000000"/>
      <w:kern w:val="0"/>
      <w:sz w:val="24"/>
    </w:rPr>
  </w:style>
  <w:style w:type="paragraph" w:customStyle="1" w:styleId="231">
    <w:name w:val="et1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仿宋_GB2312" w:hAnsi="宋体" w:eastAsia="仿宋_GB2312" w:cs="宋体"/>
      <w:b/>
      <w:bCs/>
      <w:color w:val="000000"/>
      <w:kern w:val="0"/>
      <w:sz w:val="24"/>
    </w:rPr>
  </w:style>
  <w:style w:type="paragraph" w:customStyle="1" w:styleId="232">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_GB2312" w:hAnsi="宋体" w:eastAsia="仿宋_GB2312" w:cs="宋体"/>
      <w:b/>
      <w:bCs/>
      <w:color w:val="000000"/>
      <w:kern w:val="0"/>
      <w:sz w:val="24"/>
    </w:rPr>
  </w:style>
  <w:style w:type="paragraph" w:customStyle="1" w:styleId="233">
    <w:name w:val="et1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_GB2312" w:hAnsi="宋体" w:eastAsia="仿宋_GB2312" w:cs="宋体"/>
      <w:b/>
      <w:bCs/>
      <w:color w:val="000000"/>
      <w:kern w:val="0"/>
      <w:sz w:val="24"/>
    </w:rPr>
  </w:style>
  <w:style w:type="paragraph" w:customStyle="1" w:styleId="234">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_GB2312" w:hAnsi="宋体" w:eastAsia="仿宋_GB2312" w:cs="宋体"/>
      <w:color w:val="000000"/>
      <w:kern w:val="0"/>
      <w:sz w:val="24"/>
    </w:rPr>
  </w:style>
  <w:style w:type="paragraph" w:customStyle="1" w:styleId="235">
    <w:name w:val="et2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_GB2312" w:hAnsi="宋体" w:eastAsia="仿宋_GB2312" w:cs="宋体"/>
      <w:color w:val="000000"/>
      <w:kern w:val="0"/>
      <w:sz w:val="24"/>
    </w:rPr>
  </w:style>
  <w:style w:type="paragraph" w:customStyle="1" w:styleId="236">
    <w:name w:val="et2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仿宋_GB2312" w:hAnsi="宋体" w:eastAsia="仿宋_GB2312" w:cs="宋体"/>
      <w:color w:val="000000"/>
      <w:kern w:val="0"/>
      <w:sz w:val="24"/>
    </w:rPr>
  </w:style>
  <w:style w:type="paragraph" w:customStyle="1" w:styleId="237">
    <w:name w:val="et2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仿宋_GB2312" w:hAnsi="宋体" w:eastAsia="仿宋_GB2312" w:cs="宋体"/>
      <w:color w:val="000000"/>
      <w:kern w:val="0"/>
      <w:sz w:val="24"/>
    </w:rPr>
  </w:style>
  <w:style w:type="paragraph" w:customStyle="1" w:styleId="238">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仿宋_GB2312" w:hAnsi="宋体" w:eastAsia="仿宋_GB2312" w:cs="宋体"/>
      <w:color w:val="000000"/>
      <w:kern w:val="0"/>
      <w:sz w:val="24"/>
    </w:rPr>
  </w:style>
  <w:style w:type="paragraph" w:customStyle="1" w:styleId="239">
    <w:name w:val="et2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仿宋_GB2312" w:hAnsi="宋体" w:eastAsia="仿宋_GB2312" w:cs="宋体"/>
      <w:color w:val="000000"/>
      <w:kern w:val="0"/>
      <w:sz w:val="24"/>
    </w:rPr>
  </w:style>
  <w:style w:type="paragraph" w:customStyle="1" w:styleId="240">
    <w:name w:val="et2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_GB2312" w:hAnsi="宋体" w:eastAsia="仿宋_GB2312" w:cs="宋体"/>
      <w:b/>
      <w:bCs/>
      <w:color w:val="000000"/>
      <w:kern w:val="0"/>
      <w:sz w:val="24"/>
    </w:rPr>
  </w:style>
  <w:style w:type="paragraph" w:customStyle="1" w:styleId="241">
    <w:name w:val="et2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_GB2312" w:hAnsi="宋体" w:eastAsia="仿宋_GB2312" w:cs="宋体"/>
      <w:color w:val="000000"/>
      <w:kern w:val="0"/>
      <w:sz w:val="24"/>
    </w:rPr>
  </w:style>
  <w:style w:type="paragraph" w:customStyle="1" w:styleId="242">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仿宋_GB2312" w:hAnsi="宋体" w:eastAsia="仿宋_GB2312" w:cs="宋体"/>
      <w:b/>
      <w:bCs/>
      <w:color w:val="000000"/>
      <w:kern w:val="0"/>
      <w:sz w:val="24"/>
    </w:rPr>
  </w:style>
  <w:style w:type="paragraph" w:customStyle="1" w:styleId="243">
    <w:name w:val="et2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color w:val="000000"/>
      <w:kern w:val="0"/>
      <w:sz w:val="24"/>
    </w:rPr>
  </w:style>
  <w:style w:type="paragraph" w:customStyle="1" w:styleId="244">
    <w:name w:val="et3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_GB2312" w:hAnsi="宋体" w:eastAsia="仿宋_GB2312" w:cs="宋体"/>
      <w:b/>
      <w:bCs/>
      <w:color w:val="000000"/>
      <w:kern w:val="0"/>
      <w:sz w:val="24"/>
    </w:rPr>
  </w:style>
  <w:style w:type="paragraph" w:customStyle="1" w:styleId="245">
    <w:name w:val="et3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ottom"/>
    </w:pPr>
    <w:rPr>
      <w:rFonts w:ascii="仿宋_GB2312" w:hAnsi="宋体" w:eastAsia="仿宋_GB2312" w:cs="宋体"/>
      <w:color w:val="000000"/>
      <w:kern w:val="0"/>
      <w:sz w:val="24"/>
    </w:rPr>
  </w:style>
  <w:style w:type="paragraph" w:customStyle="1" w:styleId="246">
    <w:name w:val="et3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ottom"/>
    </w:pPr>
    <w:rPr>
      <w:rFonts w:ascii="仿宋_GB2312" w:hAnsi="宋体" w:eastAsia="仿宋_GB2312" w:cs="宋体"/>
      <w:color w:val="000000"/>
      <w:kern w:val="0"/>
      <w:sz w:val="24"/>
    </w:rPr>
  </w:style>
  <w:style w:type="paragraph" w:customStyle="1" w:styleId="247">
    <w:name w:val="et3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_GB2312" w:hAnsi="宋体" w:eastAsia="仿宋_GB2312" w:cs="宋体"/>
      <w:color w:val="000000"/>
      <w:kern w:val="0"/>
      <w:sz w:val="24"/>
    </w:rPr>
  </w:style>
  <w:style w:type="paragraph" w:customStyle="1" w:styleId="248">
    <w:name w:val="et3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top"/>
    </w:pPr>
    <w:rPr>
      <w:rFonts w:ascii="仿宋_GB2312" w:hAnsi="宋体" w:eastAsia="仿宋_GB2312" w:cs="宋体"/>
      <w:color w:val="000000"/>
      <w:kern w:val="0"/>
      <w:sz w:val="24"/>
    </w:rPr>
  </w:style>
  <w:style w:type="paragraph" w:customStyle="1" w:styleId="249">
    <w:name w:val="et3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top"/>
    </w:pPr>
    <w:rPr>
      <w:rFonts w:ascii="仿宋_GB2312" w:hAnsi="宋体" w:eastAsia="仿宋_GB2312" w:cs="宋体"/>
      <w:kern w:val="0"/>
      <w:sz w:val="24"/>
    </w:rPr>
  </w:style>
  <w:style w:type="paragraph" w:customStyle="1" w:styleId="250">
    <w:name w:val="et3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_GB2312" w:hAnsi="宋体" w:eastAsia="仿宋_GB2312" w:cs="宋体"/>
      <w:color w:val="000000"/>
      <w:kern w:val="0"/>
      <w:sz w:val="24"/>
    </w:rPr>
  </w:style>
  <w:style w:type="paragraph" w:customStyle="1" w:styleId="251">
    <w:name w:val="et3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_GB2312" w:hAnsi="宋体" w:eastAsia="仿宋_GB2312" w:cs="宋体"/>
      <w:kern w:val="0"/>
      <w:sz w:val="24"/>
    </w:rPr>
  </w:style>
  <w:style w:type="paragraph" w:customStyle="1" w:styleId="252">
    <w:name w:val="et3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仿宋_GB2312" w:hAnsi="宋体" w:eastAsia="仿宋_GB2312" w:cs="宋体"/>
      <w:color w:val="000000"/>
      <w:kern w:val="0"/>
      <w:sz w:val="24"/>
    </w:rPr>
  </w:style>
  <w:style w:type="paragraph" w:customStyle="1" w:styleId="253">
    <w:name w:val="et3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_GB2312" w:hAnsi="宋体" w:eastAsia="仿宋_GB2312" w:cs="宋体"/>
      <w:kern w:val="0"/>
      <w:sz w:val="24"/>
    </w:rPr>
  </w:style>
  <w:style w:type="paragraph" w:customStyle="1" w:styleId="254">
    <w:name w:val="et4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top"/>
    </w:pPr>
    <w:rPr>
      <w:rFonts w:ascii="仿宋_GB2312" w:hAnsi="宋体" w:eastAsia="仿宋_GB2312" w:cs="宋体"/>
      <w:kern w:val="0"/>
      <w:sz w:val="24"/>
    </w:rPr>
  </w:style>
  <w:style w:type="paragraph" w:customStyle="1" w:styleId="255">
    <w:name w:val="et4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_GB2312" w:hAnsi="宋体" w:eastAsia="仿宋_GB2312" w:cs="宋体"/>
      <w:b/>
      <w:bCs/>
      <w:color w:val="000000"/>
      <w:kern w:val="0"/>
      <w:sz w:val="24"/>
    </w:rPr>
  </w:style>
  <w:style w:type="paragraph" w:customStyle="1" w:styleId="256">
    <w:name w:val="et4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ottom"/>
    </w:pPr>
    <w:rPr>
      <w:rFonts w:ascii="仿宋_GB2312" w:hAnsi="宋体" w:eastAsia="仿宋_GB2312" w:cs="宋体"/>
      <w:color w:val="000000"/>
      <w:kern w:val="0"/>
      <w:sz w:val="24"/>
    </w:rPr>
  </w:style>
  <w:style w:type="paragraph" w:customStyle="1" w:styleId="257">
    <w:name w:val="et4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_GB2312" w:hAnsi="宋体" w:eastAsia="仿宋_GB2312" w:cs="宋体"/>
      <w:color w:val="000000"/>
      <w:kern w:val="0"/>
      <w:sz w:val="24"/>
    </w:rPr>
  </w:style>
  <w:style w:type="paragraph" w:customStyle="1" w:styleId="258">
    <w:name w:val="et4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_GB2312" w:hAnsi="宋体" w:eastAsia="仿宋_GB2312" w:cs="宋体"/>
      <w:color w:val="000000"/>
      <w:kern w:val="0"/>
      <w:sz w:val="24"/>
    </w:rPr>
  </w:style>
  <w:style w:type="paragraph" w:customStyle="1" w:styleId="259">
    <w:name w:val="et4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top"/>
    </w:pPr>
    <w:rPr>
      <w:rFonts w:ascii="仿宋_GB2312" w:hAnsi="宋体" w:eastAsia="仿宋_GB2312" w:cs="宋体"/>
      <w:color w:val="000000"/>
      <w:kern w:val="0"/>
      <w:sz w:val="24"/>
    </w:rPr>
  </w:style>
  <w:style w:type="character" w:customStyle="1" w:styleId="260">
    <w:name w:val="font11"/>
    <w:qFormat/>
    <w:uiPriority w:val="0"/>
    <w:rPr>
      <w:rFonts w:hint="eastAsia" w:ascii="仿宋_GB2312" w:eastAsia="仿宋_GB2312"/>
      <w:color w:val="000000"/>
      <w:sz w:val="22"/>
      <w:szCs w:val="22"/>
      <w:u w:val="none"/>
    </w:rPr>
  </w:style>
  <w:style w:type="paragraph" w:customStyle="1" w:styleId="261">
    <w:name w:val="AONormal"/>
    <w:basedOn w:val="1"/>
    <w:qFormat/>
    <w:uiPriority w:val="0"/>
    <w:pPr>
      <w:widowControl/>
      <w:autoSpaceDE w:val="0"/>
      <w:autoSpaceDN w:val="0"/>
      <w:adjustRightInd w:val="0"/>
      <w:spacing w:line="400" w:lineRule="exact"/>
      <w:ind w:firstLine="440" w:firstLineChars="200"/>
      <w:jc w:val="left"/>
    </w:pPr>
    <w:rPr>
      <w:rFonts w:ascii="华文楷体" w:hAnsi="华文楷体" w:eastAsia="华文楷体" w:cs="宋体"/>
      <w:kern w:val="0"/>
      <w:sz w:val="22"/>
      <w:szCs w:val="22"/>
    </w:rPr>
  </w:style>
  <w:style w:type="paragraph" w:customStyle="1" w:styleId="262">
    <w:name w:val="列出段落1"/>
    <w:basedOn w:val="1"/>
    <w:qFormat/>
    <w:uiPriority w:val="0"/>
    <w:pPr>
      <w:ind w:firstLine="420" w:firstLineChars="200"/>
    </w:pPr>
    <w:rPr>
      <w:szCs w:val="21"/>
    </w:rPr>
  </w:style>
  <w:style w:type="character" w:customStyle="1" w:styleId="263">
    <w:name w:val="_Style 262"/>
    <w:unhideWhenUsed/>
    <w:qFormat/>
    <w:uiPriority w:val="99"/>
    <w:rPr>
      <w:color w:val="605E5C"/>
      <w:shd w:val="clear" w:color="auto" w:fill="E1DFDD"/>
    </w:rPr>
  </w:style>
  <w:style w:type="character" w:customStyle="1" w:styleId="264">
    <w:name w:val="_Style 263"/>
    <w:qFormat/>
    <w:uiPriority w:val="21"/>
    <w:rPr>
      <w:i/>
      <w:iCs/>
      <w:color w:val="2F5496"/>
    </w:rPr>
  </w:style>
  <w:style w:type="character" w:customStyle="1" w:styleId="265">
    <w:name w:val="批注文字 Char2"/>
    <w:qFormat/>
    <w:uiPriority w:val="0"/>
    <w:rPr>
      <w:rFonts w:ascii="Times New Roman" w:hAnsi="Times New Roman"/>
      <w:kern w:val="2"/>
      <w:sz w:val="21"/>
      <w:szCs w:val="24"/>
    </w:rPr>
  </w:style>
  <w:style w:type="character" w:customStyle="1" w:styleId="266">
    <w:name w:val="正文文本 Char"/>
    <w:qFormat/>
    <w:uiPriority w:val="99"/>
    <w:rPr>
      <w:rFonts w:ascii="Times New Roman" w:hAnsi="Times New Roman" w:eastAsia="宋体" w:cs="Times New Roman"/>
      <w:sz w:val="24"/>
      <w:szCs w:val="24"/>
    </w:rPr>
  </w:style>
  <w:style w:type="paragraph" w:customStyle="1" w:styleId="267">
    <w:name w:val="Revision"/>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https://www.gov.cn/zhengce/content/202509/W020250930645245947614.png" TargetMode="External"/><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199</Pages>
  <Words>115596</Words>
  <Characters>132596</Characters>
  <Lines>980</Lines>
  <Paragraphs>276</Paragraphs>
  <TotalTime>97</TotalTime>
  <ScaleCrop>false</ScaleCrop>
  <LinksUpToDate>false</LinksUpToDate>
  <CharactersWithSpaces>139995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2026-01-29T04:08:00Z</dcterms:created>
  <dc:creator>番茄花园</dc:creator>
  <cp:lastModifiedBy>     </cp:lastModifiedBy>
  <cp:lastPrinted>2023-07-28T23:32:00Z</cp:lastPrinted>
  <dcterms:modified xsi:type="dcterms:W3CDTF">2026-04-27T07:54:57Z</dcterms:modified>
  <dc:title>公开招标采购文件范本</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0D4933EC0753461BA907EA1ADA276AD3_13</vt:lpwstr>
  </property>
  <property fmtid="{D5CDD505-2E9C-101B-9397-08002B2CF9AE}" pid="4" name="KSOTemplateDocerSaveRecord">
    <vt:lpwstr>eyJoZGlkIjoiMWQ2YmJhNGM0NGQzNjgwNGQ4Y2M2ZjJjODViMDFkMjgiLCJ1c2VySWQiOiIyNzAzNzM2ODMifQ==</vt:lpwstr>
  </property>
</Properties>
</file>