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451C09">
      <w:pPr>
        <w:spacing w:before="120" w:beforeLines="50" w:line="360" w:lineRule="auto"/>
        <w:jc w:val="center"/>
        <w:rPr>
          <w:rFonts w:ascii="宋体" w:hAnsi="宋体"/>
          <w:color w:val="auto"/>
          <w:sz w:val="52"/>
          <w:szCs w:val="52"/>
          <w:highlight w:val="none"/>
        </w:rPr>
      </w:pPr>
      <w:r>
        <w:rPr>
          <w:rFonts w:hint="eastAsia" w:ascii="宋体" w:hAnsi="宋体"/>
          <w:color w:val="auto"/>
          <w:sz w:val="52"/>
          <w:szCs w:val="52"/>
          <w:highlight w:val="none"/>
        </w:rPr>
        <w:t>南宁市政府采购</w:t>
      </w:r>
    </w:p>
    <w:p w14:paraId="1F9EDD3F">
      <w:pPr>
        <w:spacing w:before="120" w:beforeLines="50" w:line="360" w:lineRule="auto"/>
        <w:jc w:val="center"/>
        <w:rPr>
          <w:rFonts w:ascii="宋体" w:hAnsi="宋体"/>
          <w:color w:val="auto"/>
          <w:sz w:val="52"/>
          <w:szCs w:val="52"/>
          <w:highlight w:val="none"/>
        </w:rPr>
      </w:pPr>
      <w:r>
        <w:rPr>
          <w:rFonts w:hint="eastAsia" w:ascii="宋体" w:hAnsi="宋体"/>
          <w:color w:val="auto"/>
          <w:sz w:val="52"/>
          <w:szCs w:val="52"/>
          <w:highlight w:val="none"/>
        </w:rPr>
        <w:t>竞争性磋商文件（服务类）</w:t>
      </w:r>
    </w:p>
    <w:p w14:paraId="508ACDD1">
      <w:pPr>
        <w:spacing w:before="120" w:beforeLines="50" w:line="360" w:lineRule="auto"/>
        <w:jc w:val="center"/>
        <w:rPr>
          <w:rFonts w:ascii="宋体" w:hAnsi="宋体"/>
          <w:color w:val="auto"/>
          <w:sz w:val="36"/>
          <w:szCs w:val="36"/>
          <w:highlight w:val="none"/>
        </w:rPr>
      </w:pPr>
    </w:p>
    <w:p w14:paraId="4E191128">
      <w:pPr>
        <w:snapToGrid w:val="0"/>
        <w:spacing w:before="120" w:beforeLines="50" w:line="360" w:lineRule="auto"/>
        <w:jc w:val="center"/>
        <w:rPr>
          <w:rFonts w:ascii="方正小标宋简体" w:hAnsi="方正小标宋简体" w:eastAsia="方正小标宋简体" w:cs="方正小标宋简体"/>
          <w:color w:val="auto"/>
          <w:sz w:val="44"/>
          <w:szCs w:val="44"/>
          <w:highlight w:val="none"/>
        </w:rPr>
      </w:pPr>
      <w:r>
        <w:rPr>
          <w:rFonts w:hint="eastAsia" w:ascii="华文新魏" w:hAnsi="宋体" w:eastAsia="华文新魏"/>
          <w:color w:val="auto"/>
          <w:sz w:val="72"/>
          <w:szCs w:val="72"/>
          <w:highlight w:val="none"/>
        </w:rPr>
        <w:t>竞争性磋商文件</w:t>
      </w:r>
    </w:p>
    <w:p w14:paraId="23BD75BB">
      <w:pPr>
        <w:snapToGrid w:val="0"/>
        <w:spacing w:before="165" w:beforeLines="50" w:line="360" w:lineRule="auto"/>
        <w:jc w:val="center"/>
        <w:rPr>
          <w:rFonts w:hint="eastAsia" w:ascii="宋体" w:hAnsi="宋体" w:eastAsia="宋体" w:cs="宋体"/>
          <w:color w:val="auto"/>
          <w:sz w:val="30"/>
          <w:szCs w:val="72"/>
          <w:highlight w:val="none"/>
        </w:rPr>
      </w:pPr>
      <w:r>
        <w:rPr>
          <w:rFonts w:hint="eastAsia" w:ascii="宋体" w:hAnsi="宋体" w:eastAsia="宋体" w:cs="宋体"/>
          <w:color w:val="auto"/>
          <w:sz w:val="30"/>
          <w:szCs w:val="72"/>
          <w:highlight w:val="none"/>
        </w:rPr>
        <w:t>（全流程电子化评标）</w:t>
      </w:r>
    </w:p>
    <w:p w14:paraId="10E018CA">
      <w:pPr>
        <w:spacing w:line="360" w:lineRule="auto"/>
        <w:rPr>
          <w:rFonts w:ascii="宋体" w:hAnsi="宋体"/>
          <w:b/>
          <w:color w:val="auto"/>
          <w:sz w:val="32"/>
          <w:szCs w:val="32"/>
          <w:highlight w:val="none"/>
        </w:rPr>
      </w:pPr>
    </w:p>
    <w:p w14:paraId="58987DE8">
      <w:pPr>
        <w:spacing w:line="360" w:lineRule="auto"/>
        <w:jc w:val="center"/>
        <w:rPr>
          <w:rFonts w:ascii="宋体" w:hAnsi="宋体"/>
          <w:b/>
          <w:color w:val="auto"/>
          <w:sz w:val="32"/>
          <w:szCs w:val="32"/>
          <w:highlight w:val="none"/>
        </w:rPr>
      </w:pPr>
    </w:p>
    <w:p w14:paraId="489B16EC">
      <w:pPr>
        <w:pStyle w:val="12"/>
        <w:snapToGrid w:val="0"/>
        <w:spacing w:before="50" w:after="120" w:line="360" w:lineRule="auto"/>
        <w:ind w:firstLine="301" w:firstLineChars="100"/>
        <w:rPr>
          <w:rFonts w:hint="eastAsia" w:ascii="仿宋_GB2312" w:hAnsi="宋体" w:eastAsia="仿宋_GB2312"/>
          <w:b/>
          <w:bCs/>
          <w:color w:val="auto"/>
          <w:sz w:val="30"/>
          <w:szCs w:val="30"/>
          <w:highlight w:val="none"/>
          <w:lang w:eastAsia="zh-CN"/>
        </w:rPr>
      </w:pPr>
      <w:r>
        <w:rPr>
          <w:rFonts w:hint="eastAsia" w:ascii="仿宋_GB2312" w:hAnsi="宋体" w:eastAsia="仿宋_GB2312"/>
          <w:b/>
          <w:bCs/>
          <w:color w:val="auto"/>
          <w:sz w:val="30"/>
          <w:szCs w:val="30"/>
          <w:highlight w:val="none"/>
        </w:rPr>
        <w:t>项目</w:t>
      </w:r>
      <w:r>
        <w:rPr>
          <w:rFonts w:hint="eastAsia" w:ascii="仿宋_GB2312" w:hAnsi="宋体" w:eastAsia="仿宋_GB2312" w:cs="Courier New"/>
          <w:b/>
          <w:bCs/>
          <w:color w:val="auto"/>
          <w:w w:val="95"/>
          <w:sz w:val="30"/>
          <w:szCs w:val="30"/>
          <w:highlight w:val="none"/>
        </w:rPr>
        <w:t>名称</w:t>
      </w:r>
      <w:r>
        <w:rPr>
          <w:rFonts w:hint="eastAsia" w:ascii="仿宋_GB2312" w:hAnsi="宋体" w:eastAsia="仿宋_GB2312"/>
          <w:b/>
          <w:bCs/>
          <w:color w:val="auto"/>
          <w:sz w:val="30"/>
          <w:szCs w:val="30"/>
          <w:highlight w:val="none"/>
        </w:rPr>
        <w:t>：南宁市青年人才驿站</w:t>
      </w:r>
    </w:p>
    <w:p w14:paraId="5AD3392E">
      <w:pPr>
        <w:snapToGrid w:val="0"/>
        <w:spacing w:before="120" w:beforeLines="50" w:line="360" w:lineRule="auto"/>
        <w:ind w:firstLine="1145" w:firstLineChars="400"/>
        <w:rPr>
          <w:rFonts w:hint="eastAsia" w:ascii="仿宋_GB2312" w:hAnsi="宋体" w:eastAsia="仿宋_GB2312" w:cs="Times New Roman"/>
          <w:b/>
          <w:bCs/>
          <w:color w:val="auto"/>
          <w:w w:val="95"/>
          <w:kern w:val="2"/>
          <w:sz w:val="30"/>
          <w:szCs w:val="30"/>
          <w:highlight w:val="none"/>
          <w:lang w:val="en-US" w:eastAsia="zh-CN" w:bidi="ar-SA"/>
        </w:rPr>
      </w:pPr>
      <w:r>
        <w:rPr>
          <w:rFonts w:hint="eastAsia" w:ascii="仿宋_GB2312" w:hAnsi="宋体" w:eastAsia="仿宋_GB2312" w:cs="Courier New"/>
          <w:b/>
          <w:bCs/>
          <w:color w:val="auto"/>
          <w:w w:val="95"/>
          <w:sz w:val="30"/>
          <w:szCs w:val="30"/>
          <w:highlight w:val="none"/>
        </w:rPr>
        <w:t>项目</w:t>
      </w:r>
      <w:r>
        <w:rPr>
          <w:rFonts w:hint="eastAsia" w:ascii="仿宋_GB2312" w:hAnsi="宋体" w:eastAsia="仿宋_GB2312"/>
          <w:b/>
          <w:bCs/>
          <w:color w:val="auto"/>
          <w:sz w:val="30"/>
          <w:szCs w:val="30"/>
          <w:highlight w:val="none"/>
        </w:rPr>
        <w:t>编号</w:t>
      </w:r>
      <w:r>
        <w:rPr>
          <w:rFonts w:hint="eastAsia" w:ascii="仿宋_GB2312" w:hAnsi="宋体" w:eastAsia="仿宋_GB2312" w:cs="Courier New"/>
          <w:b/>
          <w:bCs/>
          <w:color w:val="auto"/>
          <w:w w:val="95"/>
          <w:sz w:val="30"/>
          <w:szCs w:val="30"/>
          <w:highlight w:val="none"/>
        </w:rPr>
        <w:t>：</w:t>
      </w:r>
      <w:r>
        <w:rPr>
          <w:rFonts w:hint="eastAsia" w:ascii="仿宋_GB2312" w:hAnsi="宋体" w:eastAsia="仿宋_GB2312" w:cs="Times New Roman"/>
          <w:b/>
          <w:bCs/>
          <w:color w:val="auto"/>
          <w:w w:val="95"/>
          <w:kern w:val="2"/>
          <w:sz w:val="30"/>
          <w:szCs w:val="30"/>
          <w:highlight w:val="none"/>
          <w:lang w:val="en-US" w:eastAsia="zh-CN" w:bidi="ar-SA"/>
        </w:rPr>
        <w:t>NNZC2026-C3-990136-JDZB</w:t>
      </w:r>
    </w:p>
    <w:p w14:paraId="3E74965F">
      <w:pPr>
        <w:snapToGrid w:val="0"/>
        <w:spacing w:before="120" w:beforeLines="50" w:line="360" w:lineRule="auto"/>
        <w:ind w:left="720" w:firstLine="420"/>
        <w:rPr>
          <w:rFonts w:ascii="仿宋_GB2312" w:hAnsi="宋体" w:eastAsia="仿宋_GB2312"/>
          <w:b/>
          <w:color w:val="auto"/>
          <w:sz w:val="30"/>
          <w:szCs w:val="48"/>
          <w:highlight w:val="none"/>
        </w:rPr>
      </w:pPr>
      <w:r>
        <w:rPr>
          <w:rFonts w:hint="eastAsia" w:ascii="仿宋_GB2312" w:hAnsi="宋体" w:eastAsia="仿宋_GB2312"/>
          <w:b/>
          <w:color w:val="auto"/>
          <w:sz w:val="30"/>
          <w:szCs w:val="48"/>
          <w:highlight w:val="none"/>
        </w:rPr>
        <w:t>项目所属区划：南宁市本级</w:t>
      </w:r>
    </w:p>
    <w:p w14:paraId="25F6DD0A">
      <w:pPr>
        <w:pStyle w:val="12"/>
        <w:snapToGrid w:val="0"/>
        <w:spacing w:before="50" w:after="120" w:line="360" w:lineRule="auto"/>
        <w:ind w:firstLine="300"/>
        <w:rPr>
          <w:rFonts w:hint="eastAsia" w:ascii="仿宋_GB2312" w:hAnsi="宋体" w:eastAsia="仿宋_GB2312"/>
          <w:b/>
          <w:bCs/>
          <w:color w:val="auto"/>
          <w:w w:val="95"/>
          <w:sz w:val="30"/>
          <w:szCs w:val="30"/>
          <w:highlight w:val="none"/>
          <w:lang w:eastAsia="zh-CN"/>
        </w:rPr>
      </w:pPr>
      <w:r>
        <w:rPr>
          <w:rFonts w:hint="eastAsia" w:ascii="仿宋_GB2312" w:hAnsi="宋体" w:eastAsia="仿宋_GB2312"/>
          <w:b/>
          <w:bCs/>
          <w:color w:val="auto"/>
          <w:w w:val="95"/>
          <w:sz w:val="30"/>
          <w:szCs w:val="30"/>
          <w:highlight w:val="none"/>
        </w:rPr>
        <w:t>采 购 人：中国共产主义青年团南宁市委员会</w:t>
      </w:r>
    </w:p>
    <w:p w14:paraId="6A2BAC07">
      <w:pPr>
        <w:pStyle w:val="12"/>
        <w:snapToGrid w:val="0"/>
        <w:spacing w:before="50" w:after="120" w:line="360" w:lineRule="auto"/>
        <w:ind w:firstLine="300"/>
        <w:rPr>
          <w:rFonts w:ascii="仿宋_GB2312" w:hAnsi="宋体" w:eastAsia="仿宋_GB2312"/>
          <w:b/>
          <w:bCs/>
          <w:color w:val="auto"/>
          <w:w w:val="95"/>
          <w:sz w:val="30"/>
          <w:szCs w:val="30"/>
          <w:highlight w:val="none"/>
        </w:rPr>
      </w:pPr>
      <w:r>
        <w:rPr>
          <w:rFonts w:hint="eastAsia" w:ascii="仿宋_GB2312" w:hAnsi="宋体" w:eastAsia="仿宋_GB2312"/>
          <w:b/>
          <w:bCs/>
          <w:color w:val="auto"/>
          <w:w w:val="95"/>
          <w:sz w:val="30"/>
          <w:szCs w:val="30"/>
          <w:highlight w:val="none"/>
        </w:rPr>
        <w:t>采购代理机构：广西机电设备招标有限公司</w:t>
      </w:r>
    </w:p>
    <w:p w14:paraId="169AA011">
      <w:pPr>
        <w:pStyle w:val="12"/>
        <w:snapToGrid w:val="0"/>
        <w:spacing w:before="50" w:after="120" w:line="360" w:lineRule="auto"/>
        <w:ind w:left="0" w:leftChars="0"/>
        <w:jc w:val="center"/>
        <w:rPr>
          <w:rFonts w:ascii="仿宋_GB2312" w:hAnsi="宋体" w:eastAsia="仿宋_GB2312"/>
          <w:b/>
          <w:bCs/>
          <w:color w:val="auto"/>
          <w:w w:val="95"/>
          <w:sz w:val="30"/>
          <w:szCs w:val="30"/>
          <w:highlight w:val="none"/>
        </w:rPr>
      </w:pPr>
      <w:r>
        <w:rPr>
          <w:rFonts w:hint="eastAsia" w:ascii="仿宋_GB2312" w:hAnsi="宋体" w:eastAsia="仿宋_GB2312"/>
          <w:b/>
          <w:bCs/>
          <w:color w:val="auto"/>
          <w:w w:val="95"/>
          <w:sz w:val="30"/>
          <w:szCs w:val="30"/>
          <w:highlight w:val="none"/>
        </w:rPr>
        <w:t>202</w:t>
      </w:r>
      <w:r>
        <w:rPr>
          <w:rFonts w:hint="eastAsia" w:ascii="仿宋_GB2312" w:hAnsi="宋体" w:eastAsia="仿宋_GB2312"/>
          <w:b/>
          <w:bCs/>
          <w:color w:val="auto"/>
          <w:w w:val="95"/>
          <w:sz w:val="30"/>
          <w:szCs w:val="30"/>
          <w:highlight w:val="none"/>
          <w:lang w:val="en-US" w:eastAsia="zh-CN"/>
        </w:rPr>
        <w:t>6</w:t>
      </w:r>
      <w:r>
        <w:rPr>
          <w:rFonts w:hint="eastAsia" w:ascii="仿宋_GB2312" w:hAnsi="宋体" w:eastAsia="仿宋_GB2312"/>
          <w:b/>
          <w:bCs/>
          <w:color w:val="auto"/>
          <w:w w:val="95"/>
          <w:sz w:val="30"/>
          <w:szCs w:val="30"/>
          <w:highlight w:val="none"/>
        </w:rPr>
        <w:t>年</w:t>
      </w:r>
      <w:r>
        <w:rPr>
          <w:rFonts w:hint="eastAsia" w:ascii="仿宋_GB2312" w:hAnsi="宋体" w:eastAsia="仿宋_GB2312"/>
          <w:b/>
          <w:bCs/>
          <w:color w:val="auto"/>
          <w:w w:val="95"/>
          <w:sz w:val="30"/>
          <w:szCs w:val="30"/>
          <w:highlight w:val="none"/>
          <w:lang w:val="en-US" w:eastAsia="zh-CN"/>
        </w:rPr>
        <w:t>4</w:t>
      </w:r>
      <w:r>
        <w:rPr>
          <w:rFonts w:hint="eastAsia" w:ascii="仿宋_GB2312" w:hAnsi="宋体" w:eastAsia="仿宋_GB2312"/>
          <w:b/>
          <w:bCs/>
          <w:color w:val="auto"/>
          <w:w w:val="95"/>
          <w:sz w:val="30"/>
          <w:szCs w:val="30"/>
          <w:highlight w:val="none"/>
        </w:rPr>
        <w:t>月</w:t>
      </w:r>
    </w:p>
    <w:p w14:paraId="03530F91">
      <w:pPr>
        <w:widowControl/>
        <w:spacing w:line="360" w:lineRule="auto"/>
        <w:jc w:val="left"/>
        <w:rPr>
          <w:rFonts w:ascii="仿宋_GB2312" w:hAnsi="宋体" w:eastAsia="仿宋_GB2312"/>
          <w:b/>
          <w:bCs/>
          <w:color w:val="auto"/>
          <w:w w:val="95"/>
          <w:kern w:val="0"/>
          <w:sz w:val="30"/>
          <w:szCs w:val="30"/>
          <w:highlight w:val="none"/>
        </w:rPr>
        <w:sectPr>
          <w:headerReference r:id="rId3" w:type="default"/>
          <w:pgSz w:w="11911" w:h="16838"/>
          <w:pgMar w:top="1417" w:right="1417" w:bottom="1417" w:left="1417" w:header="720" w:footer="720" w:gutter="0"/>
          <w:pgNumType w:start="1"/>
          <w:cols w:space="0" w:num="1"/>
          <w:docGrid w:linePitch="331" w:charSpace="0"/>
        </w:sectPr>
      </w:pPr>
    </w:p>
    <w:p w14:paraId="651973B0">
      <w:pPr>
        <w:spacing w:line="360" w:lineRule="auto"/>
        <w:jc w:val="center"/>
        <w:rPr>
          <w:rFonts w:ascii="宋体" w:hAnsi="宋体"/>
          <w:b/>
          <w:color w:val="auto"/>
          <w:sz w:val="44"/>
          <w:szCs w:val="44"/>
          <w:highlight w:val="none"/>
        </w:rPr>
      </w:pPr>
      <w:r>
        <w:rPr>
          <w:rFonts w:hint="eastAsia" w:ascii="宋体" w:hAnsi="宋体"/>
          <w:b/>
          <w:color w:val="auto"/>
          <w:sz w:val="44"/>
          <w:szCs w:val="44"/>
          <w:highlight w:val="none"/>
        </w:rPr>
        <w:t>目   录</w:t>
      </w:r>
    </w:p>
    <w:p w14:paraId="7B0B78B6">
      <w:pPr>
        <w:spacing w:line="400" w:lineRule="exact"/>
        <w:jc w:val="center"/>
        <w:rPr>
          <w:rFonts w:ascii="宋体" w:hAnsi="宋体"/>
          <w:b/>
          <w:color w:val="auto"/>
          <w:sz w:val="44"/>
          <w:szCs w:val="44"/>
          <w:highlight w:val="none"/>
        </w:rPr>
      </w:pPr>
    </w:p>
    <w:p w14:paraId="0EFDACE5">
      <w:pPr>
        <w:tabs>
          <w:tab w:val="right" w:leader="dot" w:pos="8879"/>
        </w:tabs>
        <w:rPr>
          <w:color w:val="auto"/>
          <w:highlight w:val="none"/>
        </w:rPr>
      </w:pPr>
      <w:r>
        <w:rPr>
          <w:rFonts w:hint="eastAsia" w:ascii="宋体" w:hAnsi="宋体"/>
          <w:b/>
          <w:color w:val="auto"/>
          <w:sz w:val="30"/>
          <w:szCs w:val="30"/>
          <w:highlight w:val="none"/>
        </w:rPr>
        <w:fldChar w:fldCharType="begin"/>
      </w:r>
      <w:r>
        <w:rPr>
          <w:rFonts w:hint="eastAsia" w:ascii="宋体" w:hAnsi="宋体"/>
          <w:b/>
          <w:color w:val="auto"/>
          <w:sz w:val="30"/>
          <w:szCs w:val="30"/>
          <w:highlight w:val="none"/>
        </w:rPr>
        <w:instrText xml:space="preserve"> TOC \o "1-3" \h \z \u </w:instrText>
      </w:r>
      <w:r>
        <w:rPr>
          <w:rFonts w:hint="eastAsia" w:ascii="宋体" w:hAnsi="宋体"/>
          <w:b/>
          <w:color w:val="auto"/>
          <w:sz w:val="30"/>
          <w:szCs w:val="30"/>
          <w:highlight w:val="none"/>
        </w:rPr>
        <w:fldChar w:fldCharType="separate"/>
      </w:r>
      <w:r>
        <w:rPr>
          <w:color w:val="auto"/>
          <w:highlight w:val="none"/>
        </w:rPr>
        <w:fldChar w:fldCharType="begin"/>
      </w:r>
      <w:r>
        <w:rPr>
          <w:color w:val="auto"/>
          <w:highlight w:val="none"/>
        </w:rPr>
        <w:instrText xml:space="preserve"> HYPERLINK \l "_Toc8095" </w:instrText>
      </w:r>
      <w:r>
        <w:rPr>
          <w:color w:val="auto"/>
          <w:highlight w:val="none"/>
        </w:rPr>
        <w:fldChar w:fldCharType="separate"/>
      </w:r>
      <w:r>
        <w:rPr>
          <w:rFonts w:hint="eastAsia"/>
          <w:color w:val="auto"/>
          <w:highlight w:val="none"/>
        </w:rPr>
        <w:t>第一章</w:t>
      </w:r>
      <w:r>
        <w:rPr>
          <w:color w:val="auto"/>
          <w:highlight w:val="none"/>
        </w:rPr>
        <w:t xml:space="preserve"> </w:t>
      </w:r>
      <w:r>
        <w:rPr>
          <w:rFonts w:hint="eastAsia"/>
          <w:color w:val="auto"/>
          <w:highlight w:val="none"/>
        </w:rPr>
        <w:t>竞争性磋商公告</w:t>
      </w:r>
      <w:r>
        <w:rPr>
          <w:color w:val="auto"/>
          <w:highlight w:val="none"/>
        </w:rPr>
        <w:tab/>
      </w:r>
      <w:r>
        <w:rPr>
          <w:color w:val="auto"/>
          <w:highlight w:val="none"/>
        </w:rPr>
        <w:fldChar w:fldCharType="begin"/>
      </w:r>
      <w:r>
        <w:rPr>
          <w:color w:val="auto"/>
          <w:highlight w:val="none"/>
        </w:rPr>
        <w:instrText xml:space="preserve"> PAGEREF _Toc8095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14:paraId="798F97C3">
      <w:pPr>
        <w:tabs>
          <w:tab w:val="right" w:leader="dot" w:pos="8879"/>
        </w:tabs>
        <w:rPr>
          <w:color w:val="auto"/>
          <w:highlight w:val="none"/>
        </w:rPr>
      </w:pPr>
      <w:r>
        <w:rPr>
          <w:color w:val="auto"/>
          <w:highlight w:val="none"/>
        </w:rPr>
        <w:fldChar w:fldCharType="begin"/>
      </w:r>
      <w:r>
        <w:rPr>
          <w:color w:val="auto"/>
          <w:highlight w:val="none"/>
        </w:rPr>
        <w:instrText xml:space="preserve"> HYPERLINK \l "_Toc16006" </w:instrText>
      </w:r>
      <w:r>
        <w:rPr>
          <w:color w:val="auto"/>
          <w:highlight w:val="none"/>
        </w:rPr>
        <w:fldChar w:fldCharType="separate"/>
      </w:r>
      <w:r>
        <w:rPr>
          <w:rFonts w:hint="eastAsia" w:ascii="Cambria" w:hAnsi="Cambria"/>
          <w:color w:val="auto"/>
          <w:szCs w:val="32"/>
          <w:highlight w:val="none"/>
        </w:rPr>
        <w:t>第二章</w:t>
      </w:r>
      <w:r>
        <w:rPr>
          <w:rFonts w:ascii="Cambria" w:hAnsi="Cambria"/>
          <w:color w:val="auto"/>
          <w:szCs w:val="32"/>
          <w:highlight w:val="none"/>
        </w:rPr>
        <w:t xml:space="preserve"> </w:t>
      </w:r>
      <w:r>
        <w:rPr>
          <w:rFonts w:hint="eastAsia" w:ascii="Cambria" w:hAnsi="Cambria"/>
          <w:color w:val="auto"/>
          <w:szCs w:val="32"/>
          <w:highlight w:val="none"/>
        </w:rPr>
        <w:t>采购需求</w:t>
      </w:r>
      <w:r>
        <w:rPr>
          <w:color w:val="auto"/>
          <w:highlight w:val="none"/>
        </w:rPr>
        <w:tab/>
      </w:r>
      <w:r>
        <w:rPr>
          <w:color w:val="auto"/>
          <w:highlight w:val="none"/>
        </w:rPr>
        <w:fldChar w:fldCharType="begin"/>
      </w:r>
      <w:r>
        <w:rPr>
          <w:color w:val="auto"/>
          <w:highlight w:val="none"/>
        </w:rPr>
        <w:instrText xml:space="preserve"> PAGEREF _Toc16006 \h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14:paraId="4A0BF39F">
      <w:pPr>
        <w:tabs>
          <w:tab w:val="right" w:leader="dot" w:pos="8879"/>
        </w:tabs>
        <w:rPr>
          <w:color w:val="auto"/>
          <w:highlight w:val="none"/>
        </w:rPr>
      </w:pPr>
      <w:r>
        <w:rPr>
          <w:color w:val="auto"/>
          <w:highlight w:val="none"/>
        </w:rPr>
        <w:fldChar w:fldCharType="begin"/>
      </w:r>
      <w:r>
        <w:rPr>
          <w:color w:val="auto"/>
          <w:highlight w:val="none"/>
        </w:rPr>
        <w:instrText xml:space="preserve"> HYPERLINK \l "_Toc11561" </w:instrText>
      </w:r>
      <w:r>
        <w:rPr>
          <w:color w:val="auto"/>
          <w:highlight w:val="none"/>
        </w:rPr>
        <w:fldChar w:fldCharType="separate"/>
      </w:r>
      <w:r>
        <w:rPr>
          <w:rFonts w:hint="eastAsia" w:ascii="Cambria" w:hAnsi="Cambria"/>
          <w:color w:val="auto"/>
          <w:szCs w:val="32"/>
          <w:highlight w:val="none"/>
        </w:rPr>
        <w:t>第三章</w:t>
      </w:r>
      <w:r>
        <w:rPr>
          <w:rFonts w:ascii="Cambria" w:hAnsi="Cambria"/>
          <w:color w:val="auto"/>
          <w:szCs w:val="32"/>
          <w:highlight w:val="none"/>
        </w:rPr>
        <w:t xml:space="preserve"> </w:t>
      </w:r>
      <w:r>
        <w:rPr>
          <w:rFonts w:hint="eastAsia" w:ascii="Cambria" w:hAnsi="Cambria"/>
          <w:color w:val="auto"/>
          <w:szCs w:val="32"/>
          <w:highlight w:val="none"/>
        </w:rPr>
        <w:t>供应商须知</w:t>
      </w:r>
      <w:r>
        <w:rPr>
          <w:color w:val="auto"/>
          <w:highlight w:val="none"/>
        </w:rPr>
        <w:tab/>
      </w:r>
      <w:r>
        <w:rPr>
          <w:color w:val="auto"/>
          <w:highlight w:val="none"/>
        </w:rPr>
        <w:fldChar w:fldCharType="begin"/>
      </w:r>
      <w:r>
        <w:rPr>
          <w:color w:val="auto"/>
          <w:highlight w:val="none"/>
        </w:rPr>
        <w:instrText xml:space="preserve"> PAGEREF _Toc11561 \h </w:instrText>
      </w:r>
      <w:r>
        <w:rPr>
          <w:color w:val="auto"/>
          <w:highlight w:val="none"/>
        </w:rPr>
        <w:fldChar w:fldCharType="separate"/>
      </w:r>
      <w:r>
        <w:rPr>
          <w:color w:val="auto"/>
          <w:highlight w:val="none"/>
        </w:rPr>
        <w:t>14</w:t>
      </w:r>
      <w:r>
        <w:rPr>
          <w:color w:val="auto"/>
          <w:highlight w:val="none"/>
        </w:rPr>
        <w:fldChar w:fldCharType="end"/>
      </w:r>
      <w:r>
        <w:rPr>
          <w:color w:val="auto"/>
          <w:highlight w:val="none"/>
        </w:rPr>
        <w:fldChar w:fldCharType="end"/>
      </w:r>
    </w:p>
    <w:p w14:paraId="2E615F2D">
      <w:pPr>
        <w:pStyle w:val="18"/>
        <w:tabs>
          <w:tab w:val="right" w:leader="dot" w:pos="8879"/>
        </w:tabs>
        <w:ind w:left="420" w:hanging="420"/>
        <w:rPr>
          <w:color w:val="auto"/>
          <w:highlight w:val="none"/>
        </w:rPr>
      </w:pPr>
      <w:r>
        <w:rPr>
          <w:color w:val="auto"/>
          <w:highlight w:val="none"/>
        </w:rPr>
        <w:fldChar w:fldCharType="begin"/>
      </w:r>
      <w:r>
        <w:rPr>
          <w:color w:val="auto"/>
          <w:highlight w:val="none"/>
        </w:rPr>
        <w:instrText xml:space="preserve"> HYPERLINK \l "_Toc25061" </w:instrText>
      </w:r>
      <w:r>
        <w:rPr>
          <w:color w:val="auto"/>
          <w:highlight w:val="none"/>
        </w:rPr>
        <w:fldChar w:fldCharType="separate"/>
      </w:r>
      <w:r>
        <w:rPr>
          <w:rFonts w:hint="eastAsia" w:ascii="宋体" w:hAnsi="宋体"/>
          <w:color w:val="auto"/>
          <w:highlight w:val="none"/>
        </w:rPr>
        <w:t>第一节 供应商须知前附表</w:t>
      </w:r>
      <w:r>
        <w:rPr>
          <w:color w:val="auto"/>
          <w:highlight w:val="none"/>
        </w:rPr>
        <w:tab/>
      </w:r>
      <w:r>
        <w:rPr>
          <w:color w:val="auto"/>
          <w:highlight w:val="none"/>
        </w:rPr>
        <w:fldChar w:fldCharType="begin"/>
      </w:r>
      <w:r>
        <w:rPr>
          <w:color w:val="auto"/>
          <w:highlight w:val="none"/>
        </w:rPr>
        <w:instrText xml:space="preserve"> PAGEREF _Toc25061 \h </w:instrText>
      </w:r>
      <w:r>
        <w:rPr>
          <w:color w:val="auto"/>
          <w:highlight w:val="none"/>
        </w:rPr>
        <w:fldChar w:fldCharType="separate"/>
      </w:r>
      <w:r>
        <w:rPr>
          <w:color w:val="auto"/>
          <w:highlight w:val="none"/>
        </w:rPr>
        <w:t>14</w:t>
      </w:r>
      <w:r>
        <w:rPr>
          <w:color w:val="auto"/>
          <w:highlight w:val="none"/>
        </w:rPr>
        <w:fldChar w:fldCharType="end"/>
      </w:r>
      <w:r>
        <w:rPr>
          <w:color w:val="auto"/>
          <w:highlight w:val="none"/>
        </w:rPr>
        <w:fldChar w:fldCharType="end"/>
      </w:r>
    </w:p>
    <w:p w14:paraId="25C1D944">
      <w:pPr>
        <w:pStyle w:val="18"/>
        <w:tabs>
          <w:tab w:val="right" w:leader="dot" w:pos="8879"/>
        </w:tabs>
        <w:ind w:left="420" w:hanging="420"/>
        <w:rPr>
          <w:color w:val="auto"/>
          <w:highlight w:val="none"/>
        </w:rPr>
      </w:pPr>
      <w:r>
        <w:rPr>
          <w:color w:val="auto"/>
          <w:highlight w:val="none"/>
        </w:rPr>
        <w:fldChar w:fldCharType="begin"/>
      </w:r>
      <w:r>
        <w:rPr>
          <w:color w:val="auto"/>
          <w:highlight w:val="none"/>
        </w:rPr>
        <w:instrText xml:space="preserve"> HYPERLINK \l "_Toc22962" </w:instrText>
      </w:r>
      <w:r>
        <w:rPr>
          <w:color w:val="auto"/>
          <w:highlight w:val="none"/>
        </w:rPr>
        <w:fldChar w:fldCharType="separate"/>
      </w:r>
      <w:r>
        <w:rPr>
          <w:rFonts w:hint="eastAsia" w:ascii="宋体" w:hAnsi="宋体"/>
          <w:color w:val="auto"/>
          <w:highlight w:val="none"/>
        </w:rPr>
        <w:t>第二节 供应商须知正文</w:t>
      </w:r>
      <w:r>
        <w:rPr>
          <w:color w:val="auto"/>
          <w:highlight w:val="none"/>
        </w:rPr>
        <w:tab/>
      </w:r>
      <w:r>
        <w:rPr>
          <w:color w:val="auto"/>
          <w:highlight w:val="none"/>
        </w:rPr>
        <w:fldChar w:fldCharType="begin"/>
      </w:r>
      <w:r>
        <w:rPr>
          <w:color w:val="auto"/>
          <w:highlight w:val="none"/>
        </w:rPr>
        <w:instrText xml:space="preserve"> PAGEREF _Toc22962 \h </w:instrText>
      </w:r>
      <w:r>
        <w:rPr>
          <w:color w:val="auto"/>
          <w:highlight w:val="none"/>
        </w:rPr>
        <w:fldChar w:fldCharType="separate"/>
      </w:r>
      <w:r>
        <w:rPr>
          <w:color w:val="auto"/>
          <w:highlight w:val="none"/>
        </w:rPr>
        <w:t>20</w:t>
      </w:r>
      <w:r>
        <w:rPr>
          <w:color w:val="auto"/>
          <w:highlight w:val="none"/>
        </w:rPr>
        <w:fldChar w:fldCharType="end"/>
      </w:r>
      <w:r>
        <w:rPr>
          <w:color w:val="auto"/>
          <w:highlight w:val="none"/>
        </w:rPr>
        <w:fldChar w:fldCharType="end"/>
      </w:r>
    </w:p>
    <w:p w14:paraId="092D6F0B">
      <w:pPr>
        <w:pStyle w:val="11"/>
        <w:tabs>
          <w:tab w:val="right" w:leader="dot" w:pos="8879"/>
        </w:tabs>
        <w:ind w:left="840" w:hanging="420"/>
        <w:rPr>
          <w:color w:val="auto"/>
          <w:highlight w:val="none"/>
        </w:rPr>
      </w:pPr>
      <w:r>
        <w:rPr>
          <w:color w:val="auto"/>
          <w:highlight w:val="none"/>
        </w:rPr>
        <w:fldChar w:fldCharType="begin"/>
      </w:r>
      <w:r>
        <w:rPr>
          <w:color w:val="auto"/>
          <w:highlight w:val="none"/>
        </w:rPr>
        <w:instrText xml:space="preserve"> HYPERLINK \l "_Toc10364" </w:instrText>
      </w:r>
      <w:r>
        <w:rPr>
          <w:color w:val="auto"/>
          <w:highlight w:val="none"/>
        </w:rPr>
        <w:fldChar w:fldCharType="separate"/>
      </w:r>
      <w:r>
        <w:rPr>
          <w:rFonts w:hint="eastAsia" w:ascii="宋体" w:hAnsi="宋体"/>
          <w:color w:val="auto"/>
          <w:highlight w:val="none"/>
        </w:rPr>
        <w:t>一、总则</w:t>
      </w:r>
      <w:r>
        <w:rPr>
          <w:color w:val="auto"/>
          <w:highlight w:val="none"/>
        </w:rPr>
        <w:tab/>
      </w:r>
      <w:r>
        <w:rPr>
          <w:color w:val="auto"/>
          <w:highlight w:val="none"/>
        </w:rPr>
        <w:fldChar w:fldCharType="begin"/>
      </w:r>
      <w:r>
        <w:rPr>
          <w:color w:val="auto"/>
          <w:highlight w:val="none"/>
        </w:rPr>
        <w:instrText xml:space="preserve"> PAGEREF _Toc10364 \h </w:instrText>
      </w:r>
      <w:r>
        <w:rPr>
          <w:color w:val="auto"/>
          <w:highlight w:val="none"/>
        </w:rPr>
        <w:fldChar w:fldCharType="separate"/>
      </w:r>
      <w:r>
        <w:rPr>
          <w:color w:val="auto"/>
          <w:highlight w:val="none"/>
        </w:rPr>
        <w:t>20</w:t>
      </w:r>
      <w:r>
        <w:rPr>
          <w:color w:val="auto"/>
          <w:highlight w:val="none"/>
        </w:rPr>
        <w:fldChar w:fldCharType="end"/>
      </w:r>
      <w:r>
        <w:rPr>
          <w:color w:val="auto"/>
          <w:highlight w:val="none"/>
        </w:rPr>
        <w:fldChar w:fldCharType="end"/>
      </w:r>
    </w:p>
    <w:p w14:paraId="490A9354">
      <w:pPr>
        <w:pStyle w:val="11"/>
        <w:tabs>
          <w:tab w:val="right" w:leader="dot" w:pos="8879"/>
        </w:tabs>
        <w:ind w:left="840" w:hanging="420"/>
        <w:rPr>
          <w:color w:val="auto"/>
          <w:highlight w:val="none"/>
        </w:rPr>
      </w:pPr>
      <w:r>
        <w:rPr>
          <w:color w:val="auto"/>
          <w:highlight w:val="none"/>
        </w:rPr>
        <w:fldChar w:fldCharType="begin"/>
      </w:r>
      <w:r>
        <w:rPr>
          <w:color w:val="auto"/>
          <w:highlight w:val="none"/>
        </w:rPr>
        <w:instrText xml:space="preserve"> HYPERLINK \l "_Toc28927" </w:instrText>
      </w:r>
      <w:r>
        <w:rPr>
          <w:color w:val="auto"/>
          <w:highlight w:val="none"/>
        </w:rPr>
        <w:fldChar w:fldCharType="separate"/>
      </w:r>
      <w:r>
        <w:rPr>
          <w:rFonts w:hint="eastAsia" w:ascii="宋体" w:hAnsi="宋体"/>
          <w:color w:val="auto"/>
          <w:highlight w:val="none"/>
        </w:rPr>
        <w:t>二、磋商文件</w:t>
      </w:r>
      <w:r>
        <w:rPr>
          <w:color w:val="auto"/>
          <w:highlight w:val="none"/>
        </w:rPr>
        <w:tab/>
      </w:r>
      <w:r>
        <w:rPr>
          <w:color w:val="auto"/>
          <w:highlight w:val="none"/>
        </w:rPr>
        <w:fldChar w:fldCharType="begin"/>
      </w:r>
      <w:r>
        <w:rPr>
          <w:color w:val="auto"/>
          <w:highlight w:val="none"/>
        </w:rPr>
        <w:instrText xml:space="preserve"> PAGEREF _Toc28927 \h </w:instrText>
      </w:r>
      <w:r>
        <w:rPr>
          <w:color w:val="auto"/>
          <w:highlight w:val="none"/>
        </w:rPr>
        <w:fldChar w:fldCharType="separate"/>
      </w:r>
      <w:r>
        <w:rPr>
          <w:color w:val="auto"/>
          <w:highlight w:val="none"/>
        </w:rPr>
        <w:t>22</w:t>
      </w:r>
      <w:r>
        <w:rPr>
          <w:color w:val="auto"/>
          <w:highlight w:val="none"/>
        </w:rPr>
        <w:fldChar w:fldCharType="end"/>
      </w:r>
      <w:r>
        <w:rPr>
          <w:color w:val="auto"/>
          <w:highlight w:val="none"/>
        </w:rPr>
        <w:fldChar w:fldCharType="end"/>
      </w:r>
    </w:p>
    <w:p w14:paraId="4BFCF294">
      <w:pPr>
        <w:pStyle w:val="11"/>
        <w:tabs>
          <w:tab w:val="right" w:leader="dot" w:pos="8879"/>
        </w:tabs>
        <w:ind w:left="840" w:hanging="420"/>
        <w:rPr>
          <w:color w:val="auto"/>
          <w:highlight w:val="none"/>
        </w:rPr>
      </w:pPr>
      <w:r>
        <w:rPr>
          <w:color w:val="auto"/>
          <w:highlight w:val="none"/>
        </w:rPr>
        <w:fldChar w:fldCharType="begin"/>
      </w:r>
      <w:r>
        <w:rPr>
          <w:color w:val="auto"/>
          <w:highlight w:val="none"/>
        </w:rPr>
        <w:instrText xml:space="preserve"> HYPERLINK \l "_Toc12927" </w:instrText>
      </w:r>
      <w:r>
        <w:rPr>
          <w:color w:val="auto"/>
          <w:highlight w:val="none"/>
        </w:rPr>
        <w:fldChar w:fldCharType="separate"/>
      </w:r>
      <w:r>
        <w:rPr>
          <w:rFonts w:hint="eastAsia" w:ascii="宋体" w:hAnsi="宋体"/>
          <w:color w:val="auto"/>
          <w:highlight w:val="none"/>
        </w:rPr>
        <w:t>三、响应文件的编制</w:t>
      </w:r>
      <w:r>
        <w:rPr>
          <w:color w:val="auto"/>
          <w:highlight w:val="none"/>
        </w:rPr>
        <w:tab/>
      </w:r>
      <w:r>
        <w:rPr>
          <w:color w:val="auto"/>
          <w:highlight w:val="none"/>
        </w:rPr>
        <w:fldChar w:fldCharType="begin"/>
      </w:r>
      <w:r>
        <w:rPr>
          <w:color w:val="auto"/>
          <w:highlight w:val="none"/>
        </w:rPr>
        <w:instrText xml:space="preserve"> PAGEREF _Toc12927 \h </w:instrText>
      </w:r>
      <w:r>
        <w:rPr>
          <w:color w:val="auto"/>
          <w:highlight w:val="none"/>
        </w:rPr>
        <w:fldChar w:fldCharType="separate"/>
      </w:r>
      <w:r>
        <w:rPr>
          <w:color w:val="auto"/>
          <w:highlight w:val="none"/>
        </w:rPr>
        <w:t>23</w:t>
      </w:r>
      <w:r>
        <w:rPr>
          <w:color w:val="auto"/>
          <w:highlight w:val="none"/>
        </w:rPr>
        <w:fldChar w:fldCharType="end"/>
      </w:r>
      <w:r>
        <w:rPr>
          <w:color w:val="auto"/>
          <w:highlight w:val="none"/>
        </w:rPr>
        <w:fldChar w:fldCharType="end"/>
      </w:r>
    </w:p>
    <w:p w14:paraId="5EFAD65B">
      <w:pPr>
        <w:pStyle w:val="11"/>
        <w:tabs>
          <w:tab w:val="right" w:leader="dot" w:pos="8879"/>
        </w:tabs>
        <w:ind w:left="840" w:hanging="420"/>
        <w:rPr>
          <w:color w:val="auto"/>
          <w:highlight w:val="none"/>
        </w:rPr>
      </w:pPr>
      <w:r>
        <w:rPr>
          <w:color w:val="auto"/>
          <w:highlight w:val="none"/>
        </w:rPr>
        <w:fldChar w:fldCharType="begin"/>
      </w:r>
      <w:r>
        <w:rPr>
          <w:color w:val="auto"/>
          <w:highlight w:val="none"/>
        </w:rPr>
        <w:instrText xml:space="preserve"> HYPERLINK \l "_Toc12248" </w:instrText>
      </w:r>
      <w:r>
        <w:rPr>
          <w:color w:val="auto"/>
          <w:highlight w:val="none"/>
        </w:rPr>
        <w:fldChar w:fldCharType="separate"/>
      </w:r>
      <w:r>
        <w:rPr>
          <w:rFonts w:hint="eastAsia" w:ascii="宋体" w:hAnsi="宋体"/>
          <w:color w:val="auto"/>
          <w:highlight w:val="none"/>
        </w:rPr>
        <w:t>四、评审及磋商</w:t>
      </w:r>
      <w:r>
        <w:rPr>
          <w:color w:val="auto"/>
          <w:highlight w:val="none"/>
        </w:rPr>
        <w:tab/>
      </w:r>
      <w:r>
        <w:rPr>
          <w:color w:val="auto"/>
          <w:highlight w:val="none"/>
        </w:rPr>
        <w:fldChar w:fldCharType="begin"/>
      </w:r>
      <w:r>
        <w:rPr>
          <w:color w:val="auto"/>
          <w:highlight w:val="none"/>
        </w:rPr>
        <w:instrText xml:space="preserve"> PAGEREF _Toc12248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14:paraId="395847C7">
      <w:pPr>
        <w:pStyle w:val="11"/>
        <w:tabs>
          <w:tab w:val="right" w:leader="dot" w:pos="8879"/>
        </w:tabs>
        <w:ind w:left="840" w:hanging="420"/>
        <w:rPr>
          <w:color w:val="auto"/>
          <w:highlight w:val="none"/>
        </w:rPr>
      </w:pPr>
      <w:r>
        <w:rPr>
          <w:color w:val="auto"/>
          <w:highlight w:val="none"/>
        </w:rPr>
        <w:fldChar w:fldCharType="begin"/>
      </w:r>
      <w:r>
        <w:rPr>
          <w:color w:val="auto"/>
          <w:highlight w:val="none"/>
        </w:rPr>
        <w:instrText xml:space="preserve"> HYPERLINK \l "_Toc31092" </w:instrText>
      </w:r>
      <w:r>
        <w:rPr>
          <w:color w:val="auto"/>
          <w:highlight w:val="none"/>
        </w:rPr>
        <w:fldChar w:fldCharType="separate"/>
      </w:r>
      <w:r>
        <w:rPr>
          <w:rFonts w:hint="eastAsia" w:ascii="宋体" w:hAnsi="宋体"/>
          <w:color w:val="auto"/>
          <w:highlight w:val="none"/>
        </w:rPr>
        <w:t>五、成交及合同</w:t>
      </w:r>
      <w:r>
        <w:rPr>
          <w:color w:val="auto"/>
          <w:highlight w:val="none"/>
        </w:rPr>
        <w:tab/>
      </w:r>
      <w:r>
        <w:rPr>
          <w:color w:val="auto"/>
          <w:highlight w:val="none"/>
        </w:rPr>
        <w:fldChar w:fldCharType="begin"/>
      </w:r>
      <w:r>
        <w:rPr>
          <w:color w:val="auto"/>
          <w:highlight w:val="none"/>
        </w:rPr>
        <w:instrText xml:space="preserve"> PAGEREF _Toc31092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14:paraId="09834946">
      <w:pPr>
        <w:pStyle w:val="11"/>
        <w:tabs>
          <w:tab w:val="right" w:leader="dot" w:pos="8879"/>
        </w:tabs>
        <w:ind w:left="840" w:hanging="420"/>
        <w:rPr>
          <w:color w:val="auto"/>
          <w:highlight w:val="none"/>
        </w:rPr>
      </w:pPr>
      <w:r>
        <w:rPr>
          <w:color w:val="auto"/>
          <w:highlight w:val="none"/>
        </w:rPr>
        <w:fldChar w:fldCharType="begin"/>
      </w:r>
      <w:r>
        <w:rPr>
          <w:color w:val="auto"/>
          <w:highlight w:val="none"/>
        </w:rPr>
        <w:instrText xml:space="preserve"> HYPERLINK \l "_Toc536" </w:instrText>
      </w:r>
      <w:r>
        <w:rPr>
          <w:color w:val="auto"/>
          <w:highlight w:val="none"/>
        </w:rPr>
        <w:fldChar w:fldCharType="separate"/>
      </w:r>
      <w:r>
        <w:rPr>
          <w:rFonts w:hint="eastAsia" w:ascii="宋体" w:hAnsi="宋体"/>
          <w:color w:val="auto"/>
          <w:highlight w:val="none"/>
        </w:rPr>
        <w:t>六、验收</w:t>
      </w:r>
      <w:r>
        <w:rPr>
          <w:color w:val="auto"/>
          <w:highlight w:val="none"/>
        </w:rPr>
        <w:tab/>
      </w:r>
      <w:r>
        <w:rPr>
          <w:color w:val="auto"/>
          <w:highlight w:val="none"/>
        </w:rPr>
        <w:fldChar w:fldCharType="begin"/>
      </w:r>
      <w:r>
        <w:rPr>
          <w:color w:val="auto"/>
          <w:highlight w:val="none"/>
        </w:rPr>
        <w:instrText xml:space="preserve"> PAGEREF _Toc536 \h </w:instrText>
      </w:r>
      <w:r>
        <w:rPr>
          <w:color w:val="auto"/>
          <w:highlight w:val="none"/>
        </w:rPr>
        <w:fldChar w:fldCharType="separate"/>
      </w:r>
      <w:r>
        <w:rPr>
          <w:color w:val="auto"/>
          <w:highlight w:val="none"/>
        </w:rPr>
        <w:t>29</w:t>
      </w:r>
      <w:r>
        <w:rPr>
          <w:color w:val="auto"/>
          <w:highlight w:val="none"/>
        </w:rPr>
        <w:fldChar w:fldCharType="end"/>
      </w:r>
      <w:r>
        <w:rPr>
          <w:color w:val="auto"/>
          <w:highlight w:val="none"/>
        </w:rPr>
        <w:fldChar w:fldCharType="end"/>
      </w:r>
    </w:p>
    <w:p w14:paraId="152D9F26">
      <w:pPr>
        <w:pStyle w:val="11"/>
        <w:tabs>
          <w:tab w:val="right" w:leader="dot" w:pos="8879"/>
        </w:tabs>
        <w:ind w:left="840" w:hanging="420"/>
        <w:rPr>
          <w:color w:val="auto"/>
          <w:highlight w:val="none"/>
        </w:rPr>
      </w:pPr>
      <w:r>
        <w:rPr>
          <w:color w:val="auto"/>
          <w:highlight w:val="none"/>
        </w:rPr>
        <w:fldChar w:fldCharType="begin"/>
      </w:r>
      <w:r>
        <w:rPr>
          <w:color w:val="auto"/>
          <w:highlight w:val="none"/>
        </w:rPr>
        <w:instrText xml:space="preserve"> HYPERLINK \l "_Toc30836" </w:instrText>
      </w:r>
      <w:r>
        <w:rPr>
          <w:color w:val="auto"/>
          <w:highlight w:val="none"/>
        </w:rPr>
        <w:fldChar w:fldCharType="separate"/>
      </w:r>
      <w:r>
        <w:rPr>
          <w:rFonts w:hint="eastAsia" w:ascii="宋体" w:hAnsi="宋体"/>
          <w:color w:val="auto"/>
          <w:highlight w:val="none"/>
        </w:rPr>
        <w:t>七、其他事项</w:t>
      </w:r>
      <w:r>
        <w:rPr>
          <w:color w:val="auto"/>
          <w:highlight w:val="none"/>
        </w:rPr>
        <w:tab/>
      </w:r>
      <w:r>
        <w:rPr>
          <w:color w:val="auto"/>
          <w:highlight w:val="none"/>
        </w:rPr>
        <w:fldChar w:fldCharType="begin"/>
      </w:r>
      <w:r>
        <w:rPr>
          <w:color w:val="auto"/>
          <w:highlight w:val="none"/>
        </w:rPr>
        <w:instrText xml:space="preserve"> PAGEREF _Toc30836 \h </w:instrText>
      </w:r>
      <w:r>
        <w:rPr>
          <w:color w:val="auto"/>
          <w:highlight w:val="none"/>
        </w:rPr>
        <w:fldChar w:fldCharType="separate"/>
      </w:r>
      <w:r>
        <w:rPr>
          <w:color w:val="auto"/>
          <w:highlight w:val="none"/>
        </w:rPr>
        <w:t>30</w:t>
      </w:r>
      <w:r>
        <w:rPr>
          <w:color w:val="auto"/>
          <w:highlight w:val="none"/>
        </w:rPr>
        <w:fldChar w:fldCharType="end"/>
      </w:r>
      <w:r>
        <w:rPr>
          <w:color w:val="auto"/>
          <w:highlight w:val="none"/>
        </w:rPr>
        <w:fldChar w:fldCharType="end"/>
      </w:r>
    </w:p>
    <w:p w14:paraId="1BCC5D14">
      <w:pPr>
        <w:tabs>
          <w:tab w:val="right" w:leader="dot" w:pos="8879"/>
        </w:tabs>
        <w:rPr>
          <w:color w:val="auto"/>
          <w:highlight w:val="none"/>
        </w:rPr>
      </w:pPr>
      <w:r>
        <w:rPr>
          <w:color w:val="auto"/>
          <w:highlight w:val="none"/>
        </w:rPr>
        <w:fldChar w:fldCharType="begin"/>
      </w:r>
      <w:r>
        <w:rPr>
          <w:color w:val="auto"/>
          <w:highlight w:val="none"/>
        </w:rPr>
        <w:instrText xml:space="preserve"> HYPERLINK \l "_Toc25211" </w:instrText>
      </w:r>
      <w:r>
        <w:rPr>
          <w:color w:val="auto"/>
          <w:highlight w:val="none"/>
        </w:rPr>
        <w:fldChar w:fldCharType="separate"/>
      </w:r>
      <w:r>
        <w:rPr>
          <w:rFonts w:hint="eastAsia"/>
          <w:color w:val="auto"/>
          <w:highlight w:val="none"/>
        </w:rPr>
        <w:t>第四章</w:t>
      </w:r>
      <w:r>
        <w:rPr>
          <w:color w:val="auto"/>
          <w:highlight w:val="none"/>
        </w:rPr>
        <w:t xml:space="preserve">  </w:t>
      </w:r>
      <w:r>
        <w:rPr>
          <w:rFonts w:hint="eastAsia"/>
          <w:color w:val="auto"/>
          <w:highlight w:val="none"/>
        </w:rPr>
        <w:t>评审</w:t>
      </w:r>
      <w:bookmarkStart w:id="0" w:name="_Hlt116481243"/>
      <w:r>
        <w:rPr>
          <w:rFonts w:hint="eastAsia"/>
          <w:color w:val="auto"/>
          <w:highlight w:val="none"/>
        </w:rPr>
        <w:t>程</w:t>
      </w:r>
      <w:bookmarkEnd w:id="0"/>
      <w:r>
        <w:rPr>
          <w:rFonts w:hint="eastAsia"/>
          <w:color w:val="auto"/>
          <w:highlight w:val="none"/>
        </w:rPr>
        <w:t>序、评审</w:t>
      </w:r>
      <w:bookmarkStart w:id="1" w:name="_Hlt129548490"/>
      <w:bookmarkStart w:id="2" w:name="_Hlt129548491"/>
      <w:r>
        <w:rPr>
          <w:rFonts w:hint="eastAsia"/>
          <w:color w:val="auto"/>
          <w:highlight w:val="none"/>
        </w:rPr>
        <w:t>方</w:t>
      </w:r>
      <w:bookmarkEnd w:id="1"/>
      <w:bookmarkEnd w:id="2"/>
      <w:bookmarkStart w:id="3" w:name="_Hlt177567353"/>
      <w:bookmarkStart w:id="4" w:name="_Hlt177567352"/>
      <w:r>
        <w:rPr>
          <w:rFonts w:hint="eastAsia"/>
          <w:color w:val="auto"/>
          <w:highlight w:val="none"/>
        </w:rPr>
        <w:t>法</w:t>
      </w:r>
      <w:bookmarkEnd w:id="3"/>
      <w:bookmarkEnd w:id="4"/>
      <w:r>
        <w:rPr>
          <w:rFonts w:hint="eastAsia"/>
          <w:color w:val="auto"/>
          <w:highlight w:val="none"/>
        </w:rPr>
        <w:t>和评</w:t>
      </w:r>
      <w:bookmarkStart w:id="5" w:name="_Hlt165383549"/>
      <w:r>
        <w:rPr>
          <w:rFonts w:hint="eastAsia"/>
          <w:color w:val="auto"/>
          <w:highlight w:val="none"/>
        </w:rPr>
        <w:t>审</w:t>
      </w:r>
      <w:bookmarkEnd w:id="5"/>
      <w:r>
        <w:rPr>
          <w:rFonts w:hint="eastAsia"/>
          <w:color w:val="auto"/>
          <w:highlight w:val="none"/>
        </w:rPr>
        <w:t>标准</w:t>
      </w:r>
      <w:r>
        <w:rPr>
          <w:color w:val="auto"/>
          <w:highlight w:val="none"/>
        </w:rPr>
        <w:tab/>
      </w:r>
      <w:r>
        <w:rPr>
          <w:color w:val="auto"/>
          <w:highlight w:val="none"/>
        </w:rPr>
        <w:fldChar w:fldCharType="begin"/>
      </w:r>
      <w:r>
        <w:rPr>
          <w:color w:val="auto"/>
          <w:highlight w:val="none"/>
        </w:rPr>
        <w:instrText xml:space="preserve"> PAGEREF _Toc25211 \h </w:instrText>
      </w:r>
      <w:r>
        <w:rPr>
          <w:color w:val="auto"/>
          <w:highlight w:val="none"/>
        </w:rPr>
        <w:fldChar w:fldCharType="separate"/>
      </w:r>
      <w:r>
        <w:rPr>
          <w:color w:val="auto"/>
          <w:highlight w:val="none"/>
        </w:rPr>
        <w:t>31</w:t>
      </w:r>
      <w:r>
        <w:rPr>
          <w:color w:val="auto"/>
          <w:highlight w:val="none"/>
        </w:rPr>
        <w:fldChar w:fldCharType="end"/>
      </w:r>
      <w:r>
        <w:rPr>
          <w:color w:val="auto"/>
          <w:highlight w:val="none"/>
        </w:rPr>
        <w:fldChar w:fldCharType="end"/>
      </w:r>
    </w:p>
    <w:p w14:paraId="0BF38FC9">
      <w:pPr>
        <w:pStyle w:val="18"/>
        <w:tabs>
          <w:tab w:val="right" w:leader="dot" w:pos="8879"/>
        </w:tabs>
        <w:ind w:left="420" w:hanging="420"/>
        <w:rPr>
          <w:color w:val="auto"/>
          <w:highlight w:val="none"/>
        </w:rPr>
      </w:pPr>
      <w:r>
        <w:rPr>
          <w:color w:val="auto"/>
          <w:highlight w:val="none"/>
        </w:rPr>
        <w:fldChar w:fldCharType="begin"/>
      </w:r>
      <w:r>
        <w:rPr>
          <w:color w:val="auto"/>
          <w:highlight w:val="none"/>
        </w:rPr>
        <w:instrText xml:space="preserve"> HYPERLINK \l "_Toc833" </w:instrText>
      </w:r>
      <w:r>
        <w:rPr>
          <w:color w:val="auto"/>
          <w:highlight w:val="none"/>
        </w:rPr>
        <w:fldChar w:fldCharType="separate"/>
      </w:r>
      <w:r>
        <w:rPr>
          <w:rFonts w:hint="eastAsia" w:ascii="宋体" w:hAnsi="宋体"/>
          <w:color w:val="auto"/>
          <w:highlight w:val="none"/>
        </w:rPr>
        <w:t>第一节 评审程序和评审方法</w:t>
      </w:r>
      <w:r>
        <w:rPr>
          <w:color w:val="auto"/>
          <w:highlight w:val="none"/>
        </w:rPr>
        <w:tab/>
      </w:r>
      <w:r>
        <w:rPr>
          <w:color w:val="auto"/>
          <w:highlight w:val="none"/>
        </w:rPr>
        <w:fldChar w:fldCharType="begin"/>
      </w:r>
      <w:r>
        <w:rPr>
          <w:color w:val="auto"/>
          <w:highlight w:val="none"/>
        </w:rPr>
        <w:instrText xml:space="preserve"> PAGEREF _Toc833 \h </w:instrText>
      </w:r>
      <w:r>
        <w:rPr>
          <w:color w:val="auto"/>
          <w:highlight w:val="none"/>
        </w:rPr>
        <w:fldChar w:fldCharType="separate"/>
      </w:r>
      <w:r>
        <w:rPr>
          <w:color w:val="auto"/>
          <w:highlight w:val="none"/>
        </w:rPr>
        <w:t>31</w:t>
      </w:r>
      <w:r>
        <w:rPr>
          <w:color w:val="auto"/>
          <w:highlight w:val="none"/>
        </w:rPr>
        <w:fldChar w:fldCharType="end"/>
      </w:r>
      <w:r>
        <w:rPr>
          <w:color w:val="auto"/>
          <w:highlight w:val="none"/>
        </w:rPr>
        <w:fldChar w:fldCharType="end"/>
      </w:r>
    </w:p>
    <w:p w14:paraId="21742811">
      <w:pPr>
        <w:pStyle w:val="18"/>
        <w:tabs>
          <w:tab w:val="right" w:leader="dot" w:pos="8879"/>
        </w:tabs>
        <w:ind w:left="420" w:hanging="420"/>
        <w:rPr>
          <w:color w:val="auto"/>
          <w:highlight w:val="none"/>
        </w:rPr>
      </w:pPr>
      <w:r>
        <w:rPr>
          <w:color w:val="auto"/>
          <w:highlight w:val="none"/>
        </w:rPr>
        <w:fldChar w:fldCharType="begin"/>
      </w:r>
      <w:r>
        <w:rPr>
          <w:color w:val="auto"/>
          <w:highlight w:val="none"/>
        </w:rPr>
        <w:instrText xml:space="preserve"> HYPERLINK \l "_Toc29129" </w:instrText>
      </w:r>
      <w:r>
        <w:rPr>
          <w:color w:val="auto"/>
          <w:highlight w:val="none"/>
        </w:rPr>
        <w:fldChar w:fldCharType="separate"/>
      </w:r>
      <w:r>
        <w:rPr>
          <w:rFonts w:hint="eastAsia" w:ascii="宋体" w:hAnsi="宋体"/>
          <w:color w:val="auto"/>
          <w:highlight w:val="none"/>
        </w:rPr>
        <w:t>第二节 评标报</w:t>
      </w:r>
      <w:bookmarkStart w:id="6" w:name="_Hlt139904960"/>
      <w:bookmarkStart w:id="7" w:name="_Hlt139904961"/>
      <w:r>
        <w:rPr>
          <w:rFonts w:hint="eastAsia" w:ascii="宋体" w:hAnsi="宋体"/>
          <w:color w:val="auto"/>
          <w:highlight w:val="none"/>
        </w:rPr>
        <w:t>告</w:t>
      </w:r>
      <w:bookmarkEnd w:id="6"/>
      <w:bookmarkEnd w:id="7"/>
      <w:r>
        <w:rPr>
          <w:color w:val="auto"/>
          <w:highlight w:val="none"/>
        </w:rPr>
        <w:tab/>
      </w:r>
      <w:r>
        <w:rPr>
          <w:color w:val="auto"/>
          <w:highlight w:val="none"/>
        </w:rPr>
        <w:fldChar w:fldCharType="begin"/>
      </w:r>
      <w:r>
        <w:rPr>
          <w:color w:val="auto"/>
          <w:highlight w:val="none"/>
        </w:rPr>
        <w:instrText xml:space="preserve"> PAGEREF _Toc29129 \h </w:instrText>
      </w:r>
      <w:r>
        <w:rPr>
          <w:color w:val="auto"/>
          <w:highlight w:val="none"/>
        </w:rPr>
        <w:fldChar w:fldCharType="separate"/>
      </w:r>
      <w:r>
        <w:rPr>
          <w:color w:val="auto"/>
          <w:highlight w:val="none"/>
        </w:rPr>
        <w:t>38</w:t>
      </w:r>
      <w:r>
        <w:rPr>
          <w:color w:val="auto"/>
          <w:highlight w:val="none"/>
        </w:rPr>
        <w:fldChar w:fldCharType="end"/>
      </w:r>
      <w:r>
        <w:rPr>
          <w:color w:val="auto"/>
          <w:highlight w:val="none"/>
        </w:rPr>
        <w:fldChar w:fldCharType="end"/>
      </w:r>
    </w:p>
    <w:p w14:paraId="78C37E03">
      <w:pPr>
        <w:pStyle w:val="18"/>
        <w:tabs>
          <w:tab w:val="right" w:leader="dot" w:pos="8879"/>
        </w:tabs>
        <w:ind w:left="420" w:hanging="420"/>
        <w:rPr>
          <w:color w:val="auto"/>
          <w:highlight w:val="none"/>
        </w:rPr>
      </w:pPr>
      <w:r>
        <w:rPr>
          <w:color w:val="auto"/>
          <w:highlight w:val="none"/>
        </w:rPr>
        <w:fldChar w:fldCharType="begin"/>
      </w:r>
      <w:r>
        <w:rPr>
          <w:color w:val="auto"/>
          <w:highlight w:val="none"/>
        </w:rPr>
        <w:instrText xml:space="preserve"> HYPERLINK \l "_Toc11092" </w:instrText>
      </w:r>
      <w:r>
        <w:rPr>
          <w:color w:val="auto"/>
          <w:highlight w:val="none"/>
        </w:rPr>
        <w:fldChar w:fldCharType="separate"/>
      </w:r>
      <w:r>
        <w:rPr>
          <w:rFonts w:hint="eastAsia" w:ascii="宋体" w:hAnsi="宋体"/>
          <w:color w:val="auto"/>
          <w:highlight w:val="none"/>
        </w:rPr>
        <w:t>第三节 评审过程的保密与录像</w:t>
      </w:r>
      <w:r>
        <w:rPr>
          <w:color w:val="auto"/>
          <w:highlight w:val="none"/>
        </w:rPr>
        <w:tab/>
      </w:r>
      <w:r>
        <w:rPr>
          <w:color w:val="auto"/>
          <w:highlight w:val="none"/>
        </w:rPr>
        <w:fldChar w:fldCharType="begin"/>
      </w:r>
      <w:r>
        <w:rPr>
          <w:color w:val="auto"/>
          <w:highlight w:val="none"/>
        </w:rPr>
        <w:instrText xml:space="preserve"> PAGEREF _Toc11092 \h </w:instrText>
      </w:r>
      <w:r>
        <w:rPr>
          <w:color w:val="auto"/>
          <w:highlight w:val="none"/>
        </w:rPr>
        <w:fldChar w:fldCharType="separate"/>
      </w:r>
      <w:r>
        <w:rPr>
          <w:color w:val="auto"/>
          <w:highlight w:val="none"/>
        </w:rPr>
        <w:t>38</w:t>
      </w:r>
      <w:r>
        <w:rPr>
          <w:color w:val="auto"/>
          <w:highlight w:val="none"/>
        </w:rPr>
        <w:fldChar w:fldCharType="end"/>
      </w:r>
      <w:r>
        <w:rPr>
          <w:color w:val="auto"/>
          <w:highlight w:val="none"/>
        </w:rPr>
        <w:fldChar w:fldCharType="end"/>
      </w:r>
    </w:p>
    <w:p w14:paraId="7FA21787">
      <w:pPr>
        <w:tabs>
          <w:tab w:val="right" w:leader="dot" w:pos="8879"/>
        </w:tabs>
        <w:rPr>
          <w:color w:val="auto"/>
          <w:highlight w:val="none"/>
        </w:rPr>
      </w:pPr>
      <w:r>
        <w:rPr>
          <w:color w:val="auto"/>
          <w:highlight w:val="none"/>
        </w:rPr>
        <w:fldChar w:fldCharType="begin"/>
      </w:r>
      <w:r>
        <w:rPr>
          <w:color w:val="auto"/>
          <w:highlight w:val="none"/>
        </w:rPr>
        <w:instrText xml:space="preserve"> HYPERLINK \l "_Toc18495" </w:instrText>
      </w:r>
      <w:r>
        <w:rPr>
          <w:color w:val="auto"/>
          <w:highlight w:val="none"/>
        </w:rPr>
        <w:fldChar w:fldCharType="separate"/>
      </w:r>
      <w:r>
        <w:rPr>
          <w:rFonts w:hint="eastAsia"/>
          <w:color w:val="auto"/>
          <w:highlight w:val="none"/>
        </w:rPr>
        <w:t>第五章</w:t>
      </w:r>
      <w:r>
        <w:rPr>
          <w:color w:val="auto"/>
          <w:highlight w:val="none"/>
        </w:rPr>
        <w:t xml:space="preserve"> </w:t>
      </w:r>
      <w:r>
        <w:rPr>
          <w:rFonts w:hint="eastAsia"/>
          <w:color w:val="auto"/>
          <w:highlight w:val="none"/>
        </w:rPr>
        <w:t>响应文件格式</w:t>
      </w:r>
      <w:r>
        <w:rPr>
          <w:color w:val="auto"/>
          <w:highlight w:val="none"/>
        </w:rPr>
        <w:tab/>
      </w:r>
      <w:r>
        <w:rPr>
          <w:color w:val="auto"/>
          <w:highlight w:val="none"/>
        </w:rPr>
        <w:fldChar w:fldCharType="begin"/>
      </w:r>
      <w:r>
        <w:rPr>
          <w:color w:val="auto"/>
          <w:highlight w:val="none"/>
        </w:rPr>
        <w:instrText xml:space="preserve"> PAGEREF _Toc18495 \h </w:instrText>
      </w:r>
      <w:r>
        <w:rPr>
          <w:color w:val="auto"/>
          <w:highlight w:val="none"/>
        </w:rPr>
        <w:fldChar w:fldCharType="separate"/>
      </w:r>
      <w:r>
        <w:rPr>
          <w:color w:val="auto"/>
          <w:highlight w:val="none"/>
        </w:rPr>
        <w:t>39</w:t>
      </w:r>
      <w:r>
        <w:rPr>
          <w:color w:val="auto"/>
          <w:highlight w:val="none"/>
        </w:rPr>
        <w:fldChar w:fldCharType="end"/>
      </w:r>
      <w:r>
        <w:rPr>
          <w:color w:val="auto"/>
          <w:highlight w:val="none"/>
        </w:rPr>
        <w:fldChar w:fldCharType="end"/>
      </w:r>
    </w:p>
    <w:p w14:paraId="54BE0474">
      <w:pPr>
        <w:pStyle w:val="18"/>
        <w:tabs>
          <w:tab w:val="right" w:leader="dot" w:pos="8879"/>
        </w:tabs>
        <w:ind w:left="420" w:hanging="420"/>
        <w:rPr>
          <w:color w:val="auto"/>
          <w:highlight w:val="none"/>
        </w:rPr>
      </w:pPr>
      <w:r>
        <w:rPr>
          <w:color w:val="auto"/>
          <w:highlight w:val="none"/>
        </w:rPr>
        <w:fldChar w:fldCharType="begin"/>
      </w:r>
      <w:r>
        <w:rPr>
          <w:color w:val="auto"/>
          <w:highlight w:val="none"/>
        </w:rPr>
        <w:instrText xml:space="preserve"> HYPERLINK \l "_Toc18956" </w:instrText>
      </w:r>
      <w:r>
        <w:rPr>
          <w:color w:val="auto"/>
          <w:highlight w:val="none"/>
        </w:rPr>
        <w:fldChar w:fldCharType="separate"/>
      </w:r>
      <w:r>
        <w:rPr>
          <w:rFonts w:hint="eastAsia" w:ascii="宋体" w:hAnsi="宋体"/>
          <w:color w:val="auto"/>
          <w:highlight w:val="none"/>
        </w:rPr>
        <w:t>第一节 封面格式</w:t>
      </w:r>
      <w:r>
        <w:rPr>
          <w:color w:val="auto"/>
          <w:highlight w:val="none"/>
        </w:rPr>
        <w:tab/>
      </w:r>
      <w:r>
        <w:rPr>
          <w:color w:val="auto"/>
          <w:highlight w:val="none"/>
        </w:rPr>
        <w:fldChar w:fldCharType="begin"/>
      </w:r>
      <w:r>
        <w:rPr>
          <w:color w:val="auto"/>
          <w:highlight w:val="none"/>
        </w:rPr>
        <w:instrText xml:space="preserve"> PAGEREF _Toc18956 \h </w:instrText>
      </w:r>
      <w:r>
        <w:rPr>
          <w:color w:val="auto"/>
          <w:highlight w:val="none"/>
        </w:rPr>
        <w:fldChar w:fldCharType="separate"/>
      </w:r>
      <w:r>
        <w:rPr>
          <w:color w:val="auto"/>
          <w:highlight w:val="none"/>
        </w:rPr>
        <w:t>40</w:t>
      </w:r>
      <w:r>
        <w:rPr>
          <w:color w:val="auto"/>
          <w:highlight w:val="none"/>
        </w:rPr>
        <w:fldChar w:fldCharType="end"/>
      </w:r>
      <w:r>
        <w:rPr>
          <w:color w:val="auto"/>
          <w:highlight w:val="none"/>
        </w:rPr>
        <w:fldChar w:fldCharType="end"/>
      </w:r>
    </w:p>
    <w:p w14:paraId="1F299042">
      <w:pPr>
        <w:pStyle w:val="18"/>
        <w:tabs>
          <w:tab w:val="right" w:leader="dot" w:pos="8879"/>
        </w:tabs>
        <w:ind w:left="420" w:hanging="420"/>
        <w:rPr>
          <w:color w:val="auto"/>
          <w:highlight w:val="none"/>
        </w:rPr>
      </w:pPr>
      <w:r>
        <w:rPr>
          <w:color w:val="auto"/>
          <w:highlight w:val="none"/>
        </w:rPr>
        <w:fldChar w:fldCharType="begin"/>
      </w:r>
      <w:r>
        <w:rPr>
          <w:color w:val="auto"/>
          <w:highlight w:val="none"/>
        </w:rPr>
        <w:instrText xml:space="preserve"> HYPERLINK \l "_Toc23404" </w:instrText>
      </w:r>
      <w:r>
        <w:rPr>
          <w:color w:val="auto"/>
          <w:highlight w:val="none"/>
        </w:rPr>
        <w:fldChar w:fldCharType="separate"/>
      </w:r>
      <w:r>
        <w:rPr>
          <w:rFonts w:hint="eastAsia" w:ascii="宋体" w:hAnsi="宋体"/>
          <w:color w:val="auto"/>
          <w:highlight w:val="none"/>
        </w:rPr>
        <w:t>第二节 资格证明文件格式</w:t>
      </w:r>
      <w:r>
        <w:rPr>
          <w:color w:val="auto"/>
          <w:highlight w:val="none"/>
        </w:rPr>
        <w:tab/>
      </w:r>
      <w:r>
        <w:rPr>
          <w:color w:val="auto"/>
          <w:highlight w:val="none"/>
        </w:rPr>
        <w:fldChar w:fldCharType="begin"/>
      </w:r>
      <w:r>
        <w:rPr>
          <w:color w:val="auto"/>
          <w:highlight w:val="none"/>
        </w:rPr>
        <w:instrText xml:space="preserve"> PAGEREF _Toc23404 \h </w:instrText>
      </w:r>
      <w:r>
        <w:rPr>
          <w:color w:val="auto"/>
          <w:highlight w:val="none"/>
        </w:rPr>
        <w:fldChar w:fldCharType="separate"/>
      </w:r>
      <w:r>
        <w:rPr>
          <w:color w:val="auto"/>
          <w:highlight w:val="none"/>
        </w:rPr>
        <w:t>41</w:t>
      </w:r>
      <w:r>
        <w:rPr>
          <w:color w:val="auto"/>
          <w:highlight w:val="none"/>
        </w:rPr>
        <w:fldChar w:fldCharType="end"/>
      </w:r>
      <w:r>
        <w:rPr>
          <w:color w:val="auto"/>
          <w:highlight w:val="none"/>
        </w:rPr>
        <w:fldChar w:fldCharType="end"/>
      </w:r>
    </w:p>
    <w:p w14:paraId="5C6FE533">
      <w:pPr>
        <w:pStyle w:val="18"/>
        <w:tabs>
          <w:tab w:val="right" w:leader="dot" w:pos="8879"/>
        </w:tabs>
        <w:ind w:left="420" w:hanging="420"/>
        <w:rPr>
          <w:color w:val="auto"/>
          <w:highlight w:val="none"/>
        </w:rPr>
      </w:pPr>
      <w:r>
        <w:rPr>
          <w:color w:val="auto"/>
          <w:highlight w:val="none"/>
        </w:rPr>
        <w:fldChar w:fldCharType="begin"/>
      </w:r>
      <w:r>
        <w:rPr>
          <w:color w:val="auto"/>
          <w:highlight w:val="none"/>
        </w:rPr>
        <w:instrText xml:space="preserve"> HYPERLINK \l "_Toc16804" </w:instrText>
      </w:r>
      <w:r>
        <w:rPr>
          <w:color w:val="auto"/>
          <w:highlight w:val="none"/>
        </w:rPr>
        <w:fldChar w:fldCharType="separate"/>
      </w:r>
      <w:r>
        <w:rPr>
          <w:rFonts w:hint="eastAsia" w:ascii="宋体" w:hAnsi="宋体"/>
          <w:color w:val="auto"/>
          <w:highlight w:val="none"/>
        </w:rPr>
        <w:t>第三节 商务技术文件格式</w:t>
      </w:r>
      <w:r>
        <w:rPr>
          <w:color w:val="auto"/>
          <w:highlight w:val="none"/>
        </w:rPr>
        <w:tab/>
      </w:r>
      <w:r>
        <w:rPr>
          <w:color w:val="auto"/>
          <w:highlight w:val="none"/>
        </w:rPr>
        <w:fldChar w:fldCharType="begin"/>
      </w:r>
      <w:r>
        <w:rPr>
          <w:color w:val="auto"/>
          <w:highlight w:val="none"/>
        </w:rPr>
        <w:instrText xml:space="preserve"> PAGEREF _Toc16804 \h </w:instrText>
      </w:r>
      <w:r>
        <w:rPr>
          <w:color w:val="auto"/>
          <w:highlight w:val="none"/>
        </w:rPr>
        <w:fldChar w:fldCharType="separate"/>
      </w:r>
      <w:r>
        <w:rPr>
          <w:color w:val="auto"/>
          <w:highlight w:val="none"/>
        </w:rPr>
        <w:t>51</w:t>
      </w:r>
      <w:r>
        <w:rPr>
          <w:color w:val="auto"/>
          <w:highlight w:val="none"/>
        </w:rPr>
        <w:fldChar w:fldCharType="end"/>
      </w:r>
      <w:r>
        <w:rPr>
          <w:color w:val="auto"/>
          <w:highlight w:val="none"/>
        </w:rPr>
        <w:fldChar w:fldCharType="end"/>
      </w:r>
    </w:p>
    <w:p w14:paraId="501AF457">
      <w:pPr>
        <w:pStyle w:val="18"/>
        <w:tabs>
          <w:tab w:val="right" w:leader="dot" w:pos="8879"/>
        </w:tabs>
        <w:ind w:left="420" w:hanging="420"/>
        <w:rPr>
          <w:color w:val="auto"/>
          <w:highlight w:val="none"/>
        </w:rPr>
      </w:pPr>
      <w:r>
        <w:rPr>
          <w:color w:val="auto"/>
          <w:highlight w:val="none"/>
        </w:rPr>
        <w:fldChar w:fldCharType="begin"/>
      </w:r>
      <w:r>
        <w:rPr>
          <w:color w:val="auto"/>
          <w:highlight w:val="none"/>
        </w:rPr>
        <w:instrText xml:space="preserve"> HYPERLINK \l "_Toc25570" </w:instrText>
      </w:r>
      <w:r>
        <w:rPr>
          <w:color w:val="auto"/>
          <w:highlight w:val="none"/>
        </w:rPr>
        <w:fldChar w:fldCharType="separate"/>
      </w:r>
      <w:r>
        <w:rPr>
          <w:rFonts w:hint="eastAsia" w:ascii="宋体" w:hAnsi="宋体"/>
          <w:color w:val="auto"/>
          <w:highlight w:val="none"/>
        </w:rPr>
        <w:t>第四节 报价文件格式</w:t>
      </w:r>
      <w:r>
        <w:rPr>
          <w:color w:val="auto"/>
          <w:highlight w:val="none"/>
        </w:rPr>
        <w:tab/>
      </w:r>
      <w:r>
        <w:rPr>
          <w:color w:val="auto"/>
          <w:highlight w:val="none"/>
        </w:rPr>
        <w:fldChar w:fldCharType="begin"/>
      </w:r>
      <w:r>
        <w:rPr>
          <w:color w:val="auto"/>
          <w:highlight w:val="none"/>
        </w:rPr>
        <w:instrText xml:space="preserve"> PAGEREF _Toc25570 \h </w:instrText>
      </w:r>
      <w:r>
        <w:rPr>
          <w:color w:val="auto"/>
          <w:highlight w:val="none"/>
        </w:rPr>
        <w:fldChar w:fldCharType="separate"/>
      </w:r>
      <w:r>
        <w:rPr>
          <w:color w:val="auto"/>
          <w:highlight w:val="none"/>
        </w:rPr>
        <w:t>66</w:t>
      </w:r>
      <w:r>
        <w:rPr>
          <w:color w:val="auto"/>
          <w:highlight w:val="none"/>
        </w:rPr>
        <w:fldChar w:fldCharType="end"/>
      </w:r>
      <w:r>
        <w:rPr>
          <w:color w:val="auto"/>
          <w:highlight w:val="none"/>
        </w:rPr>
        <w:fldChar w:fldCharType="end"/>
      </w:r>
    </w:p>
    <w:p w14:paraId="66F64A76">
      <w:pPr>
        <w:pStyle w:val="18"/>
        <w:tabs>
          <w:tab w:val="right" w:leader="dot" w:pos="8879"/>
        </w:tabs>
        <w:ind w:left="420" w:hanging="420"/>
        <w:rPr>
          <w:color w:val="auto"/>
          <w:highlight w:val="none"/>
        </w:rPr>
      </w:pPr>
      <w:r>
        <w:rPr>
          <w:color w:val="auto"/>
          <w:highlight w:val="none"/>
        </w:rPr>
        <w:fldChar w:fldCharType="begin"/>
      </w:r>
      <w:r>
        <w:rPr>
          <w:color w:val="auto"/>
          <w:highlight w:val="none"/>
        </w:rPr>
        <w:instrText xml:space="preserve"> HYPERLINK \l "_Toc21156" </w:instrText>
      </w:r>
      <w:r>
        <w:rPr>
          <w:color w:val="auto"/>
          <w:highlight w:val="none"/>
        </w:rPr>
        <w:fldChar w:fldCharType="separate"/>
      </w:r>
      <w:r>
        <w:rPr>
          <w:rFonts w:hint="eastAsia" w:ascii="宋体" w:hAnsi="宋体"/>
          <w:color w:val="auto"/>
          <w:highlight w:val="none"/>
        </w:rPr>
        <w:t>第五节 其他文书、文件格式</w:t>
      </w:r>
      <w:r>
        <w:rPr>
          <w:color w:val="auto"/>
          <w:highlight w:val="none"/>
        </w:rPr>
        <w:tab/>
      </w:r>
      <w:r>
        <w:rPr>
          <w:color w:val="auto"/>
          <w:highlight w:val="none"/>
        </w:rPr>
        <w:fldChar w:fldCharType="begin"/>
      </w:r>
      <w:r>
        <w:rPr>
          <w:color w:val="auto"/>
          <w:highlight w:val="none"/>
        </w:rPr>
        <w:instrText xml:space="preserve"> PAGEREF _Toc21156 \h </w:instrText>
      </w:r>
      <w:r>
        <w:rPr>
          <w:color w:val="auto"/>
          <w:highlight w:val="none"/>
        </w:rPr>
        <w:fldChar w:fldCharType="separate"/>
      </w:r>
      <w:r>
        <w:rPr>
          <w:color w:val="auto"/>
          <w:highlight w:val="none"/>
        </w:rPr>
        <w:t>71</w:t>
      </w:r>
      <w:r>
        <w:rPr>
          <w:color w:val="auto"/>
          <w:highlight w:val="none"/>
        </w:rPr>
        <w:fldChar w:fldCharType="end"/>
      </w:r>
      <w:r>
        <w:rPr>
          <w:color w:val="auto"/>
          <w:highlight w:val="none"/>
        </w:rPr>
        <w:fldChar w:fldCharType="end"/>
      </w:r>
    </w:p>
    <w:p w14:paraId="3FED2980">
      <w:pPr>
        <w:tabs>
          <w:tab w:val="right" w:leader="dot" w:pos="8879"/>
        </w:tabs>
        <w:rPr>
          <w:color w:val="auto"/>
          <w:highlight w:val="none"/>
        </w:rPr>
      </w:pPr>
      <w:r>
        <w:rPr>
          <w:color w:val="auto"/>
          <w:highlight w:val="none"/>
        </w:rPr>
        <w:fldChar w:fldCharType="begin"/>
      </w:r>
      <w:r>
        <w:rPr>
          <w:color w:val="auto"/>
          <w:highlight w:val="none"/>
        </w:rPr>
        <w:instrText xml:space="preserve"> HYPERLINK \l "_Toc18784" </w:instrText>
      </w:r>
      <w:r>
        <w:rPr>
          <w:color w:val="auto"/>
          <w:highlight w:val="none"/>
        </w:rPr>
        <w:fldChar w:fldCharType="separate"/>
      </w:r>
      <w:r>
        <w:rPr>
          <w:rFonts w:hint="eastAsia" w:ascii="宋体" w:hAnsi="宋体"/>
          <w:color w:val="auto"/>
          <w:highlight w:val="none"/>
        </w:rPr>
        <w:t>第六章  合同文本</w:t>
      </w:r>
      <w:r>
        <w:rPr>
          <w:color w:val="auto"/>
          <w:highlight w:val="none"/>
        </w:rPr>
        <w:tab/>
      </w:r>
      <w:r>
        <w:rPr>
          <w:color w:val="auto"/>
          <w:highlight w:val="none"/>
        </w:rPr>
        <w:fldChar w:fldCharType="begin"/>
      </w:r>
      <w:r>
        <w:rPr>
          <w:color w:val="auto"/>
          <w:highlight w:val="none"/>
        </w:rPr>
        <w:instrText xml:space="preserve"> PAGEREF _Toc18784 \h </w:instrText>
      </w:r>
      <w:r>
        <w:rPr>
          <w:color w:val="auto"/>
          <w:highlight w:val="none"/>
        </w:rPr>
        <w:fldChar w:fldCharType="separate"/>
      </w:r>
      <w:r>
        <w:rPr>
          <w:color w:val="auto"/>
          <w:highlight w:val="none"/>
        </w:rPr>
        <w:t>74</w:t>
      </w:r>
      <w:r>
        <w:rPr>
          <w:color w:val="auto"/>
          <w:highlight w:val="none"/>
        </w:rPr>
        <w:fldChar w:fldCharType="end"/>
      </w:r>
      <w:r>
        <w:rPr>
          <w:color w:val="auto"/>
          <w:highlight w:val="none"/>
        </w:rPr>
        <w:fldChar w:fldCharType="end"/>
      </w:r>
    </w:p>
    <w:p w14:paraId="085AF5EF">
      <w:pPr>
        <w:pStyle w:val="18"/>
        <w:tabs>
          <w:tab w:val="right" w:leader="dot" w:pos="8879"/>
        </w:tabs>
        <w:ind w:left="420" w:hanging="420"/>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"_Toc4565" </w:instrText>
      </w:r>
      <w:r>
        <w:rPr>
          <w:color w:val="auto"/>
          <w:highlight w:val="none"/>
        </w:rPr>
        <w:fldChar w:fldCharType="separate"/>
      </w:r>
      <w:r>
        <w:rPr>
          <w:rFonts w:hint="eastAsia" w:ascii="宋体" w:hAnsi="宋体"/>
          <w:color w:val="auto"/>
          <w:highlight w:val="none"/>
        </w:rPr>
        <w:t>第一部分 合同书</w:t>
      </w:r>
      <w:r>
        <w:rPr>
          <w:color w:val="auto"/>
          <w:highlight w:val="none"/>
        </w:rPr>
        <w:tab/>
      </w:r>
      <w:r>
        <w:rPr>
          <w:rFonts w:hint="eastAsia"/>
          <w:color w:val="auto"/>
          <w:highlight w:val="none"/>
          <w:lang w:val="en-US" w:eastAsia="zh-CN"/>
        </w:rPr>
        <w:t>7</w:t>
      </w:r>
      <w:r>
        <w:rPr>
          <w:color w:val="auto"/>
          <w:highlight w:val="none"/>
        </w:rPr>
        <w:fldChar w:fldCharType="end"/>
      </w:r>
      <w:r>
        <w:rPr>
          <w:rFonts w:hint="eastAsia"/>
          <w:color w:val="auto"/>
          <w:highlight w:val="none"/>
          <w:lang w:val="en-US" w:eastAsia="zh-CN"/>
        </w:rPr>
        <w:t>9</w:t>
      </w:r>
    </w:p>
    <w:p w14:paraId="3E6FCAB6">
      <w:pPr>
        <w:pStyle w:val="18"/>
        <w:tabs>
          <w:tab w:val="right" w:leader="dot" w:pos="8879"/>
        </w:tabs>
        <w:ind w:left="420" w:hanging="420"/>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"_Toc4455" </w:instrText>
      </w:r>
      <w:r>
        <w:rPr>
          <w:color w:val="auto"/>
          <w:highlight w:val="none"/>
        </w:rPr>
        <w:fldChar w:fldCharType="separate"/>
      </w:r>
      <w:r>
        <w:rPr>
          <w:rFonts w:hint="eastAsia" w:ascii="宋体" w:hAnsi="宋体"/>
          <w:color w:val="auto"/>
          <w:highlight w:val="none"/>
        </w:rPr>
        <w:t>第二部分 合同一般条款</w:t>
      </w:r>
      <w:r>
        <w:rPr>
          <w:color w:val="auto"/>
          <w:highlight w:val="none"/>
        </w:rPr>
        <w:tab/>
      </w:r>
      <w:r>
        <w:rPr>
          <w:rFonts w:hint="eastAsia"/>
          <w:color w:val="auto"/>
          <w:highlight w:val="none"/>
          <w:lang w:val="en-US" w:eastAsia="zh-CN"/>
        </w:rPr>
        <w:t>8</w:t>
      </w:r>
      <w:r>
        <w:rPr>
          <w:color w:val="auto"/>
          <w:highlight w:val="none"/>
        </w:rPr>
        <w:fldChar w:fldCharType="end"/>
      </w:r>
      <w:r>
        <w:rPr>
          <w:rFonts w:hint="eastAsia"/>
          <w:color w:val="auto"/>
          <w:highlight w:val="none"/>
          <w:lang w:val="en-US" w:eastAsia="zh-CN"/>
        </w:rPr>
        <w:t>3</w:t>
      </w:r>
    </w:p>
    <w:p w14:paraId="5B2AA3C8">
      <w:pPr>
        <w:pStyle w:val="18"/>
        <w:tabs>
          <w:tab w:val="right" w:leader="dot" w:pos="8879"/>
        </w:tabs>
        <w:ind w:left="420" w:hanging="420"/>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"_Toc11028" </w:instrText>
      </w:r>
      <w:r>
        <w:rPr>
          <w:color w:val="auto"/>
          <w:highlight w:val="none"/>
        </w:rPr>
        <w:fldChar w:fldCharType="separate"/>
      </w:r>
      <w:r>
        <w:rPr>
          <w:rFonts w:hint="eastAsia" w:ascii="宋体" w:hAnsi="宋体"/>
          <w:color w:val="auto"/>
          <w:highlight w:val="none"/>
        </w:rPr>
        <w:t>第三部分  合同专用条款</w:t>
      </w:r>
      <w:r>
        <w:rPr>
          <w:color w:val="auto"/>
          <w:highlight w:val="none"/>
        </w:rPr>
        <w:tab/>
      </w:r>
      <w:r>
        <w:rPr>
          <w:rFonts w:hint="eastAsia"/>
          <w:color w:val="auto"/>
          <w:highlight w:val="none"/>
          <w:lang w:val="en-US" w:eastAsia="zh-CN"/>
        </w:rPr>
        <w:t>8</w:t>
      </w:r>
      <w:r>
        <w:rPr>
          <w:color w:val="auto"/>
          <w:highlight w:val="none"/>
        </w:rPr>
        <w:fldChar w:fldCharType="end"/>
      </w:r>
      <w:r>
        <w:rPr>
          <w:rFonts w:hint="eastAsia"/>
          <w:color w:val="auto"/>
          <w:highlight w:val="none"/>
          <w:lang w:val="en-US" w:eastAsia="zh-CN"/>
        </w:rPr>
        <w:t>8</w:t>
      </w:r>
    </w:p>
    <w:p w14:paraId="77158382">
      <w:pPr>
        <w:tabs>
          <w:tab w:val="right" w:leader="dot" w:pos="8879"/>
        </w:tabs>
        <w:rPr>
          <w:color w:val="auto"/>
          <w:highlight w:val="none"/>
        </w:rPr>
      </w:pPr>
      <w:r>
        <w:rPr>
          <w:color w:val="auto"/>
          <w:highlight w:val="none"/>
        </w:rPr>
        <w:fldChar w:fldCharType="begin"/>
      </w:r>
      <w:r>
        <w:rPr>
          <w:color w:val="auto"/>
          <w:highlight w:val="none"/>
        </w:rPr>
        <w:instrText xml:space="preserve"> HYPERLINK \l "_Toc27474" </w:instrText>
      </w:r>
      <w:r>
        <w:rPr>
          <w:color w:val="auto"/>
          <w:highlight w:val="none"/>
        </w:rPr>
        <w:fldChar w:fldCharType="separate"/>
      </w:r>
      <w:r>
        <w:rPr>
          <w:rFonts w:hint="eastAsia" w:ascii="宋体" w:hAnsi="宋体" w:cs="仿宋_GB2312"/>
          <w:color w:val="auto"/>
          <w:highlight w:val="none"/>
        </w:rPr>
        <w:t>第七章 质疑、投诉</w:t>
      </w:r>
      <w:bookmarkStart w:id="8" w:name="_Hlt112947495"/>
      <w:bookmarkStart w:id="9" w:name="_Hlt112947494"/>
      <w:r>
        <w:rPr>
          <w:rFonts w:hint="eastAsia" w:ascii="宋体" w:hAnsi="宋体" w:cs="仿宋_GB2312"/>
          <w:color w:val="auto"/>
          <w:highlight w:val="none"/>
        </w:rPr>
        <w:t>材</w:t>
      </w:r>
      <w:bookmarkEnd w:id="8"/>
      <w:bookmarkEnd w:id="9"/>
      <w:r>
        <w:rPr>
          <w:rFonts w:hint="eastAsia" w:ascii="宋体" w:hAnsi="宋体" w:cs="仿宋_GB2312"/>
          <w:color w:val="auto"/>
          <w:highlight w:val="none"/>
        </w:rPr>
        <w:t>料</w:t>
      </w:r>
      <w:bookmarkStart w:id="10" w:name="_Hlt114042031"/>
      <w:bookmarkStart w:id="11" w:name="_Hlt114042032"/>
      <w:r>
        <w:rPr>
          <w:rFonts w:hint="eastAsia" w:ascii="宋体" w:hAnsi="宋体" w:cs="仿宋_GB2312"/>
          <w:color w:val="auto"/>
          <w:highlight w:val="none"/>
        </w:rPr>
        <w:t>格</w:t>
      </w:r>
      <w:bookmarkEnd w:id="10"/>
      <w:bookmarkEnd w:id="11"/>
      <w:r>
        <w:rPr>
          <w:rFonts w:hint="eastAsia" w:ascii="宋体" w:hAnsi="宋体" w:cs="仿宋_GB2312"/>
          <w:color w:val="auto"/>
          <w:highlight w:val="none"/>
        </w:rPr>
        <w:t>式</w:t>
      </w:r>
      <w:bookmarkStart w:id="12" w:name="_Hlt123917031"/>
      <w:bookmarkStart w:id="13" w:name="_Hlt123917032"/>
      <w:r>
        <w:rPr>
          <w:color w:val="auto"/>
          <w:highlight w:val="none"/>
        </w:rPr>
        <w:tab/>
      </w:r>
      <w:bookmarkEnd w:id="12"/>
      <w:bookmarkEnd w:id="13"/>
      <w:r>
        <w:rPr>
          <w:color w:val="auto"/>
          <w:highlight w:val="none"/>
        </w:rPr>
        <w:fldChar w:fldCharType="begin"/>
      </w:r>
      <w:r>
        <w:rPr>
          <w:color w:val="auto"/>
          <w:highlight w:val="none"/>
        </w:rPr>
        <w:instrText xml:space="preserve"> PAGEREF _Toc27474 \h </w:instrText>
      </w:r>
      <w:r>
        <w:rPr>
          <w:color w:val="auto"/>
          <w:highlight w:val="none"/>
        </w:rPr>
        <w:fldChar w:fldCharType="separate"/>
      </w:r>
      <w:r>
        <w:rPr>
          <w:color w:val="auto"/>
          <w:highlight w:val="none"/>
        </w:rPr>
        <w:t>89</w:t>
      </w:r>
      <w:r>
        <w:rPr>
          <w:color w:val="auto"/>
          <w:highlight w:val="none"/>
        </w:rPr>
        <w:fldChar w:fldCharType="end"/>
      </w:r>
      <w:r>
        <w:rPr>
          <w:color w:val="auto"/>
          <w:highlight w:val="none"/>
        </w:rPr>
        <w:fldChar w:fldCharType="end"/>
      </w:r>
    </w:p>
    <w:p w14:paraId="455C686E">
      <w:pPr>
        <w:pStyle w:val="18"/>
        <w:ind w:left="420" w:hanging="420"/>
        <w:rPr>
          <w:color w:val="auto"/>
          <w:sz w:val="28"/>
          <w:szCs w:val="28"/>
          <w:highlight w:val="none"/>
        </w:rPr>
      </w:pPr>
      <w:r>
        <w:rPr>
          <w:rFonts w:hint="eastAsia" w:ascii="宋体" w:hAnsi="宋体"/>
          <w:color w:val="auto"/>
          <w:szCs w:val="30"/>
          <w:highlight w:val="none"/>
        </w:rPr>
        <w:fldChar w:fldCharType="end"/>
      </w:r>
    </w:p>
    <w:p w14:paraId="7AC40C4D">
      <w:pPr>
        <w:tabs>
          <w:tab w:val="left" w:pos="7470"/>
        </w:tabs>
        <w:spacing w:line="400" w:lineRule="exact"/>
        <w:jc w:val="left"/>
        <w:rPr>
          <w:rFonts w:ascii="宋体" w:hAnsi="宋体"/>
          <w:b/>
          <w:color w:val="auto"/>
          <w:sz w:val="32"/>
          <w:szCs w:val="32"/>
          <w:highlight w:val="none"/>
        </w:rPr>
      </w:pPr>
      <w:r>
        <w:rPr>
          <w:rFonts w:hint="eastAsia" w:ascii="宋体" w:hAnsi="宋体"/>
          <w:b/>
          <w:color w:val="auto"/>
          <w:sz w:val="32"/>
          <w:szCs w:val="32"/>
          <w:highlight w:val="none"/>
        </w:rPr>
        <w:tab/>
      </w:r>
    </w:p>
    <w:p w14:paraId="1D67BCD7">
      <w:pPr>
        <w:spacing w:line="400" w:lineRule="exact"/>
        <w:jc w:val="center"/>
        <w:rPr>
          <w:rFonts w:ascii="宋体" w:hAnsi="宋体"/>
          <w:b/>
          <w:color w:val="auto"/>
          <w:sz w:val="32"/>
          <w:szCs w:val="32"/>
          <w:highlight w:val="none"/>
        </w:rPr>
      </w:pPr>
    </w:p>
    <w:p w14:paraId="6F7A1694">
      <w:pPr>
        <w:spacing w:line="400" w:lineRule="exact"/>
        <w:jc w:val="center"/>
        <w:rPr>
          <w:rFonts w:ascii="宋体" w:hAnsi="宋体"/>
          <w:b/>
          <w:color w:val="auto"/>
          <w:sz w:val="32"/>
          <w:szCs w:val="32"/>
          <w:highlight w:val="none"/>
        </w:rPr>
      </w:pPr>
    </w:p>
    <w:p w14:paraId="55E7C833">
      <w:pPr>
        <w:spacing w:line="400" w:lineRule="exact"/>
        <w:jc w:val="center"/>
        <w:rPr>
          <w:rFonts w:ascii="宋体" w:hAnsi="宋体"/>
          <w:b/>
          <w:color w:val="auto"/>
          <w:sz w:val="32"/>
          <w:szCs w:val="32"/>
          <w:highlight w:val="none"/>
        </w:rPr>
      </w:pPr>
    </w:p>
    <w:p w14:paraId="7AA208F5">
      <w:pPr>
        <w:widowControl/>
        <w:jc w:val="left"/>
        <w:rPr>
          <w:rFonts w:ascii="宋体" w:hAnsi="宋体"/>
          <w:b/>
          <w:color w:val="auto"/>
          <w:sz w:val="32"/>
          <w:szCs w:val="32"/>
          <w:highlight w:val="none"/>
        </w:rPr>
        <w:sectPr>
          <w:pgSz w:w="11911" w:h="16838"/>
          <w:pgMar w:top="1417" w:right="1417" w:bottom="1417" w:left="1417" w:header="720" w:footer="720" w:gutter="0"/>
          <w:pgNumType w:start="0"/>
          <w:cols w:space="0" w:num="1"/>
          <w:docGrid w:linePitch="312" w:charSpace="0"/>
        </w:sectPr>
      </w:pPr>
    </w:p>
    <w:p w14:paraId="20A53ACA">
      <w:pPr>
        <w:rPr>
          <w:color w:val="auto"/>
          <w:highlight w:val="none"/>
        </w:rPr>
      </w:pPr>
    </w:p>
    <w:p w14:paraId="1649A830">
      <w:pPr>
        <w:pStyle w:val="2"/>
        <w:spacing w:before="0" w:line="240" w:lineRule="auto"/>
        <w:jc w:val="center"/>
        <w:rPr>
          <w:color w:val="auto"/>
          <w:highlight w:val="none"/>
        </w:rPr>
      </w:pPr>
      <w:bookmarkStart w:id="14" w:name="_Toc8095"/>
      <w:r>
        <w:rPr>
          <w:rFonts w:hint="eastAsia"/>
          <w:color w:val="auto"/>
          <w:highlight w:val="none"/>
        </w:rPr>
        <w:t>第一章</w:t>
      </w:r>
      <w:r>
        <w:rPr>
          <w:color w:val="auto"/>
          <w:highlight w:val="none"/>
        </w:rPr>
        <w:t xml:space="preserve"> </w:t>
      </w:r>
      <w:r>
        <w:rPr>
          <w:rFonts w:hint="eastAsia"/>
          <w:color w:val="auto"/>
          <w:highlight w:val="none"/>
        </w:rPr>
        <w:t>竞争性磋商公告</w:t>
      </w:r>
      <w:bookmarkEnd w:id="14"/>
      <w:bookmarkStart w:id="15" w:name="_Toc35393792"/>
      <w:bookmarkStart w:id="16" w:name="_Toc28359004"/>
      <w:bookmarkStart w:id="17" w:name="_Toc44229878"/>
      <w:bookmarkStart w:id="18" w:name="_Toc28359081"/>
      <w:bookmarkStart w:id="19" w:name="_Toc28359089"/>
      <w:bookmarkStart w:id="20" w:name="_Toc35393629"/>
      <w:bookmarkStart w:id="21" w:name="_Toc35393623"/>
      <w:bookmarkStart w:id="22" w:name="_Toc35393798"/>
      <w:bookmarkStart w:id="23" w:name="_Toc28359012"/>
    </w:p>
    <w:p w14:paraId="3D687C95">
      <w:pPr>
        <w:spacing w:after="120" w:afterLines="50" w:line="400" w:lineRule="exact"/>
        <w:jc w:val="center"/>
        <w:rPr>
          <w:rFonts w:ascii="宋体" w:hAnsi="宋体" w:cs="宋体"/>
          <w:b/>
          <w:bCs/>
          <w:color w:val="auto"/>
          <w:sz w:val="28"/>
          <w:szCs w:val="28"/>
          <w:highlight w:val="none"/>
        </w:rPr>
      </w:pPr>
      <w:r>
        <w:rPr>
          <w:rFonts w:hint="eastAsia" w:ascii="宋体" w:hAnsi="宋体" w:cs="宋体"/>
          <w:b/>
          <w:color w:val="auto"/>
          <w:sz w:val="30"/>
          <w:szCs w:val="30"/>
          <w:highlight w:val="none"/>
        </w:rPr>
        <w:t>广西机电设备招标有限公司关于</w:t>
      </w:r>
      <w:r>
        <w:rPr>
          <w:rFonts w:hint="eastAsia" w:ascii="宋体" w:hAnsi="宋体" w:cs="宋体"/>
          <w:b/>
          <w:bCs/>
          <w:color w:val="auto"/>
          <w:sz w:val="30"/>
          <w:szCs w:val="30"/>
          <w:highlight w:val="none"/>
        </w:rPr>
        <w:t>南宁市青年人才驿站</w:t>
      </w:r>
      <w:r>
        <w:rPr>
          <w:rFonts w:hint="eastAsia" w:ascii="宋体" w:hAnsi="宋体" w:cs="宋体"/>
          <w:b/>
          <w:color w:val="auto"/>
          <w:sz w:val="30"/>
          <w:szCs w:val="30"/>
          <w:highlight w:val="none"/>
        </w:rPr>
        <w:t>（项目编号：NNZC2026-C3-990136-JDZB）</w:t>
      </w:r>
      <w:r>
        <w:rPr>
          <w:rFonts w:hint="eastAsia" w:ascii="宋体" w:hAnsi="宋体" w:cs="宋体"/>
          <w:b/>
          <w:bCs/>
          <w:color w:val="auto"/>
          <w:sz w:val="28"/>
          <w:szCs w:val="28"/>
          <w:highlight w:val="none"/>
        </w:rPr>
        <w:t>竞争性磋商公告</w:t>
      </w:r>
    </w:p>
    <w:p w14:paraId="5C0540B7">
      <w:pPr>
        <w:pBdr>
          <w:top w:val="single" w:color="auto" w:sz="4" w:space="1"/>
          <w:left w:val="single" w:color="auto" w:sz="4" w:space="4"/>
          <w:bottom w:val="single" w:color="auto" w:sz="4" w:space="1"/>
          <w:right w:val="single" w:color="auto" w:sz="4" w:space="4"/>
        </w:pBdr>
        <w:spacing w:line="380" w:lineRule="exact"/>
        <w:rPr>
          <w:rFonts w:hint="eastAsia" w:ascii="宋体" w:hAnsi="宋体" w:cs="宋体"/>
          <w:color w:val="auto"/>
          <w:szCs w:val="21"/>
          <w:highlight w:val="none"/>
        </w:rPr>
      </w:pPr>
      <w:bookmarkStart w:id="24" w:name="_Hlk112948432"/>
      <w:r>
        <w:rPr>
          <w:rFonts w:hint="eastAsia" w:ascii="宋体" w:hAnsi="宋体" w:cs="宋体"/>
          <w:color w:val="auto"/>
          <w:szCs w:val="21"/>
          <w:highlight w:val="none"/>
        </w:rPr>
        <w:t>项目概况</w:t>
      </w:r>
    </w:p>
    <w:p w14:paraId="6CFB230E">
      <w:pPr>
        <w:pBdr>
          <w:top w:val="single" w:color="auto" w:sz="4" w:space="1"/>
          <w:left w:val="single" w:color="auto" w:sz="4" w:space="4"/>
          <w:bottom w:val="single" w:color="auto" w:sz="4" w:space="1"/>
          <w:right w:val="single" w:color="auto" w:sz="4" w:space="4"/>
        </w:pBdr>
        <w:spacing w:line="380" w:lineRule="exact"/>
        <w:ind w:firstLine="525" w:firstLineChars="250"/>
        <w:rPr>
          <w:rFonts w:hint="eastAsia" w:ascii="宋体" w:hAnsi="宋体" w:cs="宋体"/>
          <w:color w:val="auto"/>
          <w:szCs w:val="21"/>
          <w:highlight w:val="none"/>
          <w:u w:val="single"/>
        </w:rPr>
      </w:pPr>
      <w:r>
        <w:rPr>
          <w:rFonts w:hint="eastAsia" w:ascii="宋体" w:hAnsi="宋体" w:cs="宋体"/>
          <w:color w:val="auto"/>
          <w:szCs w:val="21"/>
          <w:highlight w:val="none"/>
        </w:rPr>
        <w:t>南宁市青年人才驿站招标项目的潜在投标人应在</w:t>
      </w:r>
      <w:r>
        <w:rPr>
          <w:rFonts w:hint="eastAsia" w:ascii="宋体" w:hAnsi="宋体" w:cs="宋体"/>
          <w:color w:val="auto"/>
          <w:szCs w:val="21"/>
          <w:highlight w:val="none"/>
          <w:u w:val="single"/>
        </w:rPr>
        <w:t>广西政府采购云平台（</w:t>
      </w:r>
      <w:r>
        <w:rPr>
          <w:rFonts w:hint="eastAsia" w:ascii="宋体" w:hAnsi="宋体" w:cs="宋体"/>
          <w:color w:val="auto"/>
          <w:szCs w:val="21"/>
          <w:highlight w:val="none"/>
          <w:u w:val="single"/>
        </w:rPr>
        <w:fldChar w:fldCharType="begin"/>
      </w:r>
      <w:r>
        <w:rPr>
          <w:rFonts w:hint="eastAsia" w:ascii="宋体" w:hAnsi="宋体" w:cs="宋体"/>
          <w:color w:val="auto"/>
          <w:szCs w:val="21"/>
          <w:highlight w:val="none"/>
          <w:u w:val="single"/>
        </w:rPr>
        <w:instrText xml:space="preserve">HYPERLINK "https://www.gcy.zfcg.gxzf.gov.cn）获取（下载）招标文件，并于2024年11月20日上午9时30"</w:instrText>
      </w:r>
      <w:r>
        <w:rPr>
          <w:rFonts w:hint="eastAsia" w:ascii="宋体" w:hAnsi="宋体" w:cs="宋体"/>
          <w:color w:val="auto"/>
          <w:szCs w:val="21"/>
          <w:highlight w:val="none"/>
          <w:u w:val="single"/>
        </w:rPr>
        <w:fldChar w:fldCharType="separate"/>
      </w:r>
      <w:r>
        <w:rPr>
          <w:rStyle w:val="28"/>
          <w:rFonts w:hint="eastAsia" w:ascii="宋体" w:hAnsi="宋体" w:cs="宋体"/>
          <w:color w:val="auto"/>
          <w:szCs w:val="21"/>
          <w:highlight w:val="none"/>
        </w:rPr>
        <w:t>https://www.gcy.zfcg.gxzf.gov.cn）获取（下载）</w:t>
      </w:r>
      <w:r>
        <w:rPr>
          <w:rStyle w:val="28"/>
          <w:rFonts w:hint="eastAsia" w:ascii="宋体" w:hAnsi="宋体" w:cs="宋体"/>
          <w:color w:val="auto"/>
          <w:szCs w:val="21"/>
          <w:highlight w:val="none"/>
          <w:lang w:val="en-US" w:eastAsia="zh-CN"/>
        </w:rPr>
        <w:t>竞争性磋商文件</w:t>
      </w:r>
      <w:r>
        <w:rPr>
          <w:rStyle w:val="28"/>
          <w:rFonts w:hint="eastAsia" w:ascii="宋体" w:hAnsi="宋体" w:cs="宋体"/>
          <w:color w:val="auto"/>
          <w:szCs w:val="21"/>
          <w:highlight w:val="none"/>
        </w:rPr>
        <w:t>，并于202</w:t>
      </w:r>
      <w:r>
        <w:rPr>
          <w:rStyle w:val="28"/>
          <w:rFonts w:hint="eastAsia" w:ascii="宋体" w:hAnsi="宋体" w:cs="宋体"/>
          <w:color w:val="auto"/>
          <w:szCs w:val="21"/>
          <w:highlight w:val="none"/>
          <w:lang w:val="en-US" w:eastAsia="zh-CN"/>
        </w:rPr>
        <w:t>6</w:t>
      </w:r>
      <w:r>
        <w:rPr>
          <w:rStyle w:val="28"/>
          <w:rFonts w:hint="eastAsia" w:ascii="宋体" w:hAnsi="宋体" w:cs="宋体"/>
          <w:color w:val="auto"/>
          <w:szCs w:val="21"/>
          <w:highlight w:val="none"/>
        </w:rPr>
        <w:t>年</w:t>
      </w:r>
      <w:r>
        <w:rPr>
          <w:rStyle w:val="28"/>
          <w:rFonts w:hint="eastAsia" w:ascii="宋体" w:hAnsi="宋体" w:cs="宋体"/>
          <w:color w:val="auto"/>
          <w:szCs w:val="21"/>
          <w:highlight w:val="none"/>
          <w:lang w:val="en-US" w:eastAsia="zh-CN"/>
        </w:rPr>
        <w:t>5</w:t>
      </w:r>
      <w:r>
        <w:rPr>
          <w:rStyle w:val="28"/>
          <w:rFonts w:hint="eastAsia" w:ascii="宋体" w:hAnsi="宋体" w:cs="宋体"/>
          <w:color w:val="auto"/>
          <w:szCs w:val="21"/>
          <w:highlight w:val="none"/>
        </w:rPr>
        <w:t>月</w:t>
      </w:r>
      <w:r>
        <w:rPr>
          <w:rStyle w:val="28"/>
          <w:rFonts w:hint="eastAsia" w:ascii="宋体" w:hAnsi="宋体" w:cs="宋体"/>
          <w:color w:val="auto"/>
          <w:szCs w:val="21"/>
          <w:highlight w:val="none"/>
          <w:lang w:val="en-US" w:eastAsia="zh-CN"/>
        </w:rPr>
        <w:t>6</w:t>
      </w:r>
      <w:r>
        <w:rPr>
          <w:rStyle w:val="28"/>
          <w:rFonts w:hint="eastAsia" w:ascii="宋体" w:hAnsi="宋体" w:cs="宋体"/>
          <w:color w:val="auto"/>
          <w:szCs w:val="21"/>
          <w:highlight w:val="none"/>
        </w:rPr>
        <w:t>日</w:t>
      </w:r>
      <w:r>
        <w:rPr>
          <w:rStyle w:val="28"/>
          <w:rFonts w:hint="eastAsia" w:ascii="宋体" w:hAnsi="宋体" w:cs="宋体"/>
          <w:color w:val="auto"/>
          <w:szCs w:val="21"/>
          <w:highlight w:val="none"/>
        </w:rPr>
        <w:t>上午9时30</w:t>
      </w:r>
      <w:r>
        <w:rPr>
          <w:rFonts w:hint="eastAsia" w:ascii="宋体" w:hAnsi="宋体" w:cs="宋体"/>
          <w:color w:val="auto"/>
          <w:szCs w:val="21"/>
          <w:highlight w:val="none"/>
          <w:u w:val="single"/>
        </w:rPr>
        <w:fldChar w:fldCharType="end"/>
      </w:r>
      <w:r>
        <w:rPr>
          <w:rFonts w:hint="eastAsia" w:ascii="宋体" w:hAnsi="宋体" w:cs="宋体"/>
          <w:color w:val="auto"/>
          <w:szCs w:val="21"/>
          <w:highlight w:val="none"/>
          <w:u w:val="single"/>
        </w:rPr>
        <w:t>分</w:t>
      </w:r>
      <w:r>
        <w:rPr>
          <w:rFonts w:hint="eastAsia" w:ascii="宋体" w:hAnsi="宋体" w:cs="宋体"/>
          <w:color w:val="auto"/>
          <w:szCs w:val="21"/>
          <w:highlight w:val="none"/>
        </w:rPr>
        <w:t>（北京时间）前递交（上传）</w:t>
      </w:r>
      <w:r>
        <w:rPr>
          <w:rFonts w:hint="eastAsia" w:ascii="宋体" w:hAnsi="宋体" w:cs="宋体"/>
          <w:color w:val="auto"/>
          <w:szCs w:val="21"/>
          <w:highlight w:val="none"/>
          <w:lang w:val="en-US" w:eastAsia="zh-CN"/>
        </w:rPr>
        <w:t>响应</w:t>
      </w:r>
      <w:r>
        <w:rPr>
          <w:rFonts w:hint="eastAsia" w:ascii="宋体" w:hAnsi="宋体" w:cs="宋体"/>
          <w:color w:val="auto"/>
          <w:szCs w:val="21"/>
          <w:highlight w:val="none"/>
        </w:rPr>
        <w:t>文件。</w:t>
      </w:r>
    </w:p>
    <w:p w14:paraId="2BEF9569">
      <w:pPr>
        <w:spacing w:line="400" w:lineRule="exact"/>
        <w:rPr>
          <w:rFonts w:ascii="宋体" w:hAnsi="宋体" w:cs="宋体"/>
          <w:color w:val="auto"/>
          <w:kern w:val="0"/>
          <w:szCs w:val="21"/>
          <w:highlight w:val="none"/>
        </w:rPr>
      </w:pPr>
      <w:r>
        <w:rPr>
          <w:rFonts w:hint="eastAsia" w:ascii="宋体" w:hAnsi="宋体" w:cs="宋体"/>
          <w:color w:val="auto"/>
          <w:szCs w:val="21"/>
          <w:highlight w:val="none"/>
        </w:rPr>
        <w:t xml:space="preserve">  </w:t>
      </w:r>
      <w:bookmarkEnd w:id="15"/>
      <w:bookmarkEnd w:id="16"/>
      <w:bookmarkEnd w:id="17"/>
      <w:bookmarkEnd w:id="18"/>
      <w:bookmarkEnd w:id="19"/>
      <w:bookmarkEnd w:id="20"/>
      <w:bookmarkEnd w:id="21"/>
      <w:bookmarkEnd w:id="22"/>
      <w:bookmarkEnd w:id="23"/>
      <w:r>
        <w:rPr>
          <w:rFonts w:hint="eastAsia" w:ascii="宋体" w:hAnsi="宋体" w:cs="宋体"/>
          <w:b/>
          <w:bCs/>
          <w:color w:val="auto"/>
          <w:kern w:val="0"/>
          <w:szCs w:val="21"/>
          <w:highlight w:val="none"/>
        </w:rPr>
        <w:t>一、项目基本情况</w:t>
      </w:r>
    </w:p>
    <w:p w14:paraId="41C179D4">
      <w:pPr>
        <w:widowControl/>
        <w:shd w:val="clear" w:color="auto" w:fill="FFFFFF"/>
        <w:spacing w:line="400" w:lineRule="exact"/>
        <w:ind w:firstLine="420" w:firstLineChars="200"/>
        <w:jc w:val="left"/>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rPr>
        <w:t>项目编号：NNZC2026-C3-990136-JDZB</w:t>
      </w:r>
    </w:p>
    <w:p w14:paraId="6C25FDA9">
      <w:pPr>
        <w:widowControl/>
        <w:shd w:val="clear" w:color="auto" w:fill="FFFFFF"/>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项目名称：</w:t>
      </w:r>
      <w:r>
        <w:rPr>
          <w:rFonts w:hint="eastAsia" w:ascii="宋体" w:hAnsi="宋体" w:cs="宋体"/>
          <w:color w:val="auto"/>
          <w:kern w:val="0"/>
          <w:szCs w:val="21"/>
          <w:highlight w:val="none"/>
          <w:lang w:eastAsia="zh-CN"/>
        </w:rPr>
        <w:t>南宁市青年人才驿站</w:t>
      </w:r>
      <w:r>
        <w:rPr>
          <w:rFonts w:hint="eastAsia" w:ascii="宋体" w:hAnsi="宋体" w:cs="宋体"/>
          <w:color w:val="auto"/>
          <w:kern w:val="0"/>
          <w:szCs w:val="21"/>
          <w:highlight w:val="none"/>
        </w:rPr>
        <w:t> </w:t>
      </w:r>
    </w:p>
    <w:p w14:paraId="63BCF8EB">
      <w:pPr>
        <w:widowControl/>
        <w:shd w:val="clear" w:color="auto" w:fill="FFFFFF"/>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采购方式：竞争性磋商</w:t>
      </w:r>
    </w:p>
    <w:p w14:paraId="2145396F">
      <w:pPr>
        <w:widowControl/>
        <w:shd w:val="clear" w:color="auto" w:fill="FFFFFF"/>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预算总金额（元）：</w:t>
      </w:r>
      <w:r>
        <w:rPr>
          <w:rFonts w:hint="eastAsia" w:ascii="宋体" w:hAnsi="宋体" w:cs="宋体"/>
          <w:color w:val="auto"/>
          <w:kern w:val="0"/>
          <w:szCs w:val="21"/>
          <w:highlight w:val="none"/>
          <w:lang w:val="en-US" w:eastAsia="zh-CN"/>
        </w:rPr>
        <w:t>140</w:t>
      </w:r>
      <w:r>
        <w:rPr>
          <w:rFonts w:hint="eastAsia" w:ascii="宋体" w:hAnsi="宋体" w:cs="宋体"/>
          <w:color w:val="auto"/>
          <w:kern w:val="0"/>
          <w:szCs w:val="21"/>
          <w:highlight w:val="none"/>
        </w:rPr>
        <w:t>0000.00</w:t>
      </w:r>
    </w:p>
    <w:p w14:paraId="010D807A">
      <w:pPr>
        <w:widowControl/>
        <w:shd w:val="clear" w:color="auto" w:fill="FFFFFF"/>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采购需求：</w:t>
      </w:r>
    </w:p>
    <w:p w14:paraId="3153F54C">
      <w:pPr>
        <w:widowControl/>
        <w:shd w:val="clear" w:color="auto" w:fill="FFFFFF"/>
        <w:spacing w:line="400" w:lineRule="exact"/>
        <w:ind w:firstLine="420"/>
        <w:jc w:val="left"/>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rPr>
        <w:t>标项名称：</w:t>
      </w:r>
      <w:r>
        <w:rPr>
          <w:rFonts w:hint="eastAsia" w:ascii="宋体" w:hAnsi="宋体" w:cs="宋体"/>
          <w:color w:val="auto"/>
          <w:kern w:val="0"/>
          <w:szCs w:val="21"/>
          <w:highlight w:val="none"/>
          <w:lang w:eastAsia="zh-CN"/>
        </w:rPr>
        <w:t>南宁市青年人才驿站</w:t>
      </w:r>
    </w:p>
    <w:p w14:paraId="23907940">
      <w:pPr>
        <w:widowControl/>
        <w:shd w:val="clear" w:color="auto" w:fill="FFFFFF"/>
        <w:spacing w:line="400" w:lineRule="exact"/>
        <w:ind w:firstLine="420"/>
        <w:jc w:val="left"/>
        <w:rPr>
          <w:rFonts w:ascii="宋体" w:hAnsi="宋体" w:cs="宋体"/>
          <w:color w:val="auto"/>
          <w:kern w:val="0"/>
          <w:szCs w:val="21"/>
          <w:highlight w:val="none"/>
        </w:rPr>
      </w:pPr>
      <w:r>
        <w:rPr>
          <w:rFonts w:hint="eastAsia" w:ascii="宋体" w:hAnsi="宋体" w:cs="宋体"/>
          <w:color w:val="auto"/>
          <w:kern w:val="0"/>
          <w:szCs w:val="21"/>
          <w:highlight w:val="none"/>
        </w:rPr>
        <w:t>数量：1项</w:t>
      </w:r>
    </w:p>
    <w:p w14:paraId="7FCF622C">
      <w:pPr>
        <w:widowControl/>
        <w:shd w:val="clear" w:color="auto" w:fill="FFFFFF"/>
        <w:spacing w:line="400" w:lineRule="exact"/>
        <w:ind w:firstLine="420"/>
        <w:jc w:val="left"/>
        <w:rPr>
          <w:rFonts w:ascii="宋体" w:hAnsi="宋体" w:cs="宋体"/>
          <w:color w:val="auto"/>
          <w:kern w:val="0"/>
          <w:szCs w:val="21"/>
          <w:highlight w:val="none"/>
        </w:rPr>
      </w:pPr>
      <w:r>
        <w:rPr>
          <w:rFonts w:hint="eastAsia" w:ascii="宋体" w:hAnsi="宋体" w:cs="宋体"/>
          <w:color w:val="auto"/>
          <w:kern w:val="0"/>
          <w:szCs w:val="21"/>
          <w:highlight w:val="none"/>
        </w:rPr>
        <w:t>预算金额（元）:</w:t>
      </w:r>
      <w:r>
        <w:rPr>
          <w:rFonts w:hint="eastAsia" w:ascii="宋体" w:hAnsi="宋体" w:cs="宋体"/>
          <w:color w:val="auto"/>
          <w:szCs w:val="21"/>
          <w:highlight w:val="none"/>
        </w:rPr>
        <w:t xml:space="preserve"> </w:t>
      </w:r>
      <w:r>
        <w:rPr>
          <w:rFonts w:hint="eastAsia" w:ascii="宋体" w:hAnsi="宋体" w:cs="宋体"/>
          <w:color w:val="auto"/>
          <w:kern w:val="0"/>
          <w:szCs w:val="21"/>
          <w:highlight w:val="none"/>
          <w:lang w:val="en-US" w:eastAsia="zh-CN"/>
        </w:rPr>
        <w:t>14</w:t>
      </w:r>
      <w:r>
        <w:rPr>
          <w:rFonts w:hint="eastAsia" w:ascii="宋体" w:hAnsi="宋体" w:cs="宋体"/>
          <w:color w:val="auto"/>
          <w:kern w:val="0"/>
          <w:szCs w:val="21"/>
          <w:highlight w:val="none"/>
        </w:rPr>
        <w:t>00000.00</w:t>
      </w:r>
    </w:p>
    <w:p w14:paraId="075D7B73">
      <w:pPr>
        <w:widowControl/>
        <w:shd w:val="clear" w:color="auto" w:fill="FFFFFF"/>
        <w:spacing w:line="400" w:lineRule="exact"/>
        <w:ind w:firstLine="420"/>
        <w:jc w:val="left"/>
        <w:rPr>
          <w:rFonts w:ascii="宋体" w:hAnsi="宋体" w:cs="宋体"/>
          <w:color w:val="auto"/>
          <w:kern w:val="0"/>
          <w:szCs w:val="21"/>
          <w:highlight w:val="none"/>
        </w:rPr>
      </w:pPr>
      <w:r>
        <w:rPr>
          <w:rFonts w:hint="eastAsia" w:ascii="宋体" w:hAnsi="宋体" w:cs="宋体"/>
          <w:color w:val="auto"/>
          <w:kern w:val="0"/>
          <w:szCs w:val="21"/>
          <w:highlight w:val="none"/>
        </w:rPr>
        <w:t>简要规格描述或项目基本概况介绍、用途：</w:t>
      </w:r>
      <w:r>
        <w:rPr>
          <w:rFonts w:hint="eastAsia" w:ascii="宋体" w:hAnsi="宋体" w:cs="宋体"/>
          <w:color w:val="auto"/>
          <w:szCs w:val="21"/>
          <w:highlight w:val="none"/>
        </w:rPr>
        <w:t>南宁市青年人才驿站1项</w:t>
      </w:r>
      <w:r>
        <w:rPr>
          <w:rFonts w:hint="eastAsia" w:ascii="宋体" w:hAnsi="宋体" w:cs="宋体"/>
          <w:color w:val="auto"/>
          <w:kern w:val="0"/>
          <w:szCs w:val="21"/>
          <w:highlight w:val="none"/>
        </w:rPr>
        <w:t>。具体内容详见竞争性磋商文件。</w:t>
      </w:r>
    </w:p>
    <w:p w14:paraId="02243BD6">
      <w:pPr>
        <w:widowControl/>
        <w:shd w:val="clear" w:color="auto" w:fill="FFFFFF"/>
        <w:spacing w:line="400" w:lineRule="exact"/>
        <w:ind w:firstLine="420"/>
        <w:jc w:val="left"/>
        <w:rPr>
          <w:rFonts w:ascii="宋体" w:hAnsi="宋体" w:cs="宋体"/>
          <w:color w:val="auto"/>
          <w:kern w:val="0"/>
          <w:szCs w:val="21"/>
          <w:highlight w:val="none"/>
        </w:rPr>
      </w:pPr>
      <w:r>
        <w:rPr>
          <w:rFonts w:hint="eastAsia" w:ascii="宋体" w:hAnsi="宋体" w:cs="宋体"/>
          <w:color w:val="auto"/>
          <w:kern w:val="0"/>
          <w:szCs w:val="21"/>
          <w:highlight w:val="none"/>
        </w:rPr>
        <w:t>最高限价（如有）：</w:t>
      </w:r>
      <w:r>
        <w:rPr>
          <w:rFonts w:hint="eastAsia" w:ascii="宋体" w:hAnsi="宋体" w:cs="宋体"/>
          <w:color w:val="auto"/>
          <w:kern w:val="0"/>
          <w:szCs w:val="21"/>
          <w:highlight w:val="none"/>
          <w:lang w:val="en-US" w:eastAsia="zh-CN"/>
        </w:rPr>
        <w:t>14</w:t>
      </w:r>
      <w:r>
        <w:rPr>
          <w:rFonts w:hint="eastAsia" w:ascii="宋体" w:hAnsi="宋体" w:cs="宋体"/>
          <w:color w:val="auto"/>
          <w:kern w:val="0"/>
          <w:szCs w:val="21"/>
          <w:highlight w:val="none"/>
        </w:rPr>
        <w:t>00000.00</w:t>
      </w:r>
    </w:p>
    <w:p w14:paraId="3B622AA0">
      <w:pPr>
        <w:spacing w:line="400" w:lineRule="exact"/>
        <w:ind w:firstLine="420"/>
        <w:rPr>
          <w:rFonts w:ascii="宋体" w:hAnsi="宋体" w:cs="宋体"/>
          <w:color w:val="auto"/>
          <w:kern w:val="0"/>
          <w:szCs w:val="21"/>
          <w:highlight w:val="none"/>
        </w:rPr>
      </w:pPr>
      <w:r>
        <w:rPr>
          <w:rFonts w:hint="eastAsia" w:ascii="宋体" w:hAnsi="宋体" w:cs="宋体"/>
          <w:color w:val="auto"/>
          <w:kern w:val="0"/>
          <w:szCs w:val="21"/>
          <w:highlight w:val="none"/>
        </w:rPr>
        <w:t>合同履约期限：自签订合同之日起壹年</w:t>
      </w:r>
      <w:r>
        <w:rPr>
          <w:rFonts w:hint="eastAsia" w:ascii="宋体" w:hAnsi="宋体" w:cs="宋体"/>
          <w:color w:val="auto"/>
          <w:szCs w:val="21"/>
          <w:highlight w:val="none"/>
          <w:lang w:val="en-US" w:eastAsia="zh-CN" w:bidi="ar"/>
        </w:rPr>
        <w:t>。</w:t>
      </w:r>
    </w:p>
    <w:p w14:paraId="64D8F8AF">
      <w:pPr>
        <w:widowControl/>
        <w:shd w:val="clear" w:color="auto" w:fill="FFFFFF"/>
        <w:spacing w:line="400" w:lineRule="exact"/>
        <w:ind w:firstLine="420"/>
        <w:jc w:val="left"/>
        <w:rPr>
          <w:rFonts w:ascii="宋体" w:hAnsi="宋体" w:cs="宋体"/>
          <w:color w:val="auto"/>
          <w:kern w:val="0"/>
          <w:szCs w:val="21"/>
          <w:highlight w:val="none"/>
        </w:rPr>
      </w:pPr>
      <w:r>
        <w:rPr>
          <w:rFonts w:hint="eastAsia" w:ascii="宋体" w:hAnsi="宋体" w:cs="宋体"/>
          <w:color w:val="auto"/>
          <w:kern w:val="0"/>
          <w:szCs w:val="21"/>
          <w:highlight w:val="none"/>
        </w:rPr>
        <w:t>本项目不接受联合体响应。</w:t>
      </w:r>
    </w:p>
    <w:p w14:paraId="0E61578F">
      <w:pPr>
        <w:widowControl/>
        <w:shd w:val="clear" w:color="auto" w:fill="FFFFFF"/>
        <w:spacing w:line="400" w:lineRule="exact"/>
        <w:ind w:firstLine="420"/>
        <w:jc w:val="left"/>
        <w:rPr>
          <w:rFonts w:ascii="宋体" w:hAnsi="宋体" w:cs="宋体"/>
          <w:color w:val="auto"/>
          <w:kern w:val="0"/>
          <w:szCs w:val="21"/>
          <w:highlight w:val="none"/>
        </w:rPr>
      </w:pPr>
      <w:r>
        <w:rPr>
          <w:rFonts w:hint="eastAsia" w:ascii="宋体" w:hAnsi="宋体" w:cs="宋体"/>
          <w:color w:val="auto"/>
          <w:kern w:val="0"/>
          <w:szCs w:val="21"/>
          <w:highlight w:val="none"/>
        </w:rPr>
        <w:t>备注：采购计划号：NNZC[2026]730号-00</w:t>
      </w:r>
      <w:r>
        <w:rPr>
          <w:rFonts w:hint="eastAsia" w:ascii="宋体" w:hAnsi="宋体" w:cs="宋体"/>
          <w:color w:val="auto"/>
          <w:kern w:val="0"/>
          <w:szCs w:val="21"/>
          <w:highlight w:val="none"/>
          <w:lang w:val="en-US" w:eastAsia="zh-CN"/>
        </w:rPr>
        <w:t>1、</w:t>
      </w:r>
      <w:r>
        <w:rPr>
          <w:rFonts w:hint="eastAsia" w:ascii="宋体" w:hAnsi="宋体" w:cs="宋体"/>
          <w:color w:val="auto"/>
          <w:kern w:val="0"/>
          <w:szCs w:val="21"/>
          <w:highlight w:val="none"/>
        </w:rPr>
        <w:t>NNZC[2026]730号-002</w:t>
      </w:r>
    </w:p>
    <w:p w14:paraId="1ED32E6D">
      <w:pPr>
        <w:widowControl/>
        <w:shd w:val="clear" w:color="auto" w:fill="FFFFFF"/>
        <w:spacing w:line="400" w:lineRule="exact"/>
        <w:rPr>
          <w:rFonts w:ascii="宋体" w:hAnsi="宋体" w:cs="宋体"/>
          <w:color w:val="auto"/>
          <w:kern w:val="0"/>
          <w:szCs w:val="21"/>
          <w:highlight w:val="none"/>
        </w:rPr>
      </w:pPr>
      <w:r>
        <w:rPr>
          <w:rFonts w:hint="eastAsia" w:ascii="宋体" w:hAnsi="宋体" w:cs="宋体"/>
          <w:b/>
          <w:bCs/>
          <w:color w:val="auto"/>
          <w:kern w:val="0"/>
          <w:szCs w:val="21"/>
          <w:highlight w:val="none"/>
        </w:rPr>
        <w:t>二、申请人的资格要求：</w:t>
      </w:r>
    </w:p>
    <w:p w14:paraId="4AF36642">
      <w:pPr>
        <w:widowControl/>
        <w:shd w:val="clear" w:color="auto" w:fill="FFFFFF"/>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1.满足《中华人民共和国政府采购法》第二十二条规定；</w:t>
      </w:r>
    </w:p>
    <w:p w14:paraId="0DC083BC">
      <w:pPr>
        <w:widowControl/>
        <w:shd w:val="clear" w:color="auto" w:fill="FFFFFF"/>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2.落实政府采购政策需满足的资格要求：</w:t>
      </w:r>
    </w:p>
    <w:p w14:paraId="2E6FDECB">
      <w:pPr>
        <w:widowControl/>
        <w:shd w:val="clear" w:color="auto" w:fill="FFFFFF"/>
        <w:spacing w:line="400" w:lineRule="exact"/>
        <w:ind w:firstLine="420" w:firstLineChars="200"/>
        <w:jc w:val="left"/>
        <w:rPr>
          <w:rFonts w:ascii="宋体" w:hAnsi="宋体" w:cs="宋体"/>
          <w:b/>
          <w:bCs/>
          <w:color w:val="auto"/>
          <w:kern w:val="0"/>
          <w:szCs w:val="21"/>
          <w:highlight w:val="none"/>
        </w:rPr>
      </w:pPr>
      <w:r>
        <w:rPr>
          <w:rFonts w:hint="eastAsia" w:ascii="宋体" w:hAnsi="宋体" w:cs="宋体"/>
          <w:b w:val="0"/>
          <w:bCs w:val="0"/>
          <w:color w:val="auto"/>
          <w:kern w:val="0"/>
          <w:szCs w:val="21"/>
          <w:highlight w:val="none"/>
          <w:lang w:eastAsia="zh-CN"/>
        </w:rPr>
        <w:t>☑</w:t>
      </w:r>
      <w:r>
        <w:rPr>
          <w:rFonts w:hint="eastAsia" w:ascii="宋体" w:hAnsi="宋体" w:cs="宋体"/>
          <w:b w:val="0"/>
          <w:bCs w:val="0"/>
          <w:color w:val="auto"/>
          <w:kern w:val="0"/>
          <w:szCs w:val="21"/>
          <w:highlight w:val="none"/>
        </w:rPr>
        <w:t>专门面向中小企业采购的项目（供应商均为中小微企业、监狱企业、残疾人福利性单位)</w:t>
      </w:r>
    </w:p>
    <w:p w14:paraId="0B5E82A7">
      <w:pPr>
        <w:widowControl/>
        <w:shd w:val="clear" w:color="auto" w:fill="FFFFFF"/>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rPr>
        <w:t>非专门面向中小企业采购的项目</w:t>
      </w:r>
    </w:p>
    <w:p w14:paraId="701A464D">
      <w:pPr>
        <w:widowControl/>
        <w:shd w:val="clear" w:color="auto" w:fill="FFFFFF"/>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3.本项目的特定资格要求：</w:t>
      </w:r>
      <w:r>
        <w:rPr>
          <w:rFonts w:hint="eastAsia" w:ascii="宋体" w:hAnsi="宋体" w:cs="宋体"/>
          <w:color w:val="auto"/>
          <w:kern w:val="0"/>
          <w:szCs w:val="21"/>
          <w:highlight w:val="none"/>
          <w:lang w:val="en-US" w:eastAsia="zh-CN"/>
        </w:rPr>
        <w:t>无</w:t>
      </w:r>
    </w:p>
    <w:p w14:paraId="4A7D9D6D">
      <w:pPr>
        <w:widowControl/>
        <w:shd w:val="clear" w:color="auto" w:fill="FFFFFF"/>
        <w:spacing w:line="400" w:lineRule="exact"/>
        <w:ind w:firstLine="420" w:firstLineChars="200"/>
        <w:jc w:val="left"/>
        <w:rPr>
          <w:rFonts w:hint="eastAsia" w:ascii="宋体" w:hAnsi="宋体" w:cs="宋体"/>
          <w:color w:val="auto"/>
          <w:kern w:val="0"/>
          <w:szCs w:val="21"/>
          <w:highlight w:val="none"/>
          <w:lang w:val="en-US" w:eastAsia="zh-CN"/>
        </w:rPr>
      </w:pPr>
      <w:r>
        <w:rPr>
          <w:rFonts w:hint="eastAsia" w:ascii="宋体" w:hAnsi="宋体" w:cs="宋体"/>
          <w:color w:val="auto"/>
          <w:kern w:val="0"/>
          <w:szCs w:val="21"/>
          <w:highlight w:val="none"/>
        </w:rPr>
        <w:t>4.本项目的特定条件：</w:t>
      </w:r>
      <w:r>
        <w:rPr>
          <w:rFonts w:hint="eastAsia" w:ascii="宋体" w:hAnsi="宋体" w:cs="宋体"/>
          <w:color w:val="auto"/>
          <w:kern w:val="0"/>
          <w:szCs w:val="21"/>
          <w:highlight w:val="none"/>
          <w:lang w:val="en-US" w:eastAsia="zh-CN"/>
        </w:rPr>
        <w:t>无</w:t>
      </w:r>
    </w:p>
    <w:p w14:paraId="06422168">
      <w:pPr>
        <w:widowControl/>
        <w:shd w:val="clear" w:color="auto" w:fill="FFFFFF"/>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5. 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22FA2079">
      <w:pPr>
        <w:widowControl/>
        <w:shd w:val="clear" w:color="auto" w:fill="FFFFFF"/>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6. 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522003B0">
      <w:pPr>
        <w:widowControl/>
        <w:shd w:val="clear" w:color="auto" w:fill="FFFFFF"/>
        <w:spacing w:line="400" w:lineRule="exact"/>
        <w:rPr>
          <w:rFonts w:ascii="宋体" w:hAnsi="宋体" w:cs="宋体"/>
          <w:color w:val="auto"/>
          <w:kern w:val="0"/>
          <w:szCs w:val="21"/>
          <w:highlight w:val="none"/>
        </w:rPr>
      </w:pPr>
      <w:r>
        <w:rPr>
          <w:rFonts w:hint="eastAsia" w:ascii="宋体" w:hAnsi="宋体" w:cs="宋体"/>
          <w:b/>
          <w:bCs/>
          <w:color w:val="auto"/>
          <w:kern w:val="0"/>
          <w:szCs w:val="21"/>
          <w:highlight w:val="none"/>
        </w:rPr>
        <w:t>三、获取采购文件</w:t>
      </w:r>
    </w:p>
    <w:p w14:paraId="01B14CC2">
      <w:pPr>
        <w:widowControl/>
        <w:shd w:val="clear" w:color="auto" w:fill="FFFFFF"/>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时间：自公告发布之日起至响应截止时间止。</w:t>
      </w:r>
    </w:p>
    <w:p w14:paraId="7B729CE3">
      <w:pPr>
        <w:widowControl/>
        <w:shd w:val="clear" w:color="auto" w:fill="FFFFFF"/>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获取方式：网上下载。本项目不发放纸质文件，供应商可自行在“广西政府采购云平台”</w:t>
      </w:r>
      <w:r>
        <w:rPr>
          <w:rFonts w:hint="eastAsia" w:ascii="宋体" w:hAnsi="宋体" w:cs="宋体"/>
          <w:color w:val="auto"/>
          <w:szCs w:val="21"/>
          <w:highlight w:val="none"/>
        </w:rPr>
        <w:t xml:space="preserve"> </w:t>
      </w:r>
      <w:r>
        <w:rPr>
          <w:rFonts w:hint="eastAsia" w:ascii="宋体" w:hAnsi="宋体" w:cs="宋体"/>
          <w:color w:val="auto"/>
          <w:kern w:val="0"/>
          <w:szCs w:val="21"/>
          <w:highlight w:val="none"/>
        </w:rPr>
        <w:t>（https://www.gcy.zfcg.gxzf.gov.cn/）下载采购文件（操作路径：登录“广西政府采购云平台”-项目采购-获取采购文件-找到本项目-点击“申请获取采购文件”），电子响应文件制作需要基于“广西政府采购云平台”获取的采购文件编制。</w:t>
      </w:r>
    </w:p>
    <w:p w14:paraId="52A76156">
      <w:pPr>
        <w:widowControl/>
        <w:shd w:val="clear" w:color="auto" w:fill="FFFFFF"/>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售价（元）：0</w:t>
      </w:r>
    </w:p>
    <w:p w14:paraId="2BDA4D3B">
      <w:pPr>
        <w:widowControl/>
        <w:shd w:val="clear" w:color="auto" w:fill="FFFFFF"/>
        <w:spacing w:line="400" w:lineRule="exact"/>
        <w:rPr>
          <w:rFonts w:ascii="宋体" w:hAnsi="宋体" w:cs="宋体"/>
          <w:color w:val="auto"/>
          <w:kern w:val="0"/>
          <w:szCs w:val="21"/>
          <w:highlight w:val="none"/>
        </w:rPr>
      </w:pPr>
      <w:r>
        <w:rPr>
          <w:rFonts w:hint="eastAsia" w:ascii="宋体" w:hAnsi="宋体" w:cs="宋体"/>
          <w:b/>
          <w:bCs/>
          <w:color w:val="auto"/>
          <w:kern w:val="0"/>
          <w:szCs w:val="21"/>
          <w:highlight w:val="none"/>
        </w:rPr>
        <w:t>四、响应文件提交</w:t>
      </w:r>
      <w:r>
        <w:rPr>
          <w:rFonts w:hint="eastAsia" w:ascii="宋体" w:hAnsi="宋体" w:cs="宋体"/>
          <w:color w:val="auto"/>
          <w:kern w:val="0"/>
          <w:szCs w:val="21"/>
          <w:highlight w:val="none"/>
        </w:rPr>
        <w:t> </w:t>
      </w:r>
    </w:p>
    <w:p w14:paraId="7B52DF01">
      <w:pPr>
        <w:widowControl/>
        <w:shd w:val="clear" w:color="auto" w:fill="FFFFFF"/>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1.提交响应文件截止时间和开标时间：</w:t>
      </w:r>
      <w:r>
        <w:rPr>
          <w:rFonts w:hint="eastAsia" w:ascii="宋体" w:hAnsi="宋体" w:cs="宋体"/>
          <w:color w:val="auto"/>
          <w:kern w:val="0"/>
          <w:szCs w:val="21"/>
          <w:highlight w:val="none"/>
          <w:u w:val="single"/>
        </w:rPr>
        <w:t>202</w:t>
      </w:r>
      <w:r>
        <w:rPr>
          <w:rFonts w:hint="eastAsia" w:ascii="宋体" w:hAnsi="宋体" w:cs="宋体"/>
          <w:color w:val="auto"/>
          <w:kern w:val="0"/>
          <w:szCs w:val="21"/>
          <w:highlight w:val="none"/>
          <w:u w:val="single"/>
          <w:lang w:val="en-US" w:eastAsia="zh-CN"/>
        </w:rPr>
        <w:t>6</w:t>
      </w:r>
      <w:r>
        <w:rPr>
          <w:rFonts w:hint="eastAsia" w:ascii="宋体" w:hAnsi="宋体" w:cs="宋体"/>
          <w:color w:val="auto"/>
          <w:kern w:val="0"/>
          <w:szCs w:val="21"/>
          <w:highlight w:val="none"/>
          <w:u w:val="single"/>
        </w:rPr>
        <w:t>年</w:t>
      </w:r>
      <w:r>
        <w:rPr>
          <w:rFonts w:hint="eastAsia" w:ascii="宋体" w:hAnsi="宋体" w:cs="宋体"/>
          <w:color w:val="auto"/>
          <w:kern w:val="0"/>
          <w:szCs w:val="21"/>
          <w:highlight w:val="none"/>
          <w:u w:val="single"/>
          <w:lang w:val="en-US" w:eastAsia="zh-CN"/>
        </w:rPr>
        <w:t>5</w:t>
      </w:r>
      <w:r>
        <w:rPr>
          <w:rFonts w:hint="eastAsia" w:ascii="宋体" w:hAnsi="宋体" w:cs="宋体"/>
          <w:color w:val="auto"/>
          <w:kern w:val="0"/>
          <w:szCs w:val="21"/>
          <w:highlight w:val="none"/>
          <w:u w:val="single"/>
        </w:rPr>
        <w:t>月</w:t>
      </w:r>
      <w:r>
        <w:rPr>
          <w:rFonts w:hint="eastAsia" w:ascii="宋体" w:hAnsi="宋体" w:cs="宋体"/>
          <w:color w:val="auto"/>
          <w:kern w:val="0"/>
          <w:szCs w:val="21"/>
          <w:highlight w:val="none"/>
          <w:u w:val="single"/>
          <w:lang w:val="en-US" w:eastAsia="zh-CN"/>
        </w:rPr>
        <w:t>6</w:t>
      </w:r>
      <w:r>
        <w:rPr>
          <w:rFonts w:hint="eastAsia" w:ascii="宋体" w:hAnsi="宋体" w:cs="宋体"/>
          <w:color w:val="auto"/>
          <w:kern w:val="0"/>
          <w:szCs w:val="21"/>
          <w:highlight w:val="none"/>
          <w:u w:val="single"/>
        </w:rPr>
        <w:t>日09时30分</w:t>
      </w:r>
      <w:r>
        <w:rPr>
          <w:rFonts w:hint="eastAsia" w:ascii="宋体" w:hAnsi="宋体" w:cs="宋体"/>
          <w:color w:val="auto"/>
          <w:kern w:val="0"/>
          <w:szCs w:val="21"/>
          <w:highlight w:val="none"/>
        </w:rPr>
        <w:t>（北京时间）</w:t>
      </w:r>
    </w:p>
    <w:p w14:paraId="71B62869">
      <w:pPr>
        <w:widowControl/>
        <w:shd w:val="clear" w:color="auto" w:fill="FFFFFF"/>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2.响应地点（网址）：本项目为南宁市全流程电子化项目，通过“广西政府采购云平台”</w:t>
      </w:r>
      <w:r>
        <w:rPr>
          <w:rFonts w:hint="eastAsia" w:ascii="宋体" w:hAnsi="宋体" w:cs="宋体"/>
          <w:color w:val="auto"/>
          <w:szCs w:val="21"/>
          <w:highlight w:val="none"/>
        </w:rPr>
        <w:t xml:space="preserve"> </w:t>
      </w:r>
      <w:r>
        <w:rPr>
          <w:rFonts w:hint="eastAsia" w:ascii="宋体" w:hAnsi="宋体" w:cs="宋体"/>
          <w:color w:val="auto"/>
          <w:kern w:val="0"/>
          <w:szCs w:val="21"/>
          <w:highlight w:val="none"/>
        </w:rPr>
        <w:t xml:space="preserve">（https://www.gcy.zfcg.gxzf.gov.cn/）实行在线电子投标，电子投标具体操作流程详见电子响应文件制作与投送教程（在此网址下载：http://nncz.nanning.gov.cn/（南宁市财政局官网）-下载专区）。 </w:t>
      </w:r>
    </w:p>
    <w:p w14:paraId="4CAD1E42">
      <w:pPr>
        <w:widowControl/>
        <w:shd w:val="clear" w:color="auto" w:fill="FFFFFF"/>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3.截标地点：“广西政府采购云平台”电子开标大厅开标。</w:t>
      </w:r>
    </w:p>
    <w:p w14:paraId="7DE8B4B7">
      <w:pPr>
        <w:widowControl/>
        <w:shd w:val="clear" w:color="auto" w:fill="FFFFFF"/>
        <w:spacing w:line="400" w:lineRule="exact"/>
        <w:rPr>
          <w:rFonts w:ascii="宋体" w:hAnsi="宋体" w:cs="宋体"/>
          <w:color w:val="auto"/>
          <w:kern w:val="0"/>
          <w:szCs w:val="21"/>
          <w:highlight w:val="none"/>
        </w:rPr>
      </w:pPr>
      <w:r>
        <w:rPr>
          <w:rFonts w:hint="eastAsia" w:ascii="宋体" w:hAnsi="宋体" w:cs="宋体"/>
          <w:b/>
          <w:bCs/>
          <w:color w:val="auto"/>
          <w:kern w:val="0"/>
          <w:szCs w:val="21"/>
          <w:highlight w:val="none"/>
        </w:rPr>
        <w:t>五、响应文件开启</w:t>
      </w:r>
      <w:r>
        <w:rPr>
          <w:rFonts w:hint="eastAsia" w:ascii="宋体" w:hAnsi="宋体" w:cs="宋体"/>
          <w:color w:val="auto"/>
          <w:kern w:val="0"/>
          <w:szCs w:val="21"/>
          <w:highlight w:val="none"/>
        </w:rPr>
        <w:t> </w:t>
      </w:r>
    </w:p>
    <w:p w14:paraId="61464143">
      <w:pPr>
        <w:widowControl/>
        <w:shd w:val="clear" w:color="auto" w:fill="FFFFFF"/>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1.开启时间：</w:t>
      </w:r>
      <w:r>
        <w:rPr>
          <w:rFonts w:hint="eastAsia" w:ascii="宋体" w:hAnsi="宋体" w:cs="宋体"/>
          <w:color w:val="auto"/>
          <w:kern w:val="0"/>
          <w:szCs w:val="21"/>
          <w:highlight w:val="none"/>
          <w:u w:val="single"/>
        </w:rPr>
        <w:t>202</w:t>
      </w:r>
      <w:r>
        <w:rPr>
          <w:rFonts w:hint="eastAsia" w:ascii="宋体" w:hAnsi="宋体" w:cs="宋体"/>
          <w:color w:val="auto"/>
          <w:kern w:val="0"/>
          <w:szCs w:val="21"/>
          <w:highlight w:val="none"/>
          <w:u w:val="single"/>
          <w:lang w:val="en-US" w:eastAsia="zh-CN"/>
        </w:rPr>
        <w:t>6</w:t>
      </w:r>
      <w:r>
        <w:rPr>
          <w:rFonts w:hint="eastAsia" w:ascii="宋体" w:hAnsi="宋体" w:cs="宋体"/>
          <w:color w:val="auto"/>
          <w:kern w:val="0"/>
          <w:szCs w:val="21"/>
          <w:highlight w:val="none"/>
          <w:u w:val="single"/>
        </w:rPr>
        <w:t>年</w:t>
      </w:r>
      <w:r>
        <w:rPr>
          <w:rFonts w:hint="eastAsia" w:ascii="宋体" w:hAnsi="宋体" w:cs="宋体"/>
          <w:color w:val="auto"/>
          <w:kern w:val="0"/>
          <w:szCs w:val="21"/>
          <w:highlight w:val="none"/>
          <w:u w:val="single"/>
          <w:lang w:val="en-US" w:eastAsia="zh-CN"/>
        </w:rPr>
        <w:t>5</w:t>
      </w:r>
      <w:r>
        <w:rPr>
          <w:rFonts w:hint="eastAsia" w:ascii="宋体" w:hAnsi="宋体" w:cs="宋体"/>
          <w:color w:val="auto"/>
          <w:kern w:val="0"/>
          <w:szCs w:val="21"/>
          <w:highlight w:val="none"/>
          <w:u w:val="single"/>
        </w:rPr>
        <w:t>月</w:t>
      </w:r>
      <w:r>
        <w:rPr>
          <w:rFonts w:hint="eastAsia" w:ascii="宋体" w:hAnsi="宋体" w:cs="宋体"/>
          <w:color w:val="auto"/>
          <w:kern w:val="0"/>
          <w:szCs w:val="21"/>
          <w:highlight w:val="none"/>
          <w:u w:val="single"/>
          <w:lang w:val="en-US" w:eastAsia="zh-CN"/>
        </w:rPr>
        <w:t>6</w:t>
      </w:r>
      <w:r>
        <w:rPr>
          <w:rFonts w:hint="eastAsia" w:ascii="宋体" w:hAnsi="宋体" w:cs="宋体"/>
          <w:color w:val="auto"/>
          <w:kern w:val="0"/>
          <w:szCs w:val="21"/>
          <w:highlight w:val="none"/>
          <w:u w:val="single"/>
        </w:rPr>
        <w:t>日</w:t>
      </w:r>
      <w:r>
        <w:rPr>
          <w:rFonts w:hint="eastAsia" w:ascii="宋体" w:hAnsi="宋体" w:cs="宋体"/>
          <w:color w:val="auto"/>
          <w:kern w:val="0"/>
          <w:szCs w:val="21"/>
          <w:highlight w:val="none"/>
        </w:rPr>
        <w:t xml:space="preserve"> 09:30（北京时间）</w:t>
      </w:r>
    </w:p>
    <w:p w14:paraId="0C1B4BE5">
      <w:pPr>
        <w:widowControl/>
        <w:shd w:val="clear" w:color="auto" w:fill="FFFFFF"/>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2.地点：“广西政府采购云平台”电子开标大厅 </w:t>
      </w:r>
    </w:p>
    <w:p w14:paraId="129841A8">
      <w:pPr>
        <w:widowControl/>
        <w:shd w:val="clear" w:color="auto" w:fill="FFFFFF"/>
        <w:spacing w:line="400" w:lineRule="exact"/>
        <w:rPr>
          <w:rFonts w:ascii="宋体" w:hAnsi="宋体" w:cs="宋体"/>
          <w:color w:val="auto"/>
          <w:kern w:val="0"/>
          <w:szCs w:val="21"/>
          <w:highlight w:val="none"/>
        </w:rPr>
      </w:pPr>
      <w:r>
        <w:rPr>
          <w:rFonts w:hint="eastAsia" w:ascii="宋体" w:hAnsi="宋体" w:cs="宋体"/>
          <w:b/>
          <w:bCs/>
          <w:color w:val="auto"/>
          <w:kern w:val="0"/>
          <w:szCs w:val="21"/>
          <w:highlight w:val="none"/>
        </w:rPr>
        <w:t>六、公告期限</w:t>
      </w:r>
    </w:p>
    <w:p w14:paraId="4A524DDE">
      <w:pPr>
        <w:widowControl/>
        <w:shd w:val="clear" w:color="auto" w:fill="FFFFFF"/>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自本公告发布之日起5个工作日。</w:t>
      </w:r>
    </w:p>
    <w:p w14:paraId="0E76BB01">
      <w:pPr>
        <w:widowControl/>
        <w:shd w:val="clear" w:color="auto" w:fill="FFFFFF"/>
        <w:spacing w:line="400" w:lineRule="exact"/>
        <w:rPr>
          <w:rFonts w:ascii="宋体" w:hAnsi="宋体" w:cs="宋体"/>
          <w:color w:val="auto"/>
          <w:kern w:val="0"/>
          <w:szCs w:val="21"/>
          <w:highlight w:val="none"/>
        </w:rPr>
      </w:pPr>
      <w:r>
        <w:rPr>
          <w:rFonts w:hint="eastAsia" w:ascii="宋体" w:hAnsi="宋体" w:cs="宋体"/>
          <w:b/>
          <w:bCs/>
          <w:color w:val="auto"/>
          <w:kern w:val="0"/>
          <w:szCs w:val="21"/>
          <w:highlight w:val="none"/>
        </w:rPr>
        <w:t>七、其他补充事宜</w:t>
      </w:r>
      <w:r>
        <w:rPr>
          <w:rFonts w:hint="eastAsia" w:ascii="宋体" w:hAnsi="宋体" w:cs="宋体"/>
          <w:color w:val="auto"/>
          <w:kern w:val="0"/>
          <w:szCs w:val="21"/>
          <w:highlight w:val="none"/>
        </w:rPr>
        <w:t> </w:t>
      </w:r>
    </w:p>
    <w:p w14:paraId="14CEECD1">
      <w:pPr>
        <w:widowControl/>
        <w:shd w:val="clear" w:color="auto" w:fill="FFFFFF"/>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1.磋商保证金：本项目不收取磋商保证金</w:t>
      </w:r>
    </w:p>
    <w:p w14:paraId="49F5880B">
      <w:pPr>
        <w:spacing w:line="380" w:lineRule="exact"/>
        <w:ind w:firstLine="315" w:firstLineChars="150"/>
        <w:rPr>
          <w:rFonts w:hint="eastAsia" w:ascii="宋体" w:hAnsi="宋体" w:cs="宋体"/>
          <w:color w:val="auto"/>
          <w:kern w:val="0"/>
          <w:szCs w:val="21"/>
          <w:highlight w:val="none"/>
        </w:rPr>
      </w:pPr>
      <w:r>
        <w:rPr>
          <w:rFonts w:hint="eastAsia" w:ascii="宋体" w:hAnsi="宋体" w:cs="宋体"/>
          <w:color w:val="auto"/>
          <w:kern w:val="0"/>
          <w:szCs w:val="21"/>
          <w:highlight w:val="none"/>
        </w:rPr>
        <w:t>2.采购意向公开链接：</w:t>
      </w:r>
    </w:p>
    <w:p w14:paraId="5D9C2945">
      <w:pPr>
        <w:spacing w:line="380" w:lineRule="exact"/>
        <w:ind w:firstLine="315" w:firstLineChars="150"/>
        <w:rPr>
          <w:rFonts w:hint="eastAsia" w:ascii="宋体" w:hAnsi="宋体" w:cs="宋体"/>
          <w:color w:val="auto"/>
          <w:kern w:val="0"/>
          <w:szCs w:val="21"/>
          <w:highlight w:val="none"/>
        </w:rPr>
      </w:pPr>
      <w:r>
        <w:rPr>
          <w:rFonts w:hint="eastAsia" w:ascii="宋体" w:hAnsi="宋体" w:cs="宋体"/>
          <w:color w:val="auto"/>
          <w:kern w:val="0"/>
          <w:szCs w:val="21"/>
          <w:highlight w:val="none"/>
        </w:rPr>
        <w:fldChar w:fldCharType="begin"/>
      </w:r>
      <w:r>
        <w:rPr>
          <w:rFonts w:hint="eastAsia" w:ascii="宋体" w:hAnsi="宋体" w:cs="宋体"/>
          <w:color w:val="auto"/>
          <w:kern w:val="0"/>
          <w:szCs w:val="21"/>
          <w:highlight w:val="none"/>
        </w:rPr>
        <w:instrText xml:space="preserve"> HYPERLINK "http://www.ccgp-guangxi.gov.cn/site/detail?categoryCode=ZcyAnnouncement&amp;parentId=66485&amp;articleId=AsZGBfIAGzHseKtAzePuFw==" </w:instrText>
      </w:r>
      <w:r>
        <w:rPr>
          <w:rFonts w:hint="eastAsia" w:ascii="宋体" w:hAnsi="宋体" w:cs="宋体"/>
          <w:color w:val="auto"/>
          <w:kern w:val="0"/>
          <w:szCs w:val="21"/>
          <w:highlight w:val="none"/>
        </w:rPr>
        <w:fldChar w:fldCharType="separate"/>
      </w:r>
      <w:r>
        <w:rPr>
          <w:rStyle w:val="28"/>
          <w:rFonts w:hint="eastAsia" w:ascii="宋体" w:hAnsi="宋体" w:cs="宋体"/>
          <w:color w:val="auto"/>
          <w:kern w:val="0"/>
          <w:szCs w:val="21"/>
          <w:highlight w:val="none"/>
        </w:rPr>
        <w:t>http://www.ccgp-guangxi.gov.cn/site/detail?categoryCode=ZcyAnnouncement&amp;parentId=66485&amp;articleId=AsZGBfIAGzHseKtAzePuFw==</w:t>
      </w:r>
      <w:r>
        <w:rPr>
          <w:rFonts w:hint="eastAsia" w:ascii="宋体" w:hAnsi="宋体" w:cs="宋体"/>
          <w:color w:val="auto"/>
          <w:kern w:val="0"/>
          <w:szCs w:val="21"/>
          <w:highlight w:val="none"/>
        </w:rPr>
        <w:fldChar w:fldCharType="end"/>
      </w:r>
    </w:p>
    <w:p w14:paraId="3615CF5F">
      <w:pPr>
        <w:widowControl/>
        <w:shd w:val="clear" w:color="auto" w:fill="FFFFFF"/>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3.网上查询地址</w:t>
      </w:r>
    </w:p>
    <w:p w14:paraId="1C085339">
      <w:pPr>
        <w:spacing w:line="380" w:lineRule="exact"/>
        <w:ind w:firstLine="315" w:firstLineChars="150"/>
        <w:rPr>
          <w:rFonts w:hint="eastAsia" w:ascii="宋体" w:hAnsi="宋体" w:cs="宋体"/>
          <w:color w:val="auto"/>
          <w:kern w:val="0"/>
          <w:szCs w:val="21"/>
          <w:highlight w:val="none"/>
        </w:rPr>
      </w:pPr>
      <w:r>
        <w:rPr>
          <w:rFonts w:hint="eastAsia" w:ascii="宋体" w:hAnsi="宋体" w:cs="宋体"/>
          <w:color w:val="auto"/>
          <w:kern w:val="0"/>
          <w:szCs w:val="21"/>
          <w:highlight w:val="none"/>
        </w:rPr>
        <w:t>中国政府采购网（http://www.ccgp.gov.cn）,广西壮族自治区政府采购网（http://zfcg.gxzf.gov.cn）, 全国公共资源交易平台（广西.南宁）http://ggzy.jgswj.gxzf.gov.cn/nnggzy/</w:t>
      </w:r>
    </w:p>
    <w:p w14:paraId="692696E9">
      <w:pPr>
        <w:widowControl/>
        <w:shd w:val="clear" w:color="auto" w:fill="FFFFFF"/>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4.本项目需要落实的政府采购政策</w:t>
      </w:r>
    </w:p>
    <w:p w14:paraId="1F9EC1E1">
      <w:pPr>
        <w:widowControl/>
        <w:shd w:val="clear" w:color="auto" w:fill="FFFFFF"/>
        <w:spacing w:line="400" w:lineRule="exact"/>
        <w:ind w:firstLine="210" w:firstLineChars="100"/>
        <w:jc w:val="left"/>
        <w:rPr>
          <w:rFonts w:ascii="宋体" w:hAnsi="宋体" w:cs="宋体"/>
          <w:color w:val="auto"/>
          <w:kern w:val="0"/>
          <w:szCs w:val="21"/>
          <w:highlight w:val="none"/>
        </w:rPr>
      </w:pPr>
      <w:r>
        <w:rPr>
          <w:rFonts w:hint="eastAsia" w:ascii="宋体" w:hAnsi="宋体" w:cs="宋体"/>
          <w:color w:val="auto"/>
          <w:kern w:val="0"/>
          <w:szCs w:val="21"/>
          <w:highlight w:val="none"/>
        </w:rPr>
        <w:t>（1）政府采购促进中小企业发展。</w:t>
      </w:r>
    </w:p>
    <w:p w14:paraId="5356E628">
      <w:pPr>
        <w:widowControl/>
        <w:shd w:val="clear" w:color="auto" w:fill="FFFFFF"/>
        <w:spacing w:line="400" w:lineRule="exact"/>
        <w:ind w:firstLine="210" w:firstLineChars="100"/>
        <w:jc w:val="left"/>
        <w:rPr>
          <w:rFonts w:ascii="宋体" w:hAnsi="宋体" w:cs="宋体"/>
          <w:color w:val="auto"/>
          <w:kern w:val="0"/>
          <w:szCs w:val="21"/>
          <w:highlight w:val="none"/>
        </w:rPr>
      </w:pPr>
      <w:r>
        <w:rPr>
          <w:rFonts w:hint="eastAsia" w:ascii="宋体" w:hAnsi="宋体" w:cs="宋体"/>
          <w:color w:val="auto"/>
          <w:kern w:val="0"/>
          <w:szCs w:val="21"/>
          <w:highlight w:val="none"/>
        </w:rPr>
        <w:t>（2）政府采购支持采用本国产品的政策。</w:t>
      </w:r>
    </w:p>
    <w:p w14:paraId="1045ABE7">
      <w:pPr>
        <w:widowControl/>
        <w:shd w:val="clear" w:color="auto" w:fill="FFFFFF"/>
        <w:spacing w:line="400" w:lineRule="exact"/>
        <w:ind w:firstLine="210" w:firstLineChars="100"/>
        <w:jc w:val="left"/>
        <w:rPr>
          <w:rFonts w:ascii="宋体" w:hAnsi="宋体" w:cs="宋体"/>
          <w:color w:val="auto"/>
          <w:kern w:val="0"/>
          <w:szCs w:val="21"/>
          <w:highlight w:val="none"/>
        </w:rPr>
      </w:pPr>
      <w:r>
        <w:rPr>
          <w:rFonts w:hint="eastAsia" w:ascii="宋体" w:hAnsi="宋体" w:cs="宋体"/>
          <w:color w:val="auto"/>
          <w:kern w:val="0"/>
          <w:szCs w:val="21"/>
          <w:highlight w:val="none"/>
        </w:rPr>
        <w:t>（3）强制采购节能产品；优先采购节能产品、环境标志产品。</w:t>
      </w:r>
    </w:p>
    <w:p w14:paraId="15787271">
      <w:pPr>
        <w:widowControl/>
        <w:shd w:val="clear" w:color="auto" w:fill="FFFFFF"/>
        <w:spacing w:line="400" w:lineRule="exact"/>
        <w:ind w:firstLine="210" w:firstLineChars="100"/>
        <w:jc w:val="left"/>
        <w:rPr>
          <w:rFonts w:ascii="宋体" w:hAnsi="宋体" w:cs="宋体"/>
          <w:color w:val="auto"/>
          <w:kern w:val="0"/>
          <w:szCs w:val="21"/>
          <w:highlight w:val="none"/>
        </w:rPr>
      </w:pPr>
      <w:r>
        <w:rPr>
          <w:rFonts w:hint="eastAsia" w:ascii="宋体" w:hAnsi="宋体" w:cs="宋体"/>
          <w:color w:val="auto"/>
          <w:kern w:val="0"/>
          <w:szCs w:val="21"/>
          <w:highlight w:val="none"/>
        </w:rPr>
        <w:t>（4）政府采购促进残疾人就业政策。</w:t>
      </w:r>
    </w:p>
    <w:p w14:paraId="6CB9B811">
      <w:pPr>
        <w:widowControl/>
        <w:shd w:val="clear" w:color="auto" w:fill="FFFFFF"/>
        <w:spacing w:line="400" w:lineRule="exact"/>
        <w:ind w:firstLine="210" w:firstLineChars="100"/>
        <w:jc w:val="left"/>
        <w:rPr>
          <w:rFonts w:ascii="宋体" w:hAnsi="宋体" w:cs="宋体"/>
          <w:color w:val="auto"/>
          <w:kern w:val="0"/>
          <w:szCs w:val="21"/>
          <w:highlight w:val="none"/>
        </w:rPr>
      </w:pPr>
      <w:r>
        <w:rPr>
          <w:rFonts w:hint="eastAsia" w:ascii="宋体" w:hAnsi="宋体" w:cs="宋体"/>
          <w:color w:val="auto"/>
          <w:kern w:val="0"/>
          <w:szCs w:val="21"/>
          <w:highlight w:val="none"/>
        </w:rPr>
        <w:t>（5）政府采购支持监狱企业发展。</w:t>
      </w:r>
    </w:p>
    <w:p w14:paraId="36141F34">
      <w:pPr>
        <w:widowControl/>
        <w:shd w:val="clear" w:color="auto" w:fill="FFFFFF"/>
        <w:spacing w:line="400" w:lineRule="exact"/>
        <w:ind w:firstLine="210" w:firstLineChars="100"/>
        <w:jc w:val="left"/>
        <w:rPr>
          <w:rFonts w:ascii="宋体" w:hAnsi="宋体" w:cs="宋体"/>
          <w:color w:val="auto"/>
          <w:kern w:val="0"/>
          <w:szCs w:val="21"/>
          <w:highlight w:val="none"/>
        </w:rPr>
      </w:pPr>
      <w:r>
        <w:rPr>
          <w:rFonts w:hint="eastAsia" w:ascii="宋体" w:hAnsi="宋体" w:cs="宋体"/>
          <w:color w:val="auto"/>
          <w:kern w:val="0"/>
          <w:szCs w:val="21"/>
          <w:highlight w:val="none"/>
        </w:rPr>
        <w:t>（6）扶持不发达地区和少数民族地区政策。</w:t>
      </w:r>
    </w:p>
    <w:p w14:paraId="09ACCD96">
      <w:pPr>
        <w:widowControl/>
        <w:shd w:val="clear" w:color="auto" w:fill="FFFFFF"/>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5.供应商认为采购文件使自己的权益受到损害的，可以自获取采购文件之日或者采购文件公告期限届满之日（公告期限届满后获取采购文件的，以公告期限届满之日为准）起7个工作日内以书面形式一次性向采购人和采购代理机构提出同一环节的质疑。否则，逾期的质疑采购人及招标代理机构可不予接受。质疑供应商对采购人、采购代理机构的答复不满意或者采购人、采购代理机构未在规定的时间内作出答复的，可以在答复期满后十五个工作日内向同级政府采购监督管理部门投诉。</w:t>
      </w:r>
    </w:p>
    <w:p w14:paraId="44EDF2A1">
      <w:pPr>
        <w:widowControl/>
        <w:shd w:val="clear" w:color="auto" w:fill="FFFFFF"/>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6.若对项目采购电子交易系统操作有疑问，可登录“广西政府采购云平台”（https://www.zcygov.cn/），点击右侧咨询小采，获取采小蜜智能服务管家帮助，或拨打政采云服务热线400-881-7190获取热线服务帮助。</w:t>
      </w:r>
    </w:p>
    <w:p w14:paraId="5C469E53">
      <w:pPr>
        <w:widowControl/>
        <w:shd w:val="clear" w:color="auto" w:fill="FFFFFF"/>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7.（1）未进行网上注册并办理数字证书（CA认证）的供应商将无法参与本项目政府采购活动，潜在供应商应当在投标截止时间前，完成电子交易平台上的CA数字证书办理（申领流程：CA证书申请方式及操作指南下载地址（现场申请方式见网址：http://www.ccgp-guangxi.gov.cn/OfficeService/DownloadArea/8354055.html?utm=a0003.39a112b4.cmp001.d0002.f0464b20ff2a11eb873141bf9e381949（广西政府采购网）/网上申请方式见网址： http://nncz.nanning.gov.cn/（</w:t>
      </w:r>
      <w:r>
        <w:rPr>
          <w:rFonts w:hint="eastAsia" w:ascii="宋体" w:hAnsi="宋体" w:cs="宋体"/>
          <w:color w:val="auto"/>
          <w:kern w:val="0"/>
          <w:szCs w:val="21"/>
          <w:highlight w:val="none"/>
          <w:lang w:eastAsia="zh-CN"/>
        </w:rPr>
        <w:t>南宁市财政局</w:t>
      </w:r>
      <w:r>
        <w:rPr>
          <w:rFonts w:hint="eastAsia" w:ascii="宋体" w:hAnsi="宋体" w:cs="宋体"/>
          <w:color w:val="auto"/>
          <w:kern w:val="0"/>
          <w:szCs w:val="21"/>
          <w:highlight w:val="none"/>
        </w:rPr>
        <w:t>官网）-下载专区-南宁市政采云CA证书办理操作指南））及响应文件的提交。完成CA数字证书办理预计7日左右，供应商只需办理其中一家CA数字证书及签章，建议各供应商抓紧时间办理。</w:t>
      </w:r>
    </w:p>
    <w:p w14:paraId="5ACE1CEC">
      <w:pPr>
        <w:widowControl/>
        <w:shd w:val="clear" w:color="auto" w:fill="FFFFFF"/>
        <w:spacing w:line="4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（2）为确保网上操作合法、有效和安全，请投标供应商确保在电子投标过程中能够对相关数据电文进行加密和使用电子签章，妥善保管CA数字证书并使用有效的CA数字证书参与整个招标活动。</w:t>
      </w:r>
    </w:p>
    <w:p w14:paraId="36AA8B67">
      <w:pPr>
        <w:widowControl/>
        <w:shd w:val="clear" w:color="auto" w:fill="FFFFFF"/>
        <w:spacing w:line="4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注：供应商应当在投标截止时间前完成电子响应文件的上传、递交，投标截止时间前可以补充、修改或者撤回响应文件。补充或者修改响应文件的，应当先行撤回原文件，补充、修改后重新上传、递交。投标截止时间前未完成上传、递交的，视为撤回响应文件。投标截止时间以后上传递交的响应文件“广西政府采购云平台”将予以拒收。</w:t>
      </w:r>
    </w:p>
    <w:p w14:paraId="22A11169">
      <w:pPr>
        <w:widowControl/>
        <w:shd w:val="clear" w:color="auto" w:fill="FFFFFF"/>
        <w:spacing w:line="4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（3）CA证书在线解密：供应商投标时，需携带制作响应文件时用来加密的有效数字证书（CA认证）登录“广西政府采购云平台”电子开标大厅现场按规定时间对加密的响应文件进行解密，否则后果自负。</w:t>
      </w:r>
    </w:p>
    <w:p w14:paraId="74A81954">
      <w:pPr>
        <w:widowControl/>
        <w:shd w:val="clear" w:color="auto" w:fill="FFFFFF"/>
        <w:spacing w:line="400" w:lineRule="exact"/>
        <w:rPr>
          <w:rFonts w:ascii="宋体" w:hAnsi="宋体" w:cs="宋体"/>
          <w:color w:val="auto"/>
          <w:kern w:val="0"/>
          <w:szCs w:val="21"/>
          <w:highlight w:val="none"/>
        </w:rPr>
      </w:pPr>
      <w:r>
        <w:rPr>
          <w:rFonts w:hint="eastAsia" w:ascii="宋体" w:hAnsi="宋体" w:cs="宋体"/>
          <w:b/>
          <w:bCs/>
          <w:color w:val="auto"/>
          <w:kern w:val="0"/>
          <w:szCs w:val="21"/>
          <w:highlight w:val="none"/>
        </w:rPr>
        <w:t>八、凡对本次招标提出询问，请按以下方式联系</w:t>
      </w:r>
    </w:p>
    <w:p w14:paraId="339DFD63">
      <w:pPr>
        <w:spacing w:line="380" w:lineRule="exact"/>
        <w:ind w:firstLine="420"/>
        <w:jc w:val="left"/>
        <w:rPr>
          <w:rFonts w:hint="eastAsia" w:ascii="宋体" w:hAnsi="宋体" w:cs="宋体"/>
          <w:color w:val="auto"/>
          <w:szCs w:val="21"/>
          <w:highlight w:val="none"/>
        </w:rPr>
      </w:pPr>
      <w:r>
        <w:rPr>
          <w:rFonts w:hint="eastAsia" w:ascii="宋体" w:hAnsi="宋体" w:cs="宋体"/>
          <w:color w:val="auto"/>
          <w:szCs w:val="21"/>
          <w:highlight w:val="none"/>
        </w:rPr>
        <w:t>1.采购人信息</w:t>
      </w:r>
    </w:p>
    <w:p w14:paraId="61B6CA60">
      <w:pPr>
        <w:spacing w:line="380" w:lineRule="exact"/>
        <w:ind w:firstLine="420"/>
        <w:jc w:val="left"/>
        <w:rPr>
          <w:rFonts w:hint="eastAsia" w:ascii="宋体" w:hAnsi="宋体" w:cs="宋体"/>
          <w:color w:val="auto"/>
          <w:szCs w:val="21"/>
          <w:highlight w:val="none"/>
        </w:rPr>
      </w:pPr>
      <w:r>
        <w:rPr>
          <w:rFonts w:hint="eastAsia" w:ascii="宋体" w:hAnsi="宋体" w:cs="宋体"/>
          <w:color w:val="auto"/>
          <w:szCs w:val="21"/>
          <w:highlight w:val="none"/>
        </w:rPr>
        <w:t>名  称：中国共产主义青年团南宁市委员会</w:t>
      </w:r>
    </w:p>
    <w:p w14:paraId="04382ECA">
      <w:pPr>
        <w:spacing w:line="380" w:lineRule="exact"/>
        <w:ind w:firstLine="420"/>
        <w:jc w:val="left"/>
        <w:rPr>
          <w:rFonts w:hint="eastAsia" w:ascii="宋体" w:hAnsi="宋体" w:cs="宋体"/>
          <w:color w:val="auto"/>
          <w:szCs w:val="21"/>
          <w:highlight w:val="none"/>
        </w:rPr>
      </w:pPr>
      <w:r>
        <w:rPr>
          <w:rFonts w:hint="eastAsia" w:ascii="宋体" w:hAnsi="宋体" w:cs="宋体"/>
          <w:color w:val="auto"/>
          <w:szCs w:val="21"/>
          <w:highlight w:val="none"/>
        </w:rPr>
        <w:t>地  址：南宁市平乐大道20号</w:t>
      </w:r>
    </w:p>
    <w:p w14:paraId="73320539">
      <w:pPr>
        <w:spacing w:line="380" w:lineRule="exact"/>
        <w:ind w:firstLine="420"/>
        <w:jc w:val="left"/>
        <w:rPr>
          <w:rFonts w:hint="eastAsia" w:ascii="宋体" w:hAnsi="宋体" w:cs="宋体"/>
          <w:color w:val="auto"/>
          <w:szCs w:val="21"/>
          <w:highlight w:val="none"/>
        </w:rPr>
      </w:pPr>
      <w:r>
        <w:rPr>
          <w:rFonts w:hint="eastAsia" w:ascii="宋体" w:hAnsi="宋体" w:cs="宋体"/>
          <w:color w:val="auto"/>
          <w:szCs w:val="21"/>
          <w:highlight w:val="none"/>
        </w:rPr>
        <w:t>项目联系人：姚斯圆</w:t>
      </w:r>
    </w:p>
    <w:p w14:paraId="2DC794D7">
      <w:pPr>
        <w:spacing w:line="380" w:lineRule="exact"/>
        <w:ind w:firstLine="420"/>
        <w:jc w:val="left"/>
        <w:rPr>
          <w:rFonts w:hint="eastAsia" w:ascii="宋体" w:hAnsi="宋体" w:cs="宋体"/>
          <w:color w:val="auto"/>
          <w:szCs w:val="21"/>
          <w:highlight w:val="none"/>
        </w:rPr>
      </w:pPr>
      <w:r>
        <w:rPr>
          <w:rFonts w:hint="eastAsia" w:ascii="宋体" w:hAnsi="宋体" w:cs="宋体"/>
          <w:color w:val="auto"/>
          <w:szCs w:val="21"/>
          <w:highlight w:val="none"/>
        </w:rPr>
        <w:t>联系电话：0771-2612501</w:t>
      </w:r>
    </w:p>
    <w:p w14:paraId="76D36CB9">
      <w:pPr>
        <w:spacing w:line="380" w:lineRule="exact"/>
        <w:ind w:firstLine="420"/>
        <w:jc w:val="left"/>
        <w:rPr>
          <w:rFonts w:hint="eastAsia" w:ascii="宋体" w:hAnsi="宋体" w:cs="宋体"/>
          <w:color w:val="auto"/>
          <w:szCs w:val="21"/>
          <w:highlight w:val="none"/>
        </w:rPr>
      </w:pPr>
      <w:r>
        <w:rPr>
          <w:rFonts w:hint="eastAsia" w:ascii="宋体" w:hAnsi="宋体" w:cs="宋体"/>
          <w:color w:val="auto"/>
          <w:szCs w:val="21"/>
          <w:highlight w:val="none"/>
        </w:rPr>
        <w:t>2.采购代理机构信息</w:t>
      </w:r>
    </w:p>
    <w:p w14:paraId="234C9013">
      <w:pPr>
        <w:spacing w:line="380" w:lineRule="exact"/>
        <w:ind w:firstLine="420"/>
        <w:jc w:val="left"/>
        <w:rPr>
          <w:rFonts w:hint="eastAsia" w:ascii="宋体" w:hAnsi="宋体" w:cs="宋体"/>
          <w:color w:val="auto"/>
          <w:szCs w:val="21"/>
          <w:highlight w:val="none"/>
        </w:rPr>
      </w:pPr>
      <w:r>
        <w:rPr>
          <w:rFonts w:hint="eastAsia" w:ascii="宋体" w:hAnsi="宋体" w:cs="宋体"/>
          <w:color w:val="auto"/>
          <w:szCs w:val="21"/>
          <w:highlight w:val="none"/>
        </w:rPr>
        <w:t>名 称：广西机电设备招标有限公司</w:t>
      </w:r>
    </w:p>
    <w:p w14:paraId="6E7CBB19">
      <w:pPr>
        <w:spacing w:line="380" w:lineRule="exact"/>
        <w:ind w:firstLine="420"/>
        <w:jc w:val="left"/>
        <w:rPr>
          <w:rFonts w:hint="eastAsia" w:ascii="宋体" w:hAnsi="宋体" w:cs="宋体"/>
          <w:color w:val="auto"/>
          <w:szCs w:val="21"/>
          <w:highlight w:val="none"/>
        </w:rPr>
      </w:pPr>
      <w:r>
        <w:rPr>
          <w:rFonts w:hint="eastAsia" w:ascii="宋体" w:hAnsi="宋体" w:cs="宋体"/>
          <w:color w:val="auto"/>
          <w:szCs w:val="21"/>
          <w:highlight w:val="none"/>
        </w:rPr>
        <w:t>地址：广西南宁市金湖路63号金源CBD现代城7层</w:t>
      </w:r>
    </w:p>
    <w:p w14:paraId="28DBDFD5">
      <w:pPr>
        <w:spacing w:line="380" w:lineRule="exact"/>
        <w:ind w:firstLine="420"/>
        <w:jc w:val="left"/>
        <w:rPr>
          <w:rFonts w:hint="eastAsia" w:ascii="宋体" w:hAnsi="宋体" w:cs="宋体"/>
          <w:color w:val="auto"/>
          <w:szCs w:val="21"/>
          <w:highlight w:val="none"/>
        </w:rPr>
      </w:pPr>
      <w:r>
        <w:rPr>
          <w:rFonts w:hint="eastAsia" w:ascii="宋体" w:hAnsi="宋体" w:cs="宋体"/>
          <w:color w:val="auto"/>
          <w:szCs w:val="21"/>
          <w:highlight w:val="none"/>
        </w:rPr>
        <w:t>联系电话：0771-2808981</w:t>
      </w:r>
    </w:p>
    <w:p w14:paraId="7403C880">
      <w:pPr>
        <w:spacing w:line="380" w:lineRule="exact"/>
        <w:ind w:firstLine="420"/>
        <w:jc w:val="left"/>
        <w:rPr>
          <w:rFonts w:hint="eastAsia" w:ascii="宋体" w:hAnsi="宋体" w:cs="宋体"/>
          <w:color w:val="auto"/>
          <w:szCs w:val="21"/>
          <w:highlight w:val="none"/>
        </w:rPr>
      </w:pPr>
      <w:r>
        <w:rPr>
          <w:rFonts w:hint="eastAsia" w:ascii="宋体" w:hAnsi="宋体" w:cs="宋体"/>
          <w:color w:val="auto"/>
          <w:szCs w:val="21"/>
          <w:highlight w:val="none"/>
        </w:rPr>
        <w:t>3.项目联系方式</w:t>
      </w:r>
    </w:p>
    <w:p w14:paraId="03C3068B">
      <w:pPr>
        <w:spacing w:line="380" w:lineRule="exact"/>
        <w:ind w:firstLine="420"/>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项目联系人：</w:t>
      </w:r>
      <w:r>
        <w:rPr>
          <w:rFonts w:hint="eastAsia" w:ascii="宋体" w:hAnsi="宋体" w:cs="宋体"/>
          <w:color w:val="auto"/>
          <w:szCs w:val="21"/>
          <w:highlight w:val="none"/>
          <w:lang w:val="en-US" w:eastAsia="zh-CN"/>
        </w:rPr>
        <w:t>梁艳冰、</w:t>
      </w:r>
      <w:r>
        <w:rPr>
          <w:rFonts w:hint="eastAsia" w:ascii="宋体" w:hAnsi="宋体" w:cs="宋体"/>
          <w:color w:val="auto"/>
          <w:szCs w:val="21"/>
          <w:highlight w:val="none"/>
        </w:rPr>
        <w:t>梅莹</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陈健达</w:t>
      </w:r>
    </w:p>
    <w:p w14:paraId="40878F50">
      <w:pPr>
        <w:spacing w:line="380" w:lineRule="exact"/>
        <w:ind w:firstLine="420"/>
        <w:jc w:val="left"/>
        <w:rPr>
          <w:rFonts w:hint="eastAsia" w:ascii="宋体" w:hAnsi="宋体" w:cs="宋体"/>
          <w:color w:val="auto"/>
          <w:szCs w:val="21"/>
          <w:highlight w:val="none"/>
        </w:rPr>
      </w:pPr>
      <w:r>
        <w:rPr>
          <w:rFonts w:hint="eastAsia" w:ascii="宋体" w:hAnsi="宋体" w:cs="宋体"/>
          <w:color w:val="auto"/>
          <w:szCs w:val="21"/>
          <w:highlight w:val="none"/>
        </w:rPr>
        <w:t>电话：0771-2808981</w:t>
      </w:r>
    </w:p>
    <w:p w14:paraId="49B05708">
      <w:pPr>
        <w:widowControl/>
        <w:shd w:val="clear" w:color="auto" w:fill="FFFFFF"/>
        <w:spacing w:line="400" w:lineRule="exact"/>
        <w:jc w:val="left"/>
        <w:rPr>
          <w:rFonts w:ascii="宋体" w:hAnsi="宋体" w:cs="宋体"/>
          <w:color w:val="auto"/>
          <w:kern w:val="0"/>
          <w:szCs w:val="21"/>
          <w:highlight w:val="none"/>
        </w:rPr>
      </w:pPr>
    </w:p>
    <w:p w14:paraId="223E1D96">
      <w:pPr>
        <w:pStyle w:val="6"/>
        <w:widowControl/>
        <w:numPr>
          <w:ilvl w:val="0"/>
          <w:numId w:val="0"/>
        </w:numPr>
        <w:tabs>
          <w:tab w:val="left" w:pos="454"/>
          <w:tab w:val="left" w:pos="720"/>
          <w:tab w:val="left" w:pos="840"/>
        </w:tabs>
        <w:spacing w:line="400" w:lineRule="exact"/>
        <w:ind w:firstLine="420" w:firstLineChars="200"/>
        <w:jc w:val="right"/>
        <w:rPr>
          <w:rFonts w:ascii="宋体" w:hAnsi="宋体" w:cs="宋体"/>
          <w:color w:val="auto"/>
          <w:kern w:val="0"/>
          <w:szCs w:val="21"/>
          <w:highlight w:val="none"/>
        </w:rPr>
      </w:pPr>
    </w:p>
    <w:p w14:paraId="686A976A">
      <w:pPr>
        <w:pStyle w:val="6"/>
        <w:widowControl/>
        <w:numPr>
          <w:ilvl w:val="0"/>
          <w:numId w:val="0"/>
        </w:numPr>
        <w:tabs>
          <w:tab w:val="left" w:pos="454"/>
          <w:tab w:val="left" w:pos="720"/>
          <w:tab w:val="left" w:pos="840"/>
        </w:tabs>
        <w:spacing w:line="400" w:lineRule="exact"/>
        <w:ind w:firstLine="420" w:firstLineChars="200"/>
        <w:jc w:val="right"/>
        <w:rPr>
          <w:rFonts w:ascii="宋体" w:hAnsi="宋体" w:cs="宋体"/>
          <w:color w:val="auto"/>
          <w:kern w:val="0"/>
          <w:szCs w:val="21"/>
          <w:highlight w:val="none"/>
        </w:rPr>
      </w:pPr>
      <w:r>
        <w:rPr>
          <w:rFonts w:hint="eastAsia" w:ascii="宋体" w:hAnsi="宋体" w:cs="宋体"/>
          <w:color w:val="auto"/>
          <w:kern w:val="0"/>
          <w:szCs w:val="21"/>
          <w:highlight w:val="none"/>
        </w:rPr>
        <w:t>广西机电设备招标有限公司</w:t>
      </w:r>
    </w:p>
    <w:p w14:paraId="00F970C1">
      <w:pPr>
        <w:spacing w:line="400" w:lineRule="exact"/>
        <w:ind w:firstLine="420" w:firstLineChars="200"/>
        <w:jc w:val="right"/>
        <w:rPr>
          <w:rFonts w:ascii="Arial" w:hAnsi="Arial" w:cs="Arial"/>
          <w:color w:val="auto"/>
          <w:szCs w:val="21"/>
          <w:highlight w:val="none"/>
        </w:rPr>
        <w:sectPr>
          <w:footerReference r:id="rId4" w:type="default"/>
          <w:pgSz w:w="11911" w:h="16838"/>
          <w:pgMar w:top="1417" w:right="1417" w:bottom="1417" w:left="1417" w:header="720" w:footer="720" w:gutter="0"/>
          <w:pgNumType w:start="1"/>
          <w:cols w:space="0" w:num="1"/>
        </w:sectPr>
      </w:pPr>
      <w:r>
        <w:rPr>
          <w:rFonts w:hint="eastAsia" w:ascii="宋体" w:hAnsi="宋体" w:cs="宋体"/>
          <w:color w:val="auto"/>
          <w:szCs w:val="21"/>
          <w:highlight w:val="none"/>
        </w:rPr>
        <w:t>202</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13</w:t>
      </w:r>
      <w:r>
        <w:rPr>
          <w:rFonts w:hint="eastAsia" w:ascii="宋体" w:hAnsi="宋体" w:cs="宋体"/>
          <w:color w:val="auto"/>
          <w:szCs w:val="21"/>
          <w:highlight w:val="none"/>
        </w:rPr>
        <w:t>日</w:t>
      </w:r>
      <w:bookmarkEnd w:id="24"/>
    </w:p>
    <w:p w14:paraId="442442D4">
      <w:pPr>
        <w:pStyle w:val="2"/>
        <w:spacing w:before="120" w:after="120" w:line="500" w:lineRule="exact"/>
        <w:jc w:val="center"/>
        <w:rPr>
          <w:color w:val="auto"/>
          <w:highlight w:val="none"/>
        </w:rPr>
      </w:pPr>
      <w:bookmarkStart w:id="25" w:name="_Toc16006"/>
      <w:r>
        <w:rPr>
          <w:rFonts w:hint="eastAsia"/>
          <w:color w:val="auto"/>
          <w:highlight w:val="none"/>
        </w:rPr>
        <w:t>第二章</w:t>
      </w:r>
      <w:r>
        <w:rPr>
          <w:color w:val="auto"/>
          <w:highlight w:val="none"/>
        </w:rPr>
        <w:t xml:space="preserve"> </w:t>
      </w:r>
      <w:r>
        <w:rPr>
          <w:rFonts w:hint="eastAsia"/>
          <w:color w:val="auto"/>
          <w:highlight w:val="none"/>
        </w:rPr>
        <w:t>采购需求</w:t>
      </w:r>
      <w:bookmarkEnd w:id="25"/>
    </w:p>
    <w:p w14:paraId="38A454BE">
      <w:pPr>
        <w:adjustRightInd w:val="0"/>
        <w:spacing w:line="340" w:lineRule="exact"/>
        <w:rPr>
          <w:rFonts w:hAnsi="宋体"/>
          <w:b/>
          <w:color w:val="auto"/>
          <w:szCs w:val="21"/>
          <w:highlight w:val="none"/>
        </w:rPr>
      </w:pPr>
      <w:bookmarkStart w:id="26" w:name="PO_TDCUS_ITEM_PB_REQ_FILE_1_1"/>
      <w:r>
        <w:rPr>
          <w:rFonts w:hint="eastAsia" w:hAnsi="宋体"/>
          <w:b/>
          <w:color w:val="auto"/>
          <w:szCs w:val="21"/>
          <w:highlight w:val="none"/>
        </w:rPr>
        <w:t>说明：</w:t>
      </w:r>
    </w:p>
    <w:p w14:paraId="470AE692">
      <w:pPr>
        <w:spacing w:line="360" w:lineRule="auto"/>
        <w:ind w:firstLine="420" w:firstLineChars="200"/>
        <w:jc w:val="left"/>
        <w:rPr>
          <w:color w:val="auto"/>
          <w:highlight w:val="none"/>
        </w:rPr>
      </w:pPr>
      <w:r>
        <w:rPr>
          <w:rFonts w:hint="eastAsia"/>
          <w:color w:val="auto"/>
          <w:highlight w:val="none"/>
        </w:rPr>
        <w:t>1. 为落实政府采购政策需满足的要求（根据项目实际情况填写内容）</w:t>
      </w:r>
    </w:p>
    <w:p w14:paraId="14C7EF99">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（1）本采购文件所称中小企业必须符合《政府采购促进中小企业发展管理办法》（财库〔2020〕46号）的规定。</w:t>
      </w:r>
    </w:p>
    <w:p w14:paraId="63701D3F">
      <w:pPr>
        <w:spacing w:line="360" w:lineRule="auto"/>
        <w:ind w:firstLine="424" w:firstLineChars="202"/>
        <w:jc w:val="left"/>
        <w:rPr>
          <w:rFonts w:ascii="宋体" w:hAnsi="宋体" w:cs="宋体"/>
          <w:color w:val="auto"/>
          <w:szCs w:val="21"/>
          <w:highlight w:val="none"/>
        </w:rPr>
      </w:pPr>
      <w:r>
        <w:rPr>
          <w:rFonts w:hint="eastAsia" w:ascii="宋体" w:hAnsi="宋体" w:cs="宋体"/>
          <w:color w:val="auto"/>
          <w:szCs w:val="21"/>
          <w:highlight w:val="none"/>
        </w:rPr>
        <w:t>（2）服务项目中伴随货物的，根据《财政部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详见本章附件1），供应商的竞标货物必须使用政府强制采购的节能产品，供应商必须在响应文件中提供所竞标产品的节能产品认证证书复印件（加盖供应商电子公章），否则响应文件作无效处理。如本项目包含的货物属于品目清单内非标注“★”的产品时，应优先采购，具体详见“第四章 评标方法和评标标准”。</w:t>
      </w:r>
    </w:p>
    <w:p w14:paraId="4988F7EA">
      <w:pPr>
        <w:spacing w:line="360" w:lineRule="auto"/>
        <w:ind w:firstLine="424" w:firstLineChars="202"/>
        <w:jc w:val="left"/>
        <w:rPr>
          <w:rFonts w:ascii="宋体" w:hAnsi="宋体" w:cs="宋体"/>
          <w:b/>
          <w:color w:val="auto"/>
          <w:szCs w:val="21"/>
          <w:highlight w:val="none"/>
        </w:rPr>
      </w:pPr>
      <w:r>
        <w:rPr>
          <w:rFonts w:hint="eastAsia" w:ascii="宋体" w:hAnsi="宋体" w:cs="宋体"/>
          <w:color w:val="auto"/>
          <w:szCs w:val="21"/>
          <w:highlight w:val="none"/>
        </w:rPr>
        <w:t>（3）</w:t>
      </w:r>
      <w:r>
        <w:rPr>
          <w:rFonts w:hint="eastAsia" w:ascii="宋体" w:hAnsi="宋体" w:cs="宋体"/>
          <w:b/>
          <w:color w:val="auto"/>
          <w:szCs w:val="21"/>
          <w:highlight w:val="none"/>
        </w:rPr>
        <w:t>服务项目中伴随的货物包含列入《网络关键设备和网络安全专用产品目录》的网络安全专用产品，应当按照《信息安全技术网络安全专用产品安全技术要求》等相关国家标准的强制性要求，提供具备资格的机构安全认证合格或者安全检测证明材料(加盖投标人公章),否则响应文件作无效处理。</w:t>
      </w:r>
    </w:p>
    <w:p w14:paraId="2E2072BC">
      <w:pPr>
        <w:spacing w:line="360" w:lineRule="auto"/>
        <w:ind w:firstLine="424" w:firstLineChars="202"/>
        <w:jc w:val="left"/>
        <w:rPr>
          <w:rFonts w:ascii="宋体" w:hAnsi="宋体" w:cs="宋体"/>
          <w:color w:val="auto"/>
          <w:szCs w:val="21"/>
          <w:highlight w:val="none"/>
        </w:rPr>
      </w:pPr>
    </w:p>
    <w:p w14:paraId="678B9BAD">
      <w:pPr>
        <w:spacing w:line="360" w:lineRule="auto"/>
        <w:ind w:firstLine="424" w:firstLineChars="202"/>
        <w:jc w:val="left"/>
        <w:rPr>
          <w:rFonts w:ascii="宋体" w:hAnsi="宋体" w:cs="宋体"/>
          <w:color w:val="auto"/>
          <w:szCs w:val="21"/>
          <w:highlight w:val="none"/>
        </w:rPr>
      </w:pPr>
      <w:r>
        <w:rPr>
          <w:rFonts w:hint="eastAsia" w:ascii="宋体" w:hAnsi="宋体" w:cs="宋体"/>
          <w:color w:val="auto"/>
          <w:szCs w:val="21"/>
          <w:highlight w:val="none"/>
        </w:rPr>
        <w:t>2.“实质性要求”是指采购文件中已经指明不满足则响应无效的条款，或者不能负偏离的条款，或者采购需求中带“▲”的条款。</w:t>
      </w:r>
    </w:p>
    <w:p w14:paraId="1E4F1334">
      <w:pPr>
        <w:spacing w:line="360" w:lineRule="auto"/>
        <w:ind w:firstLine="424" w:firstLineChars="202"/>
        <w:jc w:val="left"/>
        <w:rPr>
          <w:rFonts w:hint="eastAsia"/>
          <w:color w:val="auto"/>
          <w:highlight w:val="none"/>
        </w:rPr>
      </w:pPr>
      <w:r>
        <w:rPr>
          <w:rFonts w:hint="eastAsia" w:ascii="宋体" w:hAnsi="宋体" w:cs="宋体"/>
          <w:color w:val="auto"/>
          <w:szCs w:val="21"/>
          <w:highlight w:val="none"/>
        </w:rPr>
        <w:t>3.</w:t>
      </w:r>
      <w:r>
        <w:rPr>
          <w:rFonts w:hint="eastAsia"/>
          <w:color w:val="auto"/>
          <w:highlight w:val="none"/>
        </w:rPr>
        <w:t>如供应商竞标</w:t>
      </w:r>
      <w:r>
        <w:rPr>
          <w:color w:val="auto"/>
          <w:highlight w:val="none"/>
        </w:rPr>
        <w:t>产品</w:t>
      </w:r>
      <w:r>
        <w:rPr>
          <w:rFonts w:hint="eastAsia"/>
          <w:color w:val="auto"/>
          <w:highlight w:val="none"/>
        </w:rPr>
        <w:t>存在</w:t>
      </w:r>
      <w:r>
        <w:rPr>
          <w:color w:val="auto"/>
          <w:highlight w:val="none"/>
        </w:rPr>
        <w:t>侵犯</w:t>
      </w:r>
      <w:r>
        <w:rPr>
          <w:rFonts w:hint="eastAsia"/>
          <w:color w:val="auto"/>
          <w:highlight w:val="none"/>
        </w:rPr>
        <w:t>他人的知识产权或者专利成果行为的，应</w:t>
      </w:r>
      <w:r>
        <w:rPr>
          <w:color w:val="auto"/>
          <w:highlight w:val="none"/>
        </w:rPr>
        <w:t>承担相应法律责任</w:t>
      </w:r>
      <w:r>
        <w:rPr>
          <w:rFonts w:hint="eastAsia"/>
          <w:color w:val="auto"/>
          <w:highlight w:val="none"/>
        </w:rPr>
        <w:t>。</w:t>
      </w:r>
    </w:p>
    <w:p w14:paraId="160B19E4">
      <w:pPr>
        <w:tabs>
          <w:tab w:val="left" w:pos="2155"/>
        </w:tabs>
        <w:ind w:left="0" w:leftChars="0" w:firstLine="420" w:firstLineChars="200"/>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4.本项目中小企业划分标准所属行业名称（行业名称及划分见本章其他附件2）：</w:t>
      </w:r>
      <w:r>
        <w:rPr>
          <w:rFonts w:hint="eastAsia" w:ascii="Times New Roman" w:hAnsi="Times New Roman" w:eastAsia="宋体" w:cs="Times New Roman"/>
          <w:color w:val="auto"/>
          <w:kern w:val="2"/>
          <w:sz w:val="21"/>
          <w:szCs w:val="24"/>
          <w:highlight w:val="none"/>
          <w:u w:val="single"/>
          <w:lang w:val="en-US" w:eastAsia="zh-CN" w:bidi="ar-SA"/>
        </w:rPr>
        <w:t>其他未列明行业</w:t>
      </w:r>
      <w:r>
        <w:rPr>
          <w:rFonts w:hint="eastAsia" w:ascii="Times New Roman" w:hAnsi="Times New Roman" w:eastAsia="宋体" w:cs="Times New Roman"/>
          <w:color w:val="auto"/>
          <w:kern w:val="2"/>
          <w:sz w:val="21"/>
          <w:szCs w:val="24"/>
          <w:highlight w:val="none"/>
          <w:lang w:val="en-US" w:eastAsia="zh-CN" w:bidi="ar-SA"/>
        </w:rPr>
        <w:t>。</w:t>
      </w:r>
    </w:p>
    <w:p w14:paraId="09159712">
      <w:pP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br w:type="page"/>
      </w:r>
    </w:p>
    <w:p w14:paraId="34D487E1"/>
    <w:tbl>
      <w:tblPr>
        <w:tblStyle w:val="23"/>
        <w:tblW w:w="5000" w:type="pct"/>
        <w:tblInd w:w="0" w:type="dxa"/>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
      <w:tblGrid>
        <w:gridCol w:w="367"/>
        <w:gridCol w:w="1035"/>
        <w:gridCol w:w="171"/>
        <w:gridCol w:w="667"/>
        <w:gridCol w:w="6014"/>
        <w:gridCol w:w="1039"/>
      </w:tblGrid>
      <w:tr w14:paraId="37BD35E9">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5000" w:type="pct"/>
            <w:gridSpan w:val="6"/>
            <w:tcBorders>
              <w:top w:val="single" w:color="000000" w:sz="8" w:space="0"/>
              <w:left w:val="single" w:color="000000" w:sz="8" w:space="0"/>
              <w:bottom w:val="single" w:color="000000" w:sz="6" w:space="0"/>
              <w:right w:val="single" w:color="000000" w:sz="8" w:space="0"/>
            </w:tcBorders>
            <w:noWrap w:val="0"/>
            <w:vAlign w:val="top"/>
          </w:tcPr>
          <w:p w14:paraId="2863E7EE">
            <w:pPr>
              <w:jc w:val="center"/>
              <w:rPr>
                <w:rFonts w:ascii="宋体"/>
                <w:b/>
                <w:color w:val="auto"/>
                <w:sz w:val="28"/>
                <w:szCs w:val="28"/>
                <w:highlight w:val="none"/>
              </w:rPr>
            </w:pPr>
            <w:bookmarkStart w:id="27" w:name="OLE_LINK1"/>
            <w:r>
              <w:rPr>
                <w:rFonts w:hint="eastAsia"/>
                <w:b/>
                <w:color w:val="auto"/>
                <w:sz w:val="28"/>
                <w:szCs w:val="28"/>
                <w:highlight w:val="none"/>
              </w:rPr>
              <w:t>服务需求一览表</w:t>
            </w:r>
          </w:p>
        </w:tc>
      </w:tr>
      <w:tr w14:paraId="02C525F8">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846" w:type="pct"/>
            <w:gridSpan w:val="3"/>
            <w:tcBorders>
              <w:top w:val="single" w:color="000000" w:sz="8" w:space="0"/>
              <w:left w:val="single" w:color="000000" w:sz="8" w:space="0"/>
              <w:bottom w:val="single" w:color="000000" w:sz="6" w:space="0"/>
              <w:right w:val="single" w:color="000000" w:sz="6" w:space="0"/>
            </w:tcBorders>
            <w:noWrap w:val="0"/>
            <w:tcMar>
              <w:top w:w="0" w:type="dxa"/>
              <w:left w:w="0" w:type="dxa"/>
              <w:bottom w:w="0" w:type="dxa"/>
              <w:right w:w="0" w:type="dxa"/>
            </w:tcMar>
            <w:vAlign w:val="center"/>
          </w:tcPr>
          <w:p w14:paraId="1AB4C105">
            <w:pPr>
              <w:rPr>
                <w:color w:val="auto"/>
                <w:highlight w:val="none"/>
              </w:rPr>
            </w:pPr>
            <w:r>
              <w:rPr>
                <w:rFonts w:hint="eastAsia"/>
                <w:color w:val="auto"/>
                <w:highlight w:val="none"/>
              </w:rPr>
              <w:t>标段</w:t>
            </w:r>
          </w:p>
        </w:tc>
        <w:tc>
          <w:tcPr>
            <w:tcW w:w="4153" w:type="pct"/>
            <w:gridSpan w:val="3"/>
            <w:tcBorders>
              <w:top w:val="single" w:color="000000" w:sz="8" w:space="0"/>
              <w:left w:val="single" w:color="000000" w:sz="6" w:space="0"/>
              <w:bottom w:val="single" w:color="000000" w:sz="6" w:space="0"/>
              <w:right w:val="single" w:color="000000" w:sz="8" w:space="0"/>
            </w:tcBorders>
            <w:noWrap w:val="0"/>
            <w:vAlign w:val="top"/>
          </w:tcPr>
          <w:p w14:paraId="48C177EA">
            <w:pPr>
              <w:rPr>
                <w:color w:val="auto"/>
                <w:highlight w:val="none"/>
              </w:rPr>
            </w:pPr>
            <w:r>
              <w:rPr>
                <w:rFonts w:hint="eastAsia" w:ascii="仿宋_GB2312" w:eastAsia="仿宋_GB2312" w:cs="Arial"/>
                <w:color w:val="auto"/>
                <w:sz w:val="32"/>
                <w:szCs w:val="32"/>
                <w:highlight w:val="none"/>
              </w:rPr>
              <w:t>/</w:t>
            </w:r>
          </w:p>
        </w:tc>
      </w:tr>
      <w:tr w14:paraId="197C8B07">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197" w:type="pct"/>
            <w:tcBorders>
              <w:top w:val="single" w:color="000000" w:sz="8" w:space="0"/>
              <w:left w:val="single" w:color="000000" w:sz="8" w:space="0"/>
              <w:bottom w:val="single" w:color="000000" w:sz="6" w:space="0"/>
              <w:right w:val="single" w:color="000000" w:sz="6" w:space="0"/>
            </w:tcBorders>
            <w:noWrap w:val="0"/>
            <w:tcMar>
              <w:top w:w="0" w:type="dxa"/>
              <w:left w:w="0" w:type="dxa"/>
              <w:bottom w:w="0" w:type="dxa"/>
              <w:right w:w="0" w:type="dxa"/>
            </w:tcMar>
            <w:vAlign w:val="center"/>
          </w:tcPr>
          <w:p w14:paraId="3AB404D2">
            <w:pPr>
              <w:jc w:val="center"/>
              <w:rPr>
                <w:color w:val="auto"/>
                <w:highlight w:val="none"/>
              </w:rPr>
            </w:pPr>
            <w:r>
              <w:rPr>
                <w:rFonts w:hint="eastAsia"/>
                <w:color w:val="auto"/>
                <w:highlight w:val="none"/>
              </w:rPr>
              <w:t>项号</w:t>
            </w:r>
          </w:p>
        </w:tc>
        <w:tc>
          <w:tcPr>
            <w:tcW w:w="648" w:type="pct"/>
            <w:gridSpan w:val="2"/>
            <w:tcBorders>
              <w:top w:val="single" w:color="000000" w:sz="8" w:space="0"/>
              <w:left w:val="single" w:color="000000" w:sz="6" w:space="0"/>
              <w:bottom w:val="single" w:color="000000" w:sz="6" w:space="0"/>
              <w:right w:val="single" w:color="000000" w:sz="6" w:space="0"/>
            </w:tcBorders>
            <w:noWrap w:val="0"/>
            <w:vAlign w:val="center"/>
          </w:tcPr>
          <w:p w14:paraId="5D18F16B">
            <w:pPr>
              <w:jc w:val="center"/>
              <w:rPr>
                <w:color w:val="auto"/>
                <w:highlight w:val="none"/>
              </w:rPr>
            </w:pPr>
            <w:r>
              <w:rPr>
                <w:rFonts w:hint="eastAsia"/>
                <w:color w:val="auto"/>
                <w:highlight w:val="none"/>
              </w:rPr>
              <w:t>采购标的</w:t>
            </w:r>
          </w:p>
          <w:p w14:paraId="3254E87F">
            <w:pPr>
              <w:jc w:val="center"/>
              <w:rPr>
                <w:color w:val="auto"/>
                <w:highlight w:val="none"/>
              </w:rPr>
            </w:pPr>
            <w:r>
              <w:rPr>
                <w:rFonts w:hint="eastAsia"/>
                <w:color w:val="auto"/>
                <w:highlight w:val="none"/>
              </w:rPr>
              <w:t>（服务名称）</w:t>
            </w:r>
          </w:p>
        </w:tc>
        <w:tc>
          <w:tcPr>
            <w:tcW w:w="358" w:type="pct"/>
            <w:tcBorders>
              <w:top w:val="single" w:color="000000" w:sz="8" w:space="0"/>
              <w:left w:val="single" w:color="000000" w:sz="6" w:space="0"/>
              <w:bottom w:val="single" w:color="000000" w:sz="6" w:space="0"/>
              <w:right w:val="single" w:color="000000" w:sz="6" w:space="0"/>
            </w:tcBorders>
            <w:noWrap w:val="0"/>
            <w:vAlign w:val="center"/>
          </w:tcPr>
          <w:p w14:paraId="0F95CCF3">
            <w:pPr>
              <w:jc w:val="center"/>
              <w:rPr>
                <w:color w:val="auto"/>
                <w:highlight w:val="none"/>
              </w:rPr>
            </w:pPr>
            <w:r>
              <w:rPr>
                <w:rFonts w:hint="eastAsia"/>
                <w:color w:val="auto"/>
                <w:highlight w:val="none"/>
              </w:rPr>
              <w:t>数量单位</w:t>
            </w:r>
          </w:p>
        </w:tc>
        <w:tc>
          <w:tcPr>
            <w:tcW w:w="3235" w:type="pct"/>
            <w:tcBorders>
              <w:top w:val="single" w:color="000000" w:sz="8" w:space="0"/>
              <w:left w:val="single" w:color="000000" w:sz="6" w:space="0"/>
              <w:bottom w:val="single" w:color="000000" w:sz="6" w:space="0"/>
              <w:right w:val="single" w:color="000000" w:sz="6" w:space="0"/>
            </w:tcBorders>
            <w:noWrap w:val="0"/>
            <w:vAlign w:val="center"/>
          </w:tcPr>
          <w:p w14:paraId="5A876353">
            <w:pPr>
              <w:jc w:val="center"/>
              <w:rPr>
                <w:color w:val="auto"/>
                <w:highlight w:val="none"/>
              </w:rPr>
            </w:pPr>
            <w:r>
              <w:rPr>
                <w:rFonts w:hint="eastAsia" w:ascii="宋体" w:hAnsi="宋体" w:eastAsia="宋体"/>
                <w:color w:val="auto"/>
                <w:szCs w:val="21"/>
                <w:highlight w:val="none"/>
              </w:rPr>
              <w:t>▲</w:t>
            </w:r>
            <w:r>
              <w:rPr>
                <w:rFonts w:hint="eastAsia"/>
                <w:color w:val="auto"/>
                <w:highlight w:val="none"/>
              </w:rPr>
              <w:t>服务参数</w:t>
            </w:r>
          </w:p>
        </w:tc>
        <w:tc>
          <w:tcPr>
            <w:tcW w:w="559" w:type="pct"/>
            <w:tcBorders>
              <w:top w:val="single" w:color="000000" w:sz="8" w:space="0"/>
              <w:left w:val="single" w:color="000000" w:sz="6" w:space="0"/>
              <w:bottom w:val="single" w:color="000000" w:sz="6" w:space="0"/>
              <w:right w:val="single" w:color="000000" w:sz="8" w:space="0"/>
            </w:tcBorders>
            <w:noWrap w:val="0"/>
            <w:vAlign w:val="center"/>
          </w:tcPr>
          <w:p w14:paraId="48EF5FA7">
            <w:pPr>
              <w:jc w:val="center"/>
              <w:rPr>
                <w:color w:val="auto"/>
                <w:highlight w:val="none"/>
              </w:rPr>
            </w:pPr>
            <w:r>
              <w:rPr>
                <w:rFonts w:hint="eastAsia"/>
                <w:color w:val="auto"/>
                <w:highlight w:val="none"/>
              </w:rPr>
              <w:t>预算金额（万元）</w:t>
            </w:r>
          </w:p>
        </w:tc>
      </w:tr>
      <w:tr w14:paraId="18A121BE">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197" w:type="pct"/>
            <w:tcBorders>
              <w:top w:val="single" w:color="000000" w:sz="8" w:space="0"/>
              <w:left w:val="single" w:color="000000" w:sz="8" w:space="0"/>
              <w:bottom w:val="single" w:color="000000" w:sz="6" w:space="0"/>
              <w:right w:val="single" w:color="000000" w:sz="6" w:space="0"/>
            </w:tcBorders>
            <w:noWrap w:val="0"/>
            <w:tcMar>
              <w:top w:w="0" w:type="dxa"/>
              <w:left w:w="0" w:type="dxa"/>
              <w:bottom w:w="0" w:type="dxa"/>
              <w:right w:w="0" w:type="dxa"/>
            </w:tcMar>
            <w:vAlign w:val="center"/>
          </w:tcPr>
          <w:p w14:paraId="34065446">
            <w:pPr>
              <w:ind w:firstLine="210" w:firstLineChars="100"/>
              <w:rPr>
                <w:color w:val="auto"/>
                <w:highlight w:val="none"/>
              </w:rPr>
            </w:pPr>
            <w:r>
              <w:rPr>
                <w:color w:val="auto"/>
                <w:highlight w:val="none"/>
              </w:rPr>
              <w:t>1</w:t>
            </w:r>
          </w:p>
        </w:tc>
        <w:tc>
          <w:tcPr>
            <w:tcW w:w="648" w:type="pct"/>
            <w:gridSpan w:val="2"/>
            <w:tcBorders>
              <w:top w:val="single" w:color="000000" w:sz="8" w:space="0"/>
              <w:left w:val="single" w:color="000000" w:sz="6" w:space="0"/>
              <w:bottom w:val="single" w:color="000000" w:sz="6" w:space="0"/>
              <w:right w:val="single" w:color="000000" w:sz="6" w:space="0"/>
            </w:tcBorders>
            <w:noWrap w:val="0"/>
            <w:vAlign w:val="center"/>
          </w:tcPr>
          <w:p w14:paraId="564319DD">
            <w:pPr>
              <w:jc w:val="center"/>
              <w:rPr>
                <w:color w:val="auto"/>
                <w:highlight w:val="none"/>
              </w:rPr>
            </w:pPr>
            <w:r>
              <w:rPr>
                <w:rFonts w:hint="eastAsia"/>
                <w:color w:val="auto"/>
                <w:highlight w:val="none"/>
              </w:rPr>
              <w:t>南宁市青年人才驿站</w:t>
            </w:r>
          </w:p>
        </w:tc>
        <w:tc>
          <w:tcPr>
            <w:tcW w:w="358" w:type="pct"/>
            <w:tcBorders>
              <w:top w:val="single" w:color="000000" w:sz="8" w:space="0"/>
              <w:left w:val="single" w:color="000000" w:sz="6" w:space="0"/>
              <w:bottom w:val="single" w:color="000000" w:sz="6" w:space="0"/>
              <w:right w:val="single" w:color="000000" w:sz="6" w:space="0"/>
            </w:tcBorders>
            <w:noWrap w:val="0"/>
            <w:vAlign w:val="center"/>
          </w:tcPr>
          <w:p w14:paraId="19DE7588">
            <w:pPr>
              <w:jc w:val="center"/>
              <w:rPr>
                <w:color w:val="auto"/>
                <w:highlight w:val="none"/>
              </w:rPr>
            </w:pPr>
            <w:r>
              <w:rPr>
                <w:rFonts w:hint="eastAsia"/>
                <w:color w:val="auto"/>
                <w:highlight w:val="none"/>
              </w:rPr>
              <w:t>1项</w:t>
            </w:r>
          </w:p>
        </w:tc>
        <w:tc>
          <w:tcPr>
            <w:tcW w:w="3235" w:type="pct"/>
            <w:tcBorders>
              <w:top w:val="single" w:color="000000" w:sz="8" w:space="0"/>
              <w:left w:val="single" w:color="000000" w:sz="6" w:space="0"/>
              <w:bottom w:val="single" w:color="000000" w:sz="6" w:space="0"/>
              <w:right w:val="single" w:color="000000" w:sz="6" w:space="0"/>
            </w:tcBorders>
            <w:noWrap w:val="0"/>
            <w:vAlign w:val="top"/>
          </w:tcPr>
          <w:p w14:paraId="5C15CC04">
            <w:pPr>
              <w:spacing w:line="360" w:lineRule="exact"/>
              <w:rPr>
                <w:rFonts w:hint="eastAsia" w:ascii="宋体" w:hAnsi="宋体"/>
                <w:b/>
                <w:bCs/>
                <w:color w:val="auto"/>
                <w:szCs w:val="21"/>
                <w:highlight w:val="none"/>
              </w:rPr>
            </w:pPr>
            <w:r>
              <w:rPr>
                <w:rFonts w:hint="eastAsia" w:ascii="宋体" w:hAnsi="宋体"/>
                <w:b/>
                <w:bCs/>
                <w:color w:val="auto"/>
                <w:szCs w:val="21"/>
                <w:highlight w:val="none"/>
              </w:rPr>
              <w:t>1、项目名称：</w:t>
            </w:r>
          </w:p>
          <w:p w14:paraId="59065E7C">
            <w:pPr>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南宁市青年人才驿站项目</w:t>
            </w:r>
          </w:p>
          <w:p w14:paraId="5C769E94">
            <w:pPr>
              <w:spacing w:line="360" w:lineRule="exact"/>
              <w:jc w:val="left"/>
              <w:rPr>
                <w:rFonts w:hint="eastAsia" w:ascii="宋体" w:hAnsi="宋体"/>
                <w:b/>
                <w:bCs/>
                <w:color w:val="auto"/>
                <w:szCs w:val="21"/>
                <w:highlight w:val="none"/>
              </w:rPr>
            </w:pPr>
            <w:r>
              <w:rPr>
                <w:rFonts w:hint="eastAsia" w:ascii="宋体" w:hAnsi="宋体"/>
                <w:b/>
                <w:bCs/>
                <w:color w:val="auto"/>
                <w:szCs w:val="21"/>
                <w:highlight w:val="none"/>
              </w:rPr>
              <w:t>2、项目目标：</w:t>
            </w:r>
          </w:p>
          <w:p w14:paraId="5D849D36">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eastAsia="宋体"/>
                <w:color w:val="auto"/>
                <w:highlight w:val="none"/>
              </w:rPr>
            </w:pPr>
            <w:r>
              <w:rPr>
                <w:rFonts w:hint="eastAsia" w:eastAsia="宋体"/>
                <w:color w:val="auto"/>
                <w:highlight w:val="none"/>
              </w:rPr>
              <w:t>坚持以习近平新时代中国特色社会主义思想为指导，深入贯彻习近平总书记关于青年工作的重要思想和关于全面深化改革的重要论述以及关于广西工作论述的重要要求，全面贯彻落实团中央等部门联合印发的《关于充分发挥“青年驿站”作用 助力青年求职就业的指导意见》及2026年教育部等四部门《关于开展高校毕业生异地求职“双惠”行动的通知》精神，认真落实市委、市政府关于建设青年发展友好型城市和对标沿海发达地区学经验找差距的部署要求以及《中共南宁市委员会关于贯彻落实党的二十届三中全会精神进一步全面深化改革奋力谱写中国式现代化南宁篇章的实施意见》精神。立足2026届高校毕业生就业关键期及“十五五”规划前瞻布局，学习借鉴国内先进地区经验，加快推动南宁市青年人才驿站改革提升。进一步构建部门协同指导、社会共同参与、资源充分整合的格局，形成多主体供应、多要素聚集、多功能实现的青年人才综合服务平台</w:t>
            </w:r>
            <w:r>
              <w:rPr>
                <w:rFonts w:hint="eastAsia" w:eastAsia="宋体"/>
                <w:color w:val="auto"/>
                <w:highlight w:val="none"/>
                <w:lang w:eastAsia="zh-CN"/>
              </w:rPr>
              <w:t>，</w:t>
            </w:r>
            <w:r>
              <w:rPr>
                <w:rFonts w:hint="eastAsia" w:eastAsia="宋体"/>
                <w:color w:val="auto"/>
                <w:highlight w:val="none"/>
              </w:rPr>
              <w:t>让青年在首府进得来、留得下、住得安、能成业，真正将南宁打造成为青年心生向往、人生出彩的青年发展友好型城市，为首府加快建设</w:t>
            </w:r>
            <w:r>
              <w:rPr>
                <w:rFonts w:hint="eastAsia" w:eastAsia="宋体"/>
                <w:color w:val="auto"/>
                <w:highlight w:val="none"/>
                <w:lang w:eastAsia="zh-CN"/>
              </w:rPr>
              <w:t>现代化人民城市，</w:t>
            </w:r>
            <w:r>
              <w:rPr>
                <w:rFonts w:hint="eastAsia" w:eastAsia="宋体"/>
                <w:color w:val="auto"/>
                <w:highlight w:val="none"/>
              </w:rPr>
              <w:t>奋力谱写中国式现代化南宁篇章贡献青春力量。</w:t>
            </w:r>
          </w:p>
          <w:p w14:paraId="733A9DF6">
            <w:pPr>
              <w:pStyle w:val="41"/>
              <w:keepNext w:val="0"/>
              <w:keepLines w:val="0"/>
              <w:pageBreakBefore w:val="0"/>
              <w:widowControl w:val="0"/>
              <w:kinsoku/>
              <w:wordWrap/>
              <w:overflowPunct/>
              <w:topLinePunct w:val="0"/>
              <w:bidi w:val="0"/>
              <w:snapToGrid/>
              <w:spacing w:line="240" w:lineRule="auto"/>
              <w:jc w:val="both"/>
              <w:textAlignment w:val="auto"/>
              <w:rPr>
                <w:rFonts w:hint="eastAsia" w:hAnsi="宋体"/>
                <w:b/>
                <w:bCs/>
                <w:color w:val="auto"/>
                <w:sz w:val="21"/>
                <w:szCs w:val="21"/>
                <w:highlight w:val="none"/>
              </w:rPr>
            </w:pPr>
            <w:r>
              <w:rPr>
                <w:rFonts w:hint="eastAsia" w:hAnsi="宋体"/>
                <w:b/>
                <w:bCs/>
                <w:color w:val="auto"/>
                <w:sz w:val="21"/>
                <w:szCs w:val="21"/>
                <w:highlight w:val="none"/>
              </w:rPr>
              <w:t>3、项目内容：</w:t>
            </w:r>
          </w:p>
          <w:p w14:paraId="15E6C995">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color w:val="auto"/>
                <w:highlight w:val="none"/>
              </w:rPr>
            </w:pPr>
            <w:r>
              <w:rPr>
                <w:rFonts w:hint="eastAsia" w:ascii="宋体" w:hAnsi="宋体"/>
                <w:color w:val="auto"/>
                <w:highlight w:val="none"/>
              </w:rPr>
              <w:t>（1）根据202</w:t>
            </w:r>
            <w:r>
              <w:rPr>
                <w:rFonts w:hint="eastAsia" w:ascii="宋体" w:hAnsi="宋体"/>
                <w:color w:val="auto"/>
                <w:highlight w:val="none"/>
                <w:lang w:val="en-US" w:eastAsia="zh-CN"/>
              </w:rPr>
              <w:t>6</w:t>
            </w:r>
            <w:r>
              <w:rPr>
                <w:rFonts w:hint="eastAsia" w:ascii="宋体" w:hAnsi="宋体"/>
                <w:color w:val="auto"/>
                <w:highlight w:val="none"/>
              </w:rPr>
              <w:t>年高校毕业生进行基础信息和变化情况摸底，摸底调查的内容包括但不限于驻邕高校毕业生人数、非南宁籍生源人数、专业分布、就业意向、就业情况</w:t>
            </w:r>
            <w:r>
              <w:rPr>
                <w:rFonts w:hint="eastAsia" w:ascii="宋体" w:hAnsi="宋体"/>
                <w:color w:val="auto"/>
                <w:highlight w:val="none"/>
                <w:lang w:eastAsia="zh-CN"/>
              </w:rPr>
              <w:t>、</w:t>
            </w:r>
            <w:r>
              <w:rPr>
                <w:rFonts w:hint="eastAsia" w:ascii="宋体" w:hAnsi="宋体" w:eastAsia="宋体" w:cs="Times New Roman"/>
                <w:b w:val="0"/>
                <w:bCs w:val="0"/>
                <w:color w:val="auto"/>
                <w:sz w:val="21"/>
                <w:szCs w:val="24"/>
                <w:highlight w:val="none"/>
                <w:lang w:val="en-US" w:eastAsia="zh-CN"/>
              </w:rPr>
              <w:t>用人单位用人需求趋势信息以及高校就业指导服务情况</w:t>
            </w:r>
            <w:r>
              <w:rPr>
                <w:rFonts w:hint="eastAsia" w:ascii="宋体" w:hAnsi="宋体"/>
                <w:color w:val="auto"/>
                <w:highlight w:val="none"/>
              </w:rPr>
              <w:t>等毕业生基础、就业信息等信息。编写《高校毕业生调查报告》1篇。</w:t>
            </w:r>
          </w:p>
          <w:p w14:paraId="2F4260D9">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宋体" w:hAnsi="宋体"/>
                <w:color w:val="auto"/>
                <w:highlight w:val="none"/>
              </w:rPr>
            </w:pPr>
            <w:r>
              <w:rPr>
                <w:rFonts w:hint="eastAsia" w:ascii="宋体" w:hAnsi="宋体"/>
                <w:color w:val="auto"/>
                <w:highlight w:val="none"/>
              </w:rPr>
              <w:t>（2）构建酒店式站点短期动态房源和长期固定房源相结合的房源配置模式，其中打造长期固定房源不低于</w:t>
            </w:r>
            <w:r>
              <w:rPr>
                <w:rFonts w:hint="eastAsia" w:ascii="宋体" w:hAnsi="宋体"/>
                <w:color w:val="auto"/>
                <w:highlight w:val="none"/>
                <w:lang w:val="en-US" w:eastAsia="zh-CN"/>
              </w:rPr>
              <w:t>18</w:t>
            </w:r>
            <w:r>
              <w:rPr>
                <w:rFonts w:hint="eastAsia" w:ascii="宋体" w:hAnsi="宋体"/>
                <w:color w:val="auto"/>
                <w:highlight w:val="none"/>
              </w:rPr>
              <w:t>间。</w:t>
            </w:r>
            <w:r>
              <w:rPr>
                <w:rFonts w:hint="eastAsia" w:ascii="宋体" w:hAnsi="宋体" w:eastAsia="宋体" w:cs="Times New Roman"/>
                <w:b w:val="0"/>
                <w:bCs w:val="0"/>
                <w:color w:val="auto"/>
                <w:sz w:val="21"/>
                <w:szCs w:val="24"/>
                <w:highlight w:val="none"/>
                <w:lang w:val="en-US" w:eastAsia="zh-CN"/>
              </w:rPr>
              <w:t>在驿站的选址上，除考虑交通和生活便利、医疗配套齐全外，重点选择南宁市重点商圈、高校集聚区、产业园区等区域</w:t>
            </w:r>
            <w:r>
              <w:rPr>
                <w:rFonts w:hint="eastAsia" w:ascii="宋体" w:hAnsi="宋体"/>
                <w:color w:val="auto"/>
                <w:highlight w:val="none"/>
              </w:rPr>
              <w:t>，为青年配齐餐饮、健身、社交、影视文化、户外休闲等供给，并具备卫浴设备。对房源合作方经营资质与背景进行严格审核，优先选择与驿站定位相符，社会形象良好的企业及社会组织合作，确保驿站运营规范和安全。对每个驿站至少提供4个房间，每个房间至少配备1个床位设施、网络等服务。合同签订后中标人在7日内将房源信息报采购人审核，采购人考察后再确定房源地址，如有房源配置不符合采购人要求的，中标人须在3日内另行提供符合要求的房源供采购人审核。</w:t>
            </w:r>
          </w:p>
          <w:p w14:paraId="005C2982">
            <w:pPr>
              <w:spacing w:line="360" w:lineRule="exact"/>
              <w:rPr>
                <w:rFonts w:hint="eastAsia"/>
                <w:color w:val="auto"/>
                <w:highlight w:val="none"/>
              </w:rPr>
            </w:pPr>
            <w:r>
              <w:rPr>
                <w:rFonts w:hint="eastAsia" w:ascii="宋体" w:hAnsi="宋体"/>
                <w:color w:val="auto"/>
                <w:highlight w:val="none"/>
              </w:rPr>
              <w:t>（3）入住条件</w:t>
            </w:r>
            <w:r>
              <w:rPr>
                <w:rFonts w:hint="eastAsia" w:ascii="宋体" w:hAnsi="宋体"/>
                <w:color w:val="auto"/>
                <w:highlight w:val="none"/>
                <w:lang w:val="en-US" w:eastAsia="zh-CN"/>
              </w:rPr>
              <w:t>及入住天数。</w:t>
            </w:r>
            <w:r>
              <w:rPr>
                <w:rFonts w:hint="eastAsia"/>
                <w:color w:val="auto"/>
                <w:highlight w:val="none"/>
              </w:rPr>
              <w:t>主要面向来邕求职创业的非南宁籍青年，具体包括：高校应届毕业生（本科及以上，毕业学年或毕业两年内，横州市</w:t>
            </w:r>
            <w:r>
              <w:rPr>
                <w:rFonts w:hint="eastAsia"/>
                <w:color w:val="auto"/>
                <w:highlight w:val="none"/>
                <w:lang w:eastAsia="zh-CN"/>
              </w:rPr>
              <w:t>、</w:t>
            </w:r>
            <w:r>
              <w:rPr>
                <w:rFonts w:hint="eastAsia"/>
                <w:color w:val="auto"/>
                <w:highlight w:val="none"/>
                <w:lang w:val="en-US" w:eastAsia="zh-CN"/>
              </w:rPr>
              <w:t>宾阳县、上林县、马山县及隆安县</w:t>
            </w:r>
            <w:r>
              <w:rPr>
                <w:rFonts w:hint="eastAsia"/>
                <w:color w:val="auto"/>
                <w:highlight w:val="none"/>
              </w:rPr>
              <w:t>等五县</w:t>
            </w:r>
            <w:r>
              <w:rPr>
                <w:rFonts w:hint="eastAsia"/>
                <w:color w:val="auto"/>
                <w:highlight w:val="none"/>
                <w:lang w:eastAsia="zh-CN"/>
              </w:rPr>
              <w:t>（</w:t>
            </w:r>
            <w:r>
              <w:rPr>
                <w:rFonts w:hint="eastAsia"/>
                <w:color w:val="auto"/>
                <w:highlight w:val="none"/>
              </w:rPr>
              <w:t>市</w:t>
            </w:r>
            <w:r>
              <w:rPr>
                <w:rFonts w:hint="eastAsia"/>
                <w:color w:val="auto"/>
                <w:highlight w:val="none"/>
                <w:lang w:eastAsia="zh-CN"/>
              </w:rPr>
              <w:t>）</w:t>
            </w:r>
            <w:r>
              <w:rPr>
                <w:rFonts w:hint="eastAsia"/>
                <w:color w:val="auto"/>
                <w:highlight w:val="none"/>
              </w:rPr>
              <w:t>可放宽至大专）、35岁以下参加市级以上创新创业赛事的青年创业者、市委市政府邀请的考察人才、驻邕重点企业拟录用的应届大专及以上毕业生，以及到中国—东盟人工智能创新合作中心求职的相关专业毕业生。</w:t>
            </w:r>
            <w:r>
              <w:rPr>
                <w:rFonts w:hint="eastAsia" w:ascii="Times New Roman" w:hAnsi="Times New Roman" w:eastAsia="宋体" w:cs="Times New Roman"/>
                <w:b w:val="0"/>
                <w:bCs w:val="0"/>
                <w:color w:val="auto"/>
                <w:kern w:val="2"/>
                <w:sz w:val="21"/>
                <w:szCs w:val="24"/>
                <w:highlight w:val="none"/>
                <w:lang w:val="en-US" w:eastAsia="zh-CN" w:bidi="ar-SA"/>
              </w:rPr>
              <w:t>适度放宽服务对象范围，对毕业3—5年内非南宁籍青年、来邕实习见习大学生等拓展青年人群，提供酒店式站点短期动态房源的市场价折扣入住优惠</w:t>
            </w:r>
            <w:r>
              <w:rPr>
                <w:rFonts w:hint="eastAsia" w:cs="Times New Roman"/>
                <w:b w:val="0"/>
                <w:bCs w:val="0"/>
                <w:color w:val="auto"/>
                <w:kern w:val="2"/>
                <w:sz w:val="21"/>
                <w:szCs w:val="24"/>
                <w:highlight w:val="none"/>
                <w:lang w:val="en-US" w:eastAsia="zh-CN" w:bidi="ar-SA"/>
              </w:rPr>
              <w:t>。</w:t>
            </w:r>
            <w:r>
              <w:rPr>
                <w:rFonts w:hint="eastAsia"/>
                <w:color w:val="auto"/>
                <w:highlight w:val="none"/>
                <w:lang w:val="en-US" w:eastAsia="zh-CN"/>
              </w:rPr>
              <w:t>具体入住条件以采购人在实施阶段前公示的内容为准</w:t>
            </w:r>
            <w:r>
              <w:rPr>
                <w:rFonts w:hint="eastAsia" w:ascii="宋体" w:hAnsi="宋体"/>
                <w:color w:val="auto"/>
                <w:highlight w:val="none"/>
              </w:rPr>
              <w:t>。</w:t>
            </w:r>
          </w:p>
          <w:p w14:paraId="46550C39">
            <w:pPr>
              <w:pStyle w:val="7"/>
              <w:ind w:firstLine="0"/>
              <w:rPr>
                <w:rFonts w:hint="eastAsia" w:ascii="宋体" w:hAnsi="宋体"/>
                <w:color w:val="auto"/>
                <w:highlight w:val="none"/>
              </w:rPr>
            </w:pPr>
            <w:r>
              <w:rPr>
                <w:rFonts w:hint="eastAsia" w:ascii="宋体" w:hAnsi="宋体"/>
                <w:color w:val="auto"/>
                <w:highlight w:val="none"/>
              </w:rPr>
              <w:t>（</w:t>
            </w:r>
            <w:r>
              <w:rPr>
                <w:rFonts w:hint="eastAsia" w:ascii="宋体" w:hAnsi="宋体"/>
                <w:color w:val="auto"/>
                <w:highlight w:val="none"/>
                <w:lang w:val="en-US" w:eastAsia="zh-CN"/>
              </w:rPr>
              <w:t>4</w:t>
            </w:r>
            <w:r>
              <w:rPr>
                <w:rFonts w:hint="eastAsia" w:ascii="宋体" w:hAnsi="宋体"/>
                <w:color w:val="auto"/>
                <w:highlight w:val="none"/>
              </w:rPr>
              <w:t>）针对本项目提供1份服务实施方案和执行计划表，包括人员配置方案和组织管理方案。内容包括对项目的理解、目标设计，服务理念和方法，人员配置、服务能力、组织安排、组织架构，规章制度等方面的内容。日常接受采购人对驿站服务管理、跟踪记录等方面开展现场检查、抽查回访，严格驿站日常管理标准，加强对驿站基础设施、标识标牌、环境卫生、安全管理等方面的监督检查。</w:t>
            </w:r>
          </w:p>
          <w:p w14:paraId="323C5A9E">
            <w:pPr>
              <w:spacing w:line="360" w:lineRule="exact"/>
              <w:rPr>
                <w:rFonts w:hint="eastAsia" w:ascii="宋体" w:hAnsi="宋体"/>
                <w:color w:val="auto"/>
                <w:highlight w:val="none"/>
              </w:rPr>
            </w:pPr>
            <w:r>
              <w:rPr>
                <w:rFonts w:hint="eastAsia" w:ascii="宋体" w:hAnsi="宋体"/>
                <w:color w:val="auto"/>
                <w:highlight w:val="none"/>
              </w:rPr>
              <w:t>（</w:t>
            </w:r>
            <w:r>
              <w:rPr>
                <w:rFonts w:hint="eastAsia" w:ascii="宋体" w:hAnsi="宋体"/>
                <w:color w:val="auto"/>
                <w:highlight w:val="none"/>
                <w:lang w:val="en-US" w:eastAsia="zh-CN"/>
              </w:rPr>
              <w:t>5</w:t>
            </w:r>
            <w:r>
              <w:rPr>
                <w:rFonts w:hint="eastAsia" w:ascii="宋体" w:hAnsi="宋体"/>
                <w:color w:val="auto"/>
                <w:highlight w:val="none"/>
              </w:rPr>
              <w:t>）每个驿站具备一套完整的宣传设计标识系统。新设计内容应交由采购人审核。</w:t>
            </w:r>
          </w:p>
          <w:p w14:paraId="58D5874D">
            <w:pPr>
              <w:pStyle w:val="7"/>
              <w:rPr>
                <w:rFonts w:hint="eastAsia" w:ascii="宋体" w:hAnsi="宋体"/>
                <w:color w:val="auto"/>
                <w:highlight w:val="none"/>
              </w:rPr>
            </w:pPr>
            <w:r>
              <w:rPr>
                <w:rFonts w:hint="eastAsia" w:ascii="宋体" w:hAnsi="宋体"/>
                <w:color w:val="auto"/>
                <w:highlight w:val="none"/>
              </w:rPr>
              <w:t>①酒店大堂醒目处悬挂“南宁市青年人才驿站”牌子、《南宁市青年人才驿站入住公约》、《南宁市青年人才驿站管理办法》、宣传展架等；</w:t>
            </w:r>
          </w:p>
          <w:p w14:paraId="1CB9469E">
            <w:pPr>
              <w:pStyle w:val="7"/>
              <w:rPr>
                <w:rFonts w:hint="eastAsia" w:ascii="宋体" w:hAnsi="宋体"/>
                <w:color w:val="auto"/>
                <w:highlight w:val="none"/>
              </w:rPr>
            </w:pPr>
            <w:r>
              <w:rPr>
                <w:rFonts w:hint="eastAsia" w:ascii="宋体" w:hAnsi="宋体"/>
                <w:color w:val="auto"/>
                <w:highlight w:val="none"/>
              </w:rPr>
              <w:t>②酒店前台摆放驿站宣传单页、入住协议</w:t>
            </w:r>
            <w:r>
              <w:rPr>
                <w:rFonts w:hint="eastAsia" w:ascii="宋体" w:hAnsi="宋体"/>
                <w:color w:val="auto"/>
                <w:highlight w:val="none"/>
                <w:lang w:eastAsia="zh-CN"/>
              </w:rPr>
              <w:t>、</w:t>
            </w:r>
            <w:r>
              <w:rPr>
                <w:rFonts w:hint="eastAsia" w:ascii="宋体" w:hAnsi="宋体" w:eastAsia="宋体" w:cs="Times New Roman"/>
                <w:b w:val="0"/>
                <w:bCs w:val="0"/>
                <w:color w:val="auto"/>
                <w:sz w:val="21"/>
                <w:szCs w:val="20"/>
                <w:highlight w:val="none"/>
                <w:lang w:val="en-US" w:eastAsia="zh-CN"/>
              </w:rPr>
              <w:t>安全责任书</w:t>
            </w:r>
            <w:r>
              <w:rPr>
                <w:rFonts w:hint="eastAsia" w:ascii="宋体" w:hAnsi="宋体"/>
                <w:color w:val="auto"/>
                <w:highlight w:val="none"/>
              </w:rPr>
              <w:t>；</w:t>
            </w:r>
          </w:p>
          <w:p w14:paraId="2B3A2C0D">
            <w:pPr>
              <w:pStyle w:val="7"/>
              <w:rPr>
                <w:rFonts w:hint="eastAsia" w:ascii="宋体" w:hAnsi="宋体"/>
                <w:color w:val="auto"/>
                <w:highlight w:val="none"/>
              </w:rPr>
            </w:pPr>
            <w:r>
              <w:rPr>
                <w:rFonts w:hint="eastAsia" w:ascii="宋体" w:hAnsi="宋体"/>
                <w:color w:val="auto"/>
                <w:highlight w:val="none"/>
              </w:rPr>
              <w:t>③</w:t>
            </w:r>
            <w:r>
              <w:rPr>
                <w:rFonts w:hint="eastAsia" w:ascii="宋体" w:hAnsi="宋体" w:eastAsia="宋体" w:cs="Times New Roman"/>
                <w:b w:val="0"/>
                <w:bCs w:val="0"/>
                <w:color w:val="auto"/>
                <w:kern w:val="2"/>
                <w:sz w:val="21"/>
                <w:szCs w:val="20"/>
                <w:highlight w:val="none"/>
                <w:lang w:val="en-US" w:eastAsia="zh-CN" w:bidi="ar-SA"/>
              </w:rPr>
              <w:t>在</w:t>
            </w:r>
            <w:r>
              <w:rPr>
                <w:rFonts w:hint="eastAsia" w:ascii="宋体" w:hAnsi="宋体" w:eastAsia="宋体" w:cs="Times New Roman"/>
                <w:b w:val="0"/>
                <w:bCs w:val="0"/>
                <w:color w:val="auto"/>
                <w:sz w:val="21"/>
                <w:szCs w:val="20"/>
                <w:highlight w:val="none"/>
              </w:rPr>
              <w:t>固定房源</w:t>
            </w:r>
            <w:r>
              <w:rPr>
                <w:rFonts w:hint="eastAsia" w:ascii="宋体" w:hAnsi="宋体"/>
                <w:color w:val="auto"/>
                <w:highlight w:val="none"/>
              </w:rPr>
              <w:t>适当楼层设置青年人才文化墙，内容包括城市简介、驿站简介、人才政策简介等；</w:t>
            </w:r>
          </w:p>
          <w:p w14:paraId="63F6EE6D">
            <w:pPr>
              <w:pStyle w:val="7"/>
              <w:rPr>
                <w:rFonts w:hint="eastAsia" w:ascii="宋体" w:hAnsi="宋体"/>
                <w:color w:val="auto"/>
                <w:highlight w:val="none"/>
              </w:rPr>
            </w:pPr>
            <w:r>
              <w:rPr>
                <w:rFonts w:hint="eastAsia" w:ascii="宋体" w:hAnsi="宋体"/>
                <w:color w:val="auto"/>
                <w:highlight w:val="none"/>
              </w:rPr>
              <w:t>④房间内摆放人才宝典、人才政策宣传包、驿站明信片、驿站手册、招聘信息清单等；</w:t>
            </w:r>
          </w:p>
          <w:p w14:paraId="3CA60B60">
            <w:pPr>
              <w:pStyle w:val="7"/>
              <w:ind w:firstLineChars="200"/>
              <w:rPr>
                <w:rFonts w:hint="eastAsia" w:ascii="宋体" w:hAnsi="宋体"/>
                <w:color w:val="auto"/>
                <w:highlight w:val="none"/>
              </w:rPr>
            </w:pPr>
            <w:r>
              <w:rPr>
                <w:rFonts w:hint="eastAsia" w:ascii="宋体" w:hAnsi="宋体"/>
                <w:color w:val="auto"/>
                <w:highlight w:val="none"/>
              </w:rPr>
              <w:t>⑤酒店休息区域设置青年人才休息区，适当营造氛围。</w:t>
            </w:r>
          </w:p>
          <w:p w14:paraId="14204EBD">
            <w:pPr>
              <w:spacing w:line="360" w:lineRule="exact"/>
              <w:rPr>
                <w:rFonts w:hint="eastAsia" w:ascii="宋体" w:hAnsi="宋体" w:eastAsia="宋体"/>
                <w:color w:val="auto"/>
                <w:highlight w:val="none"/>
                <w:lang w:eastAsia="zh-CN"/>
              </w:rPr>
            </w:pPr>
            <w:r>
              <w:rPr>
                <w:rFonts w:hint="eastAsia" w:ascii="宋体" w:hAnsi="宋体"/>
                <w:color w:val="auto"/>
                <w:highlight w:val="none"/>
              </w:rPr>
              <w:t>（</w:t>
            </w:r>
            <w:r>
              <w:rPr>
                <w:rFonts w:hint="eastAsia" w:ascii="宋体" w:hAnsi="宋体"/>
                <w:color w:val="auto"/>
                <w:highlight w:val="none"/>
                <w:lang w:val="en-US" w:eastAsia="zh-CN"/>
              </w:rPr>
              <w:t>6</w:t>
            </w:r>
            <w:r>
              <w:rPr>
                <w:rFonts w:hint="eastAsia" w:ascii="宋体" w:hAnsi="宋体"/>
                <w:color w:val="auto"/>
                <w:highlight w:val="none"/>
              </w:rPr>
              <w:t>）对南宁市青年人才驿站网站提供运行维护服务，满足南宁市青年人才驿站日常运营需求。实现青年人才线上申请入住、获取就业政策资讯的目的。持续更新服务内容、驿站信息等维护不少于10次。</w:t>
            </w:r>
          </w:p>
          <w:p w14:paraId="55BBD6C1">
            <w:pPr>
              <w:spacing w:line="360" w:lineRule="exact"/>
              <w:rPr>
                <w:rFonts w:hint="eastAsia" w:ascii="宋体" w:hAnsi="宋体"/>
                <w:color w:val="auto"/>
                <w:highlight w:val="none"/>
              </w:rPr>
            </w:pPr>
            <w:r>
              <w:rPr>
                <w:rFonts w:hint="eastAsia" w:ascii="宋体" w:hAnsi="宋体"/>
                <w:color w:val="auto"/>
                <w:highlight w:val="none"/>
              </w:rPr>
              <w:t>（</w:t>
            </w:r>
            <w:r>
              <w:rPr>
                <w:rFonts w:hint="eastAsia" w:ascii="宋体" w:hAnsi="宋体"/>
                <w:color w:val="auto"/>
                <w:highlight w:val="none"/>
                <w:lang w:val="en-US" w:eastAsia="zh-CN"/>
              </w:rPr>
              <w:t>7</w:t>
            </w:r>
            <w:r>
              <w:rPr>
                <w:rFonts w:hint="eastAsia" w:ascii="宋体" w:hAnsi="宋体"/>
                <w:color w:val="auto"/>
                <w:highlight w:val="none"/>
              </w:rPr>
              <w:t>）提供南宁市青年人才驿站宣传资料数量：不少于500套，包括宣传折页、主题明信片、展架、宣传单页、青年人才南宁宝典</w:t>
            </w:r>
            <w:r>
              <w:rPr>
                <w:rFonts w:hint="eastAsia" w:ascii="宋体" w:hAnsi="宋体"/>
                <w:color w:val="auto"/>
                <w:highlight w:val="none"/>
                <w:lang w:val="en-US" w:eastAsia="zh-CN"/>
              </w:rPr>
              <w:t>及</w:t>
            </w:r>
            <w:r>
              <w:rPr>
                <w:rFonts w:hint="eastAsia" w:ascii="宋体" w:hAnsi="宋体" w:eastAsia="宋体" w:cs="Times New Roman"/>
                <w:b w:val="0"/>
                <w:bCs w:val="0"/>
                <w:color w:val="auto"/>
                <w:kern w:val="2"/>
                <w:sz w:val="21"/>
                <w:szCs w:val="24"/>
                <w:highlight w:val="none"/>
                <w:lang w:val="en-US" w:eastAsia="zh-CN" w:bidi="ar-SA"/>
              </w:rPr>
              <w:t>安全告知书</w:t>
            </w:r>
            <w:r>
              <w:rPr>
                <w:rFonts w:hint="eastAsia" w:ascii="宋体" w:hAnsi="宋体"/>
                <w:color w:val="auto"/>
                <w:highlight w:val="none"/>
              </w:rPr>
              <w:t>等。</w:t>
            </w:r>
          </w:p>
          <w:p w14:paraId="4DFA0D76">
            <w:pPr>
              <w:spacing w:line="360" w:lineRule="exact"/>
              <w:rPr>
                <w:rFonts w:hint="eastAsia" w:ascii="宋体" w:hAnsi="宋体"/>
                <w:color w:val="auto"/>
                <w:highlight w:val="none"/>
              </w:rPr>
            </w:pPr>
            <w:r>
              <w:rPr>
                <w:rFonts w:hint="eastAsia" w:ascii="宋体" w:hAnsi="宋体"/>
                <w:color w:val="auto"/>
                <w:highlight w:val="none"/>
              </w:rPr>
              <w:t>（</w:t>
            </w:r>
            <w:r>
              <w:rPr>
                <w:rFonts w:hint="eastAsia" w:ascii="宋体" w:hAnsi="宋体"/>
                <w:color w:val="auto"/>
                <w:highlight w:val="none"/>
                <w:lang w:val="en-US" w:eastAsia="zh-CN"/>
              </w:rPr>
              <w:t>8</w:t>
            </w:r>
            <w:r>
              <w:rPr>
                <w:rFonts w:hint="eastAsia" w:ascii="宋体" w:hAnsi="宋体"/>
                <w:color w:val="auto"/>
                <w:highlight w:val="none"/>
              </w:rPr>
              <w:t>）南宁市青年人才驿站日常宣传，要求</w:t>
            </w:r>
            <w:r>
              <w:rPr>
                <w:rFonts w:hint="eastAsia" w:ascii="宋体" w:hAnsi="宋体"/>
                <w:color w:val="auto"/>
                <w:highlight w:val="none"/>
                <w:lang w:val="en-US" w:eastAsia="zh-CN"/>
              </w:rPr>
              <w:t>多渠道对南宁市青年人才驿站进行宣传（含传统媒体渠道、高校毕业服务及微信公众、抖音、小红书</w:t>
            </w:r>
            <w:r>
              <w:rPr>
                <w:rFonts w:hint="eastAsia" w:ascii="宋体" w:hAnsi="宋体"/>
                <w:color w:val="auto"/>
                <w:highlight w:val="none"/>
              </w:rPr>
              <w:t>等</w:t>
            </w:r>
            <w:r>
              <w:rPr>
                <w:rFonts w:hint="eastAsia" w:ascii="宋体" w:hAnsi="宋体"/>
                <w:color w:val="auto"/>
                <w:highlight w:val="none"/>
                <w:lang w:val="en-US" w:eastAsia="zh-CN"/>
              </w:rPr>
              <w:t>新</w:t>
            </w:r>
            <w:r>
              <w:rPr>
                <w:rFonts w:hint="eastAsia" w:ascii="宋体" w:hAnsi="宋体"/>
                <w:color w:val="auto"/>
                <w:highlight w:val="none"/>
              </w:rPr>
              <w:t>媒体</w:t>
            </w:r>
            <w:r>
              <w:rPr>
                <w:rFonts w:hint="eastAsia"/>
                <w:color w:val="auto"/>
                <w:highlight w:val="none"/>
                <w:lang w:val="en-US" w:eastAsia="zh-CN"/>
              </w:rPr>
              <w:t>渠道</w:t>
            </w:r>
            <w:r>
              <w:rPr>
                <w:rFonts w:hint="eastAsia" w:ascii="宋体" w:hAnsi="宋体"/>
                <w:color w:val="auto"/>
                <w:highlight w:val="none"/>
                <w:lang w:val="en-US" w:eastAsia="zh-CN"/>
              </w:rPr>
              <w:t>）</w:t>
            </w:r>
            <w:r>
              <w:rPr>
                <w:rFonts w:hint="eastAsia" w:ascii="宋体" w:hAnsi="宋体"/>
                <w:color w:val="auto"/>
                <w:highlight w:val="none"/>
              </w:rPr>
              <w:t>，在毕业季密集宣传，宣传次数不少于50次。加强社交媒体青年驿站相关话题的常态化收集。主动做好解释回应如遇突发发事件，能够做到及时响应，妥善处理。杜绝虚假宣传、数据造假等行为，聚焦青年实际需求提升服务质量。</w:t>
            </w:r>
          </w:p>
          <w:p w14:paraId="46336654">
            <w:pPr>
              <w:spacing w:line="360" w:lineRule="exact"/>
              <w:rPr>
                <w:rFonts w:hint="eastAsia" w:ascii="宋体" w:hAnsi="宋体"/>
                <w:color w:val="auto"/>
                <w:highlight w:val="none"/>
              </w:rPr>
            </w:pPr>
            <w:r>
              <w:rPr>
                <w:rFonts w:hint="eastAsia" w:ascii="宋体" w:hAnsi="宋体"/>
                <w:color w:val="auto"/>
                <w:highlight w:val="none"/>
              </w:rPr>
              <w:t>（</w:t>
            </w:r>
            <w:r>
              <w:rPr>
                <w:rFonts w:hint="eastAsia" w:ascii="宋体" w:hAnsi="宋体"/>
                <w:color w:val="auto"/>
                <w:highlight w:val="none"/>
                <w:lang w:val="en-US" w:eastAsia="zh-CN"/>
              </w:rPr>
              <w:t>9</w:t>
            </w:r>
            <w:r>
              <w:rPr>
                <w:rFonts w:hint="eastAsia" w:ascii="宋体" w:hAnsi="宋体"/>
                <w:color w:val="auto"/>
                <w:highlight w:val="none"/>
              </w:rPr>
              <w:t>）</w:t>
            </w:r>
            <w:r>
              <w:rPr>
                <w:rFonts w:hint="eastAsia" w:ascii="宋体" w:hAnsi="宋体" w:eastAsia="宋体" w:cs="Times New Roman"/>
                <w:b w:val="0"/>
                <w:bCs w:val="0"/>
                <w:color w:val="auto"/>
                <w:kern w:val="2"/>
                <w:sz w:val="21"/>
                <w:szCs w:val="24"/>
                <w:highlight w:val="none"/>
                <w:lang w:val="en-US" w:eastAsia="zh-CN" w:bidi="ar-SA"/>
              </w:rPr>
              <w:t>协助驿站网站建设方</w:t>
            </w:r>
            <w:r>
              <w:rPr>
                <w:rFonts w:hint="eastAsia" w:ascii="宋体" w:hAnsi="宋体"/>
                <w:color w:val="auto"/>
                <w:highlight w:val="none"/>
              </w:rPr>
              <w:t>链接住房租赁综合服务平台，为青年人才提供房源搜索、房源预览、预约看房、签订合同、费用支付、房产估价、房源推荐等服务。</w:t>
            </w:r>
          </w:p>
          <w:p w14:paraId="0CA93D6E">
            <w:pPr>
              <w:spacing w:line="360" w:lineRule="exact"/>
              <w:rPr>
                <w:rFonts w:hint="eastAsia" w:ascii="宋体" w:hAnsi="宋体"/>
                <w:color w:val="auto"/>
                <w:highlight w:val="none"/>
              </w:rPr>
            </w:pPr>
            <w:r>
              <w:rPr>
                <w:rFonts w:hint="eastAsia" w:ascii="宋体" w:hAnsi="宋体"/>
                <w:color w:val="auto"/>
                <w:highlight w:val="none"/>
              </w:rPr>
              <w:t>（1</w:t>
            </w:r>
            <w:r>
              <w:rPr>
                <w:rFonts w:hint="eastAsia" w:ascii="宋体" w:hAnsi="宋体"/>
                <w:color w:val="auto"/>
                <w:highlight w:val="none"/>
                <w:lang w:val="en-US" w:eastAsia="zh-CN"/>
              </w:rPr>
              <w:t>0</w:t>
            </w:r>
            <w:r>
              <w:rPr>
                <w:rFonts w:hint="eastAsia" w:ascii="宋体" w:hAnsi="宋体"/>
                <w:color w:val="auto"/>
                <w:highlight w:val="none"/>
              </w:rPr>
              <w:t>）南宁市青年人才驿站成果宣传，在自治区级以上媒体宣传和发表与项目相关的新闻或文字材料宣传报道不少于2次。</w:t>
            </w:r>
          </w:p>
          <w:p w14:paraId="16146767">
            <w:pPr>
              <w:spacing w:line="360" w:lineRule="exact"/>
              <w:rPr>
                <w:rFonts w:hint="eastAsia" w:ascii="宋体" w:hAnsi="宋体"/>
                <w:color w:val="auto"/>
                <w:highlight w:val="none"/>
              </w:rPr>
            </w:pPr>
            <w:r>
              <w:rPr>
                <w:rFonts w:hint="eastAsia" w:ascii="宋体" w:hAnsi="宋体"/>
                <w:color w:val="auto"/>
                <w:highlight w:val="none"/>
              </w:rPr>
              <w:t>（1</w:t>
            </w:r>
            <w:r>
              <w:rPr>
                <w:rFonts w:hint="eastAsia" w:ascii="宋体" w:hAnsi="宋体"/>
                <w:color w:val="auto"/>
                <w:highlight w:val="none"/>
                <w:lang w:val="en-US" w:eastAsia="zh-CN"/>
              </w:rPr>
              <w:t>1</w:t>
            </w:r>
            <w:r>
              <w:rPr>
                <w:rFonts w:hint="eastAsia" w:ascii="宋体" w:hAnsi="宋体"/>
                <w:color w:val="auto"/>
                <w:highlight w:val="none"/>
              </w:rPr>
              <w:t>）举办不少于4场次的就业创业指导会，对有就业意向的毕业生开展职业指导，及时推荐企业用工信息；对有培训愿望的，推送职业培训信息；对有创业意愿的，普及创业扶持政策，链接创业资源；对就业困难的，建立服务台账，提供有针对性的就业帮扶。</w:t>
            </w:r>
          </w:p>
          <w:p w14:paraId="68383CF8">
            <w:pPr>
              <w:spacing w:line="360" w:lineRule="exact"/>
              <w:rPr>
                <w:rFonts w:hint="eastAsia" w:ascii="宋体" w:hAnsi="宋体" w:eastAsia="宋体" w:cs="Times New Roman"/>
                <w:b w:val="0"/>
                <w:bCs w:val="0"/>
                <w:color w:val="auto"/>
                <w:kern w:val="2"/>
                <w:sz w:val="21"/>
                <w:szCs w:val="24"/>
                <w:highlight w:val="none"/>
                <w:lang w:val="en-US" w:eastAsia="zh-CN" w:bidi="ar-SA"/>
              </w:rPr>
            </w:pPr>
            <w:r>
              <w:rPr>
                <w:rFonts w:hint="eastAsia" w:ascii="宋体" w:hAnsi="宋体"/>
                <w:color w:val="auto"/>
                <w:highlight w:val="none"/>
              </w:rPr>
              <w:t>（1</w:t>
            </w:r>
            <w:r>
              <w:rPr>
                <w:rFonts w:hint="eastAsia" w:ascii="宋体" w:hAnsi="宋体"/>
                <w:color w:val="auto"/>
                <w:highlight w:val="none"/>
                <w:lang w:val="en-US" w:eastAsia="zh-CN"/>
              </w:rPr>
              <w:t>2</w:t>
            </w:r>
            <w:r>
              <w:rPr>
                <w:rFonts w:hint="eastAsia" w:ascii="宋体" w:hAnsi="宋体"/>
                <w:color w:val="auto"/>
                <w:highlight w:val="none"/>
              </w:rPr>
              <w:t>）</w:t>
            </w:r>
            <w:r>
              <w:rPr>
                <w:rFonts w:hint="eastAsia" w:ascii="宋体" w:hAnsi="宋体" w:eastAsia="宋体" w:cs="Times New Roman"/>
                <w:b w:val="0"/>
                <w:bCs w:val="0"/>
                <w:color w:val="auto"/>
                <w:kern w:val="2"/>
                <w:sz w:val="21"/>
                <w:szCs w:val="24"/>
                <w:highlight w:val="none"/>
                <w:lang w:val="en-US" w:eastAsia="zh-CN" w:bidi="ar-SA"/>
              </w:rPr>
              <w:t>通过电话、微信、走访调研，掌握毕业生的联系方式、就业情况、就业意向等实况。同时建立台账，对毕业生在人才补贴、就业、租住房、培训等方面需求提供服务和指导。持续对成功在邕就业的申请人进行持续有效跟踪，掌握了解其后续在住房、就业创业等方面的需求和发展情况。</w:t>
            </w:r>
          </w:p>
          <w:p w14:paraId="34E1F9F2">
            <w:pPr>
              <w:spacing w:line="360" w:lineRule="exact"/>
              <w:rPr>
                <w:rFonts w:hint="eastAsia" w:ascii="宋体" w:hAnsi="宋体"/>
                <w:color w:val="auto"/>
                <w:highlight w:val="none"/>
              </w:rPr>
            </w:pPr>
            <w:r>
              <w:rPr>
                <w:rFonts w:hint="eastAsia" w:ascii="宋体" w:hAnsi="宋体"/>
                <w:color w:val="auto"/>
                <w:highlight w:val="none"/>
              </w:rPr>
              <w:t>（1</w:t>
            </w:r>
            <w:r>
              <w:rPr>
                <w:rFonts w:hint="eastAsia" w:ascii="宋体" w:hAnsi="宋体"/>
                <w:color w:val="auto"/>
                <w:highlight w:val="none"/>
                <w:lang w:val="en-US" w:eastAsia="zh-CN"/>
              </w:rPr>
              <w:t>3</w:t>
            </w:r>
            <w:r>
              <w:rPr>
                <w:rFonts w:hint="eastAsia" w:ascii="宋体" w:hAnsi="宋体"/>
                <w:color w:val="auto"/>
                <w:highlight w:val="none"/>
              </w:rPr>
              <w:t>）对项目实施执行过程进行总结、分析、问题反馈，提供项目中期报告、结题报告各1份。</w:t>
            </w:r>
          </w:p>
          <w:p w14:paraId="3E90DA7A">
            <w:pPr>
              <w:pStyle w:val="7"/>
              <w:ind w:firstLine="0"/>
              <w:rPr>
                <w:rStyle w:val="29"/>
                <w:rFonts w:hint="eastAsia" w:ascii="宋体" w:hAnsi="宋体"/>
                <w:b/>
                <w:bCs/>
                <w:color w:val="auto"/>
                <w:highlight w:val="none"/>
              </w:rPr>
            </w:pPr>
            <w:r>
              <w:rPr>
                <w:rStyle w:val="29"/>
                <w:rFonts w:hint="eastAsia" w:ascii="宋体" w:hAnsi="宋体"/>
                <w:b/>
                <w:bCs/>
                <w:color w:val="auto"/>
                <w:highlight w:val="none"/>
              </w:rPr>
              <w:t>4、项目团队：</w:t>
            </w:r>
          </w:p>
          <w:p w14:paraId="3DF05343">
            <w:pPr>
              <w:pStyle w:val="7"/>
              <w:keepNext w:val="0"/>
              <w:keepLines w:val="0"/>
              <w:pageBreakBefore w:val="0"/>
              <w:widowControl w:val="0"/>
              <w:kinsoku/>
              <w:wordWrap/>
              <w:overflowPunct/>
              <w:topLinePunct w:val="0"/>
              <w:autoSpaceDE/>
              <w:autoSpaceDN/>
              <w:bidi w:val="0"/>
              <w:adjustRightInd/>
              <w:snapToGrid/>
              <w:spacing w:line="240" w:lineRule="auto"/>
              <w:ind w:firstLine="0"/>
              <w:textAlignment w:val="auto"/>
              <w:rPr>
                <w:rStyle w:val="29"/>
                <w:rFonts w:hint="eastAsia" w:ascii="宋体" w:hAnsi="宋体"/>
                <w:color w:val="auto"/>
                <w:highlight w:val="none"/>
              </w:rPr>
            </w:pPr>
            <w:r>
              <w:rPr>
                <w:rFonts w:hint="eastAsia" w:ascii="宋体" w:hAnsi="宋体"/>
                <w:color w:val="auto"/>
                <w:highlight w:val="none"/>
              </w:rPr>
              <w:t>①</w:t>
            </w:r>
            <w:r>
              <w:rPr>
                <w:rStyle w:val="29"/>
                <w:rFonts w:hint="eastAsia" w:ascii="宋体" w:hAnsi="宋体"/>
                <w:color w:val="auto"/>
                <w:highlight w:val="none"/>
              </w:rPr>
              <w:t>至少配备1名项目负责人、 2名工作人员、2名运维技术专业人员、</w:t>
            </w:r>
            <w:r>
              <w:rPr>
                <w:rFonts w:hint="eastAsia" w:ascii="宋体" w:hAnsi="宋体"/>
                <w:color w:val="auto"/>
                <w:highlight w:val="none"/>
              </w:rPr>
              <w:t>售后服务技术专职人员1名</w:t>
            </w:r>
            <w:r>
              <w:rPr>
                <w:rStyle w:val="29"/>
                <w:rFonts w:hint="eastAsia" w:ascii="宋体" w:hAnsi="宋体"/>
                <w:color w:val="auto"/>
                <w:highlight w:val="none"/>
              </w:rPr>
              <w:t>；以上人员均需要具有大学</w:t>
            </w:r>
            <w:r>
              <w:rPr>
                <w:rStyle w:val="29"/>
                <w:rFonts w:hint="eastAsia" w:ascii="宋体" w:hAnsi="宋体"/>
                <w:color w:val="auto"/>
                <w:highlight w:val="none"/>
                <w:lang w:val="en-US" w:eastAsia="zh-CN"/>
              </w:rPr>
              <w:t>本科</w:t>
            </w:r>
            <w:r>
              <w:rPr>
                <w:rStyle w:val="29"/>
                <w:rFonts w:hint="eastAsia" w:ascii="宋体" w:hAnsi="宋体"/>
                <w:color w:val="auto"/>
                <w:highlight w:val="none"/>
              </w:rPr>
              <w:t>或以上学历。</w:t>
            </w:r>
          </w:p>
          <w:p w14:paraId="7463C542">
            <w:pPr>
              <w:pStyle w:val="7"/>
              <w:keepNext w:val="0"/>
              <w:keepLines w:val="0"/>
              <w:pageBreakBefore w:val="0"/>
              <w:widowControl w:val="0"/>
              <w:kinsoku/>
              <w:wordWrap/>
              <w:overflowPunct/>
              <w:topLinePunct w:val="0"/>
              <w:autoSpaceDE/>
              <w:autoSpaceDN/>
              <w:bidi w:val="0"/>
              <w:adjustRightInd/>
              <w:snapToGrid/>
              <w:spacing w:line="240" w:lineRule="auto"/>
              <w:ind w:firstLine="0"/>
              <w:textAlignment w:val="auto"/>
              <w:rPr>
                <w:rStyle w:val="29"/>
                <w:rFonts w:hint="eastAsia" w:ascii="宋体" w:hAnsi="宋体"/>
                <w:color w:val="auto"/>
                <w:highlight w:val="none"/>
              </w:rPr>
            </w:pPr>
            <w:r>
              <w:rPr>
                <w:rFonts w:hint="eastAsia" w:ascii="宋体" w:hAnsi="宋体"/>
                <w:color w:val="auto"/>
                <w:highlight w:val="none"/>
              </w:rPr>
              <w:t>②</w:t>
            </w:r>
            <w:r>
              <w:rPr>
                <w:rFonts w:hint="eastAsia" w:ascii="宋体" w:hAnsi="宋体" w:cs="宋体"/>
                <w:color w:val="auto"/>
                <w:szCs w:val="21"/>
                <w:highlight w:val="none"/>
              </w:rPr>
              <w:t>至少配备2名具备职业指导师认证的专家</w:t>
            </w:r>
            <w:r>
              <w:rPr>
                <w:rFonts w:hint="eastAsia" w:ascii="宋体" w:hAnsi="宋体" w:cs="宋体"/>
                <w:color w:val="auto"/>
                <w:szCs w:val="21"/>
                <w:highlight w:val="none"/>
                <w:lang w:val="en-US" w:eastAsia="zh-CN"/>
              </w:rPr>
              <w:t>或高等院校的就业辅导方向老师</w:t>
            </w:r>
            <w:r>
              <w:rPr>
                <w:rStyle w:val="29"/>
                <w:rFonts w:hint="eastAsia" w:ascii="宋体" w:hAnsi="宋体"/>
                <w:color w:val="auto"/>
                <w:highlight w:val="none"/>
              </w:rPr>
              <w:t>。</w:t>
            </w:r>
          </w:p>
          <w:p w14:paraId="6EC90FBC">
            <w:pPr>
              <w:keepNext w:val="0"/>
              <w:keepLines w:val="0"/>
              <w:pageBreakBefore w:val="0"/>
              <w:widowControl w:val="0"/>
              <w:numPr>
                <w:ilvl w:val="0"/>
                <w:numId w:val="2"/>
              </w:numPr>
              <w:kinsoku/>
              <w:wordWrap/>
              <w:overflowPunct/>
              <w:topLinePunct w:val="0"/>
              <w:autoSpaceDE/>
              <w:autoSpaceDN/>
              <w:bidi w:val="0"/>
              <w:adjustRightInd/>
              <w:snapToGrid/>
              <w:spacing w:after="160" w:line="240" w:lineRule="auto"/>
              <w:textAlignment w:val="auto"/>
              <w:rPr>
                <w:rFonts w:hint="eastAsia" w:ascii="宋体" w:hAnsi="宋体" w:cs="宋体"/>
                <w:b/>
                <w:bCs/>
                <w:color w:val="auto"/>
                <w:szCs w:val="21"/>
                <w:highlight w:val="none"/>
              </w:rPr>
            </w:pPr>
            <w:r>
              <w:rPr>
                <w:rFonts w:hint="eastAsia" w:ascii="宋体" w:hAnsi="宋体" w:cs="宋体"/>
                <w:b/>
                <w:bCs/>
                <w:color w:val="auto"/>
                <w:szCs w:val="21"/>
                <w:highlight w:val="none"/>
              </w:rPr>
              <w:t>运营管理要求：</w:t>
            </w:r>
          </w:p>
          <w:p w14:paraId="227453EB">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项目开展服务期间应保存包括但不限于以下材料：活动计划、活动过程记录、照片、视频及媒体报道等内容。</w:t>
            </w:r>
          </w:p>
          <w:p w14:paraId="259A033D">
            <w:pPr>
              <w:keepNext w:val="0"/>
              <w:keepLines w:val="0"/>
              <w:pageBreakBefore w:val="0"/>
              <w:widowControl w:val="0"/>
              <w:numPr>
                <w:ilvl w:val="0"/>
                <w:numId w:val="2"/>
              </w:numPr>
              <w:kinsoku/>
              <w:wordWrap/>
              <w:overflowPunct/>
              <w:topLinePunct w:val="0"/>
              <w:autoSpaceDE/>
              <w:autoSpaceDN/>
              <w:bidi w:val="0"/>
              <w:adjustRightInd/>
              <w:snapToGrid/>
              <w:spacing w:after="160" w:line="240" w:lineRule="auto"/>
              <w:textAlignment w:val="auto"/>
              <w:rPr>
                <w:rFonts w:hint="eastAsia" w:ascii="宋体" w:hAnsi="宋体" w:cs="宋体"/>
                <w:b/>
                <w:bCs/>
                <w:color w:val="auto"/>
                <w:szCs w:val="21"/>
                <w:highlight w:val="none"/>
              </w:rPr>
            </w:pPr>
            <w:r>
              <w:rPr>
                <w:rFonts w:hint="eastAsia" w:ascii="宋体" w:hAnsi="宋体" w:cs="宋体"/>
                <w:b/>
                <w:bCs/>
                <w:color w:val="auto"/>
                <w:szCs w:val="21"/>
                <w:highlight w:val="none"/>
              </w:rPr>
              <w:t>沟通协作要求：</w:t>
            </w:r>
          </w:p>
          <w:p w14:paraId="5783C743">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按季度参加采购人召开的项目推进交流会，每月向采购人报告项目进度，提交项目进展情况材料。</w:t>
            </w:r>
          </w:p>
          <w:p w14:paraId="5FE80A34">
            <w:pPr>
              <w:keepNext w:val="0"/>
              <w:keepLines w:val="0"/>
              <w:pageBreakBefore w:val="0"/>
              <w:widowControl w:val="0"/>
              <w:numPr>
                <w:ilvl w:val="0"/>
                <w:numId w:val="2"/>
              </w:numPr>
              <w:kinsoku/>
              <w:wordWrap/>
              <w:overflowPunct/>
              <w:topLinePunct w:val="0"/>
              <w:autoSpaceDE/>
              <w:autoSpaceDN/>
              <w:bidi w:val="0"/>
              <w:adjustRightInd/>
              <w:snapToGrid/>
              <w:spacing w:after="160" w:line="240" w:lineRule="auto"/>
              <w:textAlignment w:val="auto"/>
              <w:rPr>
                <w:rFonts w:hint="eastAsia" w:ascii="宋体" w:hAnsi="宋体" w:cs="宋体"/>
                <w:color w:val="auto"/>
                <w:kern w:val="0"/>
                <w:szCs w:val="21"/>
                <w:highlight w:val="none"/>
              </w:rPr>
            </w:pPr>
            <w:r>
              <w:rPr>
                <w:rFonts w:hint="eastAsia" w:ascii="宋体" w:hAnsi="宋体"/>
                <w:b/>
                <w:bCs/>
                <w:color w:val="auto"/>
                <w:szCs w:val="21"/>
                <w:highlight w:val="none"/>
              </w:rPr>
              <w:t>资金使用管理要求：</w:t>
            </w:r>
          </w:p>
          <w:p w14:paraId="0EBA47F2">
            <w:pPr>
              <w:keepNext w:val="0"/>
              <w:keepLines w:val="0"/>
              <w:pageBreakBefore w:val="0"/>
              <w:widowControl w:val="0"/>
              <w:numPr>
                <w:ilvl w:val="0"/>
                <w:numId w:val="0"/>
              </w:numPr>
              <w:kinsoku/>
              <w:wordWrap/>
              <w:overflowPunct/>
              <w:topLinePunct w:val="0"/>
              <w:autoSpaceDE/>
              <w:autoSpaceDN/>
              <w:bidi w:val="0"/>
              <w:adjustRightInd/>
              <w:snapToGrid/>
              <w:spacing w:after="160" w:line="240" w:lineRule="auto"/>
              <w:ind w:firstLine="420" w:firstLineChars="200"/>
              <w:textAlignment w:val="auto"/>
              <w:rPr>
                <w:rFonts w:hint="eastAsia" w:ascii="宋体" w:hAnsi="宋体" w:cs="宋体"/>
                <w:color w:val="auto"/>
                <w:kern w:val="0"/>
                <w:szCs w:val="21"/>
                <w:highlight w:val="none"/>
              </w:rPr>
            </w:pPr>
            <w:r>
              <w:rPr>
                <w:rFonts w:hint="eastAsia" w:ascii="宋体" w:hAnsi="宋体"/>
                <w:color w:val="auto"/>
                <w:szCs w:val="21"/>
                <w:highlight w:val="none"/>
                <w:lang w:val="en-US" w:eastAsia="zh-CN"/>
              </w:rPr>
              <w:t>成交供应商</w:t>
            </w:r>
            <w:r>
              <w:rPr>
                <w:rFonts w:hint="eastAsia" w:ascii="宋体" w:hAnsi="宋体"/>
                <w:color w:val="auto"/>
                <w:szCs w:val="21"/>
                <w:highlight w:val="none"/>
              </w:rPr>
              <w:t>不得以任何形式挤占、截留、挪用项目资金。项目资金不得用于购买或修建楼堂馆所、缴纳罚款罚金、偿还债务、对外投资、购买汽车等支出。</w:t>
            </w:r>
          </w:p>
        </w:tc>
        <w:tc>
          <w:tcPr>
            <w:tcW w:w="559" w:type="pct"/>
            <w:tcBorders>
              <w:top w:val="single" w:color="000000" w:sz="8" w:space="0"/>
              <w:left w:val="single" w:color="000000" w:sz="6" w:space="0"/>
              <w:bottom w:val="single" w:color="000000" w:sz="6" w:space="0"/>
              <w:right w:val="single" w:color="000000" w:sz="8" w:space="0"/>
            </w:tcBorders>
            <w:noWrap w:val="0"/>
            <w:vAlign w:val="center"/>
          </w:tcPr>
          <w:p w14:paraId="7E003217">
            <w:pPr>
              <w:jc w:val="center"/>
              <w:rPr>
                <w:rFonts w:hint="eastAsia" w:ascii="宋体" w:hAnsi="宋体" w:eastAsia="宋体"/>
                <w:color w:val="auto"/>
                <w:highlight w:val="none"/>
              </w:rPr>
            </w:pPr>
            <w:r>
              <w:rPr>
                <w:rFonts w:hint="eastAsia" w:ascii="宋体" w:hAnsi="宋体" w:eastAsia="宋体"/>
                <w:color w:val="auto"/>
                <w:highlight w:val="none"/>
              </w:rPr>
              <w:t>140</w:t>
            </w:r>
          </w:p>
        </w:tc>
      </w:tr>
      <w:tr w14:paraId="301FCDCE">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846" w:type="pct"/>
            <w:gridSpan w:val="3"/>
            <w:tcBorders>
              <w:top w:val="single" w:color="000000" w:sz="8" w:space="0"/>
              <w:left w:val="single" w:color="000000" w:sz="8" w:space="0"/>
              <w:bottom w:val="single" w:color="000000" w:sz="6" w:space="0"/>
              <w:right w:val="single" w:color="000000" w:sz="6" w:space="0"/>
            </w:tcBorders>
            <w:noWrap w:val="0"/>
            <w:tcMar>
              <w:top w:w="0" w:type="dxa"/>
              <w:left w:w="0" w:type="dxa"/>
              <w:bottom w:w="0" w:type="dxa"/>
              <w:right w:w="0" w:type="dxa"/>
            </w:tcMar>
            <w:vAlign w:val="center"/>
          </w:tcPr>
          <w:p w14:paraId="7DEFFC5A">
            <w:pPr>
              <w:jc w:val="center"/>
              <w:rPr>
                <w:color w:val="auto"/>
                <w:highlight w:val="none"/>
              </w:rPr>
            </w:pPr>
            <w:r>
              <w:rPr>
                <w:rFonts w:hint="eastAsia"/>
                <w:b/>
                <w:color w:val="auto"/>
                <w:highlight w:val="none"/>
              </w:rPr>
              <w:t>商务条款</w:t>
            </w:r>
          </w:p>
        </w:tc>
        <w:tc>
          <w:tcPr>
            <w:tcW w:w="4153" w:type="pct"/>
            <w:gridSpan w:val="3"/>
            <w:tcBorders>
              <w:top w:val="single" w:color="000000" w:sz="8" w:space="0"/>
              <w:left w:val="single" w:color="000000" w:sz="6" w:space="0"/>
              <w:bottom w:val="single" w:color="000000" w:sz="6" w:space="0"/>
              <w:right w:val="single" w:color="000000" w:sz="8" w:space="0"/>
            </w:tcBorders>
            <w:noWrap w:val="0"/>
            <w:vAlign w:val="top"/>
          </w:tcPr>
          <w:p w14:paraId="5A71AF82">
            <w:pPr>
              <w:spacing w:line="360" w:lineRule="exact"/>
              <w:rPr>
                <w:rFonts w:hint="eastAsia" w:ascii="宋体" w:hAnsi="宋体" w:cs="宋体"/>
                <w:bCs/>
                <w:color w:val="auto"/>
                <w:szCs w:val="21"/>
                <w:highlight w:val="none"/>
              </w:rPr>
            </w:pPr>
            <w:r>
              <w:rPr>
                <w:rFonts w:hint="eastAsia" w:ascii="宋体" w:hAnsi="宋体"/>
                <w:color w:val="auto"/>
                <w:highlight w:val="none"/>
              </w:rPr>
              <w:t>▲</w:t>
            </w:r>
            <w:r>
              <w:rPr>
                <w:rFonts w:hint="eastAsia" w:ascii="宋体" w:hAnsi="宋体" w:cs="宋体"/>
                <w:b/>
                <w:color w:val="auto"/>
                <w:szCs w:val="21"/>
                <w:highlight w:val="none"/>
              </w:rPr>
              <w:t>一、合同签订期</w:t>
            </w:r>
            <w:r>
              <w:rPr>
                <w:rFonts w:hint="eastAsia" w:ascii="宋体" w:hAnsi="宋体" w:cs="宋体"/>
                <w:bCs/>
                <w:color w:val="auto"/>
                <w:szCs w:val="21"/>
                <w:highlight w:val="none"/>
              </w:rPr>
              <w:t>：自</w:t>
            </w:r>
            <w:r>
              <w:rPr>
                <w:rFonts w:hint="eastAsia" w:ascii="宋体" w:hAnsi="宋体" w:cs="宋体"/>
                <w:bCs/>
                <w:color w:val="auto"/>
                <w:szCs w:val="21"/>
                <w:highlight w:val="none"/>
                <w:lang w:val="en-US" w:eastAsia="zh-CN"/>
              </w:rPr>
              <w:t>成交</w:t>
            </w:r>
            <w:r>
              <w:rPr>
                <w:rFonts w:hint="eastAsia" w:ascii="宋体" w:hAnsi="宋体" w:cs="宋体"/>
                <w:bCs/>
                <w:color w:val="auto"/>
                <w:szCs w:val="21"/>
                <w:highlight w:val="none"/>
              </w:rPr>
              <w:t>通知书发出之日起20日内。</w:t>
            </w:r>
          </w:p>
          <w:p w14:paraId="32047B43">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cs="宋体"/>
                <w:bCs/>
                <w:color w:val="auto"/>
                <w:szCs w:val="21"/>
                <w:highlight w:val="none"/>
              </w:rPr>
            </w:pPr>
            <w:r>
              <w:rPr>
                <w:rFonts w:hint="eastAsia" w:ascii="宋体" w:hAnsi="宋体" w:cs="宋体"/>
                <w:b/>
                <w:color w:val="auto"/>
                <w:szCs w:val="21"/>
                <w:highlight w:val="none"/>
              </w:rPr>
              <w:t>二、服务时间</w:t>
            </w:r>
            <w:r>
              <w:rPr>
                <w:rFonts w:hint="eastAsia" w:ascii="宋体" w:hAnsi="宋体" w:cs="宋体"/>
                <w:bCs/>
                <w:color w:val="auto"/>
                <w:szCs w:val="21"/>
                <w:highlight w:val="none"/>
              </w:rPr>
              <w:t>：</w:t>
            </w:r>
            <w:r>
              <w:rPr>
                <w:rFonts w:hint="eastAsia"/>
                <w:color w:val="auto"/>
                <w:highlight w:val="none"/>
              </w:rPr>
              <w:t>自签订合同之日起壹年</w:t>
            </w:r>
          </w:p>
          <w:p w14:paraId="51FA1DD1">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cs="宋体"/>
                <w:bCs/>
                <w:color w:val="auto"/>
                <w:szCs w:val="21"/>
                <w:highlight w:val="none"/>
              </w:rPr>
            </w:pPr>
            <w:r>
              <w:rPr>
                <w:rFonts w:hint="eastAsia" w:ascii="宋体" w:hAnsi="宋体" w:cs="宋体"/>
                <w:b/>
                <w:color w:val="auto"/>
                <w:szCs w:val="21"/>
                <w:highlight w:val="none"/>
              </w:rPr>
              <w:t>三、服务地点：</w:t>
            </w:r>
            <w:r>
              <w:rPr>
                <w:rFonts w:hint="eastAsia"/>
                <w:color w:val="auto"/>
                <w:highlight w:val="none"/>
              </w:rPr>
              <w:t>南宁市内采购人指定地点</w:t>
            </w:r>
            <w:r>
              <w:rPr>
                <w:rFonts w:hint="eastAsia" w:ascii="宋体" w:hAnsi="宋体" w:cs="宋体"/>
                <w:bCs/>
                <w:color w:val="auto"/>
                <w:szCs w:val="21"/>
                <w:highlight w:val="none"/>
              </w:rPr>
              <w:t>。</w:t>
            </w:r>
          </w:p>
          <w:p w14:paraId="59E60FCB">
            <w:pPr>
              <w:keepNext w:val="0"/>
              <w:keepLines w:val="0"/>
              <w:pageBreakBefore w:val="0"/>
              <w:kinsoku/>
              <w:wordWrap/>
              <w:overflowPunct/>
              <w:topLinePunct w:val="0"/>
              <w:autoSpaceDE/>
              <w:autoSpaceDN/>
              <w:bidi w:val="0"/>
              <w:adjustRightInd/>
              <w:snapToGrid/>
              <w:spacing w:line="240" w:lineRule="auto"/>
              <w:textAlignment w:val="auto"/>
              <w:rPr>
                <w:color w:val="auto"/>
                <w:highlight w:val="none"/>
              </w:rPr>
            </w:pPr>
            <w:r>
              <w:rPr>
                <w:rFonts w:hint="eastAsia" w:ascii="宋体" w:hAnsi="宋体" w:cs="宋体"/>
                <w:b/>
                <w:bCs/>
                <w:color w:val="auto"/>
                <w:szCs w:val="21"/>
                <w:highlight w:val="none"/>
              </w:rPr>
              <w:t>四、</w:t>
            </w:r>
            <w:r>
              <w:rPr>
                <w:rFonts w:hint="eastAsia" w:ascii="宋体" w:hAnsi="宋体"/>
                <w:b/>
                <w:bCs/>
                <w:color w:val="auto"/>
                <w:highlight w:val="none"/>
              </w:rPr>
              <w:t>验收标准、规范</w:t>
            </w:r>
            <w:r>
              <w:rPr>
                <w:rFonts w:hint="eastAsia" w:ascii="宋体" w:hAnsi="宋体"/>
                <w:color w:val="auto"/>
                <w:highlight w:val="none"/>
              </w:rPr>
              <w:t>：</w:t>
            </w:r>
            <w:r>
              <w:rPr>
                <w:rFonts w:hint="eastAsia"/>
                <w:color w:val="auto"/>
                <w:highlight w:val="none"/>
              </w:rPr>
              <w:t>符合本项目合同约定的相关标准和要求。</w:t>
            </w:r>
          </w:p>
          <w:p w14:paraId="27FF1528">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cs="宋体"/>
                <w:b/>
                <w:color w:val="auto"/>
                <w:szCs w:val="21"/>
                <w:highlight w:val="none"/>
              </w:rPr>
            </w:pPr>
            <w:r>
              <w:rPr>
                <w:rFonts w:hint="eastAsia" w:ascii="宋体" w:hAnsi="宋体"/>
                <w:color w:val="auto"/>
                <w:highlight w:val="none"/>
              </w:rPr>
              <w:t>▲</w:t>
            </w:r>
            <w:r>
              <w:rPr>
                <w:rFonts w:hint="eastAsia" w:ascii="宋体" w:hAnsi="宋体" w:cs="宋体"/>
                <w:b/>
                <w:color w:val="auto"/>
                <w:szCs w:val="21"/>
                <w:highlight w:val="none"/>
              </w:rPr>
              <w:t>五、售后服务要求：</w:t>
            </w:r>
          </w:p>
          <w:p w14:paraId="0CED4877">
            <w:pPr>
              <w:keepNext w:val="0"/>
              <w:keepLines w:val="0"/>
              <w:pageBreakBefore w:val="0"/>
              <w:widowControl/>
              <w:shd w:val="clear" w:color="auto" w:fill="FFFFFF"/>
              <w:kinsoku/>
              <w:wordWrap/>
              <w:overflowPunct/>
              <w:topLinePunct w:val="0"/>
              <w:autoSpaceDE/>
              <w:autoSpaceDN/>
              <w:bidi w:val="0"/>
              <w:adjustRightInd/>
              <w:snapToGrid/>
              <w:spacing w:line="240" w:lineRule="auto"/>
              <w:textAlignment w:val="auto"/>
              <w:rPr>
                <w:color w:val="auto"/>
                <w:highlight w:val="none"/>
              </w:rPr>
            </w:pPr>
            <w:r>
              <w:rPr>
                <w:rFonts w:hint="eastAsia" w:ascii="宋体" w:hAnsi="宋体"/>
                <w:color w:val="auto"/>
                <w:highlight w:val="none"/>
              </w:rPr>
              <w:t>1、服务保证期：</w:t>
            </w:r>
            <w:r>
              <w:rPr>
                <w:rFonts w:hint="eastAsia"/>
                <w:color w:val="auto"/>
                <w:highlight w:val="none"/>
              </w:rPr>
              <w:t>壹年（自签订合同至期满，并验收合格之日止）</w:t>
            </w:r>
          </w:p>
          <w:p w14:paraId="39FA128F">
            <w:pPr>
              <w:keepNext w:val="0"/>
              <w:keepLines w:val="0"/>
              <w:pageBreakBefore w:val="0"/>
              <w:widowControl/>
              <w:shd w:val="clear" w:color="auto" w:fill="FFFFFF"/>
              <w:kinsoku/>
              <w:wordWrap/>
              <w:overflowPunct/>
              <w:topLinePunct w:val="0"/>
              <w:autoSpaceDE/>
              <w:autoSpaceDN/>
              <w:bidi w:val="0"/>
              <w:adjustRightInd/>
              <w:snapToGrid/>
              <w:spacing w:line="240" w:lineRule="auto"/>
              <w:textAlignment w:val="auto"/>
              <w:rPr>
                <w:rFonts w:hint="eastAsia" w:ascii="宋体" w:hAnsi="宋体"/>
                <w:color w:val="auto"/>
                <w:highlight w:val="none"/>
              </w:rPr>
            </w:pPr>
            <w:r>
              <w:rPr>
                <w:rFonts w:hint="eastAsia" w:ascii="宋体" w:hAnsi="宋体"/>
                <w:color w:val="auto"/>
                <w:highlight w:val="none"/>
              </w:rPr>
              <w:t>2、响应时间：接到采购人处理问题的通知后2小时内到达采购人指定现场。</w:t>
            </w:r>
          </w:p>
          <w:p w14:paraId="4DD6BC3A">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b/>
                <w:bCs/>
                <w:color w:val="auto"/>
                <w:highlight w:val="none"/>
              </w:rPr>
            </w:pPr>
            <w:r>
              <w:rPr>
                <w:rFonts w:hint="eastAsia" w:ascii="宋体" w:hAnsi="宋体"/>
                <w:b/>
                <w:bCs/>
                <w:color w:val="auto"/>
                <w:highlight w:val="none"/>
              </w:rPr>
              <w:t>六、其他要求</w:t>
            </w:r>
          </w:p>
          <w:p w14:paraId="56540BA1">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color w:val="auto"/>
                <w:szCs w:val="21"/>
                <w:highlight w:val="none"/>
              </w:rPr>
            </w:pPr>
            <w:r>
              <w:rPr>
                <w:rFonts w:hint="eastAsia" w:ascii="宋体" w:hAnsi="宋体"/>
                <w:color w:val="auto"/>
                <w:highlight w:val="none"/>
              </w:rPr>
              <w:t>1、</w:t>
            </w:r>
            <w:r>
              <w:rPr>
                <w:rFonts w:hint="eastAsia" w:ascii="宋体" w:hAnsi="宋体"/>
                <w:color w:val="auto"/>
                <w:szCs w:val="21"/>
                <w:highlight w:val="none"/>
              </w:rPr>
              <w:t>报价必须含以下部分，包括：</w:t>
            </w:r>
          </w:p>
          <w:p w14:paraId="12BC92CF">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auto"/>
                <w:szCs w:val="21"/>
                <w:highlight w:val="none"/>
              </w:rPr>
            </w:pPr>
            <w:r>
              <w:rPr>
                <w:rFonts w:hint="eastAsia" w:ascii="宋体" w:hAnsi="宋体" w:cs="宋体"/>
                <w:bCs/>
                <w:color w:val="auto"/>
                <w:szCs w:val="21"/>
                <w:highlight w:val="none"/>
              </w:rPr>
              <w:t>（</w:t>
            </w:r>
            <w:r>
              <w:rPr>
                <w:rFonts w:hint="eastAsia" w:ascii="宋体" w:hAnsi="宋体"/>
                <w:bCs/>
                <w:color w:val="auto"/>
                <w:szCs w:val="21"/>
                <w:highlight w:val="none"/>
              </w:rPr>
              <w:t>1）</w:t>
            </w:r>
            <w:r>
              <w:rPr>
                <w:rFonts w:hint="eastAsia" w:ascii="宋体" w:hAnsi="宋体"/>
                <w:color w:val="auto"/>
                <w:szCs w:val="21"/>
                <w:highlight w:val="none"/>
              </w:rPr>
              <w:t>服务的价格；</w:t>
            </w:r>
          </w:p>
          <w:p w14:paraId="50D6782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auto"/>
                <w:szCs w:val="21"/>
                <w:highlight w:val="none"/>
              </w:rPr>
            </w:pPr>
            <w:r>
              <w:rPr>
                <w:rFonts w:hint="eastAsia" w:ascii="宋体" w:hAnsi="宋体"/>
                <w:color w:val="auto"/>
                <w:szCs w:val="21"/>
                <w:highlight w:val="none"/>
              </w:rPr>
              <w:t>（2）必要的保险费用和各项税金；</w:t>
            </w:r>
          </w:p>
          <w:p w14:paraId="64F81D71">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s="宋体"/>
                <w:bCs/>
                <w:color w:val="auto"/>
                <w:szCs w:val="21"/>
                <w:highlight w:val="none"/>
              </w:rPr>
            </w:pPr>
            <w:r>
              <w:rPr>
                <w:rFonts w:hint="eastAsia" w:ascii="宋体" w:hAnsi="宋体"/>
                <w:color w:val="auto"/>
                <w:szCs w:val="21"/>
                <w:highlight w:val="none"/>
              </w:rPr>
              <w:t>（3）</w:t>
            </w:r>
            <w:r>
              <w:rPr>
                <w:rFonts w:hint="eastAsia"/>
                <w:color w:val="auto"/>
                <w:highlight w:val="none"/>
              </w:rPr>
              <w:t>其他（如调试、培训、技术支持、售后服务、更新升级等费用）</w:t>
            </w:r>
            <w:r>
              <w:rPr>
                <w:rFonts w:hint="eastAsia" w:ascii="宋体" w:hAnsi="宋体" w:cs="宋体"/>
                <w:bCs/>
                <w:color w:val="auto"/>
                <w:szCs w:val="21"/>
                <w:highlight w:val="none"/>
              </w:rPr>
              <w:t>。</w:t>
            </w:r>
          </w:p>
          <w:p w14:paraId="4FBF1505">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s="宋体"/>
                <w:b/>
                <w:color w:val="auto"/>
                <w:szCs w:val="21"/>
                <w:highlight w:val="none"/>
              </w:rPr>
            </w:pPr>
            <w:r>
              <w:rPr>
                <w:rFonts w:hint="eastAsia" w:ascii="宋体" w:hAnsi="宋体"/>
                <w:color w:val="auto"/>
                <w:highlight w:val="none"/>
              </w:rPr>
              <w:t>▲2</w:t>
            </w:r>
            <w:r>
              <w:rPr>
                <w:rFonts w:hint="eastAsia" w:ascii="宋体" w:hAnsi="宋体" w:cs="宋体"/>
                <w:b/>
                <w:color w:val="auto"/>
                <w:szCs w:val="21"/>
                <w:highlight w:val="none"/>
              </w:rPr>
              <w:t>、付款方式</w:t>
            </w:r>
          </w:p>
          <w:p w14:paraId="32F68A63">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Times New Roman"/>
                <w:b w:val="0"/>
                <w:bCs w:val="0"/>
                <w:color w:val="auto"/>
                <w:kern w:val="2"/>
                <w:sz w:val="21"/>
                <w:szCs w:val="24"/>
                <w:highlight w:val="none"/>
                <w:lang w:val="en-US" w:eastAsia="zh-CN" w:bidi="ar-SA"/>
              </w:rPr>
            </w:pPr>
            <w:r>
              <w:rPr>
                <w:rFonts w:hint="eastAsia" w:ascii="宋体" w:hAnsi="宋体" w:cs="Times New Roman"/>
                <w:b w:val="0"/>
                <w:bCs w:val="0"/>
                <w:color w:val="auto"/>
                <w:kern w:val="2"/>
                <w:sz w:val="21"/>
                <w:szCs w:val="24"/>
                <w:highlight w:val="none"/>
                <w:lang w:val="en-US" w:eastAsia="zh-CN" w:bidi="ar-SA"/>
              </w:rPr>
              <w:t>（1）</w:t>
            </w:r>
            <w:r>
              <w:rPr>
                <w:rFonts w:hint="eastAsia" w:ascii="宋体" w:hAnsi="宋体" w:eastAsia="宋体" w:cs="Times New Roman"/>
                <w:b w:val="0"/>
                <w:bCs w:val="0"/>
                <w:color w:val="auto"/>
                <w:kern w:val="2"/>
                <w:sz w:val="21"/>
                <w:szCs w:val="24"/>
                <w:highlight w:val="none"/>
                <w:lang w:val="en-US" w:eastAsia="zh-CN" w:bidi="ar-SA"/>
              </w:rPr>
              <w:t>本项目预付款30%，自签订合同后5个工作日内进行支付；</w:t>
            </w:r>
          </w:p>
          <w:p w14:paraId="6E86FC6C">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Times New Roman"/>
                <w:b w:val="0"/>
                <w:bCs w:val="0"/>
                <w:color w:val="auto"/>
                <w:kern w:val="2"/>
                <w:sz w:val="21"/>
                <w:szCs w:val="24"/>
                <w:highlight w:val="none"/>
                <w:lang w:val="en-US" w:eastAsia="zh-CN" w:bidi="ar-SA"/>
              </w:rPr>
            </w:pPr>
            <w:r>
              <w:rPr>
                <w:rFonts w:hint="eastAsia" w:ascii="宋体" w:hAnsi="宋体" w:cs="Times New Roman"/>
                <w:b w:val="0"/>
                <w:bCs w:val="0"/>
                <w:color w:val="auto"/>
                <w:kern w:val="2"/>
                <w:sz w:val="21"/>
                <w:szCs w:val="24"/>
                <w:highlight w:val="none"/>
                <w:lang w:val="en-US" w:eastAsia="zh-CN" w:bidi="ar-SA"/>
              </w:rPr>
              <w:t>（2）</w:t>
            </w:r>
            <w:r>
              <w:rPr>
                <w:rFonts w:hint="eastAsia" w:ascii="宋体" w:hAnsi="宋体" w:eastAsia="宋体" w:cs="Times New Roman"/>
                <w:b w:val="0"/>
                <w:bCs w:val="0"/>
                <w:color w:val="auto"/>
                <w:kern w:val="2"/>
                <w:sz w:val="21"/>
                <w:szCs w:val="24"/>
                <w:highlight w:val="none"/>
                <w:lang w:val="en-US" w:eastAsia="zh-CN" w:bidi="ar-SA"/>
              </w:rPr>
              <w:t>项目中期评估定于项目指标完成进度的50%，采购人组织相关责任部门对项目完成情况进行评估，评估合格后，支付50%的合同款；</w:t>
            </w:r>
          </w:p>
          <w:p w14:paraId="3B79097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Times New Roman"/>
                <w:b w:val="0"/>
                <w:bCs w:val="0"/>
                <w:color w:val="auto"/>
                <w:kern w:val="2"/>
                <w:sz w:val="21"/>
                <w:szCs w:val="24"/>
                <w:highlight w:val="none"/>
                <w:lang w:val="en-US" w:eastAsia="zh-CN" w:bidi="ar-SA"/>
              </w:rPr>
            </w:pPr>
            <w:r>
              <w:rPr>
                <w:rFonts w:hint="eastAsia" w:ascii="宋体" w:hAnsi="宋体" w:eastAsia="宋体" w:cs="Times New Roman"/>
                <w:b w:val="0"/>
                <w:bCs w:val="0"/>
                <w:color w:val="auto"/>
                <w:kern w:val="2"/>
                <w:sz w:val="21"/>
                <w:szCs w:val="24"/>
                <w:highlight w:val="none"/>
                <w:lang w:val="en-US" w:eastAsia="zh-CN" w:bidi="ar-SA"/>
              </w:rPr>
              <w:t>（3）合同服务期间到期前，采购人组织相关责任单位对项目完成情况进行终期评估，评估合格后拨付剩余20%的合同款；</w:t>
            </w:r>
          </w:p>
          <w:p w14:paraId="2E5ED09C">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olor w:val="auto"/>
                <w:szCs w:val="21"/>
                <w:highlight w:val="none"/>
              </w:rPr>
            </w:pPr>
            <w:r>
              <w:rPr>
                <w:rFonts w:hint="eastAsia" w:ascii="宋体" w:hAnsi="宋体"/>
                <w:color w:val="auto"/>
                <w:highlight w:val="none"/>
              </w:rPr>
              <w:t>（4）</w:t>
            </w:r>
            <w:r>
              <w:rPr>
                <w:rFonts w:hint="eastAsia" w:ascii="宋体" w:hAnsi="宋体"/>
                <w:color w:val="auto"/>
                <w:highlight w:val="none"/>
                <w:lang w:val="en-US" w:eastAsia="zh-CN"/>
              </w:rPr>
              <w:t>成交供应商</w:t>
            </w:r>
            <w:r>
              <w:rPr>
                <w:rFonts w:hint="eastAsia" w:ascii="宋体" w:hAnsi="宋体"/>
                <w:color w:val="auto"/>
                <w:highlight w:val="none"/>
              </w:rPr>
              <w:t>自收到款项之日起五个工作日内开具发票并送交至采购人办公室。</w:t>
            </w:r>
          </w:p>
        </w:tc>
      </w:tr>
      <w:tr w14:paraId="3FDEF730">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5000" w:type="pct"/>
            <w:gridSpan w:val="6"/>
            <w:tcBorders>
              <w:top w:val="single" w:color="000000" w:sz="6" w:space="0"/>
              <w:left w:val="single" w:color="000000" w:sz="8" w:space="0"/>
              <w:bottom w:val="single" w:color="000000" w:sz="6" w:space="0"/>
              <w:right w:val="single" w:color="000000" w:sz="8" w:space="0"/>
            </w:tcBorders>
            <w:shd w:val="clear" w:color="auto" w:fill="FFFFFF"/>
            <w:noWrap w:val="0"/>
            <w:vAlign w:val="center"/>
          </w:tcPr>
          <w:p w14:paraId="5A150F42">
            <w:pPr>
              <w:rPr>
                <w:b/>
                <w:color w:val="auto"/>
                <w:highlight w:val="none"/>
              </w:rPr>
            </w:pPr>
            <w:r>
              <w:rPr>
                <w:rFonts w:hint="eastAsia"/>
                <w:b/>
                <w:color w:val="auto"/>
                <w:highlight w:val="none"/>
              </w:rPr>
              <w:t>其他说明和说明</w:t>
            </w:r>
          </w:p>
        </w:tc>
      </w:tr>
      <w:tr w14:paraId="4D541B78">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457" w:hRule="atLeast"/>
        </w:trPr>
        <w:tc>
          <w:tcPr>
            <w:tcW w:w="754" w:type="pct"/>
            <w:gridSpan w:val="2"/>
            <w:tcBorders>
              <w:top w:val="single" w:color="000000" w:sz="6" w:space="0"/>
              <w:left w:val="single" w:color="000000" w:sz="8" w:space="0"/>
              <w:bottom w:val="single" w:color="000000" w:sz="6" w:space="0"/>
              <w:right w:val="single" w:color="000000" w:sz="6" w:space="0"/>
            </w:tcBorders>
            <w:shd w:val="clear" w:color="auto" w:fill="FFFFFF"/>
            <w:noWrap w:val="0"/>
            <w:vAlign w:val="center"/>
          </w:tcPr>
          <w:p w14:paraId="36EAD1A1">
            <w:pPr>
              <w:rPr>
                <w:color w:val="auto"/>
                <w:highlight w:val="none"/>
              </w:rPr>
            </w:pPr>
            <w:r>
              <w:rPr>
                <w:rFonts w:hint="eastAsia"/>
                <w:color w:val="auto"/>
                <w:highlight w:val="none"/>
              </w:rPr>
              <w:t>进口产品说明</w:t>
            </w:r>
          </w:p>
        </w:tc>
        <w:tc>
          <w:tcPr>
            <w:tcW w:w="4245" w:type="pct"/>
            <w:gridSpan w:val="4"/>
            <w:tcBorders>
              <w:top w:val="single" w:color="000000" w:sz="6" w:space="0"/>
              <w:left w:val="single" w:color="000000" w:sz="6" w:space="0"/>
              <w:bottom w:val="single" w:color="000000" w:sz="6" w:space="0"/>
              <w:right w:val="single" w:color="000000" w:sz="8" w:space="0"/>
            </w:tcBorders>
            <w:shd w:val="clear" w:color="auto" w:fill="FFFFFF"/>
            <w:noWrap w:val="0"/>
            <w:vAlign w:val="center"/>
          </w:tcPr>
          <w:p w14:paraId="170D419D">
            <w:pPr>
              <w:rPr>
                <w:color w:val="auto"/>
                <w:highlight w:val="none"/>
              </w:rPr>
            </w:pPr>
            <w:r>
              <w:rPr>
                <w:rFonts w:hint="eastAsia"/>
                <w:color w:val="auto"/>
                <w:highlight w:val="none"/>
              </w:rPr>
              <w:t>服务类项目无要求</w:t>
            </w:r>
          </w:p>
        </w:tc>
      </w:tr>
      <w:tr w14:paraId="0F19A0BB">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436" w:hRule="atLeast"/>
        </w:trPr>
        <w:tc>
          <w:tcPr>
            <w:tcW w:w="754" w:type="pct"/>
            <w:gridSpan w:val="2"/>
            <w:tcBorders>
              <w:top w:val="single" w:color="000000" w:sz="6" w:space="0"/>
              <w:left w:val="single" w:color="000000" w:sz="8" w:space="0"/>
              <w:bottom w:val="single" w:color="000000" w:sz="6" w:space="0"/>
              <w:right w:val="single" w:color="000000" w:sz="6" w:space="0"/>
            </w:tcBorders>
            <w:shd w:val="clear" w:color="auto" w:fill="FFFFFF"/>
            <w:noWrap w:val="0"/>
            <w:vAlign w:val="center"/>
          </w:tcPr>
          <w:p w14:paraId="43BCB630">
            <w:pPr>
              <w:rPr>
                <w:color w:val="auto"/>
                <w:highlight w:val="none"/>
              </w:rPr>
            </w:pPr>
            <w:r>
              <w:rPr>
                <w:rFonts w:hint="eastAsia"/>
                <w:color w:val="auto"/>
                <w:highlight w:val="none"/>
              </w:rPr>
              <w:t>核心产品</w:t>
            </w:r>
          </w:p>
        </w:tc>
        <w:tc>
          <w:tcPr>
            <w:tcW w:w="4245" w:type="pct"/>
            <w:gridSpan w:val="4"/>
            <w:tcBorders>
              <w:top w:val="single" w:color="000000" w:sz="6" w:space="0"/>
              <w:left w:val="single" w:color="000000" w:sz="6" w:space="0"/>
              <w:bottom w:val="single" w:color="000000" w:sz="6" w:space="0"/>
              <w:right w:val="single" w:color="000000" w:sz="8" w:space="0"/>
            </w:tcBorders>
            <w:shd w:val="clear" w:color="auto" w:fill="FFFFFF"/>
            <w:noWrap w:val="0"/>
            <w:vAlign w:val="center"/>
          </w:tcPr>
          <w:p w14:paraId="7FFED7C3">
            <w:pPr>
              <w:rPr>
                <w:color w:val="auto"/>
                <w:highlight w:val="none"/>
              </w:rPr>
            </w:pPr>
            <w:r>
              <w:rPr>
                <w:rFonts w:hint="eastAsia"/>
                <w:color w:val="auto"/>
                <w:highlight w:val="none"/>
              </w:rPr>
              <w:t>服务类项目无要求</w:t>
            </w:r>
          </w:p>
        </w:tc>
      </w:tr>
      <w:tr w14:paraId="5F1FDEEB">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492" w:hRule="atLeast"/>
        </w:trPr>
        <w:tc>
          <w:tcPr>
            <w:tcW w:w="754" w:type="pct"/>
            <w:gridSpan w:val="2"/>
            <w:tcBorders>
              <w:top w:val="single" w:color="000000" w:sz="6" w:space="0"/>
              <w:left w:val="single" w:color="000000" w:sz="8" w:space="0"/>
              <w:bottom w:val="single" w:color="000000" w:sz="6" w:space="0"/>
              <w:right w:val="single" w:color="000000" w:sz="6" w:space="0"/>
            </w:tcBorders>
            <w:shd w:val="clear" w:color="auto" w:fill="FFFFFF"/>
            <w:noWrap w:val="0"/>
            <w:vAlign w:val="center"/>
          </w:tcPr>
          <w:p w14:paraId="416839B4">
            <w:pPr>
              <w:rPr>
                <w:color w:val="auto"/>
                <w:highlight w:val="none"/>
              </w:rPr>
            </w:pPr>
            <w:r>
              <w:rPr>
                <w:rFonts w:hint="eastAsia"/>
                <w:color w:val="auto"/>
                <w:highlight w:val="none"/>
              </w:rPr>
              <w:t>其他要求</w:t>
            </w:r>
          </w:p>
        </w:tc>
        <w:tc>
          <w:tcPr>
            <w:tcW w:w="4245" w:type="pct"/>
            <w:gridSpan w:val="4"/>
            <w:tcBorders>
              <w:top w:val="single" w:color="000000" w:sz="6" w:space="0"/>
              <w:left w:val="single" w:color="000000" w:sz="6" w:space="0"/>
              <w:bottom w:val="single" w:color="000000" w:sz="6" w:space="0"/>
              <w:right w:val="single" w:color="000000" w:sz="8" w:space="0"/>
            </w:tcBorders>
            <w:shd w:val="clear" w:color="auto" w:fill="FFFFFF"/>
            <w:noWrap w:val="0"/>
            <w:vAlign w:val="top"/>
          </w:tcPr>
          <w:p w14:paraId="65F0EC5E">
            <w:pPr>
              <w:spacing w:line="360" w:lineRule="exact"/>
              <w:rPr>
                <w:rFonts w:hint="eastAsia" w:eastAsia="宋体"/>
                <w:color w:val="auto"/>
                <w:highlight w:val="none"/>
                <w:lang w:val="en-US" w:eastAsia="zh-CN"/>
              </w:rPr>
            </w:pPr>
            <w:r>
              <w:rPr>
                <w:rFonts w:hint="eastAsia"/>
                <w:color w:val="auto"/>
                <w:highlight w:val="none"/>
                <w:lang w:val="en-US" w:eastAsia="zh-CN"/>
              </w:rPr>
              <w:t>无</w:t>
            </w:r>
          </w:p>
        </w:tc>
      </w:tr>
      <w:bookmarkEnd w:id="27"/>
    </w:tbl>
    <w:p w14:paraId="2E582F00">
      <w:pPr>
        <w:spacing w:line="360" w:lineRule="auto"/>
        <w:jc w:val="left"/>
        <w:rPr>
          <w:color w:val="auto"/>
          <w:highlight w:val="none"/>
        </w:rPr>
      </w:pPr>
    </w:p>
    <w:bookmarkEnd w:id="26"/>
    <w:p w14:paraId="4621C087">
      <w:pPr>
        <w:widowControl/>
        <w:spacing w:line="360" w:lineRule="auto"/>
        <w:jc w:val="left"/>
        <w:rPr>
          <w:rFonts w:ascii="宋体" w:hAnsi="宋体" w:cs="宋体"/>
          <w:b/>
          <w:bCs/>
          <w:color w:val="auto"/>
          <w:szCs w:val="21"/>
          <w:highlight w:val="none"/>
        </w:rPr>
        <w:sectPr>
          <w:headerReference r:id="rId5" w:type="first"/>
          <w:footerReference r:id="rId7" w:type="first"/>
          <w:footerReference r:id="rId6" w:type="default"/>
          <w:pgSz w:w="11911" w:h="16838"/>
          <w:pgMar w:top="1417" w:right="1417" w:bottom="1417" w:left="1417" w:header="720" w:footer="720" w:gutter="0"/>
          <w:cols w:space="0" w:num="1"/>
        </w:sectPr>
      </w:pPr>
    </w:p>
    <w:p w14:paraId="77795717">
      <w:pPr>
        <w:spacing w:line="428" w:lineRule="exact"/>
        <w:rPr>
          <w:rFonts w:ascii="Arial Unicode MS" w:hAnsi="Arial Unicode MS" w:eastAsia="Arial Unicode MS" w:cs="Arial Unicode MS"/>
          <w:color w:val="auto"/>
          <w:sz w:val="17"/>
          <w:szCs w:val="17"/>
          <w:highlight w:val="none"/>
        </w:rPr>
      </w:pPr>
      <w:r>
        <w:rPr>
          <w:rFonts w:hint="eastAsia" w:ascii="微软雅黑" w:hAnsi="微软雅黑" w:eastAsia="微软雅黑" w:cs="微软雅黑"/>
          <w:color w:val="auto"/>
          <w:sz w:val="32"/>
          <w:szCs w:val="32"/>
          <w:highlight w:val="none"/>
        </w:rPr>
        <w:t>附件1：</w:t>
      </w:r>
    </w:p>
    <w:p w14:paraId="5532E473">
      <w:pPr>
        <w:spacing w:line="528" w:lineRule="exact"/>
        <w:ind w:left="1871"/>
        <w:rPr>
          <w:rFonts w:ascii="微软雅黑" w:hAnsi="微软雅黑" w:eastAsia="微软雅黑" w:cs="微软雅黑"/>
          <w:color w:val="auto"/>
          <w:sz w:val="40"/>
          <w:szCs w:val="40"/>
          <w:highlight w:val="none"/>
        </w:rPr>
      </w:pPr>
      <w:r>
        <w:rPr>
          <w:rFonts w:hint="eastAsia" w:ascii="微软雅黑" w:hAnsi="微软雅黑" w:eastAsia="微软雅黑" w:cs="微软雅黑"/>
          <w:color w:val="auto"/>
          <w:sz w:val="40"/>
          <w:szCs w:val="40"/>
          <w:highlight w:val="none"/>
        </w:rPr>
        <w:t>节能产品政府采购品目清单</w:t>
      </w:r>
    </w:p>
    <w:tbl>
      <w:tblPr>
        <w:tblStyle w:val="23"/>
        <w:tblpPr w:leftFromText="180" w:rightFromText="180" w:vertAnchor="text" w:horzAnchor="page" w:tblpX="1512" w:tblpY="341"/>
        <w:tblOverlap w:val="never"/>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2"/>
        <w:gridCol w:w="1116"/>
        <w:gridCol w:w="1516"/>
        <w:gridCol w:w="1562"/>
        <w:gridCol w:w="4505"/>
      </w:tblGrid>
      <w:tr w14:paraId="29BC6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357" w:type="pct"/>
          </w:tcPr>
          <w:p w14:paraId="63902ED8">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品目序号</w:t>
            </w:r>
          </w:p>
        </w:tc>
        <w:tc>
          <w:tcPr>
            <w:tcW w:w="2179" w:type="pct"/>
            <w:gridSpan w:val="3"/>
            <w:vAlign w:val="center"/>
          </w:tcPr>
          <w:p w14:paraId="7E68317C">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名称</w:t>
            </w:r>
          </w:p>
        </w:tc>
        <w:tc>
          <w:tcPr>
            <w:tcW w:w="2462" w:type="pct"/>
            <w:vAlign w:val="center"/>
          </w:tcPr>
          <w:p w14:paraId="143E2C73">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依据的标准</w:t>
            </w:r>
          </w:p>
        </w:tc>
      </w:tr>
      <w:tr w14:paraId="64E67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57" w:type="pct"/>
            <w:vMerge w:val="restart"/>
            <w:vAlign w:val="center"/>
          </w:tcPr>
          <w:p w14:paraId="34D64BE5">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w:t>
            </w:r>
          </w:p>
        </w:tc>
        <w:tc>
          <w:tcPr>
            <w:tcW w:w="585" w:type="pct"/>
            <w:vMerge w:val="restart"/>
            <w:vAlign w:val="center"/>
          </w:tcPr>
          <w:p w14:paraId="791AF3F0">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A020101计算机设备</w:t>
            </w:r>
          </w:p>
        </w:tc>
        <w:tc>
          <w:tcPr>
            <w:tcW w:w="715" w:type="pct"/>
            <w:vAlign w:val="center"/>
          </w:tcPr>
          <w:p w14:paraId="5FC0ABB0">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★A02010104台式计算机</w:t>
            </w:r>
          </w:p>
        </w:tc>
        <w:tc>
          <w:tcPr>
            <w:tcW w:w="878" w:type="pct"/>
            <w:vAlign w:val="center"/>
          </w:tcPr>
          <w:p w14:paraId="4552074A">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462" w:type="pct"/>
            <w:vAlign w:val="center"/>
          </w:tcPr>
          <w:p w14:paraId="3EA17BD2">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《微型计算机能效限定值及能效等级》（GB28380）</w:t>
            </w:r>
          </w:p>
        </w:tc>
      </w:tr>
      <w:tr w14:paraId="32B06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57" w:type="pct"/>
            <w:vMerge w:val="continue"/>
            <w:vAlign w:val="center"/>
          </w:tcPr>
          <w:p w14:paraId="42CF1EC1">
            <w:pPr>
              <w:widowControl/>
              <w:jc w:val="left"/>
              <w:rPr>
                <w:rFonts w:ascii="宋体" w:hAnsi="宋体" w:cs="宋体"/>
                <w:color w:val="auto"/>
                <w:kern w:val="0"/>
                <w:sz w:val="20"/>
                <w:szCs w:val="20"/>
                <w:highlight w:val="none"/>
              </w:rPr>
            </w:pPr>
          </w:p>
        </w:tc>
        <w:tc>
          <w:tcPr>
            <w:tcW w:w="585" w:type="pct"/>
            <w:vMerge w:val="continue"/>
            <w:vAlign w:val="center"/>
          </w:tcPr>
          <w:p w14:paraId="747E4232">
            <w:pPr>
              <w:widowControl/>
              <w:jc w:val="left"/>
              <w:rPr>
                <w:rFonts w:ascii="宋体" w:hAnsi="宋体" w:cs="宋体"/>
                <w:color w:val="auto"/>
                <w:kern w:val="0"/>
                <w:sz w:val="20"/>
                <w:szCs w:val="20"/>
                <w:highlight w:val="none"/>
              </w:rPr>
            </w:pPr>
          </w:p>
        </w:tc>
        <w:tc>
          <w:tcPr>
            <w:tcW w:w="715" w:type="pct"/>
            <w:vAlign w:val="center"/>
          </w:tcPr>
          <w:p w14:paraId="66C7A6AA">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★A02010105便携式计算机</w:t>
            </w:r>
          </w:p>
        </w:tc>
        <w:tc>
          <w:tcPr>
            <w:tcW w:w="878" w:type="pct"/>
            <w:vAlign w:val="center"/>
          </w:tcPr>
          <w:p w14:paraId="7A45FCDF">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462" w:type="pct"/>
            <w:vAlign w:val="center"/>
          </w:tcPr>
          <w:p w14:paraId="222C37B9">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《微型计算机能效限定值及能效等级》（GB28380）</w:t>
            </w:r>
          </w:p>
        </w:tc>
      </w:tr>
      <w:tr w14:paraId="71D9D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357" w:type="pct"/>
            <w:vMerge w:val="continue"/>
            <w:vAlign w:val="center"/>
          </w:tcPr>
          <w:p w14:paraId="52AD584E">
            <w:pPr>
              <w:widowControl/>
              <w:jc w:val="left"/>
              <w:rPr>
                <w:rFonts w:ascii="宋体" w:hAnsi="宋体" w:cs="宋体"/>
                <w:color w:val="auto"/>
                <w:kern w:val="0"/>
                <w:sz w:val="20"/>
                <w:szCs w:val="20"/>
                <w:highlight w:val="none"/>
              </w:rPr>
            </w:pPr>
          </w:p>
        </w:tc>
        <w:tc>
          <w:tcPr>
            <w:tcW w:w="585" w:type="pct"/>
            <w:vMerge w:val="continue"/>
            <w:vAlign w:val="center"/>
          </w:tcPr>
          <w:p w14:paraId="32F7E6B5">
            <w:pPr>
              <w:widowControl/>
              <w:jc w:val="left"/>
              <w:rPr>
                <w:rFonts w:ascii="宋体" w:hAnsi="宋体" w:cs="宋体"/>
                <w:color w:val="auto"/>
                <w:kern w:val="0"/>
                <w:sz w:val="20"/>
                <w:szCs w:val="20"/>
                <w:highlight w:val="none"/>
              </w:rPr>
            </w:pPr>
          </w:p>
        </w:tc>
        <w:tc>
          <w:tcPr>
            <w:tcW w:w="715" w:type="pct"/>
            <w:vAlign w:val="center"/>
          </w:tcPr>
          <w:p w14:paraId="6B1E52BB">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★A02010107平板式微型计算机</w:t>
            </w:r>
          </w:p>
        </w:tc>
        <w:tc>
          <w:tcPr>
            <w:tcW w:w="878" w:type="pct"/>
            <w:vAlign w:val="center"/>
          </w:tcPr>
          <w:p w14:paraId="5AEBC90F">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462" w:type="pct"/>
            <w:vAlign w:val="center"/>
          </w:tcPr>
          <w:p w14:paraId="684CF33F">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《微型计算机能效限定值及能效等级》（GB28380）</w:t>
            </w:r>
          </w:p>
        </w:tc>
      </w:tr>
      <w:tr w14:paraId="4608F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57" w:type="pct"/>
            <w:vMerge w:val="restart"/>
            <w:vAlign w:val="center"/>
          </w:tcPr>
          <w:p w14:paraId="05EA67F1">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2</w:t>
            </w:r>
          </w:p>
        </w:tc>
        <w:tc>
          <w:tcPr>
            <w:tcW w:w="585" w:type="pct"/>
            <w:vMerge w:val="restart"/>
            <w:vAlign w:val="center"/>
          </w:tcPr>
          <w:p w14:paraId="54ED4F8A">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A020106输入输出设备</w:t>
            </w:r>
          </w:p>
        </w:tc>
        <w:tc>
          <w:tcPr>
            <w:tcW w:w="715" w:type="pct"/>
            <w:vMerge w:val="restart"/>
            <w:vAlign w:val="center"/>
          </w:tcPr>
          <w:p w14:paraId="31EEB9AD">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A02010601打印设备</w:t>
            </w:r>
          </w:p>
        </w:tc>
        <w:tc>
          <w:tcPr>
            <w:tcW w:w="878" w:type="pct"/>
            <w:vAlign w:val="center"/>
          </w:tcPr>
          <w:p w14:paraId="20DB6E90">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A0201060101喷墨打印机</w:t>
            </w:r>
          </w:p>
        </w:tc>
        <w:tc>
          <w:tcPr>
            <w:tcW w:w="2462" w:type="pct"/>
            <w:vAlign w:val="center"/>
          </w:tcPr>
          <w:p w14:paraId="043E7C94">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《复印机、打印机和传真机能效限定值及能效等级》（GB21521）</w:t>
            </w:r>
          </w:p>
        </w:tc>
      </w:tr>
      <w:tr w14:paraId="3EB8B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57" w:type="pct"/>
            <w:vMerge w:val="continue"/>
            <w:vAlign w:val="center"/>
          </w:tcPr>
          <w:p w14:paraId="15D89FEB">
            <w:pPr>
              <w:widowControl/>
              <w:jc w:val="left"/>
              <w:rPr>
                <w:rFonts w:ascii="宋体" w:hAnsi="宋体" w:cs="宋体"/>
                <w:color w:val="auto"/>
                <w:kern w:val="0"/>
                <w:sz w:val="20"/>
                <w:szCs w:val="20"/>
                <w:highlight w:val="none"/>
              </w:rPr>
            </w:pPr>
          </w:p>
        </w:tc>
        <w:tc>
          <w:tcPr>
            <w:tcW w:w="585" w:type="pct"/>
            <w:vMerge w:val="continue"/>
            <w:vAlign w:val="center"/>
          </w:tcPr>
          <w:p w14:paraId="2B3C28B4">
            <w:pPr>
              <w:widowControl/>
              <w:jc w:val="left"/>
              <w:rPr>
                <w:rFonts w:ascii="宋体" w:hAnsi="宋体" w:cs="宋体"/>
                <w:color w:val="auto"/>
                <w:kern w:val="0"/>
                <w:sz w:val="20"/>
                <w:szCs w:val="20"/>
                <w:highlight w:val="none"/>
              </w:rPr>
            </w:pPr>
          </w:p>
        </w:tc>
        <w:tc>
          <w:tcPr>
            <w:tcW w:w="715" w:type="pct"/>
            <w:vMerge w:val="continue"/>
            <w:vAlign w:val="center"/>
          </w:tcPr>
          <w:p w14:paraId="607CC437">
            <w:pPr>
              <w:widowControl/>
              <w:jc w:val="left"/>
              <w:rPr>
                <w:rFonts w:ascii="宋体" w:hAnsi="宋体" w:cs="宋体"/>
                <w:color w:val="auto"/>
                <w:kern w:val="0"/>
                <w:sz w:val="20"/>
                <w:szCs w:val="20"/>
                <w:highlight w:val="none"/>
              </w:rPr>
            </w:pPr>
          </w:p>
        </w:tc>
        <w:tc>
          <w:tcPr>
            <w:tcW w:w="878" w:type="pct"/>
            <w:vAlign w:val="center"/>
          </w:tcPr>
          <w:p w14:paraId="2C0FD55D">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★A0201060102激光打印机</w:t>
            </w:r>
          </w:p>
        </w:tc>
        <w:tc>
          <w:tcPr>
            <w:tcW w:w="2462" w:type="pct"/>
            <w:vAlign w:val="center"/>
          </w:tcPr>
          <w:p w14:paraId="6CBAEBDB">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《复印机、打印机和传真机能效限定值及能效等级》（GB21521）</w:t>
            </w:r>
          </w:p>
        </w:tc>
      </w:tr>
      <w:tr w14:paraId="20A19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57" w:type="pct"/>
            <w:vMerge w:val="continue"/>
            <w:vAlign w:val="center"/>
          </w:tcPr>
          <w:p w14:paraId="73761C4A">
            <w:pPr>
              <w:widowControl/>
              <w:jc w:val="left"/>
              <w:rPr>
                <w:rFonts w:ascii="宋体" w:hAnsi="宋体" w:cs="宋体"/>
                <w:color w:val="auto"/>
                <w:kern w:val="0"/>
                <w:sz w:val="20"/>
                <w:szCs w:val="20"/>
                <w:highlight w:val="none"/>
              </w:rPr>
            </w:pPr>
          </w:p>
        </w:tc>
        <w:tc>
          <w:tcPr>
            <w:tcW w:w="585" w:type="pct"/>
            <w:vMerge w:val="continue"/>
            <w:vAlign w:val="center"/>
          </w:tcPr>
          <w:p w14:paraId="55C8AD70">
            <w:pPr>
              <w:widowControl/>
              <w:jc w:val="left"/>
              <w:rPr>
                <w:rFonts w:ascii="宋体" w:hAnsi="宋体" w:cs="宋体"/>
                <w:color w:val="auto"/>
                <w:kern w:val="0"/>
                <w:sz w:val="20"/>
                <w:szCs w:val="20"/>
                <w:highlight w:val="none"/>
              </w:rPr>
            </w:pPr>
          </w:p>
        </w:tc>
        <w:tc>
          <w:tcPr>
            <w:tcW w:w="715" w:type="pct"/>
            <w:vMerge w:val="continue"/>
            <w:vAlign w:val="center"/>
          </w:tcPr>
          <w:p w14:paraId="1A2DC759">
            <w:pPr>
              <w:widowControl/>
              <w:jc w:val="left"/>
              <w:rPr>
                <w:rFonts w:ascii="宋体" w:hAnsi="宋体" w:cs="宋体"/>
                <w:color w:val="auto"/>
                <w:kern w:val="0"/>
                <w:sz w:val="20"/>
                <w:szCs w:val="20"/>
                <w:highlight w:val="none"/>
              </w:rPr>
            </w:pPr>
          </w:p>
        </w:tc>
        <w:tc>
          <w:tcPr>
            <w:tcW w:w="878" w:type="pct"/>
            <w:vAlign w:val="center"/>
          </w:tcPr>
          <w:p w14:paraId="25EADB4E">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★A0201060104针式打印机</w:t>
            </w:r>
          </w:p>
        </w:tc>
        <w:tc>
          <w:tcPr>
            <w:tcW w:w="2462" w:type="pct"/>
            <w:vAlign w:val="center"/>
          </w:tcPr>
          <w:p w14:paraId="461FDA25">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《复印机、打印机和传真机能效限定值及能效等级》（GB21521）</w:t>
            </w:r>
          </w:p>
        </w:tc>
      </w:tr>
      <w:tr w14:paraId="54DEF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57" w:type="pct"/>
            <w:vMerge w:val="continue"/>
            <w:vAlign w:val="center"/>
          </w:tcPr>
          <w:p w14:paraId="1EC18FA9">
            <w:pPr>
              <w:widowControl/>
              <w:jc w:val="left"/>
              <w:rPr>
                <w:rFonts w:ascii="宋体" w:hAnsi="宋体" w:cs="宋体"/>
                <w:color w:val="auto"/>
                <w:kern w:val="0"/>
                <w:sz w:val="20"/>
                <w:szCs w:val="20"/>
                <w:highlight w:val="none"/>
              </w:rPr>
            </w:pPr>
          </w:p>
        </w:tc>
        <w:tc>
          <w:tcPr>
            <w:tcW w:w="585" w:type="pct"/>
            <w:vMerge w:val="continue"/>
            <w:vAlign w:val="center"/>
          </w:tcPr>
          <w:p w14:paraId="3158EB02">
            <w:pPr>
              <w:widowControl/>
              <w:jc w:val="left"/>
              <w:rPr>
                <w:rFonts w:ascii="宋体" w:hAnsi="宋体" w:cs="宋体"/>
                <w:color w:val="auto"/>
                <w:kern w:val="0"/>
                <w:sz w:val="20"/>
                <w:szCs w:val="20"/>
                <w:highlight w:val="none"/>
              </w:rPr>
            </w:pPr>
          </w:p>
        </w:tc>
        <w:tc>
          <w:tcPr>
            <w:tcW w:w="715" w:type="pct"/>
            <w:vAlign w:val="center"/>
          </w:tcPr>
          <w:p w14:paraId="631F755B">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A02010604显示设备</w:t>
            </w:r>
          </w:p>
        </w:tc>
        <w:tc>
          <w:tcPr>
            <w:tcW w:w="878" w:type="pct"/>
            <w:vAlign w:val="center"/>
          </w:tcPr>
          <w:p w14:paraId="429AC9AA">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★A0201060401液晶显示器</w:t>
            </w:r>
          </w:p>
        </w:tc>
        <w:tc>
          <w:tcPr>
            <w:tcW w:w="2462" w:type="pct"/>
            <w:vAlign w:val="center"/>
          </w:tcPr>
          <w:p w14:paraId="40C5FBDF">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《计算机显示器能效限定值及能效等级》（GB21520）</w:t>
            </w:r>
          </w:p>
        </w:tc>
      </w:tr>
      <w:tr w14:paraId="50430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trPr>
        <w:tc>
          <w:tcPr>
            <w:tcW w:w="357" w:type="pct"/>
            <w:vMerge w:val="continue"/>
            <w:vAlign w:val="center"/>
          </w:tcPr>
          <w:p w14:paraId="4832BDEC">
            <w:pPr>
              <w:widowControl/>
              <w:jc w:val="left"/>
              <w:rPr>
                <w:rFonts w:ascii="宋体" w:hAnsi="宋体" w:cs="宋体"/>
                <w:color w:val="auto"/>
                <w:kern w:val="0"/>
                <w:sz w:val="20"/>
                <w:szCs w:val="20"/>
                <w:highlight w:val="none"/>
              </w:rPr>
            </w:pPr>
          </w:p>
        </w:tc>
        <w:tc>
          <w:tcPr>
            <w:tcW w:w="585" w:type="pct"/>
            <w:vMerge w:val="continue"/>
            <w:vAlign w:val="center"/>
          </w:tcPr>
          <w:p w14:paraId="548C60E8">
            <w:pPr>
              <w:widowControl/>
              <w:jc w:val="left"/>
              <w:rPr>
                <w:rFonts w:ascii="宋体" w:hAnsi="宋体" w:cs="宋体"/>
                <w:color w:val="auto"/>
                <w:kern w:val="0"/>
                <w:sz w:val="20"/>
                <w:szCs w:val="20"/>
                <w:highlight w:val="none"/>
              </w:rPr>
            </w:pPr>
          </w:p>
        </w:tc>
        <w:tc>
          <w:tcPr>
            <w:tcW w:w="715" w:type="pct"/>
            <w:vAlign w:val="center"/>
          </w:tcPr>
          <w:p w14:paraId="30363D9F">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A02010609图形图像输入设备</w:t>
            </w:r>
          </w:p>
        </w:tc>
        <w:tc>
          <w:tcPr>
            <w:tcW w:w="878" w:type="pct"/>
            <w:vAlign w:val="center"/>
          </w:tcPr>
          <w:p w14:paraId="441D7E21">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A0201060901扫描仪</w:t>
            </w:r>
          </w:p>
        </w:tc>
        <w:tc>
          <w:tcPr>
            <w:tcW w:w="2462" w:type="pct"/>
            <w:vAlign w:val="center"/>
          </w:tcPr>
          <w:p w14:paraId="493D6DBF">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参照《复印机、打印机和传真机能效限定值及能效等级》（GB21521中打印速度为15页/分的针式打印机相关要求中打印速度为15页/分的针式打印机相关要求</w:t>
            </w:r>
          </w:p>
        </w:tc>
      </w:tr>
      <w:tr w14:paraId="71FB8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57" w:type="pct"/>
            <w:vAlign w:val="center"/>
          </w:tcPr>
          <w:p w14:paraId="77FE4B58">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3</w:t>
            </w:r>
          </w:p>
        </w:tc>
        <w:tc>
          <w:tcPr>
            <w:tcW w:w="585" w:type="pct"/>
            <w:vAlign w:val="center"/>
          </w:tcPr>
          <w:p w14:paraId="7B1CCE4E">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A020202投影仪</w:t>
            </w:r>
          </w:p>
        </w:tc>
        <w:tc>
          <w:tcPr>
            <w:tcW w:w="715" w:type="pct"/>
            <w:vAlign w:val="center"/>
          </w:tcPr>
          <w:p w14:paraId="6AC67970">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78" w:type="pct"/>
            <w:vAlign w:val="center"/>
          </w:tcPr>
          <w:p w14:paraId="41844CE4">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462" w:type="pct"/>
            <w:vAlign w:val="center"/>
          </w:tcPr>
          <w:p w14:paraId="0E4C4E20">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《投影机能效限定值及能效等级》（GB32028）</w:t>
            </w:r>
          </w:p>
        </w:tc>
      </w:tr>
      <w:tr w14:paraId="1168A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57" w:type="pct"/>
            <w:vAlign w:val="center"/>
          </w:tcPr>
          <w:p w14:paraId="252E729B">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4</w:t>
            </w:r>
          </w:p>
        </w:tc>
        <w:tc>
          <w:tcPr>
            <w:tcW w:w="585" w:type="pct"/>
            <w:vAlign w:val="center"/>
          </w:tcPr>
          <w:p w14:paraId="2F01B3FF">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A020204多功能一体机</w:t>
            </w:r>
          </w:p>
        </w:tc>
        <w:tc>
          <w:tcPr>
            <w:tcW w:w="715" w:type="pct"/>
            <w:vAlign w:val="center"/>
          </w:tcPr>
          <w:p w14:paraId="78B1904F">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78" w:type="pct"/>
            <w:vAlign w:val="center"/>
          </w:tcPr>
          <w:p w14:paraId="4BB5D8ED">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462" w:type="pct"/>
            <w:vAlign w:val="center"/>
          </w:tcPr>
          <w:p w14:paraId="0DE4EC51">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《复印机、打印机和传真机能效限定值及能效等级》（GB21521）</w:t>
            </w:r>
          </w:p>
        </w:tc>
      </w:tr>
      <w:tr w14:paraId="1BCAA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57" w:type="pct"/>
            <w:vAlign w:val="center"/>
          </w:tcPr>
          <w:p w14:paraId="5F7EE2A8">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5</w:t>
            </w:r>
          </w:p>
        </w:tc>
        <w:tc>
          <w:tcPr>
            <w:tcW w:w="585" w:type="pct"/>
            <w:vAlign w:val="center"/>
          </w:tcPr>
          <w:p w14:paraId="0D9BF811">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A020519泵</w:t>
            </w:r>
          </w:p>
        </w:tc>
        <w:tc>
          <w:tcPr>
            <w:tcW w:w="715" w:type="pct"/>
            <w:vAlign w:val="center"/>
          </w:tcPr>
          <w:p w14:paraId="2CC78866">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A02051901离心泵</w:t>
            </w:r>
          </w:p>
        </w:tc>
        <w:tc>
          <w:tcPr>
            <w:tcW w:w="878" w:type="pct"/>
            <w:vAlign w:val="center"/>
          </w:tcPr>
          <w:p w14:paraId="0716A082">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462" w:type="pct"/>
            <w:vAlign w:val="center"/>
          </w:tcPr>
          <w:p w14:paraId="28F184E3">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《清水离心泵能效限定值及节能评价值》（GB19762）</w:t>
            </w:r>
          </w:p>
        </w:tc>
      </w:tr>
      <w:tr w14:paraId="1E7C1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357" w:type="pct"/>
            <w:vMerge w:val="restart"/>
            <w:vAlign w:val="center"/>
          </w:tcPr>
          <w:p w14:paraId="5592F84B">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6</w:t>
            </w:r>
          </w:p>
        </w:tc>
        <w:tc>
          <w:tcPr>
            <w:tcW w:w="585" w:type="pct"/>
            <w:vMerge w:val="restart"/>
            <w:vAlign w:val="center"/>
          </w:tcPr>
          <w:p w14:paraId="50E562BF">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A020523制冷空调设备</w:t>
            </w:r>
          </w:p>
        </w:tc>
        <w:tc>
          <w:tcPr>
            <w:tcW w:w="715" w:type="pct"/>
            <w:vMerge w:val="restart"/>
            <w:vAlign w:val="center"/>
          </w:tcPr>
          <w:p w14:paraId="76DAEE98">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★A02052301制冷压缩机</w:t>
            </w:r>
          </w:p>
        </w:tc>
        <w:tc>
          <w:tcPr>
            <w:tcW w:w="878" w:type="pct"/>
            <w:vAlign w:val="center"/>
          </w:tcPr>
          <w:p w14:paraId="08BE2AEB">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冷水机组</w:t>
            </w:r>
          </w:p>
        </w:tc>
        <w:tc>
          <w:tcPr>
            <w:tcW w:w="2462" w:type="pct"/>
            <w:vAlign w:val="center"/>
          </w:tcPr>
          <w:p w14:paraId="616E1697">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《冷水机组能效限定值及能效等级》（GB19577），《低环境温度空气源热泵（冷水）机组能效限定值及能效等级》（GB37480）</w:t>
            </w:r>
          </w:p>
        </w:tc>
      </w:tr>
      <w:tr w14:paraId="75874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57" w:type="pct"/>
            <w:vMerge w:val="continue"/>
            <w:vAlign w:val="center"/>
          </w:tcPr>
          <w:p w14:paraId="4980D64A">
            <w:pPr>
              <w:widowControl/>
              <w:jc w:val="left"/>
              <w:rPr>
                <w:rFonts w:ascii="宋体" w:hAnsi="宋体" w:cs="宋体"/>
                <w:color w:val="auto"/>
                <w:kern w:val="0"/>
                <w:sz w:val="20"/>
                <w:szCs w:val="20"/>
                <w:highlight w:val="none"/>
              </w:rPr>
            </w:pPr>
          </w:p>
        </w:tc>
        <w:tc>
          <w:tcPr>
            <w:tcW w:w="585" w:type="pct"/>
            <w:vMerge w:val="continue"/>
            <w:vAlign w:val="center"/>
          </w:tcPr>
          <w:p w14:paraId="7636D0F6">
            <w:pPr>
              <w:widowControl/>
              <w:jc w:val="left"/>
              <w:rPr>
                <w:rFonts w:ascii="宋体" w:hAnsi="宋体" w:cs="宋体"/>
                <w:color w:val="auto"/>
                <w:kern w:val="0"/>
                <w:sz w:val="20"/>
                <w:szCs w:val="20"/>
                <w:highlight w:val="none"/>
              </w:rPr>
            </w:pPr>
          </w:p>
        </w:tc>
        <w:tc>
          <w:tcPr>
            <w:tcW w:w="715" w:type="pct"/>
            <w:vMerge w:val="continue"/>
            <w:vAlign w:val="center"/>
          </w:tcPr>
          <w:p w14:paraId="0DF21B13">
            <w:pPr>
              <w:widowControl/>
              <w:jc w:val="left"/>
              <w:rPr>
                <w:rFonts w:ascii="宋体" w:hAnsi="宋体" w:cs="宋体"/>
                <w:color w:val="auto"/>
                <w:kern w:val="0"/>
                <w:sz w:val="20"/>
                <w:szCs w:val="20"/>
                <w:highlight w:val="none"/>
              </w:rPr>
            </w:pPr>
          </w:p>
        </w:tc>
        <w:tc>
          <w:tcPr>
            <w:tcW w:w="878" w:type="pct"/>
            <w:vAlign w:val="center"/>
          </w:tcPr>
          <w:p w14:paraId="51A4992B">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水源热泵机组</w:t>
            </w:r>
          </w:p>
        </w:tc>
        <w:tc>
          <w:tcPr>
            <w:tcW w:w="2462" w:type="pct"/>
            <w:vAlign w:val="center"/>
          </w:tcPr>
          <w:p w14:paraId="07401C86">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《水（地）源热泵机组能效限定值及能效等级》（GB30721）</w:t>
            </w:r>
          </w:p>
        </w:tc>
      </w:tr>
      <w:tr w14:paraId="2EAF5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57" w:type="pct"/>
            <w:vMerge w:val="continue"/>
            <w:vAlign w:val="center"/>
          </w:tcPr>
          <w:p w14:paraId="5A38749C">
            <w:pPr>
              <w:widowControl/>
              <w:jc w:val="left"/>
              <w:rPr>
                <w:rFonts w:ascii="宋体" w:hAnsi="宋体" w:cs="宋体"/>
                <w:color w:val="auto"/>
                <w:kern w:val="0"/>
                <w:sz w:val="20"/>
                <w:szCs w:val="20"/>
                <w:highlight w:val="none"/>
              </w:rPr>
            </w:pPr>
          </w:p>
        </w:tc>
        <w:tc>
          <w:tcPr>
            <w:tcW w:w="585" w:type="pct"/>
            <w:vMerge w:val="continue"/>
            <w:vAlign w:val="center"/>
          </w:tcPr>
          <w:p w14:paraId="214C76F8">
            <w:pPr>
              <w:widowControl/>
              <w:jc w:val="left"/>
              <w:rPr>
                <w:rFonts w:ascii="宋体" w:hAnsi="宋体" w:cs="宋体"/>
                <w:color w:val="auto"/>
                <w:kern w:val="0"/>
                <w:sz w:val="20"/>
                <w:szCs w:val="20"/>
                <w:highlight w:val="none"/>
              </w:rPr>
            </w:pPr>
          </w:p>
        </w:tc>
        <w:tc>
          <w:tcPr>
            <w:tcW w:w="715" w:type="pct"/>
            <w:vMerge w:val="continue"/>
            <w:vAlign w:val="center"/>
          </w:tcPr>
          <w:p w14:paraId="4CE4BAD6">
            <w:pPr>
              <w:widowControl/>
              <w:jc w:val="left"/>
              <w:rPr>
                <w:rFonts w:ascii="宋体" w:hAnsi="宋体" w:cs="宋体"/>
                <w:color w:val="auto"/>
                <w:kern w:val="0"/>
                <w:sz w:val="20"/>
                <w:szCs w:val="20"/>
                <w:highlight w:val="none"/>
              </w:rPr>
            </w:pPr>
          </w:p>
        </w:tc>
        <w:tc>
          <w:tcPr>
            <w:tcW w:w="878" w:type="pct"/>
            <w:vAlign w:val="center"/>
          </w:tcPr>
          <w:p w14:paraId="17ECFE9E">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溴化锂吸收式冷水机组</w:t>
            </w:r>
          </w:p>
        </w:tc>
        <w:tc>
          <w:tcPr>
            <w:tcW w:w="2462" w:type="pct"/>
            <w:vAlign w:val="center"/>
          </w:tcPr>
          <w:p w14:paraId="76F4D062">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《溴化锂吸收式冷水机组能效限定值及能效等级》（GB29540）</w:t>
            </w:r>
          </w:p>
        </w:tc>
      </w:tr>
      <w:tr w14:paraId="2C0FD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357" w:type="pct"/>
            <w:vMerge w:val="continue"/>
            <w:vAlign w:val="center"/>
          </w:tcPr>
          <w:p w14:paraId="51759CC0">
            <w:pPr>
              <w:widowControl/>
              <w:jc w:val="left"/>
              <w:rPr>
                <w:rFonts w:ascii="宋体" w:hAnsi="宋体" w:cs="宋体"/>
                <w:color w:val="auto"/>
                <w:kern w:val="0"/>
                <w:sz w:val="20"/>
                <w:szCs w:val="20"/>
                <w:highlight w:val="none"/>
              </w:rPr>
            </w:pPr>
          </w:p>
        </w:tc>
        <w:tc>
          <w:tcPr>
            <w:tcW w:w="585" w:type="pct"/>
            <w:vMerge w:val="continue"/>
            <w:vAlign w:val="center"/>
          </w:tcPr>
          <w:p w14:paraId="0A97D6C6">
            <w:pPr>
              <w:widowControl/>
              <w:jc w:val="left"/>
              <w:rPr>
                <w:rFonts w:ascii="宋体" w:hAnsi="宋体" w:cs="宋体"/>
                <w:color w:val="auto"/>
                <w:kern w:val="0"/>
                <w:sz w:val="20"/>
                <w:szCs w:val="20"/>
                <w:highlight w:val="none"/>
              </w:rPr>
            </w:pPr>
          </w:p>
        </w:tc>
        <w:tc>
          <w:tcPr>
            <w:tcW w:w="715" w:type="pct"/>
            <w:vMerge w:val="restart"/>
            <w:vAlign w:val="center"/>
          </w:tcPr>
          <w:p w14:paraId="2C9E6008">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★A02052305空调机组</w:t>
            </w:r>
          </w:p>
        </w:tc>
        <w:tc>
          <w:tcPr>
            <w:tcW w:w="878" w:type="pct"/>
            <w:vAlign w:val="center"/>
          </w:tcPr>
          <w:p w14:paraId="51AE3712">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多联式空调（热泵）机组(制冷量&gt;14000W)</w:t>
            </w:r>
          </w:p>
        </w:tc>
        <w:tc>
          <w:tcPr>
            <w:tcW w:w="2462" w:type="pct"/>
            <w:vAlign w:val="center"/>
          </w:tcPr>
          <w:p w14:paraId="1DB164E2">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《多联式空调（热泵）机组能效限定值及能源效率等级》（GB21454）</w:t>
            </w:r>
          </w:p>
        </w:tc>
      </w:tr>
      <w:tr w14:paraId="72168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357" w:type="pct"/>
            <w:vMerge w:val="continue"/>
            <w:vAlign w:val="center"/>
          </w:tcPr>
          <w:p w14:paraId="32C80136">
            <w:pPr>
              <w:widowControl/>
              <w:jc w:val="left"/>
              <w:rPr>
                <w:rFonts w:ascii="宋体" w:hAnsi="宋体" w:cs="宋体"/>
                <w:color w:val="auto"/>
                <w:kern w:val="0"/>
                <w:sz w:val="20"/>
                <w:szCs w:val="20"/>
                <w:highlight w:val="none"/>
              </w:rPr>
            </w:pPr>
          </w:p>
        </w:tc>
        <w:tc>
          <w:tcPr>
            <w:tcW w:w="585" w:type="pct"/>
            <w:vMerge w:val="continue"/>
            <w:vAlign w:val="center"/>
          </w:tcPr>
          <w:p w14:paraId="1572CAC7">
            <w:pPr>
              <w:widowControl/>
              <w:jc w:val="left"/>
              <w:rPr>
                <w:rFonts w:ascii="宋体" w:hAnsi="宋体" w:cs="宋体"/>
                <w:color w:val="auto"/>
                <w:kern w:val="0"/>
                <w:sz w:val="20"/>
                <w:szCs w:val="20"/>
                <w:highlight w:val="none"/>
              </w:rPr>
            </w:pPr>
          </w:p>
        </w:tc>
        <w:tc>
          <w:tcPr>
            <w:tcW w:w="715" w:type="pct"/>
            <w:vMerge w:val="continue"/>
            <w:vAlign w:val="center"/>
          </w:tcPr>
          <w:p w14:paraId="44162D13">
            <w:pPr>
              <w:widowControl/>
              <w:jc w:val="left"/>
              <w:rPr>
                <w:rFonts w:ascii="宋体" w:hAnsi="宋体" w:cs="宋体"/>
                <w:color w:val="auto"/>
                <w:kern w:val="0"/>
                <w:sz w:val="20"/>
                <w:szCs w:val="20"/>
                <w:highlight w:val="none"/>
              </w:rPr>
            </w:pPr>
          </w:p>
        </w:tc>
        <w:tc>
          <w:tcPr>
            <w:tcW w:w="878" w:type="pct"/>
            <w:vAlign w:val="center"/>
          </w:tcPr>
          <w:p w14:paraId="2E521813">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单元式空气调节机(制冷量&gt;14000W</w:t>
            </w:r>
          </w:p>
        </w:tc>
        <w:tc>
          <w:tcPr>
            <w:tcW w:w="2462" w:type="pct"/>
            <w:vAlign w:val="center"/>
          </w:tcPr>
          <w:p w14:paraId="3F34C735">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《单元式空气调节机能效限定值及能效等级》（GB19576）《风管送风式空调机组能效限定值及能效等级》（GB37479）</w:t>
            </w:r>
          </w:p>
        </w:tc>
      </w:tr>
      <w:tr w14:paraId="340AC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357" w:type="pct"/>
            <w:vMerge w:val="continue"/>
            <w:vAlign w:val="center"/>
          </w:tcPr>
          <w:p w14:paraId="6339211C">
            <w:pPr>
              <w:widowControl/>
              <w:jc w:val="left"/>
              <w:rPr>
                <w:rFonts w:ascii="宋体" w:hAnsi="宋体" w:cs="宋体"/>
                <w:color w:val="auto"/>
                <w:kern w:val="0"/>
                <w:sz w:val="20"/>
                <w:szCs w:val="20"/>
                <w:highlight w:val="none"/>
              </w:rPr>
            </w:pPr>
          </w:p>
        </w:tc>
        <w:tc>
          <w:tcPr>
            <w:tcW w:w="585" w:type="pct"/>
            <w:vMerge w:val="continue"/>
            <w:vAlign w:val="center"/>
          </w:tcPr>
          <w:p w14:paraId="74FF79E3">
            <w:pPr>
              <w:widowControl/>
              <w:jc w:val="left"/>
              <w:rPr>
                <w:rFonts w:ascii="宋体" w:hAnsi="宋体" w:cs="宋体"/>
                <w:color w:val="auto"/>
                <w:kern w:val="0"/>
                <w:sz w:val="20"/>
                <w:szCs w:val="20"/>
                <w:highlight w:val="none"/>
              </w:rPr>
            </w:pPr>
          </w:p>
        </w:tc>
        <w:tc>
          <w:tcPr>
            <w:tcW w:w="715" w:type="pct"/>
            <w:vAlign w:val="center"/>
          </w:tcPr>
          <w:p w14:paraId="2EF15DF6">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★A02052309专用制冷、空调设备</w:t>
            </w:r>
          </w:p>
        </w:tc>
        <w:tc>
          <w:tcPr>
            <w:tcW w:w="878" w:type="pct"/>
            <w:vAlign w:val="center"/>
          </w:tcPr>
          <w:p w14:paraId="0AF7E0F8">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机房空调</w:t>
            </w:r>
          </w:p>
        </w:tc>
        <w:tc>
          <w:tcPr>
            <w:tcW w:w="2462" w:type="pct"/>
            <w:vAlign w:val="center"/>
          </w:tcPr>
          <w:p w14:paraId="7DF9550D">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《单元式空气调节机能效限定值及能效等级》（GB19576）</w:t>
            </w:r>
          </w:p>
        </w:tc>
      </w:tr>
      <w:tr w14:paraId="07BC4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357" w:type="pct"/>
            <w:vMerge w:val="continue"/>
            <w:vAlign w:val="center"/>
          </w:tcPr>
          <w:p w14:paraId="2B87A669">
            <w:pPr>
              <w:widowControl/>
              <w:jc w:val="left"/>
              <w:rPr>
                <w:rFonts w:ascii="宋体" w:hAnsi="宋体" w:cs="宋体"/>
                <w:color w:val="auto"/>
                <w:kern w:val="0"/>
                <w:sz w:val="20"/>
                <w:szCs w:val="20"/>
                <w:highlight w:val="none"/>
              </w:rPr>
            </w:pPr>
          </w:p>
        </w:tc>
        <w:tc>
          <w:tcPr>
            <w:tcW w:w="585" w:type="pct"/>
            <w:vMerge w:val="continue"/>
            <w:vAlign w:val="center"/>
          </w:tcPr>
          <w:p w14:paraId="0A578EA7">
            <w:pPr>
              <w:widowControl/>
              <w:jc w:val="left"/>
              <w:rPr>
                <w:rFonts w:ascii="宋体" w:hAnsi="宋体" w:cs="宋体"/>
                <w:color w:val="auto"/>
                <w:kern w:val="0"/>
                <w:sz w:val="20"/>
                <w:szCs w:val="20"/>
                <w:highlight w:val="none"/>
              </w:rPr>
            </w:pPr>
          </w:p>
        </w:tc>
        <w:tc>
          <w:tcPr>
            <w:tcW w:w="715" w:type="pct"/>
            <w:vAlign w:val="center"/>
          </w:tcPr>
          <w:p w14:paraId="22542794">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A02052399其他制冷空调设备</w:t>
            </w:r>
          </w:p>
        </w:tc>
        <w:tc>
          <w:tcPr>
            <w:tcW w:w="878" w:type="pct"/>
            <w:vAlign w:val="center"/>
          </w:tcPr>
          <w:p w14:paraId="4C5A44D2">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冷却塔</w:t>
            </w:r>
          </w:p>
        </w:tc>
        <w:tc>
          <w:tcPr>
            <w:tcW w:w="2462" w:type="pct"/>
            <w:vAlign w:val="center"/>
          </w:tcPr>
          <w:p w14:paraId="1575295A">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《机械通风冷却塔第1部分：中小型开式冷却塔》（GB/T7190.1）；《机械通风冷却塔第2部分：大型开式冷却塔》（GB/T7190.2）</w:t>
            </w:r>
          </w:p>
        </w:tc>
      </w:tr>
      <w:tr w14:paraId="6E8F7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57" w:type="pct"/>
            <w:vAlign w:val="center"/>
          </w:tcPr>
          <w:p w14:paraId="106652A9">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7</w:t>
            </w:r>
          </w:p>
        </w:tc>
        <w:tc>
          <w:tcPr>
            <w:tcW w:w="585" w:type="pct"/>
            <w:vAlign w:val="center"/>
          </w:tcPr>
          <w:p w14:paraId="1FBFE290">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A020601电机</w:t>
            </w:r>
          </w:p>
        </w:tc>
        <w:tc>
          <w:tcPr>
            <w:tcW w:w="715" w:type="pct"/>
            <w:vAlign w:val="center"/>
          </w:tcPr>
          <w:p w14:paraId="5634F2AF">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78" w:type="pct"/>
            <w:vAlign w:val="center"/>
          </w:tcPr>
          <w:p w14:paraId="49821707">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462" w:type="pct"/>
            <w:vAlign w:val="center"/>
          </w:tcPr>
          <w:p w14:paraId="03084466">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《中小型三相异步电动机能效限定值及能效等级》（GB18613）</w:t>
            </w:r>
          </w:p>
        </w:tc>
      </w:tr>
      <w:tr w14:paraId="7B1D8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57" w:type="pct"/>
            <w:vAlign w:val="center"/>
          </w:tcPr>
          <w:p w14:paraId="7CF870E1">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8</w:t>
            </w:r>
          </w:p>
        </w:tc>
        <w:tc>
          <w:tcPr>
            <w:tcW w:w="585" w:type="pct"/>
            <w:vAlign w:val="center"/>
          </w:tcPr>
          <w:p w14:paraId="3AAF2972">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A020602变压器</w:t>
            </w:r>
          </w:p>
        </w:tc>
        <w:tc>
          <w:tcPr>
            <w:tcW w:w="715" w:type="pct"/>
            <w:vAlign w:val="center"/>
          </w:tcPr>
          <w:p w14:paraId="74AB417D">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配电变压器</w:t>
            </w:r>
          </w:p>
        </w:tc>
        <w:tc>
          <w:tcPr>
            <w:tcW w:w="878" w:type="pct"/>
            <w:vAlign w:val="center"/>
          </w:tcPr>
          <w:p w14:paraId="350FCC79">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462" w:type="pct"/>
            <w:vAlign w:val="center"/>
          </w:tcPr>
          <w:p w14:paraId="44A840EA">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《三相配电变压器能效限定值及能效等级》（GB20052）</w:t>
            </w:r>
          </w:p>
        </w:tc>
      </w:tr>
      <w:tr w14:paraId="14214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57" w:type="pct"/>
            <w:vAlign w:val="center"/>
          </w:tcPr>
          <w:p w14:paraId="533DBD59">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9</w:t>
            </w:r>
          </w:p>
        </w:tc>
        <w:tc>
          <w:tcPr>
            <w:tcW w:w="585" w:type="pct"/>
            <w:vAlign w:val="center"/>
          </w:tcPr>
          <w:p w14:paraId="0C8658F3">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★A020609镇流器</w:t>
            </w:r>
          </w:p>
        </w:tc>
        <w:tc>
          <w:tcPr>
            <w:tcW w:w="715" w:type="pct"/>
            <w:vAlign w:val="center"/>
          </w:tcPr>
          <w:p w14:paraId="45D7E3B3">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管型荧光灯镇流器</w:t>
            </w:r>
          </w:p>
        </w:tc>
        <w:tc>
          <w:tcPr>
            <w:tcW w:w="878" w:type="pct"/>
            <w:vAlign w:val="center"/>
          </w:tcPr>
          <w:p w14:paraId="32C107E6">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462" w:type="pct"/>
            <w:vAlign w:val="center"/>
          </w:tcPr>
          <w:p w14:paraId="297B5E71">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《管形荧光灯镇流器能效限定值及能效等级》（GB17896）</w:t>
            </w:r>
          </w:p>
        </w:tc>
      </w:tr>
      <w:tr w14:paraId="17FD2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57" w:type="pct"/>
            <w:vMerge w:val="restart"/>
            <w:vAlign w:val="center"/>
          </w:tcPr>
          <w:p w14:paraId="68E0CF3F">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10</w:t>
            </w:r>
          </w:p>
        </w:tc>
        <w:tc>
          <w:tcPr>
            <w:tcW w:w="585" w:type="pct"/>
            <w:vMerge w:val="restart"/>
            <w:vAlign w:val="center"/>
          </w:tcPr>
          <w:p w14:paraId="6E732107">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A020618生活用电器</w:t>
            </w:r>
          </w:p>
        </w:tc>
        <w:tc>
          <w:tcPr>
            <w:tcW w:w="715" w:type="pct"/>
            <w:vAlign w:val="center"/>
          </w:tcPr>
          <w:p w14:paraId="5560C09F">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A0206180101电冰箱</w:t>
            </w:r>
          </w:p>
        </w:tc>
        <w:tc>
          <w:tcPr>
            <w:tcW w:w="878" w:type="pct"/>
            <w:vAlign w:val="center"/>
          </w:tcPr>
          <w:p w14:paraId="229BBF74">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462" w:type="pct"/>
            <w:vAlign w:val="center"/>
          </w:tcPr>
          <w:p w14:paraId="565B7422">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《家用电冰箱耗电量限定值及能效等级》（GB 12021.2）</w:t>
            </w:r>
          </w:p>
        </w:tc>
      </w:tr>
      <w:tr w14:paraId="0B1C3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trPr>
        <w:tc>
          <w:tcPr>
            <w:tcW w:w="357" w:type="pct"/>
            <w:vMerge w:val="continue"/>
            <w:vAlign w:val="center"/>
          </w:tcPr>
          <w:p w14:paraId="142B7354">
            <w:pPr>
              <w:widowControl/>
              <w:jc w:val="left"/>
              <w:rPr>
                <w:rFonts w:ascii="宋体" w:hAnsi="宋体" w:cs="宋体"/>
                <w:color w:val="auto"/>
                <w:kern w:val="0"/>
                <w:sz w:val="20"/>
                <w:szCs w:val="20"/>
                <w:highlight w:val="none"/>
              </w:rPr>
            </w:pPr>
          </w:p>
        </w:tc>
        <w:tc>
          <w:tcPr>
            <w:tcW w:w="585" w:type="pct"/>
            <w:vMerge w:val="continue"/>
            <w:vAlign w:val="center"/>
          </w:tcPr>
          <w:p w14:paraId="3CB592EF">
            <w:pPr>
              <w:widowControl/>
              <w:jc w:val="left"/>
              <w:rPr>
                <w:rFonts w:ascii="宋体" w:hAnsi="宋体" w:cs="宋体"/>
                <w:color w:val="auto"/>
                <w:kern w:val="0"/>
                <w:sz w:val="20"/>
                <w:szCs w:val="20"/>
                <w:highlight w:val="none"/>
              </w:rPr>
            </w:pPr>
          </w:p>
        </w:tc>
        <w:tc>
          <w:tcPr>
            <w:tcW w:w="715" w:type="pct"/>
            <w:vMerge w:val="restart"/>
            <w:vAlign w:val="center"/>
          </w:tcPr>
          <w:p w14:paraId="7EEEAC8C">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★A0206180203空调机</w:t>
            </w:r>
          </w:p>
        </w:tc>
        <w:tc>
          <w:tcPr>
            <w:tcW w:w="878" w:type="pct"/>
            <w:vAlign w:val="center"/>
          </w:tcPr>
          <w:p w14:paraId="26E307AC">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房间空气调节器</w:t>
            </w:r>
          </w:p>
        </w:tc>
        <w:tc>
          <w:tcPr>
            <w:tcW w:w="2462" w:type="pct"/>
            <w:vAlign w:val="center"/>
          </w:tcPr>
          <w:p w14:paraId="44A6FEF7">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《转速可控型房间空气调节器能效限定值及能效等级》（GB21455-2013），待2019年修订发布后，按《房间空气调节器能效限定值及能效等级》（GB21455-2019实施。</w:t>
            </w:r>
          </w:p>
        </w:tc>
      </w:tr>
      <w:tr w14:paraId="4F589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357" w:type="pct"/>
            <w:vMerge w:val="continue"/>
            <w:vAlign w:val="center"/>
          </w:tcPr>
          <w:p w14:paraId="0D595D74">
            <w:pPr>
              <w:widowControl/>
              <w:jc w:val="left"/>
              <w:rPr>
                <w:rFonts w:ascii="宋体" w:hAnsi="宋体" w:cs="宋体"/>
                <w:color w:val="auto"/>
                <w:kern w:val="0"/>
                <w:sz w:val="20"/>
                <w:szCs w:val="20"/>
                <w:highlight w:val="none"/>
              </w:rPr>
            </w:pPr>
          </w:p>
        </w:tc>
        <w:tc>
          <w:tcPr>
            <w:tcW w:w="585" w:type="pct"/>
            <w:vMerge w:val="continue"/>
            <w:vAlign w:val="center"/>
          </w:tcPr>
          <w:p w14:paraId="455935D9">
            <w:pPr>
              <w:widowControl/>
              <w:jc w:val="left"/>
              <w:rPr>
                <w:rFonts w:ascii="宋体" w:hAnsi="宋体" w:cs="宋体"/>
                <w:color w:val="auto"/>
                <w:kern w:val="0"/>
                <w:sz w:val="20"/>
                <w:szCs w:val="20"/>
                <w:highlight w:val="none"/>
              </w:rPr>
            </w:pPr>
          </w:p>
        </w:tc>
        <w:tc>
          <w:tcPr>
            <w:tcW w:w="715" w:type="pct"/>
            <w:vMerge w:val="continue"/>
            <w:vAlign w:val="center"/>
          </w:tcPr>
          <w:p w14:paraId="787DC1A0">
            <w:pPr>
              <w:widowControl/>
              <w:jc w:val="left"/>
              <w:rPr>
                <w:rFonts w:ascii="宋体" w:hAnsi="宋体" w:cs="宋体"/>
                <w:color w:val="auto"/>
                <w:kern w:val="0"/>
                <w:sz w:val="20"/>
                <w:szCs w:val="20"/>
                <w:highlight w:val="none"/>
              </w:rPr>
            </w:pPr>
          </w:p>
        </w:tc>
        <w:tc>
          <w:tcPr>
            <w:tcW w:w="878" w:type="pct"/>
            <w:vAlign w:val="center"/>
          </w:tcPr>
          <w:p w14:paraId="5A36A9D9">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多联式空调（热泵）机组（制冷量≤ 14000W）</w:t>
            </w:r>
          </w:p>
        </w:tc>
        <w:tc>
          <w:tcPr>
            <w:tcW w:w="2462" w:type="pct"/>
            <w:vAlign w:val="center"/>
          </w:tcPr>
          <w:p w14:paraId="642A4EA4">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《多联式空调（热泵）机组能效限定值及能源效率等级》（GB21454）</w:t>
            </w:r>
          </w:p>
        </w:tc>
      </w:tr>
      <w:tr w14:paraId="7165D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357" w:type="pct"/>
            <w:vMerge w:val="continue"/>
            <w:vAlign w:val="center"/>
          </w:tcPr>
          <w:p w14:paraId="43D60F63">
            <w:pPr>
              <w:widowControl/>
              <w:jc w:val="left"/>
              <w:rPr>
                <w:rFonts w:ascii="宋体" w:hAnsi="宋体" w:cs="宋体"/>
                <w:color w:val="auto"/>
                <w:kern w:val="0"/>
                <w:sz w:val="20"/>
                <w:szCs w:val="20"/>
                <w:highlight w:val="none"/>
              </w:rPr>
            </w:pPr>
          </w:p>
        </w:tc>
        <w:tc>
          <w:tcPr>
            <w:tcW w:w="585" w:type="pct"/>
            <w:vMerge w:val="continue"/>
            <w:vAlign w:val="center"/>
          </w:tcPr>
          <w:p w14:paraId="7180AED0">
            <w:pPr>
              <w:widowControl/>
              <w:jc w:val="left"/>
              <w:rPr>
                <w:rFonts w:ascii="宋体" w:hAnsi="宋体" w:cs="宋体"/>
                <w:color w:val="auto"/>
                <w:kern w:val="0"/>
                <w:sz w:val="20"/>
                <w:szCs w:val="20"/>
                <w:highlight w:val="none"/>
              </w:rPr>
            </w:pPr>
          </w:p>
        </w:tc>
        <w:tc>
          <w:tcPr>
            <w:tcW w:w="715" w:type="pct"/>
            <w:vMerge w:val="continue"/>
            <w:vAlign w:val="center"/>
          </w:tcPr>
          <w:p w14:paraId="1F239BD6">
            <w:pPr>
              <w:widowControl/>
              <w:jc w:val="left"/>
              <w:rPr>
                <w:rFonts w:ascii="宋体" w:hAnsi="宋体" w:cs="宋体"/>
                <w:color w:val="auto"/>
                <w:kern w:val="0"/>
                <w:sz w:val="20"/>
                <w:szCs w:val="20"/>
                <w:highlight w:val="none"/>
              </w:rPr>
            </w:pPr>
          </w:p>
        </w:tc>
        <w:tc>
          <w:tcPr>
            <w:tcW w:w="878" w:type="pct"/>
            <w:vAlign w:val="center"/>
          </w:tcPr>
          <w:p w14:paraId="660F2E7B">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单元式空气调节机(制冷量≤14000W)</w:t>
            </w:r>
          </w:p>
        </w:tc>
        <w:tc>
          <w:tcPr>
            <w:tcW w:w="2462" w:type="pct"/>
            <w:vAlign w:val="center"/>
          </w:tcPr>
          <w:p w14:paraId="5BAFD95B">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《单元式空气调节机能效限定值及能源效率等级》（GB19576）《风管送风式空调机组能效限定值及能效等级》（GB37479）</w:t>
            </w:r>
          </w:p>
        </w:tc>
      </w:tr>
      <w:tr w14:paraId="02270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57" w:type="pct"/>
            <w:vMerge w:val="continue"/>
            <w:vAlign w:val="center"/>
          </w:tcPr>
          <w:p w14:paraId="54DC7172">
            <w:pPr>
              <w:widowControl/>
              <w:jc w:val="left"/>
              <w:rPr>
                <w:rFonts w:ascii="宋体" w:hAnsi="宋体" w:cs="宋体"/>
                <w:color w:val="auto"/>
                <w:kern w:val="0"/>
                <w:sz w:val="20"/>
                <w:szCs w:val="20"/>
                <w:highlight w:val="none"/>
              </w:rPr>
            </w:pPr>
          </w:p>
        </w:tc>
        <w:tc>
          <w:tcPr>
            <w:tcW w:w="585" w:type="pct"/>
            <w:vMerge w:val="continue"/>
            <w:vAlign w:val="center"/>
          </w:tcPr>
          <w:p w14:paraId="363D7B9D">
            <w:pPr>
              <w:widowControl/>
              <w:jc w:val="left"/>
              <w:rPr>
                <w:rFonts w:ascii="宋体" w:hAnsi="宋体" w:cs="宋体"/>
                <w:color w:val="auto"/>
                <w:kern w:val="0"/>
                <w:sz w:val="20"/>
                <w:szCs w:val="20"/>
                <w:highlight w:val="none"/>
              </w:rPr>
            </w:pPr>
          </w:p>
        </w:tc>
        <w:tc>
          <w:tcPr>
            <w:tcW w:w="715" w:type="pct"/>
            <w:vAlign w:val="center"/>
          </w:tcPr>
          <w:p w14:paraId="09CA247C">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A0206180301洗衣机</w:t>
            </w:r>
          </w:p>
        </w:tc>
        <w:tc>
          <w:tcPr>
            <w:tcW w:w="878" w:type="pct"/>
            <w:vAlign w:val="center"/>
          </w:tcPr>
          <w:p w14:paraId="6B5E230E">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462" w:type="pct"/>
            <w:vAlign w:val="center"/>
          </w:tcPr>
          <w:p w14:paraId="7D75E818">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《电动洗衣机能效水效限定值及等级》（GB12021.4）</w:t>
            </w:r>
          </w:p>
        </w:tc>
      </w:tr>
      <w:tr w14:paraId="44516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57" w:type="pct"/>
            <w:vMerge w:val="continue"/>
            <w:vAlign w:val="center"/>
          </w:tcPr>
          <w:p w14:paraId="39A271ED">
            <w:pPr>
              <w:widowControl/>
              <w:jc w:val="left"/>
              <w:rPr>
                <w:rFonts w:ascii="宋体" w:hAnsi="宋体" w:cs="宋体"/>
                <w:color w:val="auto"/>
                <w:kern w:val="0"/>
                <w:sz w:val="20"/>
                <w:szCs w:val="20"/>
                <w:highlight w:val="none"/>
              </w:rPr>
            </w:pPr>
          </w:p>
        </w:tc>
        <w:tc>
          <w:tcPr>
            <w:tcW w:w="585" w:type="pct"/>
            <w:vMerge w:val="continue"/>
            <w:vAlign w:val="center"/>
          </w:tcPr>
          <w:p w14:paraId="7C405927">
            <w:pPr>
              <w:widowControl/>
              <w:jc w:val="left"/>
              <w:rPr>
                <w:rFonts w:ascii="宋体" w:hAnsi="宋体" w:cs="宋体"/>
                <w:color w:val="auto"/>
                <w:kern w:val="0"/>
                <w:sz w:val="20"/>
                <w:szCs w:val="20"/>
                <w:highlight w:val="none"/>
              </w:rPr>
            </w:pPr>
          </w:p>
        </w:tc>
        <w:tc>
          <w:tcPr>
            <w:tcW w:w="715" w:type="pct"/>
            <w:vMerge w:val="restart"/>
            <w:vAlign w:val="center"/>
          </w:tcPr>
          <w:p w14:paraId="1BF068B6">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A02061808热水器</w:t>
            </w:r>
          </w:p>
        </w:tc>
        <w:tc>
          <w:tcPr>
            <w:tcW w:w="878" w:type="pct"/>
            <w:vAlign w:val="center"/>
          </w:tcPr>
          <w:p w14:paraId="1041CEF0">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★电热水器</w:t>
            </w:r>
          </w:p>
        </w:tc>
        <w:tc>
          <w:tcPr>
            <w:tcW w:w="2462" w:type="pct"/>
            <w:vAlign w:val="center"/>
          </w:tcPr>
          <w:p w14:paraId="0EF2C933">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《储水式电热水器能效限定值及能效等级》（GB21519）</w:t>
            </w:r>
          </w:p>
        </w:tc>
      </w:tr>
      <w:tr w14:paraId="08641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57" w:type="pct"/>
            <w:vMerge w:val="continue"/>
            <w:vAlign w:val="center"/>
          </w:tcPr>
          <w:p w14:paraId="09D25C25">
            <w:pPr>
              <w:widowControl/>
              <w:jc w:val="left"/>
              <w:rPr>
                <w:rFonts w:ascii="宋体" w:hAnsi="宋体" w:cs="宋体"/>
                <w:color w:val="auto"/>
                <w:kern w:val="0"/>
                <w:sz w:val="20"/>
                <w:szCs w:val="20"/>
                <w:highlight w:val="none"/>
              </w:rPr>
            </w:pPr>
          </w:p>
        </w:tc>
        <w:tc>
          <w:tcPr>
            <w:tcW w:w="585" w:type="pct"/>
            <w:vMerge w:val="continue"/>
            <w:vAlign w:val="center"/>
          </w:tcPr>
          <w:p w14:paraId="5590E592">
            <w:pPr>
              <w:widowControl/>
              <w:jc w:val="left"/>
              <w:rPr>
                <w:rFonts w:ascii="宋体" w:hAnsi="宋体" w:cs="宋体"/>
                <w:color w:val="auto"/>
                <w:kern w:val="0"/>
                <w:sz w:val="20"/>
                <w:szCs w:val="20"/>
                <w:highlight w:val="none"/>
              </w:rPr>
            </w:pPr>
          </w:p>
        </w:tc>
        <w:tc>
          <w:tcPr>
            <w:tcW w:w="715" w:type="pct"/>
            <w:vMerge w:val="continue"/>
            <w:vAlign w:val="center"/>
          </w:tcPr>
          <w:p w14:paraId="15A06221">
            <w:pPr>
              <w:widowControl/>
              <w:jc w:val="left"/>
              <w:rPr>
                <w:rFonts w:ascii="宋体" w:hAnsi="宋体" w:cs="宋体"/>
                <w:color w:val="auto"/>
                <w:kern w:val="0"/>
                <w:sz w:val="20"/>
                <w:szCs w:val="20"/>
                <w:highlight w:val="none"/>
              </w:rPr>
            </w:pPr>
          </w:p>
        </w:tc>
        <w:tc>
          <w:tcPr>
            <w:tcW w:w="878" w:type="pct"/>
            <w:vAlign w:val="center"/>
          </w:tcPr>
          <w:p w14:paraId="18874AFF">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燃气热水器</w:t>
            </w:r>
          </w:p>
        </w:tc>
        <w:tc>
          <w:tcPr>
            <w:tcW w:w="2462" w:type="pct"/>
            <w:vAlign w:val="center"/>
          </w:tcPr>
          <w:p w14:paraId="63D683D1">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《家用燃气快速热水器和燃气采暖热水炉能效限定值及能效等级》（GB20665）</w:t>
            </w:r>
          </w:p>
        </w:tc>
      </w:tr>
      <w:tr w14:paraId="42F58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57" w:type="pct"/>
            <w:vMerge w:val="continue"/>
            <w:vAlign w:val="center"/>
          </w:tcPr>
          <w:p w14:paraId="4894E1E6">
            <w:pPr>
              <w:widowControl/>
              <w:jc w:val="left"/>
              <w:rPr>
                <w:rFonts w:ascii="宋体" w:hAnsi="宋体" w:cs="宋体"/>
                <w:color w:val="auto"/>
                <w:kern w:val="0"/>
                <w:sz w:val="20"/>
                <w:szCs w:val="20"/>
                <w:highlight w:val="none"/>
              </w:rPr>
            </w:pPr>
          </w:p>
        </w:tc>
        <w:tc>
          <w:tcPr>
            <w:tcW w:w="585" w:type="pct"/>
            <w:vMerge w:val="continue"/>
            <w:vAlign w:val="center"/>
          </w:tcPr>
          <w:p w14:paraId="287A89A2">
            <w:pPr>
              <w:widowControl/>
              <w:jc w:val="left"/>
              <w:rPr>
                <w:rFonts w:ascii="宋体" w:hAnsi="宋体" w:cs="宋体"/>
                <w:color w:val="auto"/>
                <w:kern w:val="0"/>
                <w:sz w:val="20"/>
                <w:szCs w:val="20"/>
                <w:highlight w:val="none"/>
              </w:rPr>
            </w:pPr>
          </w:p>
        </w:tc>
        <w:tc>
          <w:tcPr>
            <w:tcW w:w="715" w:type="pct"/>
            <w:vMerge w:val="continue"/>
            <w:vAlign w:val="center"/>
          </w:tcPr>
          <w:p w14:paraId="794019CE">
            <w:pPr>
              <w:widowControl/>
              <w:jc w:val="left"/>
              <w:rPr>
                <w:rFonts w:ascii="宋体" w:hAnsi="宋体" w:cs="宋体"/>
                <w:color w:val="auto"/>
                <w:kern w:val="0"/>
                <w:sz w:val="20"/>
                <w:szCs w:val="20"/>
                <w:highlight w:val="none"/>
              </w:rPr>
            </w:pPr>
          </w:p>
        </w:tc>
        <w:tc>
          <w:tcPr>
            <w:tcW w:w="878" w:type="pct"/>
            <w:vAlign w:val="center"/>
          </w:tcPr>
          <w:p w14:paraId="31CF5FCD">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热泵热水器</w:t>
            </w:r>
          </w:p>
        </w:tc>
        <w:tc>
          <w:tcPr>
            <w:tcW w:w="2462" w:type="pct"/>
            <w:vAlign w:val="center"/>
          </w:tcPr>
          <w:p w14:paraId="2640E81F">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《热泵热水机（器）能效限定值及能效等级》（GB29541）</w:t>
            </w:r>
          </w:p>
        </w:tc>
      </w:tr>
      <w:tr w14:paraId="7DEBA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57" w:type="pct"/>
            <w:vMerge w:val="continue"/>
            <w:vAlign w:val="center"/>
          </w:tcPr>
          <w:p w14:paraId="52ECED37">
            <w:pPr>
              <w:widowControl/>
              <w:jc w:val="left"/>
              <w:rPr>
                <w:rFonts w:ascii="宋体" w:hAnsi="宋体" w:cs="宋体"/>
                <w:color w:val="auto"/>
                <w:kern w:val="0"/>
                <w:sz w:val="20"/>
                <w:szCs w:val="20"/>
                <w:highlight w:val="none"/>
              </w:rPr>
            </w:pPr>
          </w:p>
        </w:tc>
        <w:tc>
          <w:tcPr>
            <w:tcW w:w="585" w:type="pct"/>
            <w:vMerge w:val="continue"/>
            <w:vAlign w:val="center"/>
          </w:tcPr>
          <w:p w14:paraId="0F164BBB">
            <w:pPr>
              <w:widowControl/>
              <w:jc w:val="left"/>
              <w:rPr>
                <w:rFonts w:ascii="宋体" w:hAnsi="宋体" w:cs="宋体"/>
                <w:color w:val="auto"/>
                <w:kern w:val="0"/>
                <w:sz w:val="20"/>
                <w:szCs w:val="20"/>
                <w:highlight w:val="none"/>
              </w:rPr>
            </w:pPr>
          </w:p>
        </w:tc>
        <w:tc>
          <w:tcPr>
            <w:tcW w:w="715" w:type="pct"/>
            <w:vMerge w:val="continue"/>
            <w:vAlign w:val="center"/>
          </w:tcPr>
          <w:p w14:paraId="34C6D159">
            <w:pPr>
              <w:widowControl/>
              <w:jc w:val="left"/>
              <w:rPr>
                <w:rFonts w:ascii="宋体" w:hAnsi="宋体" w:cs="宋体"/>
                <w:color w:val="auto"/>
                <w:kern w:val="0"/>
                <w:sz w:val="20"/>
                <w:szCs w:val="20"/>
                <w:highlight w:val="none"/>
              </w:rPr>
            </w:pPr>
          </w:p>
        </w:tc>
        <w:tc>
          <w:tcPr>
            <w:tcW w:w="878" w:type="pct"/>
            <w:vAlign w:val="center"/>
          </w:tcPr>
          <w:p w14:paraId="461949D1">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太阳能热水系统</w:t>
            </w:r>
          </w:p>
        </w:tc>
        <w:tc>
          <w:tcPr>
            <w:tcW w:w="2462" w:type="pct"/>
            <w:vAlign w:val="center"/>
          </w:tcPr>
          <w:p w14:paraId="043ADC6A">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《家用太阳能热水系统能效限定值及能效等级》（GB26969）</w:t>
            </w:r>
          </w:p>
        </w:tc>
      </w:tr>
      <w:tr w14:paraId="15237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57" w:type="pct"/>
            <w:vMerge w:val="restart"/>
            <w:vAlign w:val="center"/>
          </w:tcPr>
          <w:p w14:paraId="162C344B">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11</w:t>
            </w:r>
          </w:p>
        </w:tc>
        <w:tc>
          <w:tcPr>
            <w:tcW w:w="585" w:type="pct"/>
            <w:vMerge w:val="restart"/>
            <w:vAlign w:val="center"/>
          </w:tcPr>
          <w:p w14:paraId="44F42560">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A020619照明设备</w:t>
            </w:r>
          </w:p>
        </w:tc>
        <w:tc>
          <w:tcPr>
            <w:tcW w:w="715" w:type="pct"/>
            <w:vAlign w:val="center"/>
          </w:tcPr>
          <w:p w14:paraId="43D748E6">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★普通照明用双端荧光灯</w:t>
            </w:r>
          </w:p>
        </w:tc>
        <w:tc>
          <w:tcPr>
            <w:tcW w:w="878" w:type="pct"/>
            <w:vAlign w:val="center"/>
          </w:tcPr>
          <w:p w14:paraId="04A12130">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462" w:type="pct"/>
            <w:vAlign w:val="center"/>
          </w:tcPr>
          <w:p w14:paraId="5D8415AB">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《普通照明用双端荧光灯能效限定值及能效等级》（GB19043）</w:t>
            </w:r>
          </w:p>
        </w:tc>
      </w:tr>
      <w:tr w14:paraId="5D026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57" w:type="pct"/>
            <w:vMerge w:val="continue"/>
            <w:vAlign w:val="center"/>
          </w:tcPr>
          <w:p w14:paraId="5093B9A9">
            <w:pPr>
              <w:widowControl/>
              <w:jc w:val="left"/>
              <w:rPr>
                <w:rFonts w:ascii="宋体" w:hAnsi="宋体" w:cs="宋体"/>
                <w:color w:val="auto"/>
                <w:kern w:val="0"/>
                <w:sz w:val="20"/>
                <w:szCs w:val="20"/>
                <w:highlight w:val="none"/>
              </w:rPr>
            </w:pPr>
          </w:p>
        </w:tc>
        <w:tc>
          <w:tcPr>
            <w:tcW w:w="585" w:type="pct"/>
            <w:vMerge w:val="continue"/>
            <w:vAlign w:val="center"/>
          </w:tcPr>
          <w:p w14:paraId="153A5BE9">
            <w:pPr>
              <w:widowControl/>
              <w:jc w:val="left"/>
              <w:rPr>
                <w:rFonts w:ascii="宋体" w:hAnsi="宋体" w:cs="宋体"/>
                <w:color w:val="auto"/>
                <w:kern w:val="0"/>
                <w:sz w:val="20"/>
                <w:szCs w:val="20"/>
                <w:highlight w:val="none"/>
              </w:rPr>
            </w:pPr>
          </w:p>
        </w:tc>
        <w:tc>
          <w:tcPr>
            <w:tcW w:w="715" w:type="pct"/>
            <w:vAlign w:val="center"/>
          </w:tcPr>
          <w:p w14:paraId="27A3505A">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LED道路/隧道照明产品</w:t>
            </w:r>
          </w:p>
        </w:tc>
        <w:tc>
          <w:tcPr>
            <w:tcW w:w="878" w:type="pct"/>
            <w:vAlign w:val="center"/>
          </w:tcPr>
          <w:p w14:paraId="2B9C0698">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462" w:type="pct"/>
            <w:vAlign w:val="center"/>
          </w:tcPr>
          <w:p w14:paraId="236F9999">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《道路和隧道照明用LED灯具能效限定值及能效等级》（GB37478）</w:t>
            </w:r>
          </w:p>
        </w:tc>
      </w:tr>
      <w:tr w14:paraId="73057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57" w:type="pct"/>
            <w:vMerge w:val="continue"/>
            <w:vAlign w:val="center"/>
          </w:tcPr>
          <w:p w14:paraId="5D09402F">
            <w:pPr>
              <w:widowControl/>
              <w:jc w:val="left"/>
              <w:rPr>
                <w:rFonts w:ascii="宋体" w:hAnsi="宋体" w:cs="宋体"/>
                <w:color w:val="auto"/>
                <w:kern w:val="0"/>
                <w:sz w:val="20"/>
                <w:szCs w:val="20"/>
                <w:highlight w:val="none"/>
              </w:rPr>
            </w:pPr>
          </w:p>
        </w:tc>
        <w:tc>
          <w:tcPr>
            <w:tcW w:w="585" w:type="pct"/>
            <w:vMerge w:val="continue"/>
            <w:vAlign w:val="center"/>
          </w:tcPr>
          <w:p w14:paraId="7676766B">
            <w:pPr>
              <w:widowControl/>
              <w:jc w:val="left"/>
              <w:rPr>
                <w:rFonts w:ascii="宋体" w:hAnsi="宋体" w:cs="宋体"/>
                <w:color w:val="auto"/>
                <w:kern w:val="0"/>
                <w:sz w:val="20"/>
                <w:szCs w:val="20"/>
                <w:highlight w:val="none"/>
              </w:rPr>
            </w:pPr>
          </w:p>
        </w:tc>
        <w:tc>
          <w:tcPr>
            <w:tcW w:w="715" w:type="pct"/>
            <w:vAlign w:val="center"/>
          </w:tcPr>
          <w:p w14:paraId="6B7A99B8">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LED筒灯</w:t>
            </w:r>
          </w:p>
        </w:tc>
        <w:tc>
          <w:tcPr>
            <w:tcW w:w="878" w:type="pct"/>
            <w:vAlign w:val="center"/>
          </w:tcPr>
          <w:p w14:paraId="18B41498">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462" w:type="pct"/>
            <w:vAlign w:val="center"/>
          </w:tcPr>
          <w:p w14:paraId="07A08A51">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《室内照明用LED产品能效限定值及能效等级》（GB30255）</w:t>
            </w:r>
          </w:p>
        </w:tc>
      </w:tr>
      <w:tr w14:paraId="4BAAE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357" w:type="pct"/>
            <w:vMerge w:val="continue"/>
            <w:vAlign w:val="center"/>
          </w:tcPr>
          <w:p w14:paraId="7EE854F2">
            <w:pPr>
              <w:widowControl/>
              <w:jc w:val="left"/>
              <w:rPr>
                <w:rFonts w:ascii="宋体" w:hAnsi="宋体" w:cs="宋体"/>
                <w:color w:val="auto"/>
                <w:kern w:val="0"/>
                <w:sz w:val="20"/>
                <w:szCs w:val="20"/>
                <w:highlight w:val="none"/>
              </w:rPr>
            </w:pPr>
          </w:p>
        </w:tc>
        <w:tc>
          <w:tcPr>
            <w:tcW w:w="585" w:type="pct"/>
            <w:vMerge w:val="continue"/>
            <w:vAlign w:val="center"/>
          </w:tcPr>
          <w:p w14:paraId="0E7E827A">
            <w:pPr>
              <w:widowControl/>
              <w:jc w:val="left"/>
              <w:rPr>
                <w:rFonts w:ascii="宋体" w:hAnsi="宋体" w:cs="宋体"/>
                <w:color w:val="auto"/>
                <w:kern w:val="0"/>
                <w:sz w:val="20"/>
                <w:szCs w:val="20"/>
                <w:highlight w:val="none"/>
              </w:rPr>
            </w:pPr>
          </w:p>
        </w:tc>
        <w:tc>
          <w:tcPr>
            <w:tcW w:w="715" w:type="pct"/>
            <w:vAlign w:val="center"/>
          </w:tcPr>
          <w:p w14:paraId="098776FE">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普通照明用非定向自镇流LED灯</w:t>
            </w:r>
          </w:p>
        </w:tc>
        <w:tc>
          <w:tcPr>
            <w:tcW w:w="878" w:type="pct"/>
            <w:vAlign w:val="center"/>
          </w:tcPr>
          <w:p w14:paraId="3765764F">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462" w:type="pct"/>
            <w:vAlign w:val="center"/>
          </w:tcPr>
          <w:p w14:paraId="09D4DAE4">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《室内照明用LED产品能效限定值及能效等级》（GB30255）</w:t>
            </w:r>
          </w:p>
        </w:tc>
      </w:tr>
      <w:tr w14:paraId="6D3B1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357" w:type="pct"/>
            <w:vAlign w:val="center"/>
          </w:tcPr>
          <w:p w14:paraId="7C2CCB9F">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12</w:t>
            </w:r>
          </w:p>
        </w:tc>
        <w:tc>
          <w:tcPr>
            <w:tcW w:w="585" w:type="pct"/>
            <w:vAlign w:val="center"/>
          </w:tcPr>
          <w:p w14:paraId="324851EF">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★A020910电视设备</w:t>
            </w:r>
          </w:p>
        </w:tc>
        <w:tc>
          <w:tcPr>
            <w:tcW w:w="715" w:type="pct"/>
            <w:vAlign w:val="center"/>
          </w:tcPr>
          <w:p w14:paraId="507B2207">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A02091001普通电视设备（电视机）</w:t>
            </w:r>
          </w:p>
        </w:tc>
        <w:tc>
          <w:tcPr>
            <w:tcW w:w="878" w:type="pct"/>
            <w:vAlign w:val="center"/>
          </w:tcPr>
          <w:p w14:paraId="5846805F">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462" w:type="pct"/>
            <w:vAlign w:val="center"/>
          </w:tcPr>
          <w:p w14:paraId="7FF729C9">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《平板电视能效限定值及能效等级》（GB24850）</w:t>
            </w:r>
          </w:p>
        </w:tc>
      </w:tr>
      <w:tr w14:paraId="27BF0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trPr>
        <w:tc>
          <w:tcPr>
            <w:tcW w:w="357" w:type="pct"/>
            <w:vAlign w:val="center"/>
          </w:tcPr>
          <w:p w14:paraId="5593B343">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13</w:t>
            </w:r>
          </w:p>
        </w:tc>
        <w:tc>
          <w:tcPr>
            <w:tcW w:w="585" w:type="pct"/>
            <w:vAlign w:val="center"/>
          </w:tcPr>
          <w:p w14:paraId="5673B908">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★A020911视频设备</w:t>
            </w:r>
          </w:p>
        </w:tc>
        <w:tc>
          <w:tcPr>
            <w:tcW w:w="715" w:type="pct"/>
            <w:vAlign w:val="center"/>
          </w:tcPr>
          <w:p w14:paraId="152A781A">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A02091107视频监控设备</w:t>
            </w:r>
          </w:p>
        </w:tc>
        <w:tc>
          <w:tcPr>
            <w:tcW w:w="878" w:type="pct"/>
            <w:vAlign w:val="center"/>
          </w:tcPr>
          <w:p w14:paraId="13131708">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监视器</w:t>
            </w:r>
          </w:p>
        </w:tc>
        <w:tc>
          <w:tcPr>
            <w:tcW w:w="2462" w:type="pct"/>
            <w:vAlign w:val="center"/>
          </w:tcPr>
          <w:p w14:paraId="587B43B0">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以射频信号为主要信号输入的监视器应符合《平板电视能效限定值及能效等级》（GB24850），以数字信号为主要信号输入的监视器应符合《计算机显示器能效限定值及能效等级》（GB21520）</w:t>
            </w:r>
          </w:p>
        </w:tc>
      </w:tr>
      <w:tr w14:paraId="21912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57" w:type="pct"/>
            <w:vAlign w:val="center"/>
          </w:tcPr>
          <w:p w14:paraId="0E08B2AD">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14</w:t>
            </w:r>
          </w:p>
        </w:tc>
        <w:tc>
          <w:tcPr>
            <w:tcW w:w="585" w:type="pct"/>
            <w:vAlign w:val="center"/>
          </w:tcPr>
          <w:p w14:paraId="249E5F6B">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A031210饮食炊事机械</w:t>
            </w:r>
          </w:p>
        </w:tc>
        <w:tc>
          <w:tcPr>
            <w:tcW w:w="715" w:type="pct"/>
            <w:vAlign w:val="center"/>
          </w:tcPr>
          <w:p w14:paraId="761B3013">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商用燃气灶具</w:t>
            </w:r>
          </w:p>
        </w:tc>
        <w:tc>
          <w:tcPr>
            <w:tcW w:w="878" w:type="pct"/>
            <w:vAlign w:val="center"/>
          </w:tcPr>
          <w:p w14:paraId="60A30703">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462" w:type="pct"/>
            <w:vAlign w:val="center"/>
          </w:tcPr>
          <w:p w14:paraId="391EAEAB">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《商用燃气灶具能效限定值及能效等级》（GB30531）</w:t>
            </w:r>
          </w:p>
        </w:tc>
      </w:tr>
      <w:tr w14:paraId="2B0CA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57" w:type="pct"/>
            <w:vMerge w:val="restart"/>
            <w:vAlign w:val="center"/>
          </w:tcPr>
          <w:p w14:paraId="61DB6AF4">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15</w:t>
            </w:r>
          </w:p>
        </w:tc>
        <w:tc>
          <w:tcPr>
            <w:tcW w:w="585" w:type="pct"/>
            <w:vMerge w:val="restart"/>
            <w:vAlign w:val="center"/>
          </w:tcPr>
          <w:p w14:paraId="3CF4799B">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★A060805便器</w:t>
            </w:r>
          </w:p>
        </w:tc>
        <w:tc>
          <w:tcPr>
            <w:tcW w:w="715" w:type="pct"/>
            <w:vAlign w:val="center"/>
          </w:tcPr>
          <w:p w14:paraId="739C13B4">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坐便器</w:t>
            </w:r>
          </w:p>
        </w:tc>
        <w:tc>
          <w:tcPr>
            <w:tcW w:w="878" w:type="pct"/>
            <w:vAlign w:val="center"/>
          </w:tcPr>
          <w:p w14:paraId="59E797C0">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462" w:type="pct"/>
            <w:vAlign w:val="center"/>
          </w:tcPr>
          <w:p w14:paraId="45D72FB8">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《坐便器水效限定值及水效等级》（GB25502）</w:t>
            </w:r>
          </w:p>
        </w:tc>
      </w:tr>
      <w:tr w14:paraId="78A5F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57" w:type="pct"/>
            <w:vMerge w:val="continue"/>
            <w:vAlign w:val="center"/>
          </w:tcPr>
          <w:p w14:paraId="40A3362A">
            <w:pPr>
              <w:widowControl/>
              <w:jc w:val="left"/>
              <w:rPr>
                <w:rFonts w:ascii="宋体" w:hAnsi="宋体" w:cs="宋体"/>
                <w:color w:val="auto"/>
                <w:kern w:val="0"/>
                <w:sz w:val="20"/>
                <w:szCs w:val="20"/>
                <w:highlight w:val="none"/>
              </w:rPr>
            </w:pPr>
          </w:p>
        </w:tc>
        <w:tc>
          <w:tcPr>
            <w:tcW w:w="585" w:type="pct"/>
            <w:vMerge w:val="continue"/>
            <w:vAlign w:val="center"/>
          </w:tcPr>
          <w:p w14:paraId="35C131E6">
            <w:pPr>
              <w:widowControl/>
              <w:jc w:val="left"/>
              <w:rPr>
                <w:rFonts w:ascii="宋体" w:hAnsi="宋体" w:cs="宋体"/>
                <w:color w:val="auto"/>
                <w:kern w:val="0"/>
                <w:sz w:val="20"/>
                <w:szCs w:val="20"/>
                <w:highlight w:val="none"/>
              </w:rPr>
            </w:pPr>
          </w:p>
        </w:tc>
        <w:tc>
          <w:tcPr>
            <w:tcW w:w="715" w:type="pct"/>
            <w:vAlign w:val="center"/>
          </w:tcPr>
          <w:p w14:paraId="7C61DA39">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蹲便器</w:t>
            </w:r>
          </w:p>
        </w:tc>
        <w:tc>
          <w:tcPr>
            <w:tcW w:w="878" w:type="pct"/>
            <w:vAlign w:val="center"/>
          </w:tcPr>
          <w:p w14:paraId="7EB23224">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462" w:type="pct"/>
            <w:vAlign w:val="center"/>
          </w:tcPr>
          <w:p w14:paraId="7E0A8DC5">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《蹲便器用水效率限定值及用水效率等级》（GB30717）</w:t>
            </w:r>
          </w:p>
        </w:tc>
      </w:tr>
      <w:tr w14:paraId="431B0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57" w:type="pct"/>
            <w:vMerge w:val="continue"/>
            <w:vAlign w:val="center"/>
          </w:tcPr>
          <w:p w14:paraId="0C8291B7">
            <w:pPr>
              <w:widowControl/>
              <w:jc w:val="left"/>
              <w:rPr>
                <w:rFonts w:ascii="宋体" w:hAnsi="宋体" w:cs="宋体"/>
                <w:color w:val="auto"/>
                <w:kern w:val="0"/>
                <w:sz w:val="20"/>
                <w:szCs w:val="20"/>
                <w:highlight w:val="none"/>
              </w:rPr>
            </w:pPr>
          </w:p>
        </w:tc>
        <w:tc>
          <w:tcPr>
            <w:tcW w:w="585" w:type="pct"/>
            <w:vMerge w:val="continue"/>
            <w:vAlign w:val="center"/>
          </w:tcPr>
          <w:p w14:paraId="19FD6E49">
            <w:pPr>
              <w:widowControl/>
              <w:jc w:val="left"/>
              <w:rPr>
                <w:rFonts w:ascii="宋体" w:hAnsi="宋体" w:cs="宋体"/>
                <w:color w:val="auto"/>
                <w:kern w:val="0"/>
                <w:sz w:val="20"/>
                <w:szCs w:val="20"/>
                <w:highlight w:val="none"/>
              </w:rPr>
            </w:pPr>
          </w:p>
        </w:tc>
        <w:tc>
          <w:tcPr>
            <w:tcW w:w="715" w:type="pct"/>
            <w:vAlign w:val="center"/>
          </w:tcPr>
          <w:p w14:paraId="25CE6E55">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小便器</w:t>
            </w:r>
          </w:p>
        </w:tc>
        <w:tc>
          <w:tcPr>
            <w:tcW w:w="878" w:type="pct"/>
            <w:vAlign w:val="center"/>
          </w:tcPr>
          <w:p w14:paraId="1AE9D8F4">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462" w:type="pct"/>
            <w:vAlign w:val="center"/>
          </w:tcPr>
          <w:p w14:paraId="7C83080E">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《小便器用水效率限定值及用水效率等级》（GB28377）</w:t>
            </w:r>
          </w:p>
        </w:tc>
      </w:tr>
      <w:tr w14:paraId="44CB5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57" w:type="pct"/>
            <w:vAlign w:val="center"/>
          </w:tcPr>
          <w:p w14:paraId="176C8C00">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16</w:t>
            </w:r>
          </w:p>
        </w:tc>
        <w:tc>
          <w:tcPr>
            <w:tcW w:w="585" w:type="pct"/>
            <w:vAlign w:val="center"/>
          </w:tcPr>
          <w:p w14:paraId="0A5D68B3">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★A060806水嘴</w:t>
            </w:r>
          </w:p>
        </w:tc>
        <w:tc>
          <w:tcPr>
            <w:tcW w:w="715" w:type="pct"/>
            <w:vAlign w:val="center"/>
          </w:tcPr>
          <w:p w14:paraId="44525A1D">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78" w:type="pct"/>
            <w:vAlign w:val="center"/>
          </w:tcPr>
          <w:p w14:paraId="251E1D3C">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462" w:type="pct"/>
            <w:vAlign w:val="center"/>
          </w:tcPr>
          <w:p w14:paraId="2971E608">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《水嘴用水效率限定值及用水效率等级》（GB 25501）</w:t>
            </w:r>
          </w:p>
        </w:tc>
      </w:tr>
      <w:tr w14:paraId="46D34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57" w:type="pct"/>
            <w:vAlign w:val="center"/>
          </w:tcPr>
          <w:p w14:paraId="67E38C90">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17</w:t>
            </w:r>
          </w:p>
        </w:tc>
        <w:tc>
          <w:tcPr>
            <w:tcW w:w="585" w:type="pct"/>
            <w:vAlign w:val="center"/>
          </w:tcPr>
          <w:p w14:paraId="426135F4">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A060807便器冲洗阀</w:t>
            </w:r>
          </w:p>
        </w:tc>
        <w:tc>
          <w:tcPr>
            <w:tcW w:w="715" w:type="pct"/>
            <w:vAlign w:val="center"/>
          </w:tcPr>
          <w:p w14:paraId="51EB8610">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78" w:type="pct"/>
            <w:vAlign w:val="center"/>
          </w:tcPr>
          <w:p w14:paraId="351B9902">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462" w:type="pct"/>
            <w:vAlign w:val="center"/>
          </w:tcPr>
          <w:p w14:paraId="271D4ACC">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《便器冲洗阀用水效率限定值及用水效率等级》（GB28379）</w:t>
            </w:r>
          </w:p>
        </w:tc>
      </w:tr>
      <w:tr w14:paraId="2D742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57" w:type="pct"/>
            <w:vAlign w:val="center"/>
          </w:tcPr>
          <w:p w14:paraId="3B93B53A">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18</w:t>
            </w:r>
          </w:p>
        </w:tc>
        <w:tc>
          <w:tcPr>
            <w:tcW w:w="585" w:type="pct"/>
            <w:vAlign w:val="center"/>
          </w:tcPr>
          <w:p w14:paraId="26EDD79A">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A060810淋浴器</w:t>
            </w:r>
          </w:p>
        </w:tc>
        <w:tc>
          <w:tcPr>
            <w:tcW w:w="715" w:type="pct"/>
            <w:vAlign w:val="center"/>
          </w:tcPr>
          <w:p w14:paraId="5ECC8C5E">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78" w:type="pct"/>
            <w:vAlign w:val="center"/>
          </w:tcPr>
          <w:p w14:paraId="2E98D738">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462" w:type="pct"/>
            <w:vAlign w:val="center"/>
          </w:tcPr>
          <w:p w14:paraId="4CAD79A8">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《淋浴器用水效率限定值及用水效率等级》（GB28378）</w:t>
            </w:r>
          </w:p>
        </w:tc>
      </w:tr>
    </w:tbl>
    <w:p w14:paraId="21BA57B4">
      <w:pPr>
        <w:pStyle w:val="9"/>
        <w:rPr>
          <w:color w:val="auto"/>
          <w:highlight w:val="none"/>
        </w:rPr>
      </w:pPr>
    </w:p>
    <w:p w14:paraId="2A4F4110">
      <w:pPr>
        <w:pStyle w:val="9"/>
        <w:spacing w:line="300" w:lineRule="exact"/>
        <w:rPr>
          <w:rFonts w:ascii="Arial Unicode MS" w:hAnsi="Arial Unicode MS" w:eastAsia="Arial Unicode MS" w:cs="Arial Unicode MS"/>
          <w:color w:val="auto"/>
          <w:sz w:val="30"/>
          <w:szCs w:val="30"/>
          <w:highlight w:val="none"/>
        </w:rPr>
      </w:pPr>
      <w:r>
        <w:rPr>
          <w:rFonts w:hint="eastAsia"/>
          <w:color w:val="auto"/>
          <w:spacing w:val="-3"/>
          <w:szCs w:val="21"/>
          <w:highlight w:val="none"/>
        </w:rPr>
        <w:t>注：</w:t>
      </w:r>
      <w:r>
        <w:rPr>
          <w:color w:val="auto"/>
          <w:spacing w:val="-3"/>
          <w:szCs w:val="21"/>
          <w:highlight w:val="none"/>
        </w:rPr>
        <w:t>1.</w:t>
      </w:r>
      <w:r>
        <w:rPr>
          <w:rFonts w:hint="eastAsia"/>
          <w:color w:val="auto"/>
          <w:spacing w:val="-3"/>
          <w:szCs w:val="21"/>
          <w:highlight w:val="none"/>
        </w:rPr>
        <w:t>节能产品认证应依据相关国家标准的最新版本，依据国家标准中二级能效（水效）</w:t>
      </w:r>
      <w:r>
        <w:rPr>
          <w:rFonts w:hint="eastAsia"/>
          <w:color w:val="auto"/>
          <w:szCs w:val="21"/>
          <w:highlight w:val="none"/>
        </w:rPr>
        <w:t>指标</w:t>
      </w:r>
      <w:r>
        <w:rPr>
          <w:rFonts w:hint="eastAsia" w:hAnsi="宋体"/>
          <w:color w:val="auto"/>
          <w:highlight w:val="none"/>
        </w:rPr>
        <w:t xml:space="preserve"> </w:t>
      </w:r>
      <w:r>
        <w:rPr>
          <w:rFonts w:hint="eastAsia"/>
          <w:color w:val="auto"/>
          <w:highlight w:val="none"/>
        </w:rPr>
        <w:t>2.以</w:t>
      </w:r>
      <w:r>
        <w:rPr>
          <w:color w:val="auto"/>
          <w:highlight w:val="none"/>
        </w:rPr>
        <w:t>“</w:t>
      </w:r>
      <w:r>
        <w:rPr>
          <w:rFonts w:hint="eastAsia"/>
          <w:color w:val="auto"/>
          <w:highlight w:val="none"/>
        </w:rPr>
        <w:t>★</w:t>
      </w:r>
      <w:r>
        <w:rPr>
          <w:color w:val="auto"/>
          <w:highlight w:val="none"/>
        </w:rPr>
        <w:t>”</w:t>
      </w:r>
      <w:r>
        <w:rPr>
          <w:rFonts w:hint="eastAsia"/>
          <w:color w:val="auto"/>
          <w:highlight w:val="none"/>
        </w:rPr>
        <w:t>标注的为政府强制采购产品。</w:t>
      </w:r>
      <w:r>
        <w:rPr>
          <w:rFonts w:hint="eastAsia"/>
          <w:color w:val="auto"/>
          <w:highlight w:val="none"/>
        </w:rPr>
        <w:br w:type="page"/>
      </w:r>
      <w:r>
        <w:rPr>
          <w:rFonts w:hint="eastAsia" w:ascii="微软雅黑" w:hAnsi="微软雅黑" w:eastAsia="微软雅黑" w:cs="微软雅黑"/>
          <w:color w:val="auto"/>
          <w:sz w:val="30"/>
          <w:szCs w:val="30"/>
          <w:highlight w:val="none"/>
        </w:rPr>
        <w:t>附件</w:t>
      </w:r>
      <w:r>
        <w:rPr>
          <w:rFonts w:ascii="Arial Unicode MS" w:hAnsi="Arial Unicode MS" w:eastAsia="Arial Unicode MS" w:cs="Arial Unicode MS"/>
          <w:color w:val="auto"/>
          <w:sz w:val="30"/>
          <w:szCs w:val="30"/>
          <w:highlight w:val="none"/>
        </w:rPr>
        <w:t>2</w:t>
      </w:r>
      <w:r>
        <w:rPr>
          <w:rFonts w:hint="eastAsia" w:ascii="微软雅黑" w:hAnsi="微软雅黑" w:eastAsia="微软雅黑" w:cs="微软雅黑"/>
          <w:color w:val="auto"/>
          <w:sz w:val="30"/>
          <w:szCs w:val="30"/>
          <w:highlight w:val="none"/>
        </w:rPr>
        <w:t>：</w:t>
      </w:r>
    </w:p>
    <w:p w14:paraId="372DC0EB">
      <w:pPr>
        <w:spacing w:line="300" w:lineRule="exact"/>
        <w:jc w:val="center"/>
        <w:rPr>
          <w:rFonts w:ascii="微软雅黑" w:hAnsi="微软雅黑" w:eastAsia="微软雅黑" w:cs="微软雅黑"/>
          <w:color w:val="auto"/>
          <w:sz w:val="30"/>
          <w:szCs w:val="30"/>
          <w:highlight w:val="none"/>
        </w:rPr>
      </w:pPr>
      <w:r>
        <w:rPr>
          <w:rFonts w:hint="eastAsia" w:ascii="微软雅黑" w:hAnsi="微软雅黑" w:eastAsia="微软雅黑" w:cs="微软雅黑"/>
          <w:color w:val="auto"/>
          <w:sz w:val="30"/>
          <w:szCs w:val="30"/>
          <w:highlight w:val="none"/>
        </w:rPr>
        <w:t>中小微企业划型标准</w:t>
      </w:r>
    </w:p>
    <w:tbl>
      <w:tblPr>
        <w:tblStyle w:val="23"/>
        <w:tblpPr w:leftFromText="180" w:rightFromText="180" w:vertAnchor="text" w:horzAnchor="page" w:tblpX="1417" w:tblpY="451"/>
        <w:tblOverlap w:val="never"/>
        <w:tblW w:w="4998" w:type="pct"/>
        <w:tblInd w:w="0" w:type="dxa"/>
        <w:tblLayout w:type="autofit"/>
        <w:tblCellMar>
          <w:top w:w="0" w:type="dxa"/>
          <w:left w:w="108" w:type="dxa"/>
          <w:bottom w:w="0" w:type="dxa"/>
          <w:right w:w="108" w:type="dxa"/>
        </w:tblCellMar>
      </w:tblPr>
      <w:tblGrid>
        <w:gridCol w:w="1941"/>
        <w:gridCol w:w="1941"/>
        <w:gridCol w:w="831"/>
        <w:gridCol w:w="1803"/>
        <w:gridCol w:w="1664"/>
        <w:gridCol w:w="1109"/>
      </w:tblGrid>
      <w:tr w14:paraId="7C487AD3">
        <w:tblPrEx>
          <w:tblCellMar>
            <w:top w:w="0" w:type="dxa"/>
            <w:left w:w="108" w:type="dxa"/>
            <w:bottom w:w="0" w:type="dxa"/>
            <w:right w:w="108" w:type="dxa"/>
          </w:tblCellMar>
        </w:tblPrEx>
        <w:trPr>
          <w:trHeight w:val="90" w:hRule="atLeast"/>
        </w:trPr>
        <w:tc>
          <w:tcPr>
            <w:tcW w:w="1044" w:type="pct"/>
            <w:tcBorders>
              <w:top w:val="single" w:color="auto" w:sz="4" w:space="0"/>
              <w:left w:val="single" w:color="auto" w:sz="4" w:space="0"/>
              <w:bottom w:val="single" w:color="auto" w:sz="4" w:space="0"/>
              <w:right w:val="single" w:color="auto" w:sz="4" w:space="0"/>
            </w:tcBorders>
            <w:vAlign w:val="center"/>
          </w:tcPr>
          <w:p w14:paraId="5713AF0C">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行业名称</w:t>
            </w:r>
          </w:p>
        </w:tc>
        <w:tc>
          <w:tcPr>
            <w:tcW w:w="1044" w:type="pct"/>
            <w:tcBorders>
              <w:top w:val="single" w:color="auto" w:sz="4" w:space="0"/>
              <w:left w:val="nil"/>
              <w:bottom w:val="single" w:color="auto" w:sz="4" w:space="0"/>
              <w:right w:val="single" w:color="auto" w:sz="4" w:space="0"/>
            </w:tcBorders>
            <w:vAlign w:val="center"/>
          </w:tcPr>
          <w:p w14:paraId="663FD430">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指标名称</w:t>
            </w:r>
          </w:p>
        </w:tc>
        <w:tc>
          <w:tcPr>
            <w:tcW w:w="447" w:type="pct"/>
            <w:tcBorders>
              <w:top w:val="single" w:color="auto" w:sz="4" w:space="0"/>
              <w:left w:val="nil"/>
              <w:bottom w:val="single" w:color="auto" w:sz="4" w:space="0"/>
              <w:right w:val="single" w:color="auto" w:sz="4" w:space="0"/>
            </w:tcBorders>
            <w:vAlign w:val="center"/>
          </w:tcPr>
          <w:p w14:paraId="21FBDA54">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计量单位</w:t>
            </w:r>
          </w:p>
        </w:tc>
        <w:tc>
          <w:tcPr>
            <w:tcW w:w="970" w:type="pct"/>
            <w:tcBorders>
              <w:top w:val="single" w:color="auto" w:sz="4" w:space="0"/>
              <w:left w:val="nil"/>
              <w:bottom w:val="single" w:color="auto" w:sz="4" w:space="0"/>
              <w:right w:val="single" w:color="auto" w:sz="4" w:space="0"/>
            </w:tcBorders>
            <w:vAlign w:val="center"/>
          </w:tcPr>
          <w:p w14:paraId="73995356">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中型</w:t>
            </w:r>
          </w:p>
        </w:tc>
        <w:tc>
          <w:tcPr>
            <w:tcW w:w="895" w:type="pct"/>
            <w:tcBorders>
              <w:top w:val="single" w:color="auto" w:sz="4" w:space="0"/>
              <w:left w:val="nil"/>
              <w:bottom w:val="single" w:color="auto" w:sz="4" w:space="0"/>
              <w:right w:val="single" w:color="auto" w:sz="4" w:space="0"/>
            </w:tcBorders>
            <w:vAlign w:val="center"/>
          </w:tcPr>
          <w:p w14:paraId="300CD5C3">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小型</w:t>
            </w:r>
          </w:p>
        </w:tc>
        <w:tc>
          <w:tcPr>
            <w:tcW w:w="596" w:type="pct"/>
            <w:tcBorders>
              <w:top w:val="single" w:color="auto" w:sz="4" w:space="0"/>
              <w:left w:val="nil"/>
              <w:bottom w:val="single" w:color="auto" w:sz="4" w:space="0"/>
              <w:right w:val="single" w:color="auto" w:sz="4" w:space="0"/>
            </w:tcBorders>
            <w:vAlign w:val="center"/>
          </w:tcPr>
          <w:p w14:paraId="56F9B1E7">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微型</w:t>
            </w:r>
          </w:p>
        </w:tc>
      </w:tr>
      <w:tr w14:paraId="3AC4927C">
        <w:tblPrEx>
          <w:tblCellMar>
            <w:top w:w="0" w:type="dxa"/>
            <w:left w:w="108" w:type="dxa"/>
            <w:bottom w:w="0" w:type="dxa"/>
            <w:right w:w="108" w:type="dxa"/>
          </w:tblCellMar>
        </w:tblPrEx>
        <w:trPr>
          <w:trHeight w:val="225" w:hRule="atLeast"/>
        </w:trPr>
        <w:tc>
          <w:tcPr>
            <w:tcW w:w="1044" w:type="pct"/>
            <w:tcBorders>
              <w:top w:val="nil"/>
              <w:left w:val="single" w:color="auto" w:sz="4" w:space="0"/>
              <w:bottom w:val="single" w:color="auto" w:sz="4" w:space="0"/>
              <w:right w:val="single" w:color="auto" w:sz="4" w:space="0"/>
            </w:tcBorders>
            <w:vAlign w:val="bottom"/>
          </w:tcPr>
          <w:p w14:paraId="2407D4A6">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农、林、牧、渔</w:t>
            </w:r>
          </w:p>
        </w:tc>
        <w:tc>
          <w:tcPr>
            <w:tcW w:w="1044" w:type="pct"/>
            <w:tcBorders>
              <w:top w:val="nil"/>
              <w:left w:val="nil"/>
              <w:bottom w:val="single" w:color="auto" w:sz="4" w:space="0"/>
              <w:right w:val="single" w:color="auto" w:sz="4" w:space="0"/>
            </w:tcBorders>
            <w:vAlign w:val="center"/>
          </w:tcPr>
          <w:p w14:paraId="3C23822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447" w:type="pct"/>
            <w:tcBorders>
              <w:top w:val="nil"/>
              <w:left w:val="nil"/>
              <w:bottom w:val="single" w:color="auto" w:sz="4" w:space="0"/>
              <w:right w:val="single" w:color="auto" w:sz="4" w:space="0"/>
            </w:tcBorders>
            <w:vAlign w:val="center"/>
          </w:tcPr>
          <w:p w14:paraId="1ED5ED1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970" w:type="pct"/>
            <w:tcBorders>
              <w:top w:val="nil"/>
              <w:left w:val="nil"/>
              <w:bottom w:val="single" w:color="auto" w:sz="4" w:space="0"/>
              <w:right w:val="single" w:color="auto" w:sz="4" w:space="0"/>
            </w:tcBorders>
            <w:vAlign w:val="center"/>
          </w:tcPr>
          <w:p w14:paraId="5CB2062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500≤Y＜20000</w:t>
            </w:r>
          </w:p>
        </w:tc>
        <w:tc>
          <w:tcPr>
            <w:tcW w:w="895" w:type="pct"/>
            <w:tcBorders>
              <w:top w:val="nil"/>
              <w:left w:val="nil"/>
              <w:bottom w:val="single" w:color="auto" w:sz="4" w:space="0"/>
              <w:right w:val="single" w:color="auto" w:sz="4" w:space="0"/>
            </w:tcBorders>
            <w:vAlign w:val="center"/>
          </w:tcPr>
          <w:p w14:paraId="7667B54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50≤Y＜500</w:t>
            </w:r>
          </w:p>
        </w:tc>
        <w:tc>
          <w:tcPr>
            <w:tcW w:w="596" w:type="pct"/>
            <w:tcBorders>
              <w:top w:val="nil"/>
              <w:left w:val="nil"/>
              <w:bottom w:val="single" w:color="auto" w:sz="4" w:space="0"/>
              <w:right w:val="single" w:color="auto" w:sz="4" w:space="0"/>
            </w:tcBorders>
            <w:vAlign w:val="center"/>
          </w:tcPr>
          <w:p w14:paraId="1242070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Y＜50</w:t>
            </w:r>
          </w:p>
        </w:tc>
      </w:tr>
      <w:tr w14:paraId="48820157">
        <w:tblPrEx>
          <w:tblCellMar>
            <w:top w:w="0" w:type="dxa"/>
            <w:left w:w="108" w:type="dxa"/>
            <w:bottom w:w="0" w:type="dxa"/>
            <w:right w:w="108" w:type="dxa"/>
          </w:tblCellMar>
        </w:tblPrEx>
        <w:trPr>
          <w:trHeight w:val="225" w:hRule="atLeast"/>
        </w:trPr>
        <w:tc>
          <w:tcPr>
            <w:tcW w:w="1044" w:type="pct"/>
            <w:vMerge w:val="restart"/>
            <w:tcBorders>
              <w:top w:val="nil"/>
              <w:left w:val="single" w:color="auto" w:sz="4" w:space="0"/>
              <w:bottom w:val="single" w:color="auto" w:sz="4" w:space="0"/>
              <w:right w:val="single" w:color="auto" w:sz="4" w:space="0"/>
            </w:tcBorders>
            <w:vAlign w:val="bottom"/>
          </w:tcPr>
          <w:p w14:paraId="06D95021">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工业</w:t>
            </w:r>
          </w:p>
        </w:tc>
        <w:tc>
          <w:tcPr>
            <w:tcW w:w="1044" w:type="pct"/>
            <w:tcBorders>
              <w:top w:val="nil"/>
              <w:left w:val="nil"/>
              <w:bottom w:val="single" w:color="auto" w:sz="4" w:space="0"/>
              <w:right w:val="single" w:color="auto" w:sz="4" w:space="0"/>
            </w:tcBorders>
            <w:vAlign w:val="center"/>
          </w:tcPr>
          <w:p w14:paraId="4076A0C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447" w:type="pct"/>
            <w:tcBorders>
              <w:top w:val="nil"/>
              <w:left w:val="nil"/>
              <w:bottom w:val="single" w:color="auto" w:sz="4" w:space="0"/>
              <w:right w:val="single" w:color="auto" w:sz="4" w:space="0"/>
            </w:tcBorders>
            <w:vAlign w:val="center"/>
          </w:tcPr>
          <w:p w14:paraId="5FD4876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970" w:type="pct"/>
            <w:tcBorders>
              <w:top w:val="nil"/>
              <w:left w:val="nil"/>
              <w:bottom w:val="single" w:color="auto" w:sz="4" w:space="0"/>
              <w:right w:val="single" w:color="auto" w:sz="4" w:space="0"/>
            </w:tcBorders>
            <w:vAlign w:val="center"/>
          </w:tcPr>
          <w:p w14:paraId="20A82D2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895" w:type="pct"/>
            <w:tcBorders>
              <w:top w:val="nil"/>
              <w:left w:val="nil"/>
              <w:bottom w:val="single" w:color="auto" w:sz="4" w:space="0"/>
              <w:right w:val="single" w:color="auto" w:sz="4" w:space="0"/>
            </w:tcBorders>
            <w:vAlign w:val="center"/>
          </w:tcPr>
          <w:p w14:paraId="3DE2ADC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20≤X＜300</w:t>
            </w:r>
          </w:p>
        </w:tc>
        <w:tc>
          <w:tcPr>
            <w:tcW w:w="596" w:type="pct"/>
            <w:tcBorders>
              <w:top w:val="nil"/>
              <w:left w:val="nil"/>
              <w:bottom w:val="single" w:color="auto" w:sz="4" w:space="0"/>
              <w:right w:val="single" w:color="auto" w:sz="4" w:space="0"/>
            </w:tcBorders>
            <w:vAlign w:val="center"/>
          </w:tcPr>
          <w:p w14:paraId="6EDC715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23A09FE1">
        <w:tblPrEx>
          <w:tblCellMar>
            <w:top w:w="0" w:type="dxa"/>
            <w:left w:w="108" w:type="dxa"/>
            <w:bottom w:w="0" w:type="dxa"/>
            <w:right w:w="108" w:type="dxa"/>
          </w:tblCellMar>
        </w:tblPrEx>
        <w:trPr>
          <w:trHeight w:val="225" w:hRule="atLeast"/>
        </w:trPr>
        <w:tc>
          <w:tcPr>
            <w:tcW w:w="1044" w:type="pct"/>
            <w:vMerge w:val="continue"/>
            <w:tcBorders>
              <w:top w:val="nil"/>
              <w:left w:val="single" w:color="auto" w:sz="4" w:space="0"/>
              <w:bottom w:val="single" w:color="auto" w:sz="4" w:space="0"/>
              <w:right w:val="single" w:color="auto" w:sz="4" w:space="0"/>
            </w:tcBorders>
            <w:vAlign w:val="center"/>
          </w:tcPr>
          <w:p w14:paraId="3586EB19">
            <w:pPr>
              <w:widowControl/>
              <w:jc w:val="left"/>
              <w:rPr>
                <w:rFonts w:ascii="仿宋_GB2312" w:hAnsi="仿宋" w:eastAsia="仿宋_GB2312" w:cs="宋体"/>
                <w:b/>
                <w:bCs/>
                <w:color w:val="auto"/>
                <w:kern w:val="0"/>
                <w:sz w:val="18"/>
                <w:szCs w:val="18"/>
                <w:highlight w:val="none"/>
              </w:rPr>
            </w:pPr>
          </w:p>
        </w:tc>
        <w:tc>
          <w:tcPr>
            <w:tcW w:w="1044" w:type="pct"/>
            <w:tcBorders>
              <w:top w:val="nil"/>
              <w:left w:val="nil"/>
              <w:bottom w:val="single" w:color="auto" w:sz="4" w:space="0"/>
              <w:right w:val="single" w:color="auto" w:sz="4" w:space="0"/>
            </w:tcBorders>
            <w:vAlign w:val="center"/>
          </w:tcPr>
          <w:p w14:paraId="467E89F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447" w:type="pct"/>
            <w:tcBorders>
              <w:top w:val="nil"/>
              <w:left w:val="nil"/>
              <w:bottom w:val="single" w:color="auto" w:sz="4" w:space="0"/>
              <w:right w:val="single" w:color="auto" w:sz="4" w:space="0"/>
            </w:tcBorders>
            <w:vAlign w:val="center"/>
          </w:tcPr>
          <w:p w14:paraId="360C71A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970" w:type="pct"/>
            <w:tcBorders>
              <w:top w:val="nil"/>
              <w:left w:val="nil"/>
              <w:bottom w:val="single" w:color="auto" w:sz="4" w:space="0"/>
              <w:right w:val="single" w:color="auto" w:sz="4" w:space="0"/>
            </w:tcBorders>
            <w:vAlign w:val="center"/>
          </w:tcPr>
          <w:p w14:paraId="15482FD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2000≤Y＜40000</w:t>
            </w:r>
          </w:p>
        </w:tc>
        <w:tc>
          <w:tcPr>
            <w:tcW w:w="895" w:type="pct"/>
            <w:tcBorders>
              <w:top w:val="nil"/>
              <w:left w:val="nil"/>
              <w:bottom w:val="single" w:color="auto" w:sz="4" w:space="0"/>
              <w:right w:val="single" w:color="auto" w:sz="4" w:space="0"/>
            </w:tcBorders>
            <w:vAlign w:val="center"/>
          </w:tcPr>
          <w:p w14:paraId="26B91D1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300≤Y＜2000</w:t>
            </w:r>
          </w:p>
        </w:tc>
        <w:tc>
          <w:tcPr>
            <w:tcW w:w="596" w:type="pct"/>
            <w:tcBorders>
              <w:top w:val="nil"/>
              <w:left w:val="nil"/>
              <w:bottom w:val="single" w:color="auto" w:sz="4" w:space="0"/>
              <w:right w:val="single" w:color="auto" w:sz="4" w:space="0"/>
            </w:tcBorders>
            <w:vAlign w:val="center"/>
          </w:tcPr>
          <w:p w14:paraId="762B8FE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Y＜300</w:t>
            </w:r>
          </w:p>
        </w:tc>
      </w:tr>
      <w:tr w14:paraId="7DA412D0">
        <w:tblPrEx>
          <w:tblCellMar>
            <w:top w:w="0" w:type="dxa"/>
            <w:left w:w="108" w:type="dxa"/>
            <w:bottom w:w="0" w:type="dxa"/>
            <w:right w:w="108" w:type="dxa"/>
          </w:tblCellMar>
        </w:tblPrEx>
        <w:trPr>
          <w:trHeight w:val="225" w:hRule="atLeast"/>
        </w:trPr>
        <w:tc>
          <w:tcPr>
            <w:tcW w:w="1044" w:type="pct"/>
            <w:vMerge w:val="restart"/>
            <w:tcBorders>
              <w:top w:val="nil"/>
              <w:left w:val="single" w:color="auto" w:sz="4" w:space="0"/>
              <w:bottom w:val="single" w:color="auto" w:sz="4" w:space="0"/>
              <w:right w:val="single" w:color="auto" w:sz="4" w:space="0"/>
            </w:tcBorders>
            <w:vAlign w:val="bottom"/>
          </w:tcPr>
          <w:p w14:paraId="38210D4A">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建筑业</w:t>
            </w:r>
          </w:p>
        </w:tc>
        <w:tc>
          <w:tcPr>
            <w:tcW w:w="1044" w:type="pct"/>
            <w:tcBorders>
              <w:top w:val="nil"/>
              <w:left w:val="nil"/>
              <w:bottom w:val="single" w:color="auto" w:sz="4" w:space="0"/>
              <w:right w:val="single" w:color="auto" w:sz="4" w:space="0"/>
            </w:tcBorders>
            <w:vAlign w:val="center"/>
          </w:tcPr>
          <w:p w14:paraId="0CF3FF8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447" w:type="pct"/>
            <w:tcBorders>
              <w:top w:val="nil"/>
              <w:left w:val="nil"/>
              <w:bottom w:val="single" w:color="auto" w:sz="4" w:space="0"/>
              <w:right w:val="single" w:color="auto" w:sz="4" w:space="0"/>
            </w:tcBorders>
            <w:vAlign w:val="center"/>
          </w:tcPr>
          <w:p w14:paraId="5F0DDE0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970" w:type="pct"/>
            <w:tcBorders>
              <w:top w:val="nil"/>
              <w:left w:val="nil"/>
              <w:bottom w:val="single" w:color="auto" w:sz="4" w:space="0"/>
              <w:right w:val="single" w:color="auto" w:sz="4" w:space="0"/>
            </w:tcBorders>
            <w:vAlign w:val="center"/>
          </w:tcPr>
          <w:p w14:paraId="7628D5F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6000≤Y＜80000</w:t>
            </w:r>
          </w:p>
        </w:tc>
        <w:tc>
          <w:tcPr>
            <w:tcW w:w="895" w:type="pct"/>
            <w:tcBorders>
              <w:top w:val="nil"/>
              <w:left w:val="nil"/>
              <w:bottom w:val="single" w:color="auto" w:sz="4" w:space="0"/>
              <w:right w:val="single" w:color="auto" w:sz="4" w:space="0"/>
            </w:tcBorders>
            <w:vAlign w:val="center"/>
          </w:tcPr>
          <w:p w14:paraId="741241F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300≤Y＜6000</w:t>
            </w:r>
          </w:p>
        </w:tc>
        <w:tc>
          <w:tcPr>
            <w:tcW w:w="596" w:type="pct"/>
            <w:tcBorders>
              <w:top w:val="nil"/>
              <w:left w:val="nil"/>
              <w:bottom w:val="single" w:color="auto" w:sz="4" w:space="0"/>
              <w:right w:val="single" w:color="auto" w:sz="4" w:space="0"/>
            </w:tcBorders>
            <w:vAlign w:val="center"/>
          </w:tcPr>
          <w:p w14:paraId="25B75B0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Y＜300</w:t>
            </w:r>
          </w:p>
        </w:tc>
      </w:tr>
      <w:tr w14:paraId="4DDB86CD">
        <w:tblPrEx>
          <w:tblCellMar>
            <w:top w:w="0" w:type="dxa"/>
            <w:left w:w="108" w:type="dxa"/>
            <w:bottom w:w="0" w:type="dxa"/>
            <w:right w:w="108" w:type="dxa"/>
          </w:tblCellMar>
        </w:tblPrEx>
        <w:trPr>
          <w:trHeight w:val="225" w:hRule="atLeast"/>
        </w:trPr>
        <w:tc>
          <w:tcPr>
            <w:tcW w:w="1044" w:type="pct"/>
            <w:vMerge w:val="continue"/>
            <w:tcBorders>
              <w:top w:val="nil"/>
              <w:left w:val="single" w:color="auto" w:sz="4" w:space="0"/>
              <w:bottom w:val="single" w:color="auto" w:sz="4" w:space="0"/>
              <w:right w:val="single" w:color="auto" w:sz="4" w:space="0"/>
            </w:tcBorders>
            <w:vAlign w:val="center"/>
          </w:tcPr>
          <w:p w14:paraId="6BC8B90E">
            <w:pPr>
              <w:widowControl/>
              <w:jc w:val="left"/>
              <w:rPr>
                <w:rFonts w:ascii="仿宋_GB2312" w:hAnsi="仿宋" w:eastAsia="仿宋_GB2312" w:cs="宋体"/>
                <w:b/>
                <w:bCs/>
                <w:color w:val="auto"/>
                <w:kern w:val="0"/>
                <w:sz w:val="18"/>
                <w:szCs w:val="18"/>
                <w:highlight w:val="none"/>
              </w:rPr>
            </w:pPr>
          </w:p>
        </w:tc>
        <w:tc>
          <w:tcPr>
            <w:tcW w:w="1044" w:type="pct"/>
            <w:tcBorders>
              <w:top w:val="nil"/>
              <w:left w:val="nil"/>
              <w:bottom w:val="single" w:color="auto" w:sz="4" w:space="0"/>
              <w:right w:val="single" w:color="auto" w:sz="4" w:space="0"/>
            </w:tcBorders>
            <w:vAlign w:val="center"/>
          </w:tcPr>
          <w:p w14:paraId="7D1B6D2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资产总额（Z）</w:t>
            </w:r>
          </w:p>
        </w:tc>
        <w:tc>
          <w:tcPr>
            <w:tcW w:w="447" w:type="pct"/>
            <w:tcBorders>
              <w:top w:val="nil"/>
              <w:left w:val="nil"/>
              <w:bottom w:val="single" w:color="auto" w:sz="4" w:space="0"/>
              <w:right w:val="single" w:color="auto" w:sz="4" w:space="0"/>
            </w:tcBorders>
            <w:vAlign w:val="center"/>
          </w:tcPr>
          <w:p w14:paraId="79F4C93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970" w:type="pct"/>
            <w:tcBorders>
              <w:top w:val="nil"/>
              <w:left w:val="nil"/>
              <w:bottom w:val="single" w:color="auto" w:sz="4" w:space="0"/>
              <w:right w:val="single" w:color="auto" w:sz="4" w:space="0"/>
            </w:tcBorders>
            <w:vAlign w:val="center"/>
          </w:tcPr>
          <w:p w14:paraId="59972D9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5000≤Z＜80000</w:t>
            </w:r>
          </w:p>
        </w:tc>
        <w:tc>
          <w:tcPr>
            <w:tcW w:w="895" w:type="pct"/>
            <w:tcBorders>
              <w:top w:val="nil"/>
              <w:left w:val="nil"/>
              <w:bottom w:val="single" w:color="auto" w:sz="4" w:space="0"/>
              <w:right w:val="single" w:color="auto" w:sz="4" w:space="0"/>
            </w:tcBorders>
            <w:vAlign w:val="center"/>
          </w:tcPr>
          <w:p w14:paraId="12965BD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300≤Z＜5000</w:t>
            </w:r>
          </w:p>
        </w:tc>
        <w:tc>
          <w:tcPr>
            <w:tcW w:w="596" w:type="pct"/>
            <w:tcBorders>
              <w:top w:val="nil"/>
              <w:left w:val="nil"/>
              <w:bottom w:val="single" w:color="auto" w:sz="4" w:space="0"/>
              <w:right w:val="single" w:color="auto" w:sz="4" w:space="0"/>
            </w:tcBorders>
            <w:vAlign w:val="center"/>
          </w:tcPr>
          <w:p w14:paraId="610B3C4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Z＜300</w:t>
            </w:r>
          </w:p>
        </w:tc>
      </w:tr>
      <w:tr w14:paraId="529F5C7C">
        <w:tblPrEx>
          <w:tblCellMar>
            <w:top w:w="0" w:type="dxa"/>
            <w:left w:w="108" w:type="dxa"/>
            <w:bottom w:w="0" w:type="dxa"/>
            <w:right w:w="108" w:type="dxa"/>
          </w:tblCellMar>
        </w:tblPrEx>
        <w:trPr>
          <w:trHeight w:val="225" w:hRule="atLeast"/>
        </w:trPr>
        <w:tc>
          <w:tcPr>
            <w:tcW w:w="1044" w:type="pct"/>
            <w:vMerge w:val="restart"/>
            <w:tcBorders>
              <w:top w:val="nil"/>
              <w:left w:val="single" w:color="auto" w:sz="4" w:space="0"/>
              <w:bottom w:val="single" w:color="auto" w:sz="4" w:space="0"/>
              <w:right w:val="single" w:color="auto" w:sz="4" w:space="0"/>
            </w:tcBorders>
            <w:vAlign w:val="bottom"/>
          </w:tcPr>
          <w:p w14:paraId="47756306">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批发业</w:t>
            </w:r>
          </w:p>
        </w:tc>
        <w:tc>
          <w:tcPr>
            <w:tcW w:w="1044" w:type="pct"/>
            <w:tcBorders>
              <w:top w:val="nil"/>
              <w:left w:val="nil"/>
              <w:bottom w:val="single" w:color="auto" w:sz="4" w:space="0"/>
              <w:right w:val="single" w:color="auto" w:sz="4" w:space="0"/>
            </w:tcBorders>
            <w:vAlign w:val="center"/>
          </w:tcPr>
          <w:p w14:paraId="3369FAA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447" w:type="pct"/>
            <w:tcBorders>
              <w:top w:val="nil"/>
              <w:left w:val="nil"/>
              <w:bottom w:val="single" w:color="auto" w:sz="4" w:space="0"/>
              <w:right w:val="single" w:color="auto" w:sz="4" w:space="0"/>
            </w:tcBorders>
            <w:vAlign w:val="center"/>
          </w:tcPr>
          <w:p w14:paraId="7B44530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970" w:type="pct"/>
            <w:tcBorders>
              <w:top w:val="nil"/>
              <w:left w:val="nil"/>
              <w:bottom w:val="single" w:color="auto" w:sz="4" w:space="0"/>
              <w:right w:val="single" w:color="auto" w:sz="4" w:space="0"/>
            </w:tcBorders>
            <w:vAlign w:val="center"/>
          </w:tcPr>
          <w:p w14:paraId="3DE63EC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20≤X＜200</w:t>
            </w:r>
          </w:p>
        </w:tc>
        <w:tc>
          <w:tcPr>
            <w:tcW w:w="895" w:type="pct"/>
            <w:tcBorders>
              <w:top w:val="nil"/>
              <w:left w:val="nil"/>
              <w:bottom w:val="single" w:color="auto" w:sz="4" w:space="0"/>
              <w:right w:val="single" w:color="auto" w:sz="4" w:space="0"/>
            </w:tcBorders>
            <w:vAlign w:val="center"/>
          </w:tcPr>
          <w:p w14:paraId="6DFD10D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5≤X＜20</w:t>
            </w:r>
          </w:p>
        </w:tc>
        <w:tc>
          <w:tcPr>
            <w:tcW w:w="596" w:type="pct"/>
            <w:tcBorders>
              <w:top w:val="nil"/>
              <w:left w:val="nil"/>
              <w:bottom w:val="single" w:color="auto" w:sz="4" w:space="0"/>
              <w:right w:val="single" w:color="auto" w:sz="4" w:space="0"/>
            </w:tcBorders>
            <w:vAlign w:val="center"/>
          </w:tcPr>
          <w:p w14:paraId="16001B1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X＜5</w:t>
            </w:r>
          </w:p>
        </w:tc>
      </w:tr>
      <w:tr w14:paraId="419B01D9">
        <w:tblPrEx>
          <w:tblCellMar>
            <w:top w:w="0" w:type="dxa"/>
            <w:left w:w="108" w:type="dxa"/>
            <w:bottom w:w="0" w:type="dxa"/>
            <w:right w:w="108" w:type="dxa"/>
          </w:tblCellMar>
        </w:tblPrEx>
        <w:trPr>
          <w:trHeight w:val="225" w:hRule="atLeast"/>
        </w:trPr>
        <w:tc>
          <w:tcPr>
            <w:tcW w:w="1044" w:type="pct"/>
            <w:vMerge w:val="continue"/>
            <w:tcBorders>
              <w:top w:val="nil"/>
              <w:left w:val="single" w:color="auto" w:sz="4" w:space="0"/>
              <w:bottom w:val="single" w:color="auto" w:sz="4" w:space="0"/>
              <w:right w:val="single" w:color="auto" w:sz="4" w:space="0"/>
            </w:tcBorders>
            <w:vAlign w:val="center"/>
          </w:tcPr>
          <w:p w14:paraId="3040DA41">
            <w:pPr>
              <w:widowControl/>
              <w:jc w:val="left"/>
              <w:rPr>
                <w:rFonts w:ascii="仿宋_GB2312" w:hAnsi="仿宋" w:eastAsia="仿宋_GB2312" w:cs="宋体"/>
                <w:b/>
                <w:bCs/>
                <w:color w:val="auto"/>
                <w:kern w:val="0"/>
                <w:sz w:val="18"/>
                <w:szCs w:val="18"/>
                <w:highlight w:val="none"/>
              </w:rPr>
            </w:pPr>
          </w:p>
        </w:tc>
        <w:tc>
          <w:tcPr>
            <w:tcW w:w="1044" w:type="pct"/>
            <w:tcBorders>
              <w:top w:val="nil"/>
              <w:left w:val="nil"/>
              <w:bottom w:val="single" w:color="auto" w:sz="4" w:space="0"/>
              <w:right w:val="single" w:color="auto" w:sz="4" w:space="0"/>
            </w:tcBorders>
            <w:vAlign w:val="center"/>
          </w:tcPr>
          <w:p w14:paraId="7A70F9E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447" w:type="pct"/>
            <w:tcBorders>
              <w:top w:val="nil"/>
              <w:left w:val="nil"/>
              <w:bottom w:val="single" w:color="auto" w:sz="4" w:space="0"/>
              <w:right w:val="single" w:color="auto" w:sz="4" w:space="0"/>
            </w:tcBorders>
            <w:vAlign w:val="center"/>
          </w:tcPr>
          <w:p w14:paraId="73ADA21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970" w:type="pct"/>
            <w:tcBorders>
              <w:top w:val="nil"/>
              <w:left w:val="nil"/>
              <w:bottom w:val="single" w:color="auto" w:sz="4" w:space="0"/>
              <w:right w:val="single" w:color="auto" w:sz="4" w:space="0"/>
            </w:tcBorders>
            <w:vAlign w:val="center"/>
          </w:tcPr>
          <w:p w14:paraId="02613C5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5000≤Y＜40000</w:t>
            </w:r>
          </w:p>
        </w:tc>
        <w:tc>
          <w:tcPr>
            <w:tcW w:w="895" w:type="pct"/>
            <w:tcBorders>
              <w:top w:val="nil"/>
              <w:left w:val="nil"/>
              <w:bottom w:val="single" w:color="auto" w:sz="4" w:space="0"/>
              <w:right w:val="single" w:color="auto" w:sz="4" w:space="0"/>
            </w:tcBorders>
            <w:vAlign w:val="center"/>
          </w:tcPr>
          <w:p w14:paraId="4BCF481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1000≤Y＜5000</w:t>
            </w:r>
          </w:p>
        </w:tc>
        <w:tc>
          <w:tcPr>
            <w:tcW w:w="596" w:type="pct"/>
            <w:tcBorders>
              <w:top w:val="nil"/>
              <w:left w:val="nil"/>
              <w:bottom w:val="single" w:color="auto" w:sz="4" w:space="0"/>
              <w:right w:val="single" w:color="auto" w:sz="4" w:space="0"/>
            </w:tcBorders>
            <w:vAlign w:val="center"/>
          </w:tcPr>
          <w:p w14:paraId="41F1DAF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Y＜1000</w:t>
            </w:r>
          </w:p>
        </w:tc>
      </w:tr>
      <w:tr w14:paraId="5DC94238">
        <w:tblPrEx>
          <w:tblCellMar>
            <w:top w:w="0" w:type="dxa"/>
            <w:left w:w="108" w:type="dxa"/>
            <w:bottom w:w="0" w:type="dxa"/>
            <w:right w:w="108" w:type="dxa"/>
          </w:tblCellMar>
        </w:tblPrEx>
        <w:trPr>
          <w:trHeight w:val="225" w:hRule="atLeast"/>
        </w:trPr>
        <w:tc>
          <w:tcPr>
            <w:tcW w:w="1044" w:type="pct"/>
            <w:vMerge w:val="restart"/>
            <w:tcBorders>
              <w:top w:val="nil"/>
              <w:left w:val="single" w:color="auto" w:sz="4" w:space="0"/>
              <w:bottom w:val="single" w:color="auto" w:sz="4" w:space="0"/>
              <w:right w:val="single" w:color="auto" w:sz="4" w:space="0"/>
            </w:tcBorders>
            <w:vAlign w:val="bottom"/>
          </w:tcPr>
          <w:p w14:paraId="5861CB81">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零售业</w:t>
            </w:r>
          </w:p>
        </w:tc>
        <w:tc>
          <w:tcPr>
            <w:tcW w:w="1044" w:type="pct"/>
            <w:tcBorders>
              <w:top w:val="nil"/>
              <w:left w:val="nil"/>
              <w:bottom w:val="single" w:color="auto" w:sz="4" w:space="0"/>
              <w:right w:val="single" w:color="auto" w:sz="4" w:space="0"/>
            </w:tcBorders>
            <w:vAlign w:val="center"/>
          </w:tcPr>
          <w:p w14:paraId="0EC342D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447" w:type="pct"/>
            <w:tcBorders>
              <w:top w:val="nil"/>
              <w:left w:val="nil"/>
              <w:bottom w:val="single" w:color="auto" w:sz="4" w:space="0"/>
              <w:right w:val="single" w:color="auto" w:sz="4" w:space="0"/>
            </w:tcBorders>
            <w:vAlign w:val="center"/>
          </w:tcPr>
          <w:p w14:paraId="23F3705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970" w:type="pct"/>
            <w:tcBorders>
              <w:top w:val="nil"/>
              <w:left w:val="nil"/>
              <w:bottom w:val="single" w:color="auto" w:sz="4" w:space="0"/>
              <w:right w:val="single" w:color="auto" w:sz="4" w:space="0"/>
            </w:tcBorders>
            <w:vAlign w:val="center"/>
          </w:tcPr>
          <w:p w14:paraId="6D8AB0F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50≤X＜300</w:t>
            </w:r>
          </w:p>
        </w:tc>
        <w:tc>
          <w:tcPr>
            <w:tcW w:w="895" w:type="pct"/>
            <w:tcBorders>
              <w:top w:val="nil"/>
              <w:left w:val="nil"/>
              <w:bottom w:val="single" w:color="auto" w:sz="4" w:space="0"/>
              <w:right w:val="single" w:color="auto" w:sz="4" w:space="0"/>
            </w:tcBorders>
            <w:vAlign w:val="center"/>
          </w:tcPr>
          <w:p w14:paraId="26EFB1D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10≤X＜50</w:t>
            </w:r>
          </w:p>
        </w:tc>
        <w:tc>
          <w:tcPr>
            <w:tcW w:w="596" w:type="pct"/>
            <w:tcBorders>
              <w:top w:val="nil"/>
              <w:left w:val="nil"/>
              <w:bottom w:val="single" w:color="auto" w:sz="4" w:space="0"/>
              <w:right w:val="single" w:color="auto" w:sz="4" w:space="0"/>
            </w:tcBorders>
            <w:vAlign w:val="center"/>
          </w:tcPr>
          <w:p w14:paraId="54F47D4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347EB235">
        <w:tblPrEx>
          <w:tblCellMar>
            <w:top w:w="0" w:type="dxa"/>
            <w:left w:w="108" w:type="dxa"/>
            <w:bottom w:w="0" w:type="dxa"/>
            <w:right w:w="108" w:type="dxa"/>
          </w:tblCellMar>
        </w:tblPrEx>
        <w:trPr>
          <w:trHeight w:val="225" w:hRule="atLeast"/>
        </w:trPr>
        <w:tc>
          <w:tcPr>
            <w:tcW w:w="1044" w:type="pct"/>
            <w:vMerge w:val="continue"/>
            <w:tcBorders>
              <w:top w:val="nil"/>
              <w:left w:val="single" w:color="auto" w:sz="4" w:space="0"/>
              <w:bottom w:val="single" w:color="auto" w:sz="4" w:space="0"/>
              <w:right w:val="single" w:color="auto" w:sz="4" w:space="0"/>
            </w:tcBorders>
            <w:vAlign w:val="center"/>
          </w:tcPr>
          <w:p w14:paraId="22CE0223">
            <w:pPr>
              <w:widowControl/>
              <w:jc w:val="left"/>
              <w:rPr>
                <w:rFonts w:ascii="仿宋_GB2312" w:hAnsi="仿宋" w:eastAsia="仿宋_GB2312" w:cs="宋体"/>
                <w:b/>
                <w:bCs/>
                <w:color w:val="auto"/>
                <w:kern w:val="0"/>
                <w:sz w:val="18"/>
                <w:szCs w:val="18"/>
                <w:highlight w:val="none"/>
              </w:rPr>
            </w:pPr>
          </w:p>
        </w:tc>
        <w:tc>
          <w:tcPr>
            <w:tcW w:w="1044" w:type="pct"/>
            <w:tcBorders>
              <w:top w:val="nil"/>
              <w:left w:val="nil"/>
              <w:bottom w:val="single" w:color="auto" w:sz="4" w:space="0"/>
              <w:right w:val="single" w:color="auto" w:sz="4" w:space="0"/>
            </w:tcBorders>
            <w:vAlign w:val="center"/>
          </w:tcPr>
          <w:p w14:paraId="66AC61A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447" w:type="pct"/>
            <w:tcBorders>
              <w:top w:val="nil"/>
              <w:left w:val="nil"/>
              <w:bottom w:val="single" w:color="auto" w:sz="4" w:space="0"/>
              <w:right w:val="single" w:color="auto" w:sz="4" w:space="0"/>
            </w:tcBorders>
            <w:vAlign w:val="center"/>
          </w:tcPr>
          <w:p w14:paraId="23B3D7A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970" w:type="pct"/>
            <w:tcBorders>
              <w:top w:val="nil"/>
              <w:left w:val="nil"/>
              <w:bottom w:val="single" w:color="auto" w:sz="4" w:space="0"/>
              <w:right w:val="single" w:color="auto" w:sz="4" w:space="0"/>
            </w:tcBorders>
            <w:vAlign w:val="center"/>
          </w:tcPr>
          <w:p w14:paraId="5142994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500≤Y＜20000</w:t>
            </w:r>
          </w:p>
        </w:tc>
        <w:tc>
          <w:tcPr>
            <w:tcW w:w="895" w:type="pct"/>
            <w:tcBorders>
              <w:top w:val="nil"/>
              <w:left w:val="nil"/>
              <w:bottom w:val="single" w:color="auto" w:sz="4" w:space="0"/>
              <w:right w:val="single" w:color="auto" w:sz="4" w:space="0"/>
            </w:tcBorders>
            <w:vAlign w:val="center"/>
          </w:tcPr>
          <w:p w14:paraId="3E795F3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100≤Y＜500</w:t>
            </w:r>
          </w:p>
        </w:tc>
        <w:tc>
          <w:tcPr>
            <w:tcW w:w="596" w:type="pct"/>
            <w:tcBorders>
              <w:top w:val="nil"/>
              <w:left w:val="nil"/>
              <w:bottom w:val="single" w:color="auto" w:sz="4" w:space="0"/>
              <w:right w:val="single" w:color="auto" w:sz="4" w:space="0"/>
            </w:tcBorders>
            <w:vAlign w:val="center"/>
          </w:tcPr>
          <w:p w14:paraId="7611C3D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656B83BB">
        <w:tblPrEx>
          <w:tblCellMar>
            <w:top w:w="0" w:type="dxa"/>
            <w:left w:w="108" w:type="dxa"/>
            <w:bottom w:w="0" w:type="dxa"/>
            <w:right w:w="108" w:type="dxa"/>
          </w:tblCellMar>
        </w:tblPrEx>
        <w:trPr>
          <w:trHeight w:val="225" w:hRule="atLeast"/>
        </w:trPr>
        <w:tc>
          <w:tcPr>
            <w:tcW w:w="1044" w:type="pct"/>
            <w:vMerge w:val="restart"/>
            <w:tcBorders>
              <w:top w:val="nil"/>
              <w:left w:val="single" w:color="auto" w:sz="4" w:space="0"/>
              <w:bottom w:val="single" w:color="auto" w:sz="4" w:space="0"/>
              <w:right w:val="single" w:color="auto" w:sz="4" w:space="0"/>
            </w:tcBorders>
            <w:vAlign w:val="bottom"/>
          </w:tcPr>
          <w:p w14:paraId="46F56ACE">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交通运输业</w:t>
            </w:r>
          </w:p>
        </w:tc>
        <w:tc>
          <w:tcPr>
            <w:tcW w:w="1044" w:type="pct"/>
            <w:tcBorders>
              <w:top w:val="nil"/>
              <w:left w:val="nil"/>
              <w:bottom w:val="single" w:color="auto" w:sz="4" w:space="0"/>
              <w:right w:val="single" w:color="auto" w:sz="4" w:space="0"/>
            </w:tcBorders>
            <w:vAlign w:val="center"/>
          </w:tcPr>
          <w:p w14:paraId="4723636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447" w:type="pct"/>
            <w:tcBorders>
              <w:top w:val="nil"/>
              <w:left w:val="nil"/>
              <w:bottom w:val="single" w:color="auto" w:sz="4" w:space="0"/>
              <w:right w:val="single" w:color="auto" w:sz="4" w:space="0"/>
            </w:tcBorders>
            <w:vAlign w:val="center"/>
          </w:tcPr>
          <w:p w14:paraId="191466B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970" w:type="pct"/>
            <w:tcBorders>
              <w:top w:val="nil"/>
              <w:left w:val="nil"/>
              <w:bottom w:val="single" w:color="auto" w:sz="4" w:space="0"/>
              <w:right w:val="single" w:color="auto" w:sz="4" w:space="0"/>
            </w:tcBorders>
            <w:vAlign w:val="center"/>
          </w:tcPr>
          <w:p w14:paraId="34D6C63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895" w:type="pct"/>
            <w:tcBorders>
              <w:top w:val="nil"/>
              <w:left w:val="nil"/>
              <w:bottom w:val="single" w:color="auto" w:sz="4" w:space="0"/>
              <w:right w:val="single" w:color="auto" w:sz="4" w:space="0"/>
            </w:tcBorders>
            <w:vAlign w:val="center"/>
          </w:tcPr>
          <w:p w14:paraId="31401E1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20≤X＜300</w:t>
            </w:r>
          </w:p>
        </w:tc>
        <w:tc>
          <w:tcPr>
            <w:tcW w:w="596" w:type="pct"/>
            <w:tcBorders>
              <w:top w:val="nil"/>
              <w:left w:val="nil"/>
              <w:bottom w:val="single" w:color="auto" w:sz="4" w:space="0"/>
              <w:right w:val="single" w:color="auto" w:sz="4" w:space="0"/>
            </w:tcBorders>
            <w:vAlign w:val="center"/>
          </w:tcPr>
          <w:p w14:paraId="7473D6C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4F58E1D6">
        <w:tblPrEx>
          <w:tblCellMar>
            <w:top w:w="0" w:type="dxa"/>
            <w:left w:w="108" w:type="dxa"/>
            <w:bottom w:w="0" w:type="dxa"/>
            <w:right w:w="108" w:type="dxa"/>
          </w:tblCellMar>
        </w:tblPrEx>
        <w:trPr>
          <w:trHeight w:val="225" w:hRule="atLeast"/>
        </w:trPr>
        <w:tc>
          <w:tcPr>
            <w:tcW w:w="1044" w:type="pct"/>
            <w:vMerge w:val="continue"/>
            <w:tcBorders>
              <w:top w:val="nil"/>
              <w:left w:val="single" w:color="auto" w:sz="4" w:space="0"/>
              <w:bottom w:val="single" w:color="auto" w:sz="4" w:space="0"/>
              <w:right w:val="single" w:color="auto" w:sz="4" w:space="0"/>
            </w:tcBorders>
            <w:vAlign w:val="center"/>
          </w:tcPr>
          <w:p w14:paraId="396DBDD0">
            <w:pPr>
              <w:widowControl/>
              <w:jc w:val="left"/>
              <w:rPr>
                <w:rFonts w:ascii="仿宋_GB2312" w:hAnsi="仿宋" w:eastAsia="仿宋_GB2312" w:cs="宋体"/>
                <w:b/>
                <w:bCs/>
                <w:color w:val="auto"/>
                <w:kern w:val="0"/>
                <w:sz w:val="18"/>
                <w:szCs w:val="18"/>
                <w:highlight w:val="none"/>
              </w:rPr>
            </w:pPr>
          </w:p>
        </w:tc>
        <w:tc>
          <w:tcPr>
            <w:tcW w:w="1044" w:type="pct"/>
            <w:tcBorders>
              <w:top w:val="nil"/>
              <w:left w:val="nil"/>
              <w:bottom w:val="single" w:color="auto" w:sz="4" w:space="0"/>
              <w:right w:val="single" w:color="auto" w:sz="4" w:space="0"/>
            </w:tcBorders>
            <w:vAlign w:val="center"/>
          </w:tcPr>
          <w:p w14:paraId="6D67C76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447" w:type="pct"/>
            <w:tcBorders>
              <w:top w:val="nil"/>
              <w:left w:val="nil"/>
              <w:bottom w:val="single" w:color="auto" w:sz="4" w:space="0"/>
              <w:right w:val="single" w:color="auto" w:sz="4" w:space="0"/>
            </w:tcBorders>
            <w:vAlign w:val="center"/>
          </w:tcPr>
          <w:p w14:paraId="398A16F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970" w:type="pct"/>
            <w:tcBorders>
              <w:top w:val="nil"/>
              <w:left w:val="nil"/>
              <w:bottom w:val="single" w:color="auto" w:sz="4" w:space="0"/>
              <w:right w:val="single" w:color="auto" w:sz="4" w:space="0"/>
            </w:tcBorders>
            <w:vAlign w:val="center"/>
          </w:tcPr>
          <w:p w14:paraId="04135E3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3000≤Y＜30000</w:t>
            </w:r>
          </w:p>
        </w:tc>
        <w:tc>
          <w:tcPr>
            <w:tcW w:w="895" w:type="pct"/>
            <w:tcBorders>
              <w:top w:val="nil"/>
              <w:left w:val="nil"/>
              <w:bottom w:val="single" w:color="auto" w:sz="4" w:space="0"/>
              <w:right w:val="single" w:color="auto" w:sz="4" w:space="0"/>
            </w:tcBorders>
            <w:vAlign w:val="center"/>
          </w:tcPr>
          <w:p w14:paraId="6B18502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200≤Y＜3000</w:t>
            </w:r>
          </w:p>
        </w:tc>
        <w:tc>
          <w:tcPr>
            <w:tcW w:w="596" w:type="pct"/>
            <w:tcBorders>
              <w:top w:val="nil"/>
              <w:left w:val="nil"/>
              <w:bottom w:val="single" w:color="auto" w:sz="4" w:space="0"/>
              <w:right w:val="single" w:color="auto" w:sz="4" w:space="0"/>
            </w:tcBorders>
            <w:vAlign w:val="center"/>
          </w:tcPr>
          <w:p w14:paraId="3508FFF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Y＜200</w:t>
            </w:r>
          </w:p>
        </w:tc>
      </w:tr>
      <w:tr w14:paraId="5B0CC74B">
        <w:tblPrEx>
          <w:tblCellMar>
            <w:top w:w="0" w:type="dxa"/>
            <w:left w:w="108" w:type="dxa"/>
            <w:bottom w:w="0" w:type="dxa"/>
            <w:right w:w="108" w:type="dxa"/>
          </w:tblCellMar>
        </w:tblPrEx>
        <w:trPr>
          <w:trHeight w:val="225" w:hRule="atLeast"/>
        </w:trPr>
        <w:tc>
          <w:tcPr>
            <w:tcW w:w="1044" w:type="pct"/>
            <w:vMerge w:val="restart"/>
            <w:tcBorders>
              <w:top w:val="nil"/>
              <w:left w:val="single" w:color="auto" w:sz="4" w:space="0"/>
              <w:bottom w:val="single" w:color="auto" w:sz="4" w:space="0"/>
              <w:right w:val="single" w:color="auto" w:sz="4" w:space="0"/>
            </w:tcBorders>
            <w:vAlign w:val="bottom"/>
          </w:tcPr>
          <w:p w14:paraId="01B6DC51">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仓储业</w:t>
            </w:r>
          </w:p>
        </w:tc>
        <w:tc>
          <w:tcPr>
            <w:tcW w:w="1044" w:type="pct"/>
            <w:tcBorders>
              <w:top w:val="nil"/>
              <w:left w:val="nil"/>
              <w:bottom w:val="single" w:color="auto" w:sz="4" w:space="0"/>
              <w:right w:val="single" w:color="auto" w:sz="4" w:space="0"/>
            </w:tcBorders>
            <w:vAlign w:val="center"/>
          </w:tcPr>
          <w:p w14:paraId="18EFD5F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447" w:type="pct"/>
            <w:tcBorders>
              <w:top w:val="nil"/>
              <w:left w:val="nil"/>
              <w:bottom w:val="single" w:color="auto" w:sz="4" w:space="0"/>
              <w:right w:val="single" w:color="auto" w:sz="4" w:space="0"/>
            </w:tcBorders>
            <w:vAlign w:val="center"/>
          </w:tcPr>
          <w:p w14:paraId="462CADF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970" w:type="pct"/>
            <w:tcBorders>
              <w:top w:val="nil"/>
              <w:left w:val="nil"/>
              <w:bottom w:val="single" w:color="auto" w:sz="4" w:space="0"/>
              <w:right w:val="single" w:color="auto" w:sz="4" w:space="0"/>
            </w:tcBorders>
            <w:vAlign w:val="center"/>
          </w:tcPr>
          <w:p w14:paraId="4862ABA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100≤X＜200</w:t>
            </w:r>
          </w:p>
        </w:tc>
        <w:tc>
          <w:tcPr>
            <w:tcW w:w="895" w:type="pct"/>
            <w:tcBorders>
              <w:top w:val="nil"/>
              <w:left w:val="nil"/>
              <w:bottom w:val="single" w:color="auto" w:sz="4" w:space="0"/>
              <w:right w:val="single" w:color="auto" w:sz="4" w:space="0"/>
            </w:tcBorders>
            <w:vAlign w:val="center"/>
          </w:tcPr>
          <w:p w14:paraId="7C4625C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20≤X＜100</w:t>
            </w:r>
          </w:p>
        </w:tc>
        <w:tc>
          <w:tcPr>
            <w:tcW w:w="596" w:type="pct"/>
            <w:tcBorders>
              <w:top w:val="nil"/>
              <w:left w:val="nil"/>
              <w:bottom w:val="single" w:color="auto" w:sz="4" w:space="0"/>
              <w:right w:val="single" w:color="auto" w:sz="4" w:space="0"/>
            </w:tcBorders>
            <w:vAlign w:val="center"/>
          </w:tcPr>
          <w:p w14:paraId="3794B11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65518680">
        <w:tblPrEx>
          <w:tblCellMar>
            <w:top w:w="0" w:type="dxa"/>
            <w:left w:w="108" w:type="dxa"/>
            <w:bottom w:w="0" w:type="dxa"/>
            <w:right w:w="108" w:type="dxa"/>
          </w:tblCellMar>
        </w:tblPrEx>
        <w:trPr>
          <w:trHeight w:val="225" w:hRule="atLeast"/>
        </w:trPr>
        <w:tc>
          <w:tcPr>
            <w:tcW w:w="1044" w:type="pct"/>
            <w:vMerge w:val="continue"/>
            <w:tcBorders>
              <w:top w:val="nil"/>
              <w:left w:val="single" w:color="auto" w:sz="4" w:space="0"/>
              <w:bottom w:val="single" w:color="auto" w:sz="4" w:space="0"/>
              <w:right w:val="single" w:color="auto" w:sz="4" w:space="0"/>
            </w:tcBorders>
            <w:vAlign w:val="center"/>
          </w:tcPr>
          <w:p w14:paraId="39662A6C">
            <w:pPr>
              <w:widowControl/>
              <w:jc w:val="left"/>
              <w:rPr>
                <w:rFonts w:ascii="仿宋_GB2312" w:hAnsi="仿宋" w:eastAsia="仿宋_GB2312" w:cs="宋体"/>
                <w:b/>
                <w:bCs/>
                <w:color w:val="auto"/>
                <w:kern w:val="0"/>
                <w:sz w:val="18"/>
                <w:szCs w:val="18"/>
                <w:highlight w:val="none"/>
              </w:rPr>
            </w:pPr>
          </w:p>
        </w:tc>
        <w:tc>
          <w:tcPr>
            <w:tcW w:w="1044" w:type="pct"/>
            <w:tcBorders>
              <w:top w:val="nil"/>
              <w:left w:val="nil"/>
              <w:bottom w:val="single" w:color="auto" w:sz="4" w:space="0"/>
              <w:right w:val="single" w:color="auto" w:sz="4" w:space="0"/>
            </w:tcBorders>
            <w:vAlign w:val="center"/>
          </w:tcPr>
          <w:p w14:paraId="40DC0D1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447" w:type="pct"/>
            <w:tcBorders>
              <w:top w:val="nil"/>
              <w:left w:val="nil"/>
              <w:bottom w:val="single" w:color="auto" w:sz="4" w:space="0"/>
              <w:right w:val="single" w:color="auto" w:sz="4" w:space="0"/>
            </w:tcBorders>
            <w:vAlign w:val="center"/>
          </w:tcPr>
          <w:p w14:paraId="6ABC775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970" w:type="pct"/>
            <w:tcBorders>
              <w:top w:val="nil"/>
              <w:left w:val="nil"/>
              <w:bottom w:val="single" w:color="auto" w:sz="4" w:space="0"/>
              <w:right w:val="single" w:color="auto" w:sz="4" w:space="0"/>
            </w:tcBorders>
            <w:vAlign w:val="center"/>
          </w:tcPr>
          <w:p w14:paraId="4D02EB5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1000≤Y＜30000</w:t>
            </w:r>
          </w:p>
        </w:tc>
        <w:tc>
          <w:tcPr>
            <w:tcW w:w="895" w:type="pct"/>
            <w:tcBorders>
              <w:top w:val="nil"/>
              <w:left w:val="nil"/>
              <w:bottom w:val="single" w:color="auto" w:sz="4" w:space="0"/>
              <w:right w:val="single" w:color="auto" w:sz="4" w:space="0"/>
            </w:tcBorders>
            <w:vAlign w:val="center"/>
          </w:tcPr>
          <w:p w14:paraId="79DC190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100≤Y＜1000</w:t>
            </w:r>
          </w:p>
        </w:tc>
        <w:tc>
          <w:tcPr>
            <w:tcW w:w="596" w:type="pct"/>
            <w:tcBorders>
              <w:top w:val="nil"/>
              <w:left w:val="nil"/>
              <w:bottom w:val="single" w:color="auto" w:sz="4" w:space="0"/>
              <w:right w:val="single" w:color="auto" w:sz="4" w:space="0"/>
            </w:tcBorders>
            <w:vAlign w:val="center"/>
          </w:tcPr>
          <w:p w14:paraId="5C5481C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4492EB50">
        <w:tblPrEx>
          <w:tblCellMar>
            <w:top w:w="0" w:type="dxa"/>
            <w:left w:w="108" w:type="dxa"/>
            <w:bottom w:w="0" w:type="dxa"/>
            <w:right w:w="108" w:type="dxa"/>
          </w:tblCellMar>
        </w:tblPrEx>
        <w:trPr>
          <w:trHeight w:val="225" w:hRule="atLeast"/>
        </w:trPr>
        <w:tc>
          <w:tcPr>
            <w:tcW w:w="1044" w:type="pct"/>
            <w:vMerge w:val="restart"/>
            <w:tcBorders>
              <w:top w:val="nil"/>
              <w:left w:val="single" w:color="auto" w:sz="4" w:space="0"/>
              <w:bottom w:val="single" w:color="auto" w:sz="4" w:space="0"/>
              <w:right w:val="single" w:color="auto" w:sz="4" w:space="0"/>
            </w:tcBorders>
            <w:vAlign w:val="bottom"/>
          </w:tcPr>
          <w:p w14:paraId="14CA249C">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邮政业</w:t>
            </w:r>
          </w:p>
        </w:tc>
        <w:tc>
          <w:tcPr>
            <w:tcW w:w="1044" w:type="pct"/>
            <w:tcBorders>
              <w:top w:val="nil"/>
              <w:left w:val="nil"/>
              <w:bottom w:val="single" w:color="auto" w:sz="4" w:space="0"/>
              <w:right w:val="single" w:color="auto" w:sz="4" w:space="0"/>
            </w:tcBorders>
            <w:vAlign w:val="center"/>
          </w:tcPr>
          <w:p w14:paraId="6D6F301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447" w:type="pct"/>
            <w:tcBorders>
              <w:top w:val="nil"/>
              <w:left w:val="nil"/>
              <w:bottom w:val="single" w:color="auto" w:sz="4" w:space="0"/>
              <w:right w:val="single" w:color="auto" w:sz="4" w:space="0"/>
            </w:tcBorders>
            <w:vAlign w:val="center"/>
          </w:tcPr>
          <w:p w14:paraId="1D19D5C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970" w:type="pct"/>
            <w:tcBorders>
              <w:top w:val="nil"/>
              <w:left w:val="nil"/>
              <w:bottom w:val="single" w:color="auto" w:sz="4" w:space="0"/>
              <w:right w:val="single" w:color="auto" w:sz="4" w:space="0"/>
            </w:tcBorders>
            <w:vAlign w:val="center"/>
          </w:tcPr>
          <w:p w14:paraId="76C74B8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895" w:type="pct"/>
            <w:tcBorders>
              <w:top w:val="nil"/>
              <w:left w:val="nil"/>
              <w:bottom w:val="single" w:color="auto" w:sz="4" w:space="0"/>
              <w:right w:val="single" w:color="auto" w:sz="4" w:space="0"/>
            </w:tcBorders>
            <w:vAlign w:val="center"/>
          </w:tcPr>
          <w:p w14:paraId="0AB52F8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20≤X＜300</w:t>
            </w:r>
          </w:p>
        </w:tc>
        <w:tc>
          <w:tcPr>
            <w:tcW w:w="596" w:type="pct"/>
            <w:tcBorders>
              <w:top w:val="nil"/>
              <w:left w:val="nil"/>
              <w:bottom w:val="single" w:color="auto" w:sz="4" w:space="0"/>
              <w:right w:val="single" w:color="auto" w:sz="4" w:space="0"/>
            </w:tcBorders>
            <w:vAlign w:val="center"/>
          </w:tcPr>
          <w:p w14:paraId="3A4566C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212F976E">
        <w:tblPrEx>
          <w:tblCellMar>
            <w:top w:w="0" w:type="dxa"/>
            <w:left w:w="108" w:type="dxa"/>
            <w:bottom w:w="0" w:type="dxa"/>
            <w:right w:w="108" w:type="dxa"/>
          </w:tblCellMar>
        </w:tblPrEx>
        <w:trPr>
          <w:trHeight w:val="225" w:hRule="atLeast"/>
        </w:trPr>
        <w:tc>
          <w:tcPr>
            <w:tcW w:w="1044" w:type="pct"/>
            <w:vMerge w:val="continue"/>
            <w:tcBorders>
              <w:top w:val="nil"/>
              <w:left w:val="single" w:color="auto" w:sz="4" w:space="0"/>
              <w:bottom w:val="single" w:color="auto" w:sz="4" w:space="0"/>
              <w:right w:val="single" w:color="auto" w:sz="4" w:space="0"/>
            </w:tcBorders>
            <w:vAlign w:val="center"/>
          </w:tcPr>
          <w:p w14:paraId="5AEF930E">
            <w:pPr>
              <w:widowControl/>
              <w:jc w:val="left"/>
              <w:rPr>
                <w:rFonts w:ascii="仿宋_GB2312" w:hAnsi="仿宋" w:eastAsia="仿宋_GB2312" w:cs="宋体"/>
                <w:b/>
                <w:bCs/>
                <w:color w:val="auto"/>
                <w:kern w:val="0"/>
                <w:sz w:val="18"/>
                <w:szCs w:val="18"/>
                <w:highlight w:val="none"/>
              </w:rPr>
            </w:pPr>
          </w:p>
        </w:tc>
        <w:tc>
          <w:tcPr>
            <w:tcW w:w="1044" w:type="pct"/>
            <w:tcBorders>
              <w:top w:val="nil"/>
              <w:left w:val="nil"/>
              <w:bottom w:val="single" w:color="auto" w:sz="4" w:space="0"/>
              <w:right w:val="single" w:color="auto" w:sz="4" w:space="0"/>
            </w:tcBorders>
            <w:vAlign w:val="center"/>
          </w:tcPr>
          <w:p w14:paraId="69F3477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447" w:type="pct"/>
            <w:tcBorders>
              <w:top w:val="nil"/>
              <w:left w:val="nil"/>
              <w:bottom w:val="single" w:color="auto" w:sz="4" w:space="0"/>
              <w:right w:val="single" w:color="auto" w:sz="4" w:space="0"/>
            </w:tcBorders>
            <w:vAlign w:val="center"/>
          </w:tcPr>
          <w:p w14:paraId="4838A27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970" w:type="pct"/>
            <w:tcBorders>
              <w:top w:val="nil"/>
              <w:left w:val="nil"/>
              <w:bottom w:val="single" w:color="auto" w:sz="4" w:space="0"/>
              <w:right w:val="single" w:color="auto" w:sz="4" w:space="0"/>
            </w:tcBorders>
            <w:vAlign w:val="center"/>
          </w:tcPr>
          <w:p w14:paraId="6836728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2000≤Y＜30000</w:t>
            </w:r>
          </w:p>
        </w:tc>
        <w:tc>
          <w:tcPr>
            <w:tcW w:w="895" w:type="pct"/>
            <w:tcBorders>
              <w:top w:val="nil"/>
              <w:left w:val="nil"/>
              <w:bottom w:val="single" w:color="auto" w:sz="4" w:space="0"/>
              <w:right w:val="single" w:color="auto" w:sz="4" w:space="0"/>
            </w:tcBorders>
            <w:vAlign w:val="center"/>
          </w:tcPr>
          <w:p w14:paraId="1DBC2B4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100≤Y＜2000</w:t>
            </w:r>
          </w:p>
        </w:tc>
        <w:tc>
          <w:tcPr>
            <w:tcW w:w="596" w:type="pct"/>
            <w:tcBorders>
              <w:top w:val="nil"/>
              <w:left w:val="nil"/>
              <w:bottom w:val="single" w:color="auto" w:sz="4" w:space="0"/>
              <w:right w:val="single" w:color="auto" w:sz="4" w:space="0"/>
            </w:tcBorders>
            <w:vAlign w:val="center"/>
          </w:tcPr>
          <w:p w14:paraId="2A36000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4C96CD5D">
        <w:tblPrEx>
          <w:tblCellMar>
            <w:top w:w="0" w:type="dxa"/>
            <w:left w:w="108" w:type="dxa"/>
            <w:bottom w:w="0" w:type="dxa"/>
            <w:right w:w="108" w:type="dxa"/>
          </w:tblCellMar>
        </w:tblPrEx>
        <w:trPr>
          <w:trHeight w:val="225" w:hRule="atLeast"/>
        </w:trPr>
        <w:tc>
          <w:tcPr>
            <w:tcW w:w="1044" w:type="pct"/>
            <w:vMerge w:val="restart"/>
            <w:tcBorders>
              <w:top w:val="nil"/>
              <w:left w:val="single" w:color="auto" w:sz="4" w:space="0"/>
              <w:bottom w:val="single" w:color="auto" w:sz="4" w:space="0"/>
              <w:right w:val="single" w:color="auto" w:sz="4" w:space="0"/>
            </w:tcBorders>
            <w:vAlign w:val="bottom"/>
          </w:tcPr>
          <w:p w14:paraId="19678934">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住宿业</w:t>
            </w:r>
          </w:p>
        </w:tc>
        <w:tc>
          <w:tcPr>
            <w:tcW w:w="1044" w:type="pct"/>
            <w:tcBorders>
              <w:top w:val="nil"/>
              <w:left w:val="nil"/>
              <w:bottom w:val="single" w:color="auto" w:sz="4" w:space="0"/>
              <w:right w:val="single" w:color="auto" w:sz="4" w:space="0"/>
            </w:tcBorders>
            <w:vAlign w:val="center"/>
          </w:tcPr>
          <w:p w14:paraId="59AAC6A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447" w:type="pct"/>
            <w:tcBorders>
              <w:top w:val="nil"/>
              <w:left w:val="nil"/>
              <w:bottom w:val="single" w:color="auto" w:sz="4" w:space="0"/>
              <w:right w:val="single" w:color="auto" w:sz="4" w:space="0"/>
            </w:tcBorders>
            <w:vAlign w:val="center"/>
          </w:tcPr>
          <w:p w14:paraId="7B47918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970" w:type="pct"/>
            <w:tcBorders>
              <w:top w:val="nil"/>
              <w:left w:val="nil"/>
              <w:bottom w:val="single" w:color="auto" w:sz="4" w:space="0"/>
              <w:right w:val="single" w:color="auto" w:sz="4" w:space="0"/>
            </w:tcBorders>
            <w:vAlign w:val="center"/>
          </w:tcPr>
          <w:p w14:paraId="65C88D3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895" w:type="pct"/>
            <w:tcBorders>
              <w:top w:val="nil"/>
              <w:left w:val="nil"/>
              <w:bottom w:val="single" w:color="auto" w:sz="4" w:space="0"/>
              <w:right w:val="single" w:color="auto" w:sz="4" w:space="0"/>
            </w:tcBorders>
            <w:vAlign w:val="center"/>
          </w:tcPr>
          <w:p w14:paraId="33BABF0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596" w:type="pct"/>
            <w:tcBorders>
              <w:top w:val="nil"/>
              <w:left w:val="nil"/>
              <w:bottom w:val="single" w:color="auto" w:sz="4" w:space="0"/>
              <w:right w:val="single" w:color="auto" w:sz="4" w:space="0"/>
            </w:tcBorders>
            <w:vAlign w:val="center"/>
          </w:tcPr>
          <w:p w14:paraId="6E39E48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5F972F38">
        <w:tblPrEx>
          <w:tblCellMar>
            <w:top w:w="0" w:type="dxa"/>
            <w:left w:w="108" w:type="dxa"/>
            <w:bottom w:w="0" w:type="dxa"/>
            <w:right w:w="108" w:type="dxa"/>
          </w:tblCellMar>
        </w:tblPrEx>
        <w:trPr>
          <w:trHeight w:val="225" w:hRule="atLeast"/>
        </w:trPr>
        <w:tc>
          <w:tcPr>
            <w:tcW w:w="1044" w:type="pct"/>
            <w:vMerge w:val="continue"/>
            <w:tcBorders>
              <w:top w:val="nil"/>
              <w:left w:val="single" w:color="auto" w:sz="4" w:space="0"/>
              <w:bottom w:val="single" w:color="auto" w:sz="4" w:space="0"/>
              <w:right w:val="single" w:color="auto" w:sz="4" w:space="0"/>
            </w:tcBorders>
            <w:vAlign w:val="center"/>
          </w:tcPr>
          <w:p w14:paraId="7D61A4F9">
            <w:pPr>
              <w:widowControl/>
              <w:jc w:val="left"/>
              <w:rPr>
                <w:rFonts w:ascii="仿宋_GB2312" w:hAnsi="仿宋" w:eastAsia="仿宋_GB2312" w:cs="宋体"/>
                <w:b/>
                <w:bCs/>
                <w:color w:val="auto"/>
                <w:kern w:val="0"/>
                <w:sz w:val="18"/>
                <w:szCs w:val="18"/>
                <w:highlight w:val="none"/>
              </w:rPr>
            </w:pPr>
          </w:p>
        </w:tc>
        <w:tc>
          <w:tcPr>
            <w:tcW w:w="1044" w:type="pct"/>
            <w:tcBorders>
              <w:top w:val="nil"/>
              <w:left w:val="nil"/>
              <w:bottom w:val="single" w:color="auto" w:sz="4" w:space="0"/>
              <w:right w:val="single" w:color="auto" w:sz="4" w:space="0"/>
            </w:tcBorders>
            <w:vAlign w:val="center"/>
          </w:tcPr>
          <w:p w14:paraId="778103C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447" w:type="pct"/>
            <w:tcBorders>
              <w:top w:val="nil"/>
              <w:left w:val="nil"/>
              <w:bottom w:val="single" w:color="auto" w:sz="4" w:space="0"/>
              <w:right w:val="single" w:color="auto" w:sz="4" w:space="0"/>
            </w:tcBorders>
            <w:vAlign w:val="center"/>
          </w:tcPr>
          <w:p w14:paraId="1C95300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970" w:type="pct"/>
            <w:tcBorders>
              <w:top w:val="nil"/>
              <w:left w:val="nil"/>
              <w:bottom w:val="single" w:color="auto" w:sz="4" w:space="0"/>
              <w:right w:val="single" w:color="auto" w:sz="4" w:space="0"/>
            </w:tcBorders>
            <w:vAlign w:val="center"/>
          </w:tcPr>
          <w:p w14:paraId="37B7D2D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2000≤Y＜10000</w:t>
            </w:r>
          </w:p>
        </w:tc>
        <w:tc>
          <w:tcPr>
            <w:tcW w:w="895" w:type="pct"/>
            <w:tcBorders>
              <w:top w:val="nil"/>
              <w:left w:val="nil"/>
              <w:bottom w:val="single" w:color="auto" w:sz="4" w:space="0"/>
              <w:right w:val="single" w:color="auto" w:sz="4" w:space="0"/>
            </w:tcBorders>
            <w:vAlign w:val="center"/>
          </w:tcPr>
          <w:p w14:paraId="7B8B32C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100≤Y＜2000</w:t>
            </w:r>
          </w:p>
        </w:tc>
        <w:tc>
          <w:tcPr>
            <w:tcW w:w="596" w:type="pct"/>
            <w:tcBorders>
              <w:top w:val="nil"/>
              <w:left w:val="nil"/>
              <w:bottom w:val="single" w:color="auto" w:sz="4" w:space="0"/>
              <w:right w:val="single" w:color="auto" w:sz="4" w:space="0"/>
            </w:tcBorders>
            <w:vAlign w:val="center"/>
          </w:tcPr>
          <w:p w14:paraId="73D62AD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5C3B993A">
        <w:tblPrEx>
          <w:tblCellMar>
            <w:top w:w="0" w:type="dxa"/>
            <w:left w:w="108" w:type="dxa"/>
            <w:bottom w:w="0" w:type="dxa"/>
            <w:right w:w="108" w:type="dxa"/>
          </w:tblCellMar>
        </w:tblPrEx>
        <w:trPr>
          <w:trHeight w:val="225" w:hRule="atLeast"/>
        </w:trPr>
        <w:tc>
          <w:tcPr>
            <w:tcW w:w="1044" w:type="pct"/>
            <w:vMerge w:val="restart"/>
            <w:tcBorders>
              <w:top w:val="nil"/>
              <w:left w:val="single" w:color="auto" w:sz="4" w:space="0"/>
              <w:bottom w:val="single" w:color="auto" w:sz="4" w:space="0"/>
              <w:right w:val="single" w:color="auto" w:sz="4" w:space="0"/>
            </w:tcBorders>
            <w:vAlign w:val="bottom"/>
          </w:tcPr>
          <w:p w14:paraId="35ED664F">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餐饮业</w:t>
            </w:r>
          </w:p>
        </w:tc>
        <w:tc>
          <w:tcPr>
            <w:tcW w:w="1044" w:type="pct"/>
            <w:tcBorders>
              <w:top w:val="nil"/>
              <w:left w:val="nil"/>
              <w:bottom w:val="single" w:color="auto" w:sz="4" w:space="0"/>
              <w:right w:val="single" w:color="auto" w:sz="4" w:space="0"/>
            </w:tcBorders>
            <w:vAlign w:val="center"/>
          </w:tcPr>
          <w:p w14:paraId="6B4D23B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447" w:type="pct"/>
            <w:tcBorders>
              <w:top w:val="nil"/>
              <w:left w:val="nil"/>
              <w:bottom w:val="single" w:color="auto" w:sz="4" w:space="0"/>
              <w:right w:val="single" w:color="auto" w:sz="4" w:space="0"/>
            </w:tcBorders>
            <w:vAlign w:val="center"/>
          </w:tcPr>
          <w:p w14:paraId="75C8097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970" w:type="pct"/>
            <w:tcBorders>
              <w:top w:val="nil"/>
              <w:left w:val="nil"/>
              <w:bottom w:val="single" w:color="auto" w:sz="4" w:space="0"/>
              <w:right w:val="single" w:color="auto" w:sz="4" w:space="0"/>
            </w:tcBorders>
            <w:vAlign w:val="center"/>
          </w:tcPr>
          <w:p w14:paraId="3B097B3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895" w:type="pct"/>
            <w:tcBorders>
              <w:top w:val="nil"/>
              <w:left w:val="nil"/>
              <w:bottom w:val="single" w:color="auto" w:sz="4" w:space="0"/>
              <w:right w:val="single" w:color="auto" w:sz="4" w:space="0"/>
            </w:tcBorders>
            <w:vAlign w:val="center"/>
          </w:tcPr>
          <w:p w14:paraId="2DF08A2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596" w:type="pct"/>
            <w:tcBorders>
              <w:top w:val="nil"/>
              <w:left w:val="nil"/>
              <w:bottom w:val="single" w:color="auto" w:sz="4" w:space="0"/>
              <w:right w:val="single" w:color="auto" w:sz="4" w:space="0"/>
            </w:tcBorders>
            <w:vAlign w:val="center"/>
          </w:tcPr>
          <w:p w14:paraId="783A217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03AE300C">
        <w:tblPrEx>
          <w:tblCellMar>
            <w:top w:w="0" w:type="dxa"/>
            <w:left w:w="108" w:type="dxa"/>
            <w:bottom w:w="0" w:type="dxa"/>
            <w:right w:w="108" w:type="dxa"/>
          </w:tblCellMar>
        </w:tblPrEx>
        <w:trPr>
          <w:trHeight w:val="225" w:hRule="atLeast"/>
        </w:trPr>
        <w:tc>
          <w:tcPr>
            <w:tcW w:w="1044" w:type="pct"/>
            <w:vMerge w:val="continue"/>
            <w:tcBorders>
              <w:top w:val="nil"/>
              <w:left w:val="single" w:color="auto" w:sz="4" w:space="0"/>
              <w:bottom w:val="single" w:color="auto" w:sz="4" w:space="0"/>
              <w:right w:val="single" w:color="auto" w:sz="4" w:space="0"/>
            </w:tcBorders>
            <w:vAlign w:val="center"/>
          </w:tcPr>
          <w:p w14:paraId="5C4359E5">
            <w:pPr>
              <w:widowControl/>
              <w:jc w:val="left"/>
              <w:rPr>
                <w:rFonts w:ascii="仿宋_GB2312" w:hAnsi="仿宋" w:eastAsia="仿宋_GB2312" w:cs="宋体"/>
                <w:b/>
                <w:bCs/>
                <w:color w:val="auto"/>
                <w:kern w:val="0"/>
                <w:sz w:val="18"/>
                <w:szCs w:val="18"/>
                <w:highlight w:val="none"/>
              </w:rPr>
            </w:pPr>
          </w:p>
        </w:tc>
        <w:tc>
          <w:tcPr>
            <w:tcW w:w="1044" w:type="pct"/>
            <w:tcBorders>
              <w:top w:val="nil"/>
              <w:left w:val="nil"/>
              <w:bottom w:val="single" w:color="auto" w:sz="4" w:space="0"/>
              <w:right w:val="single" w:color="auto" w:sz="4" w:space="0"/>
            </w:tcBorders>
            <w:vAlign w:val="center"/>
          </w:tcPr>
          <w:p w14:paraId="3F7FDB6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447" w:type="pct"/>
            <w:tcBorders>
              <w:top w:val="nil"/>
              <w:left w:val="nil"/>
              <w:bottom w:val="single" w:color="auto" w:sz="4" w:space="0"/>
              <w:right w:val="single" w:color="auto" w:sz="4" w:space="0"/>
            </w:tcBorders>
            <w:vAlign w:val="center"/>
          </w:tcPr>
          <w:p w14:paraId="65ACADB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970" w:type="pct"/>
            <w:tcBorders>
              <w:top w:val="nil"/>
              <w:left w:val="nil"/>
              <w:bottom w:val="single" w:color="auto" w:sz="4" w:space="0"/>
              <w:right w:val="single" w:color="auto" w:sz="4" w:space="0"/>
            </w:tcBorders>
            <w:vAlign w:val="center"/>
          </w:tcPr>
          <w:p w14:paraId="2A0655B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2000≤Y＜10000</w:t>
            </w:r>
          </w:p>
        </w:tc>
        <w:tc>
          <w:tcPr>
            <w:tcW w:w="895" w:type="pct"/>
            <w:tcBorders>
              <w:top w:val="nil"/>
              <w:left w:val="nil"/>
              <w:bottom w:val="single" w:color="auto" w:sz="4" w:space="0"/>
              <w:right w:val="single" w:color="auto" w:sz="4" w:space="0"/>
            </w:tcBorders>
            <w:vAlign w:val="center"/>
          </w:tcPr>
          <w:p w14:paraId="2BC5F04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100≤Y＜2000</w:t>
            </w:r>
          </w:p>
        </w:tc>
        <w:tc>
          <w:tcPr>
            <w:tcW w:w="596" w:type="pct"/>
            <w:tcBorders>
              <w:top w:val="nil"/>
              <w:left w:val="nil"/>
              <w:bottom w:val="single" w:color="auto" w:sz="4" w:space="0"/>
              <w:right w:val="single" w:color="auto" w:sz="4" w:space="0"/>
            </w:tcBorders>
            <w:vAlign w:val="center"/>
          </w:tcPr>
          <w:p w14:paraId="2E65950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2E2BF294">
        <w:tblPrEx>
          <w:tblCellMar>
            <w:top w:w="0" w:type="dxa"/>
            <w:left w:w="108" w:type="dxa"/>
            <w:bottom w:w="0" w:type="dxa"/>
            <w:right w:w="108" w:type="dxa"/>
          </w:tblCellMar>
        </w:tblPrEx>
        <w:trPr>
          <w:trHeight w:val="225" w:hRule="atLeast"/>
        </w:trPr>
        <w:tc>
          <w:tcPr>
            <w:tcW w:w="1044" w:type="pct"/>
            <w:vMerge w:val="restart"/>
            <w:tcBorders>
              <w:top w:val="nil"/>
              <w:left w:val="single" w:color="auto" w:sz="4" w:space="0"/>
              <w:bottom w:val="single" w:color="auto" w:sz="4" w:space="0"/>
              <w:right w:val="single" w:color="auto" w:sz="4" w:space="0"/>
            </w:tcBorders>
            <w:vAlign w:val="bottom"/>
          </w:tcPr>
          <w:p w14:paraId="1CE3EAB2">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信息传输业</w:t>
            </w:r>
          </w:p>
        </w:tc>
        <w:tc>
          <w:tcPr>
            <w:tcW w:w="1044" w:type="pct"/>
            <w:tcBorders>
              <w:top w:val="nil"/>
              <w:left w:val="nil"/>
              <w:bottom w:val="single" w:color="auto" w:sz="4" w:space="0"/>
              <w:right w:val="single" w:color="auto" w:sz="4" w:space="0"/>
            </w:tcBorders>
            <w:vAlign w:val="center"/>
          </w:tcPr>
          <w:p w14:paraId="15AA9B7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447" w:type="pct"/>
            <w:tcBorders>
              <w:top w:val="nil"/>
              <w:left w:val="nil"/>
              <w:bottom w:val="single" w:color="auto" w:sz="4" w:space="0"/>
              <w:right w:val="single" w:color="auto" w:sz="4" w:space="0"/>
            </w:tcBorders>
            <w:vAlign w:val="center"/>
          </w:tcPr>
          <w:p w14:paraId="6171F49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970" w:type="pct"/>
            <w:tcBorders>
              <w:top w:val="nil"/>
              <w:left w:val="nil"/>
              <w:bottom w:val="single" w:color="auto" w:sz="4" w:space="0"/>
              <w:right w:val="single" w:color="auto" w:sz="4" w:space="0"/>
            </w:tcBorders>
            <w:vAlign w:val="center"/>
          </w:tcPr>
          <w:p w14:paraId="0F5C79D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100≤X＜2000</w:t>
            </w:r>
          </w:p>
        </w:tc>
        <w:tc>
          <w:tcPr>
            <w:tcW w:w="895" w:type="pct"/>
            <w:tcBorders>
              <w:top w:val="nil"/>
              <w:left w:val="nil"/>
              <w:bottom w:val="single" w:color="auto" w:sz="4" w:space="0"/>
              <w:right w:val="single" w:color="auto" w:sz="4" w:space="0"/>
            </w:tcBorders>
            <w:vAlign w:val="center"/>
          </w:tcPr>
          <w:p w14:paraId="6D6A9E1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596" w:type="pct"/>
            <w:tcBorders>
              <w:top w:val="nil"/>
              <w:left w:val="nil"/>
              <w:bottom w:val="single" w:color="auto" w:sz="4" w:space="0"/>
              <w:right w:val="single" w:color="auto" w:sz="4" w:space="0"/>
            </w:tcBorders>
            <w:vAlign w:val="center"/>
          </w:tcPr>
          <w:p w14:paraId="364236C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2A00EEB6">
        <w:tblPrEx>
          <w:tblCellMar>
            <w:top w:w="0" w:type="dxa"/>
            <w:left w:w="108" w:type="dxa"/>
            <w:bottom w:w="0" w:type="dxa"/>
            <w:right w:w="108" w:type="dxa"/>
          </w:tblCellMar>
        </w:tblPrEx>
        <w:trPr>
          <w:trHeight w:val="225" w:hRule="atLeast"/>
        </w:trPr>
        <w:tc>
          <w:tcPr>
            <w:tcW w:w="1044" w:type="pct"/>
            <w:vMerge w:val="continue"/>
            <w:tcBorders>
              <w:top w:val="nil"/>
              <w:left w:val="single" w:color="auto" w:sz="4" w:space="0"/>
              <w:bottom w:val="single" w:color="auto" w:sz="4" w:space="0"/>
              <w:right w:val="single" w:color="auto" w:sz="4" w:space="0"/>
            </w:tcBorders>
            <w:vAlign w:val="center"/>
          </w:tcPr>
          <w:p w14:paraId="186685A8">
            <w:pPr>
              <w:widowControl/>
              <w:jc w:val="left"/>
              <w:rPr>
                <w:rFonts w:ascii="仿宋_GB2312" w:hAnsi="仿宋" w:eastAsia="仿宋_GB2312" w:cs="宋体"/>
                <w:b/>
                <w:bCs/>
                <w:color w:val="auto"/>
                <w:kern w:val="0"/>
                <w:sz w:val="18"/>
                <w:szCs w:val="18"/>
                <w:highlight w:val="none"/>
              </w:rPr>
            </w:pPr>
          </w:p>
        </w:tc>
        <w:tc>
          <w:tcPr>
            <w:tcW w:w="1044" w:type="pct"/>
            <w:tcBorders>
              <w:top w:val="nil"/>
              <w:left w:val="nil"/>
              <w:bottom w:val="single" w:color="auto" w:sz="4" w:space="0"/>
              <w:right w:val="single" w:color="auto" w:sz="4" w:space="0"/>
            </w:tcBorders>
            <w:vAlign w:val="center"/>
          </w:tcPr>
          <w:p w14:paraId="12DE321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447" w:type="pct"/>
            <w:tcBorders>
              <w:top w:val="nil"/>
              <w:left w:val="nil"/>
              <w:bottom w:val="single" w:color="auto" w:sz="4" w:space="0"/>
              <w:right w:val="single" w:color="auto" w:sz="4" w:space="0"/>
            </w:tcBorders>
            <w:vAlign w:val="center"/>
          </w:tcPr>
          <w:p w14:paraId="5DF05C4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970" w:type="pct"/>
            <w:tcBorders>
              <w:top w:val="nil"/>
              <w:left w:val="nil"/>
              <w:bottom w:val="single" w:color="auto" w:sz="4" w:space="0"/>
              <w:right w:val="single" w:color="auto" w:sz="4" w:space="0"/>
            </w:tcBorders>
            <w:vAlign w:val="center"/>
          </w:tcPr>
          <w:p w14:paraId="4B945E5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1000≤Y＜100000</w:t>
            </w:r>
          </w:p>
        </w:tc>
        <w:tc>
          <w:tcPr>
            <w:tcW w:w="895" w:type="pct"/>
            <w:tcBorders>
              <w:top w:val="nil"/>
              <w:left w:val="nil"/>
              <w:bottom w:val="single" w:color="auto" w:sz="4" w:space="0"/>
              <w:right w:val="single" w:color="auto" w:sz="4" w:space="0"/>
            </w:tcBorders>
            <w:vAlign w:val="center"/>
          </w:tcPr>
          <w:p w14:paraId="05B5824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100≤Y＜1000</w:t>
            </w:r>
          </w:p>
        </w:tc>
        <w:tc>
          <w:tcPr>
            <w:tcW w:w="596" w:type="pct"/>
            <w:tcBorders>
              <w:top w:val="nil"/>
              <w:left w:val="nil"/>
              <w:bottom w:val="single" w:color="auto" w:sz="4" w:space="0"/>
              <w:right w:val="single" w:color="auto" w:sz="4" w:space="0"/>
            </w:tcBorders>
            <w:vAlign w:val="center"/>
          </w:tcPr>
          <w:p w14:paraId="7FD84A7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02F6B8B5">
        <w:tblPrEx>
          <w:tblCellMar>
            <w:top w:w="0" w:type="dxa"/>
            <w:left w:w="108" w:type="dxa"/>
            <w:bottom w:w="0" w:type="dxa"/>
            <w:right w:w="108" w:type="dxa"/>
          </w:tblCellMar>
        </w:tblPrEx>
        <w:trPr>
          <w:trHeight w:val="225" w:hRule="atLeast"/>
        </w:trPr>
        <w:tc>
          <w:tcPr>
            <w:tcW w:w="1044" w:type="pct"/>
            <w:vMerge w:val="restart"/>
            <w:tcBorders>
              <w:top w:val="nil"/>
              <w:left w:val="single" w:color="auto" w:sz="4" w:space="0"/>
              <w:bottom w:val="single" w:color="auto" w:sz="4" w:space="0"/>
              <w:right w:val="single" w:color="auto" w:sz="4" w:space="0"/>
            </w:tcBorders>
            <w:vAlign w:val="bottom"/>
          </w:tcPr>
          <w:p w14:paraId="2219C7C4">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软件和信息技术服务业</w:t>
            </w:r>
          </w:p>
        </w:tc>
        <w:tc>
          <w:tcPr>
            <w:tcW w:w="1044" w:type="pct"/>
            <w:tcBorders>
              <w:top w:val="nil"/>
              <w:left w:val="nil"/>
              <w:bottom w:val="single" w:color="auto" w:sz="4" w:space="0"/>
              <w:right w:val="single" w:color="auto" w:sz="4" w:space="0"/>
            </w:tcBorders>
            <w:vAlign w:val="center"/>
          </w:tcPr>
          <w:p w14:paraId="6CBBE73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447" w:type="pct"/>
            <w:tcBorders>
              <w:top w:val="nil"/>
              <w:left w:val="nil"/>
              <w:bottom w:val="single" w:color="auto" w:sz="4" w:space="0"/>
              <w:right w:val="single" w:color="auto" w:sz="4" w:space="0"/>
            </w:tcBorders>
            <w:vAlign w:val="center"/>
          </w:tcPr>
          <w:p w14:paraId="184FF24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970" w:type="pct"/>
            <w:tcBorders>
              <w:top w:val="nil"/>
              <w:left w:val="nil"/>
              <w:bottom w:val="single" w:color="auto" w:sz="4" w:space="0"/>
              <w:right w:val="single" w:color="auto" w:sz="4" w:space="0"/>
            </w:tcBorders>
            <w:vAlign w:val="center"/>
          </w:tcPr>
          <w:p w14:paraId="195410A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895" w:type="pct"/>
            <w:tcBorders>
              <w:top w:val="nil"/>
              <w:left w:val="nil"/>
              <w:bottom w:val="single" w:color="auto" w:sz="4" w:space="0"/>
              <w:right w:val="single" w:color="auto" w:sz="4" w:space="0"/>
            </w:tcBorders>
            <w:vAlign w:val="center"/>
          </w:tcPr>
          <w:p w14:paraId="78E35FE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596" w:type="pct"/>
            <w:tcBorders>
              <w:top w:val="nil"/>
              <w:left w:val="nil"/>
              <w:bottom w:val="single" w:color="auto" w:sz="4" w:space="0"/>
              <w:right w:val="single" w:color="auto" w:sz="4" w:space="0"/>
            </w:tcBorders>
            <w:vAlign w:val="center"/>
          </w:tcPr>
          <w:p w14:paraId="459FC27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17DA7BC3">
        <w:tblPrEx>
          <w:tblCellMar>
            <w:top w:w="0" w:type="dxa"/>
            <w:left w:w="108" w:type="dxa"/>
            <w:bottom w:w="0" w:type="dxa"/>
            <w:right w:w="108" w:type="dxa"/>
          </w:tblCellMar>
        </w:tblPrEx>
        <w:trPr>
          <w:trHeight w:val="225" w:hRule="atLeast"/>
        </w:trPr>
        <w:tc>
          <w:tcPr>
            <w:tcW w:w="1044" w:type="pct"/>
            <w:vMerge w:val="continue"/>
            <w:tcBorders>
              <w:top w:val="nil"/>
              <w:left w:val="single" w:color="auto" w:sz="4" w:space="0"/>
              <w:bottom w:val="single" w:color="auto" w:sz="4" w:space="0"/>
              <w:right w:val="single" w:color="auto" w:sz="4" w:space="0"/>
            </w:tcBorders>
            <w:vAlign w:val="center"/>
          </w:tcPr>
          <w:p w14:paraId="00FAA30E">
            <w:pPr>
              <w:widowControl/>
              <w:jc w:val="left"/>
              <w:rPr>
                <w:rFonts w:ascii="仿宋_GB2312" w:hAnsi="仿宋" w:eastAsia="仿宋_GB2312" w:cs="宋体"/>
                <w:b/>
                <w:bCs/>
                <w:color w:val="auto"/>
                <w:kern w:val="0"/>
                <w:sz w:val="18"/>
                <w:szCs w:val="18"/>
                <w:highlight w:val="none"/>
              </w:rPr>
            </w:pPr>
          </w:p>
        </w:tc>
        <w:tc>
          <w:tcPr>
            <w:tcW w:w="1044" w:type="pct"/>
            <w:tcBorders>
              <w:top w:val="nil"/>
              <w:left w:val="nil"/>
              <w:bottom w:val="single" w:color="auto" w:sz="4" w:space="0"/>
              <w:right w:val="single" w:color="auto" w:sz="4" w:space="0"/>
            </w:tcBorders>
            <w:vAlign w:val="center"/>
          </w:tcPr>
          <w:p w14:paraId="7C63A56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447" w:type="pct"/>
            <w:tcBorders>
              <w:top w:val="nil"/>
              <w:left w:val="nil"/>
              <w:bottom w:val="single" w:color="auto" w:sz="4" w:space="0"/>
              <w:right w:val="single" w:color="auto" w:sz="4" w:space="0"/>
            </w:tcBorders>
            <w:vAlign w:val="center"/>
          </w:tcPr>
          <w:p w14:paraId="4749563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970" w:type="pct"/>
            <w:tcBorders>
              <w:top w:val="nil"/>
              <w:left w:val="nil"/>
              <w:bottom w:val="single" w:color="auto" w:sz="4" w:space="0"/>
              <w:right w:val="single" w:color="auto" w:sz="4" w:space="0"/>
            </w:tcBorders>
            <w:vAlign w:val="center"/>
          </w:tcPr>
          <w:p w14:paraId="7119A26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1000≤Y＜10000</w:t>
            </w:r>
          </w:p>
        </w:tc>
        <w:tc>
          <w:tcPr>
            <w:tcW w:w="895" w:type="pct"/>
            <w:tcBorders>
              <w:top w:val="nil"/>
              <w:left w:val="nil"/>
              <w:bottom w:val="single" w:color="auto" w:sz="4" w:space="0"/>
              <w:right w:val="single" w:color="auto" w:sz="4" w:space="0"/>
            </w:tcBorders>
            <w:vAlign w:val="center"/>
          </w:tcPr>
          <w:p w14:paraId="1542AD9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50≤Y＜1000</w:t>
            </w:r>
          </w:p>
        </w:tc>
        <w:tc>
          <w:tcPr>
            <w:tcW w:w="596" w:type="pct"/>
            <w:tcBorders>
              <w:top w:val="nil"/>
              <w:left w:val="nil"/>
              <w:bottom w:val="single" w:color="auto" w:sz="4" w:space="0"/>
              <w:right w:val="single" w:color="auto" w:sz="4" w:space="0"/>
            </w:tcBorders>
            <w:vAlign w:val="center"/>
          </w:tcPr>
          <w:p w14:paraId="5012D2B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Y＜50</w:t>
            </w:r>
          </w:p>
        </w:tc>
      </w:tr>
      <w:tr w14:paraId="65BC44A2">
        <w:tblPrEx>
          <w:tblCellMar>
            <w:top w:w="0" w:type="dxa"/>
            <w:left w:w="108" w:type="dxa"/>
            <w:bottom w:w="0" w:type="dxa"/>
            <w:right w:w="108" w:type="dxa"/>
          </w:tblCellMar>
        </w:tblPrEx>
        <w:trPr>
          <w:trHeight w:val="225" w:hRule="atLeast"/>
        </w:trPr>
        <w:tc>
          <w:tcPr>
            <w:tcW w:w="1044" w:type="pct"/>
            <w:vMerge w:val="restart"/>
            <w:tcBorders>
              <w:top w:val="nil"/>
              <w:left w:val="single" w:color="auto" w:sz="4" w:space="0"/>
              <w:bottom w:val="single" w:color="auto" w:sz="4" w:space="0"/>
              <w:right w:val="single" w:color="auto" w:sz="4" w:space="0"/>
            </w:tcBorders>
            <w:vAlign w:val="bottom"/>
          </w:tcPr>
          <w:p w14:paraId="1E333FD4">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房地产开发经营</w:t>
            </w:r>
          </w:p>
        </w:tc>
        <w:tc>
          <w:tcPr>
            <w:tcW w:w="1044" w:type="pct"/>
            <w:tcBorders>
              <w:top w:val="nil"/>
              <w:left w:val="nil"/>
              <w:bottom w:val="single" w:color="auto" w:sz="4" w:space="0"/>
              <w:right w:val="single" w:color="auto" w:sz="4" w:space="0"/>
            </w:tcBorders>
            <w:vAlign w:val="center"/>
          </w:tcPr>
          <w:p w14:paraId="25F3F85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447" w:type="pct"/>
            <w:tcBorders>
              <w:top w:val="nil"/>
              <w:left w:val="nil"/>
              <w:bottom w:val="single" w:color="auto" w:sz="4" w:space="0"/>
              <w:right w:val="single" w:color="auto" w:sz="4" w:space="0"/>
            </w:tcBorders>
            <w:vAlign w:val="center"/>
          </w:tcPr>
          <w:p w14:paraId="6EEAB9E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970" w:type="pct"/>
            <w:tcBorders>
              <w:top w:val="nil"/>
              <w:left w:val="nil"/>
              <w:bottom w:val="single" w:color="auto" w:sz="4" w:space="0"/>
              <w:right w:val="single" w:color="auto" w:sz="4" w:space="0"/>
            </w:tcBorders>
            <w:vAlign w:val="center"/>
          </w:tcPr>
          <w:p w14:paraId="29A27CF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1000≤Y＜200000</w:t>
            </w:r>
          </w:p>
        </w:tc>
        <w:tc>
          <w:tcPr>
            <w:tcW w:w="895" w:type="pct"/>
            <w:tcBorders>
              <w:top w:val="nil"/>
              <w:left w:val="nil"/>
              <w:bottom w:val="single" w:color="auto" w:sz="4" w:space="0"/>
              <w:right w:val="single" w:color="auto" w:sz="4" w:space="0"/>
            </w:tcBorders>
            <w:vAlign w:val="center"/>
          </w:tcPr>
          <w:p w14:paraId="106D557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100≤X＜1000</w:t>
            </w:r>
          </w:p>
        </w:tc>
        <w:tc>
          <w:tcPr>
            <w:tcW w:w="596" w:type="pct"/>
            <w:tcBorders>
              <w:top w:val="nil"/>
              <w:left w:val="nil"/>
              <w:bottom w:val="single" w:color="auto" w:sz="4" w:space="0"/>
              <w:right w:val="single" w:color="auto" w:sz="4" w:space="0"/>
            </w:tcBorders>
            <w:vAlign w:val="center"/>
          </w:tcPr>
          <w:p w14:paraId="40EC25D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X＜100</w:t>
            </w:r>
          </w:p>
        </w:tc>
      </w:tr>
      <w:tr w14:paraId="430AD37C">
        <w:tblPrEx>
          <w:tblCellMar>
            <w:top w:w="0" w:type="dxa"/>
            <w:left w:w="108" w:type="dxa"/>
            <w:bottom w:w="0" w:type="dxa"/>
            <w:right w:w="108" w:type="dxa"/>
          </w:tblCellMar>
        </w:tblPrEx>
        <w:trPr>
          <w:trHeight w:val="225" w:hRule="atLeast"/>
        </w:trPr>
        <w:tc>
          <w:tcPr>
            <w:tcW w:w="1044" w:type="pct"/>
            <w:vMerge w:val="continue"/>
            <w:tcBorders>
              <w:top w:val="nil"/>
              <w:left w:val="single" w:color="auto" w:sz="4" w:space="0"/>
              <w:bottom w:val="single" w:color="auto" w:sz="4" w:space="0"/>
              <w:right w:val="single" w:color="auto" w:sz="4" w:space="0"/>
            </w:tcBorders>
            <w:vAlign w:val="center"/>
          </w:tcPr>
          <w:p w14:paraId="2DD756EB">
            <w:pPr>
              <w:widowControl/>
              <w:jc w:val="left"/>
              <w:rPr>
                <w:rFonts w:ascii="仿宋_GB2312" w:hAnsi="仿宋" w:eastAsia="仿宋_GB2312" w:cs="宋体"/>
                <w:b/>
                <w:bCs/>
                <w:color w:val="auto"/>
                <w:kern w:val="0"/>
                <w:sz w:val="18"/>
                <w:szCs w:val="18"/>
                <w:highlight w:val="none"/>
              </w:rPr>
            </w:pPr>
          </w:p>
        </w:tc>
        <w:tc>
          <w:tcPr>
            <w:tcW w:w="1044" w:type="pct"/>
            <w:tcBorders>
              <w:top w:val="nil"/>
              <w:left w:val="nil"/>
              <w:bottom w:val="single" w:color="auto" w:sz="4" w:space="0"/>
              <w:right w:val="single" w:color="auto" w:sz="4" w:space="0"/>
            </w:tcBorders>
            <w:vAlign w:val="center"/>
          </w:tcPr>
          <w:p w14:paraId="3EC4D6A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资产总额（Z）</w:t>
            </w:r>
          </w:p>
        </w:tc>
        <w:tc>
          <w:tcPr>
            <w:tcW w:w="447" w:type="pct"/>
            <w:tcBorders>
              <w:top w:val="nil"/>
              <w:left w:val="nil"/>
              <w:bottom w:val="single" w:color="auto" w:sz="4" w:space="0"/>
              <w:right w:val="single" w:color="auto" w:sz="4" w:space="0"/>
            </w:tcBorders>
            <w:vAlign w:val="center"/>
          </w:tcPr>
          <w:p w14:paraId="2B8C239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970" w:type="pct"/>
            <w:tcBorders>
              <w:top w:val="nil"/>
              <w:left w:val="nil"/>
              <w:bottom w:val="single" w:color="auto" w:sz="4" w:space="0"/>
              <w:right w:val="single" w:color="auto" w:sz="4" w:space="0"/>
            </w:tcBorders>
            <w:vAlign w:val="center"/>
          </w:tcPr>
          <w:p w14:paraId="6751986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5000≤Z＜10000</w:t>
            </w:r>
          </w:p>
        </w:tc>
        <w:tc>
          <w:tcPr>
            <w:tcW w:w="895" w:type="pct"/>
            <w:tcBorders>
              <w:top w:val="nil"/>
              <w:left w:val="nil"/>
              <w:bottom w:val="single" w:color="auto" w:sz="4" w:space="0"/>
              <w:right w:val="single" w:color="auto" w:sz="4" w:space="0"/>
            </w:tcBorders>
            <w:vAlign w:val="center"/>
          </w:tcPr>
          <w:p w14:paraId="7D61128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2000≤Y＜5000</w:t>
            </w:r>
          </w:p>
        </w:tc>
        <w:tc>
          <w:tcPr>
            <w:tcW w:w="596" w:type="pct"/>
            <w:tcBorders>
              <w:top w:val="nil"/>
              <w:left w:val="nil"/>
              <w:bottom w:val="single" w:color="auto" w:sz="4" w:space="0"/>
              <w:right w:val="single" w:color="auto" w:sz="4" w:space="0"/>
            </w:tcBorders>
            <w:vAlign w:val="center"/>
          </w:tcPr>
          <w:p w14:paraId="561DF24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Y＜2000</w:t>
            </w:r>
          </w:p>
        </w:tc>
      </w:tr>
      <w:tr w14:paraId="5FEFAA2E">
        <w:tblPrEx>
          <w:tblCellMar>
            <w:top w:w="0" w:type="dxa"/>
            <w:left w:w="108" w:type="dxa"/>
            <w:bottom w:w="0" w:type="dxa"/>
            <w:right w:w="108" w:type="dxa"/>
          </w:tblCellMar>
        </w:tblPrEx>
        <w:trPr>
          <w:trHeight w:val="225" w:hRule="atLeast"/>
        </w:trPr>
        <w:tc>
          <w:tcPr>
            <w:tcW w:w="1044" w:type="pct"/>
            <w:vMerge w:val="restart"/>
            <w:tcBorders>
              <w:top w:val="nil"/>
              <w:left w:val="single" w:color="auto" w:sz="4" w:space="0"/>
              <w:bottom w:val="single" w:color="auto" w:sz="4" w:space="0"/>
              <w:right w:val="single" w:color="auto" w:sz="4" w:space="0"/>
            </w:tcBorders>
            <w:vAlign w:val="bottom"/>
          </w:tcPr>
          <w:p w14:paraId="5E7550CA">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物业管理</w:t>
            </w:r>
          </w:p>
        </w:tc>
        <w:tc>
          <w:tcPr>
            <w:tcW w:w="1044" w:type="pct"/>
            <w:tcBorders>
              <w:top w:val="nil"/>
              <w:left w:val="nil"/>
              <w:bottom w:val="single" w:color="auto" w:sz="4" w:space="0"/>
              <w:right w:val="single" w:color="auto" w:sz="4" w:space="0"/>
            </w:tcBorders>
            <w:vAlign w:val="center"/>
          </w:tcPr>
          <w:p w14:paraId="040D1A5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447" w:type="pct"/>
            <w:tcBorders>
              <w:top w:val="nil"/>
              <w:left w:val="nil"/>
              <w:bottom w:val="single" w:color="auto" w:sz="4" w:space="0"/>
              <w:right w:val="single" w:color="auto" w:sz="4" w:space="0"/>
            </w:tcBorders>
            <w:vAlign w:val="center"/>
          </w:tcPr>
          <w:p w14:paraId="7BB8EE5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970" w:type="pct"/>
            <w:tcBorders>
              <w:top w:val="nil"/>
              <w:left w:val="nil"/>
              <w:bottom w:val="single" w:color="auto" w:sz="4" w:space="0"/>
              <w:right w:val="single" w:color="auto" w:sz="4" w:space="0"/>
            </w:tcBorders>
            <w:vAlign w:val="center"/>
          </w:tcPr>
          <w:p w14:paraId="09B7EA7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895" w:type="pct"/>
            <w:tcBorders>
              <w:top w:val="nil"/>
              <w:left w:val="nil"/>
              <w:bottom w:val="single" w:color="auto" w:sz="4" w:space="0"/>
              <w:right w:val="single" w:color="auto" w:sz="4" w:space="0"/>
            </w:tcBorders>
            <w:vAlign w:val="center"/>
          </w:tcPr>
          <w:p w14:paraId="0EDBB8E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596" w:type="pct"/>
            <w:tcBorders>
              <w:top w:val="nil"/>
              <w:left w:val="nil"/>
              <w:bottom w:val="single" w:color="auto" w:sz="4" w:space="0"/>
              <w:right w:val="single" w:color="auto" w:sz="4" w:space="0"/>
            </w:tcBorders>
            <w:vAlign w:val="center"/>
          </w:tcPr>
          <w:p w14:paraId="152A883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X＜100</w:t>
            </w:r>
          </w:p>
        </w:tc>
      </w:tr>
      <w:tr w14:paraId="6D828A79">
        <w:tblPrEx>
          <w:tblCellMar>
            <w:top w:w="0" w:type="dxa"/>
            <w:left w:w="108" w:type="dxa"/>
            <w:bottom w:w="0" w:type="dxa"/>
            <w:right w:w="108" w:type="dxa"/>
          </w:tblCellMar>
        </w:tblPrEx>
        <w:trPr>
          <w:trHeight w:val="225" w:hRule="atLeast"/>
        </w:trPr>
        <w:tc>
          <w:tcPr>
            <w:tcW w:w="1044" w:type="pct"/>
            <w:vMerge w:val="continue"/>
            <w:tcBorders>
              <w:top w:val="nil"/>
              <w:left w:val="single" w:color="auto" w:sz="4" w:space="0"/>
              <w:bottom w:val="single" w:color="auto" w:sz="4" w:space="0"/>
              <w:right w:val="single" w:color="auto" w:sz="4" w:space="0"/>
            </w:tcBorders>
            <w:vAlign w:val="center"/>
          </w:tcPr>
          <w:p w14:paraId="345AD70B">
            <w:pPr>
              <w:widowControl/>
              <w:jc w:val="left"/>
              <w:rPr>
                <w:rFonts w:ascii="仿宋_GB2312" w:hAnsi="仿宋" w:eastAsia="仿宋_GB2312" w:cs="宋体"/>
                <w:b/>
                <w:bCs/>
                <w:color w:val="auto"/>
                <w:kern w:val="0"/>
                <w:sz w:val="18"/>
                <w:szCs w:val="18"/>
                <w:highlight w:val="none"/>
              </w:rPr>
            </w:pPr>
          </w:p>
        </w:tc>
        <w:tc>
          <w:tcPr>
            <w:tcW w:w="1044" w:type="pct"/>
            <w:tcBorders>
              <w:top w:val="nil"/>
              <w:left w:val="nil"/>
              <w:bottom w:val="single" w:color="auto" w:sz="4" w:space="0"/>
              <w:right w:val="single" w:color="auto" w:sz="4" w:space="0"/>
            </w:tcBorders>
            <w:vAlign w:val="center"/>
          </w:tcPr>
          <w:p w14:paraId="0C659A2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447" w:type="pct"/>
            <w:tcBorders>
              <w:top w:val="nil"/>
              <w:left w:val="nil"/>
              <w:bottom w:val="single" w:color="auto" w:sz="4" w:space="0"/>
              <w:right w:val="single" w:color="auto" w:sz="4" w:space="0"/>
            </w:tcBorders>
            <w:vAlign w:val="center"/>
          </w:tcPr>
          <w:p w14:paraId="1FAF657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970" w:type="pct"/>
            <w:tcBorders>
              <w:top w:val="nil"/>
              <w:left w:val="nil"/>
              <w:bottom w:val="single" w:color="auto" w:sz="4" w:space="0"/>
              <w:right w:val="single" w:color="auto" w:sz="4" w:space="0"/>
            </w:tcBorders>
            <w:vAlign w:val="center"/>
          </w:tcPr>
          <w:p w14:paraId="02BDF32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1000≤Y＜5000</w:t>
            </w:r>
          </w:p>
        </w:tc>
        <w:tc>
          <w:tcPr>
            <w:tcW w:w="895" w:type="pct"/>
            <w:tcBorders>
              <w:top w:val="nil"/>
              <w:left w:val="nil"/>
              <w:bottom w:val="single" w:color="auto" w:sz="4" w:space="0"/>
              <w:right w:val="single" w:color="auto" w:sz="4" w:space="0"/>
            </w:tcBorders>
            <w:vAlign w:val="center"/>
          </w:tcPr>
          <w:p w14:paraId="42A8847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500≤Y＜1000</w:t>
            </w:r>
          </w:p>
        </w:tc>
        <w:tc>
          <w:tcPr>
            <w:tcW w:w="596" w:type="pct"/>
            <w:tcBorders>
              <w:top w:val="nil"/>
              <w:left w:val="nil"/>
              <w:bottom w:val="single" w:color="auto" w:sz="4" w:space="0"/>
              <w:right w:val="single" w:color="auto" w:sz="4" w:space="0"/>
            </w:tcBorders>
            <w:vAlign w:val="center"/>
          </w:tcPr>
          <w:p w14:paraId="7B50C56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Y＜500</w:t>
            </w:r>
          </w:p>
        </w:tc>
      </w:tr>
      <w:tr w14:paraId="710E5E1B">
        <w:tblPrEx>
          <w:tblCellMar>
            <w:top w:w="0" w:type="dxa"/>
            <w:left w:w="108" w:type="dxa"/>
            <w:bottom w:w="0" w:type="dxa"/>
            <w:right w:w="108" w:type="dxa"/>
          </w:tblCellMar>
        </w:tblPrEx>
        <w:trPr>
          <w:trHeight w:val="225" w:hRule="atLeast"/>
        </w:trPr>
        <w:tc>
          <w:tcPr>
            <w:tcW w:w="1044" w:type="pct"/>
            <w:vMerge w:val="restart"/>
            <w:tcBorders>
              <w:top w:val="nil"/>
              <w:left w:val="single" w:color="auto" w:sz="4" w:space="0"/>
              <w:bottom w:val="single" w:color="auto" w:sz="4" w:space="0"/>
              <w:right w:val="single" w:color="auto" w:sz="4" w:space="0"/>
            </w:tcBorders>
            <w:vAlign w:val="bottom"/>
          </w:tcPr>
          <w:p w14:paraId="065FAA9B">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租赁和商务服务业</w:t>
            </w:r>
          </w:p>
        </w:tc>
        <w:tc>
          <w:tcPr>
            <w:tcW w:w="1044" w:type="pct"/>
            <w:tcBorders>
              <w:top w:val="nil"/>
              <w:left w:val="nil"/>
              <w:bottom w:val="single" w:color="auto" w:sz="4" w:space="0"/>
              <w:right w:val="single" w:color="auto" w:sz="4" w:space="0"/>
            </w:tcBorders>
            <w:vAlign w:val="center"/>
          </w:tcPr>
          <w:p w14:paraId="01443AB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447" w:type="pct"/>
            <w:tcBorders>
              <w:top w:val="nil"/>
              <w:left w:val="nil"/>
              <w:bottom w:val="single" w:color="auto" w:sz="4" w:space="0"/>
              <w:right w:val="single" w:color="auto" w:sz="4" w:space="0"/>
            </w:tcBorders>
            <w:vAlign w:val="center"/>
          </w:tcPr>
          <w:p w14:paraId="399A150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970" w:type="pct"/>
            <w:tcBorders>
              <w:top w:val="nil"/>
              <w:left w:val="nil"/>
              <w:bottom w:val="single" w:color="auto" w:sz="4" w:space="0"/>
              <w:right w:val="single" w:color="auto" w:sz="4" w:space="0"/>
            </w:tcBorders>
            <w:vAlign w:val="center"/>
          </w:tcPr>
          <w:p w14:paraId="53AD410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895" w:type="pct"/>
            <w:tcBorders>
              <w:top w:val="nil"/>
              <w:left w:val="nil"/>
              <w:bottom w:val="single" w:color="auto" w:sz="4" w:space="0"/>
              <w:right w:val="single" w:color="auto" w:sz="4" w:space="0"/>
            </w:tcBorders>
            <w:vAlign w:val="center"/>
          </w:tcPr>
          <w:p w14:paraId="2243AA6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596" w:type="pct"/>
            <w:tcBorders>
              <w:top w:val="nil"/>
              <w:left w:val="nil"/>
              <w:bottom w:val="single" w:color="auto" w:sz="4" w:space="0"/>
              <w:right w:val="single" w:color="auto" w:sz="4" w:space="0"/>
            </w:tcBorders>
            <w:vAlign w:val="center"/>
          </w:tcPr>
          <w:p w14:paraId="7642C3B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37D27F2A">
        <w:tblPrEx>
          <w:tblCellMar>
            <w:top w:w="0" w:type="dxa"/>
            <w:left w:w="108" w:type="dxa"/>
            <w:bottom w:w="0" w:type="dxa"/>
            <w:right w:w="108" w:type="dxa"/>
          </w:tblCellMar>
        </w:tblPrEx>
        <w:trPr>
          <w:trHeight w:val="225" w:hRule="atLeast"/>
        </w:trPr>
        <w:tc>
          <w:tcPr>
            <w:tcW w:w="1044" w:type="pct"/>
            <w:vMerge w:val="continue"/>
            <w:tcBorders>
              <w:top w:val="nil"/>
              <w:left w:val="single" w:color="auto" w:sz="4" w:space="0"/>
              <w:bottom w:val="single" w:color="auto" w:sz="4" w:space="0"/>
              <w:right w:val="single" w:color="auto" w:sz="4" w:space="0"/>
            </w:tcBorders>
            <w:vAlign w:val="center"/>
          </w:tcPr>
          <w:p w14:paraId="6CF1EBB0">
            <w:pPr>
              <w:widowControl/>
              <w:jc w:val="left"/>
              <w:rPr>
                <w:rFonts w:ascii="仿宋_GB2312" w:hAnsi="仿宋" w:eastAsia="仿宋_GB2312" w:cs="宋体"/>
                <w:b/>
                <w:bCs/>
                <w:color w:val="auto"/>
                <w:kern w:val="0"/>
                <w:sz w:val="18"/>
                <w:szCs w:val="18"/>
                <w:highlight w:val="none"/>
              </w:rPr>
            </w:pPr>
          </w:p>
        </w:tc>
        <w:tc>
          <w:tcPr>
            <w:tcW w:w="1044" w:type="pct"/>
            <w:tcBorders>
              <w:top w:val="nil"/>
              <w:left w:val="nil"/>
              <w:bottom w:val="single" w:color="auto" w:sz="4" w:space="0"/>
              <w:right w:val="single" w:color="auto" w:sz="4" w:space="0"/>
            </w:tcBorders>
            <w:vAlign w:val="center"/>
          </w:tcPr>
          <w:p w14:paraId="14A7304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资产总额（Z）</w:t>
            </w:r>
          </w:p>
        </w:tc>
        <w:tc>
          <w:tcPr>
            <w:tcW w:w="447" w:type="pct"/>
            <w:tcBorders>
              <w:top w:val="nil"/>
              <w:left w:val="nil"/>
              <w:bottom w:val="single" w:color="auto" w:sz="4" w:space="0"/>
              <w:right w:val="single" w:color="auto" w:sz="4" w:space="0"/>
            </w:tcBorders>
            <w:vAlign w:val="center"/>
          </w:tcPr>
          <w:p w14:paraId="5E6C8FF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970" w:type="pct"/>
            <w:tcBorders>
              <w:top w:val="nil"/>
              <w:left w:val="nil"/>
              <w:bottom w:val="single" w:color="auto" w:sz="4" w:space="0"/>
              <w:right w:val="single" w:color="auto" w:sz="4" w:space="0"/>
            </w:tcBorders>
            <w:vAlign w:val="center"/>
          </w:tcPr>
          <w:p w14:paraId="42E103B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8000≤Z＜120000</w:t>
            </w:r>
          </w:p>
        </w:tc>
        <w:tc>
          <w:tcPr>
            <w:tcW w:w="895" w:type="pct"/>
            <w:tcBorders>
              <w:top w:val="nil"/>
              <w:left w:val="nil"/>
              <w:bottom w:val="single" w:color="auto" w:sz="4" w:space="0"/>
              <w:right w:val="single" w:color="auto" w:sz="4" w:space="0"/>
            </w:tcBorders>
            <w:vAlign w:val="center"/>
          </w:tcPr>
          <w:p w14:paraId="194C601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100≤Z＜8000</w:t>
            </w:r>
          </w:p>
        </w:tc>
        <w:tc>
          <w:tcPr>
            <w:tcW w:w="596" w:type="pct"/>
            <w:tcBorders>
              <w:top w:val="nil"/>
              <w:left w:val="nil"/>
              <w:bottom w:val="single" w:color="auto" w:sz="4" w:space="0"/>
              <w:right w:val="single" w:color="auto" w:sz="4" w:space="0"/>
            </w:tcBorders>
            <w:vAlign w:val="center"/>
          </w:tcPr>
          <w:p w14:paraId="38084A8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7DBB6453">
        <w:tblPrEx>
          <w:tblCellMar>
            <w:top w:w="0" w:type="dxa"/>
            <w:left w:w="108" w:type="dxa"/>
            <w:bottom w:w="0" w:type="dxa"/>
            <w:right w:w="108" w:type="dxa"/>
          </w:tblCellMar>
        </w:tblPrEx>
        <w:trPr>
          <w:trHeight w:val="225" w:hRule="atLeast"/>
        </w:trPr>
        <w:tc>
          <w:tcPr>
            <w:tcW w:w="1044" w:type="pct"/>
            <w:tcBorders>
              <w:top w:val="nil"/>
              <w:left w:val="single" w:color="auto" w:sz="4" w:space="0"/>
              <w:bottom w:val="single" w:color="auto" w:sz="4" w:space="0"/>
              <w:right w:val="single" w:color="auto" w:sz="4" w:space="0"/>
            </w:tcBorders>
            <w:vAlign w:val="bottom"/>
          </w:tcPr>
          <w:p w14:paraId="1CF4F7E5">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其他未列明行业</w:t>
            </w:r>
          </w:p>
        </w:tc>
        <w:tc>
          <w:tcPr>
            <w:tcW w:w="1044" w:type="pct"/>
            <w:tcBorders>
              <w:top w:val="nil"/>
              <w:left w:val="nil"/>
              <w:bottom w:val="single" w:color="auto" w:sz="4" w:space="0"/>
              <w:right w:val="single" w:color="auto" w:sz="4" w:space="0"/>
            </w:tcBorders>
            <w:vAlign w:val="center"/>
          </w:tcPr>
          <w:p w14:paraId="402A6EF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447" w:type="pct"/>
            <w:tcBorders>
              <w:top w:val="nil"/>
              <w:left w:val="nil"/>
              <w:bottom w:val="single" w:color="auto" w:sz="4" w:space="0"/>
              <w:right w:val="single" w:color="auto" w:sz="4" w:space="0"/>
            </w:tcBorders>
            <w:vAlign w:val="center"/>
          </w:tcPr>
          <w:p w14:paraId="6435D87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970" w:type="pct"/>
            <w:tcBorders>
              <w:top w:val="nil"/>
              <w:left w:val="nil"/>
              <w:bottom w:val="single" w:color="auto" w:sz="4" w:space="0"/>
              <w:right w:val="single" w:color="auto" w:sz="4" w:space="0"/>
            </w:tcBorders>
            <w:vAlign w:val="center"/>
          </w:tcPr>
          <w:p w14:paraId="1806C87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895" w:type="pct"/>
            <w:tcBorders>
              <w:top w:val="nil"/>
              <w:left w:val="nil"/>
              <w:bottom w:val="single" w:color="auto" w:sz="4" w:space="0"/>
              <w:right w:val="single" w:color="auto" w:sz="4" w:space="0"/>
            </w:tcBorders>
            <w:vAlign w:val="center"/>
          </w:tcPr>
          <w:p w14:paraId="75166A4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596" w:type="pct"/>
            <w:tcBorders>
              <w:top w:val="nil"/>
              <w:left w:val="nil"/>
              <w:bottom w:val="single" w:color="auto" w:sz="4" w:space="0"/>
              <w:right w:val="single" w:color="auto" w:sz="4" w:space="0"/>
            </w:tcBorders>
            <w:vAlign w:val="center"/>
          </w:tcPr>
          <w:p w14:paraId="27A7683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bl>
    <w:p w14:paraId="0199D5DD">
      <w:pPr>
        <w:pStyle w:val="9"/>
        <w:rPr>
          <w:color w:val="auto"/>
          <w:highlight w:val="none"/>
        </w:rPr>
      </w:pPr>
    </w:p>
    <w:p w14:paraId="2294D6ED">
      <w:pPr>
        <w:spacing w:line="400" w:lineRule="exact"/>
        <w:ind w:firstLine="525" w:firstLineChars="250"/>
        <w:rPr>
          <w:rFonts w:ascii="仿宋_GB2312" w:hAnsi="仿宋" w:eastAsia="仿宋_GB2312"/>
          <w:color w:val="auto"/>
          <w:szCs w:val="21"/>
          <w:highlight w:val="none"/>
        </w:rPr>
      </w:pPr>
      <w:r>
        <w:rPr>
          <w:rFonts w:hint="eastAsia" w:ascii="仿宋_GB2312" w:hAnsi="仿宋" w:eastAsia="仿宋_GB2312"/>
          <w:color w:val="auto"/>
          <w:szCs w:val="21"/>
          <w:highlight w:val="none"/>
        </w:rPr>
        <w:t>说明：上述标准参照《关于印发中小企业划型标准规定的通知》（工信部联企业[2011]300号），大型、中型和小型企业须同时满足所列指标的下限，否则下划一档；微型企业只须满足所列指标中的一项即可。</w:t>
      </w:r>
    </w:p>
    <w:p w14:paraId="4FDD6E04">
      <w:pPr>
        <w:widowControl/>
        <w:spacing w:line="400" w:lineRule="exact"/>
        <w:jc w:val="left"/>
        <w:rPr>
          <w:rFonts w:ascii="宋体" w:hAnsi="宋体"/>
          <w:color w:val="auto"/>
          <w:kern w:val="0"/>
          <w:sz w:val="20"/>
          <w:szCs w:val="21"/>
          <w:highlight w:val="none"/>
        </w:rPr>
        <w:sectPr>
          <w:pgSz w:w="11911" w:h="16838"/>
          <w:pgMar w:top="1417" w:right="1417" w:bottom="1417" w:left="1417" w:header="720" w:footer="720" w:gutter="0"/>
          <w:cols w:space="0" w:num="1"/>
          <w:docGrid w:linePitch="331" w:charSpace="0"/>
        </w:sectPr>
      </w:pPr>
    </w:p>
    <w:p w14:paraId="092B792D">
      <w:pPr>
        <w:pStyle w:val="2"/>
        <w:spacing w:before="120" w:after="120" w:line="500" w:lineRule="exact"/>
        <w:jc w:val="center"/>
        <w:rPr>
          <w:color w:val="auto"/>
          <w:highlight w:val="none"/>
        </w:rPr>
      </w:pPr>
      <w:bookmarkStart w:id="28" w:name="_Toc11561"/>
      <w:r>
        <w:rPr>
          <w:rFonts w:hint="eastAsia" w:ascii="Cambria" w:hAnsi="Cambria"/>
          <w:bCs w:val="0"/>
          <w:color w:val="auto"/>
          <w:sz w:val="32"/>
          <w:szCs w:val="32"/>
          <w:highlight w:val="none"/>
        </w:rPr>
        <w:t>第三章</w:t>
      </w:r>
      <w:r>
        <w:rPr>
          <w:rFonts w:ascii="Cambria" w:hAnsi="Cambria"/>
          <w:bCs w:val="0"/>
          <w:color w:val="auto"/>
          <w:sz w:val="32"/>
          <w:szCs w:val="32"/>
          <w:highlight w:val="none"/>
        </w:rPr>
        <w:t xml:space="preserve"> </w:t>
      </w:r>
      <w:r>
        <w:rPr>
          <w:rFonts w:hint="eastAsia" w:ascii="Cambria" w:hAnsi="Cambria"/>
          <w:bCs w:val="0"/>
          <w:color w:val="auto"/>
          <w:sz w:val="32"/>
          <w:szCs w:val="32"/>
          <w:highlight w:val="none"/>
        </w:rPr>
        <w:t>供应商须知</w:t>
      </w:r>
      <w:bookmarkEnd w:id="28"/>
    </w:p>
    <w:p w14:paraId="013E1F1C">
      <w:pPr>
        <w:pStyle w:val="3"/>
        <w:jc w:val="center"/>
        <w:rPr>
          <w:rFonts w:ascii="宋体" w:hAnsi="宋体"/>
          <w:b w:val="0"/>
          <w:color w:val="auto"/>
          <w:highlight w:val="none"/>
        </w:rPr>
      </w:pPr>
      <w:bookmarkStart w:id="29" w:name="_Toc25061"/>
      <w:r>
        <w:rPr>
          <w:rFonts w:hint="eastAsia" w:ascii="宋体" w:hAnsi="宋体"/>
          <w:b w:val="0"/>
          <w:color w:val="auto"/>
          <w:highlight w:val="none"/>
        </w:rPr>
        <w:t>第一节 供应商须知前附表</w:t>
      </w:r>
      <w:bookmarkEnd w:id="29"/>
    </w:p>
    <w:tbl>
      <w:tblPr>
        <w:tblStyle w:val="23"/>
        <w:tblW w:w="499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46"/>
        <w:gridCol w:w="2394"/>
        <w:gridCol w:w="6046"/>
      </w:tblGrid>
      <w:tr w14:paraId="25CEF9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455" w:type="pct"/>
            <w:tcBorders>
              <w:top w:val="single" w:color="000000" w:sz="4" w:space="0"/>
              <w:left w:val="single" w:color="000000" w:sz="4" w:space="0"/>
              <w:bottom w:val="single" w:color="000000" w:sz="4" w:space="0"/>
              <w:right w:val="single" w:color="000000" w:sz="4" w:space="0"/>
            </w:tcBorders>
            <w:vAlign w:val="center"/>
          </w:tcPr>
          <w:p w14:paraId="46FEB52D">
            <w:pPr>
              <w:spacing w:line="360" w:lineRule="auto"/>
              <w:jc w:val="center"/>
              <w:rPr>
                <w:rFonts w:ascii="宋体" w:hAnsi="宋体" w:cs="宋体"/>
                <w:b/>
                <w:color w:val="auto"/>
                <w:szCs w:val="21"/>
                <w:highlight w:val="none"/>
              </w:rPr>
            </w:pPr>
            <w:r>
              <w:rPr>
                <w:rFonts w:hint="eastAsia" w:ascii="宋体" w:hAnsi="宋体" w:cs="宋体"/>
                <w:b/>
                <w:color w:val="auto"/>
                <w:szCs w:val="21"/>
                <w:highlight w:val="none"/>
              </w:rPr>
              <w:t>条款号</w:t>
            </w:r>
          </w:p>
        </w:tc>
        <w:tc>
          <w:tcPr>
            <w:tcW w:w="1289" w:type="pct"/>
            <w:tcBorders>
              <w:top w:val="single" w:color="000000" w:sz="4" w:space="0"/>
              <w:left w:val="single" w:color="000000" w:sz="4" w:space="0"/>
              <w:bottom w:val="single" w:color="000000" w:sz="4" w:space="0"/>
              <w:right w:val="single" w:color="000000" w:sz="4" w:space="0"/>
            </w:tcBorders>
            <w:vAlign w:val="center"/>
          </w:tcPr>
          <w:p w14:paraId="76F782AD">
            <w:pPr>
              <w:spacing w:line="360" w:lineRule="auto"/>
              <w:jc w:val="center"/>
              <w:rPr>
                <w:rFonts w:ascii="宋体" w:hAnsi="宋体" w:cs="宋体"/>
                <w:b/>
                <w:color w:val="auto"/>
                <w:szCs w:val="21"/>
                <w:highlight w:val="none"/>
              </w:rPr>
            </w:pPr>
            <w:r>
              <w:rPr>
                <w:rFonts w:hint="eastAsia" w:ascii="宋体" w:hAnsi="宋体" w:cs="宋体"/>
                <w:b/>
                <w:color w:val="auto"/>
                <w:szCs w:val="21"/>
                <w:highlight w:val="none"/>
              </w:rPr>
              <w:t>条款内容</w:t>
            </w:r>
          </w:p>
        </w:tc>
        <w:tc>
          <w:tcPr>
            <w:tcW w:w="3254" w:type="pct"/>
            <w:tcBorders>
              <w:top w:val="single" w:color="000000" w:sz="4" w:space="0"/>
              <w:left w:val="single" w:color="000000" w:sz="4" w:space="0"/>
              <w:bottom w:val="single" w:color="000000" w:sz="4" w:space="0"/>
              <w:right w:val="single" w:color="000000" w:sz="4" w:space="0"/>
            </w:tcBorders>
            <w:vAlign w:val="center"/>
          </w:tcPr>
          <w:p w14:paraId="5DC38362">
            <w:pPr>
              <w:spacing w:line="360" w:lineRule="auto"/>
              <w:jc w:val="center"/>
              <w:rPr>
                <w:rFonts w:ascii="宋体" w:hAnsi="宋体" w:cs="宋体"/>
                <w:b/>
                <w:color w:val="auto"/>
                <w:szCs w:val="21"/>
                <w:highlight w:val="none"/>
              </w:rPr>
            </w:pPr>
            <w:r>
              <w:rPr>
                <w:rFonts w:hint="eastAsia" w:ascii="宋体" w:hAnsi="宋体" w:cs="宋体"/>
                <w:b/>
                <w:color w:val="auto"/>
                <w:szCs w:val="21"/>
                <w:highlight w:val="none"/>
              </w:rPr>
              <w:t>具体要求</w:t>
            </w:r>
          </w:p>
        </w:tc>
      </w:tr>
      <w:tr w14:paraId="12A1FA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55" w:type="pct"/>
            <w:tcBorders>
              <w:top w:val="single" w:color="000000" w:sz="4" w:space="0"/>
              <w:left w:val="single" w:color="000000" w:sz="4" w:space="0"/>
              <w:bottom w:val="single" w:color="000000" w:sz="4" w:space="0"/>
              <w:right w:val="single" w:color="000000" w:sz="4" w:space="0"/>
            </w:tcBorders>
            <w:vAlign w:val="center"/>
          </w:tcPr>
          <w:p w14:paraId="365D1B33">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3.1</w:t>
            </w:r>
          </w:p>
        </w:tc>
        <w:tc>
          <w:tcPr>
            <w:tcW w:w="1289" w:type="pct"/>
            <w:tcBorders>
              <w:top w:val="single" w:color="000000" w:sz="4" w:space="0"/>
              <w:left w:val="single" w:color="000000" w:sz="4" w:space="0"/>
              <w:bottom w:val="single" w:color="000000" w:sz="4" w:space="0"/>
              <w:right w:val="single" w:color="000000" w:sz="4" w:space="0"/>
            </w:tcBorders>
            <w:vAlign w:val="center"/>
          </w:tcPr>
          <w:p w14:paraId="2C702700">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供应商资格条件</w:t>
            </w:r>
          </w:p>
        </w:tc>
        <w:tc>
          <w:tcPr>
            <w:tcW w:w="3254" w:type="pct"/>
            <w:tcBorders>
              <w:top w:val="single" w:color="000000" w:sz="4" w:space="0"/>
              <w:left w:val="single" w:color="000000" w:sz="4" w:space="0"/>
              <w:bottom w:val="single" w:color="000000" w:sz="4" w:space="0"/>
              <w:right w:val="single" w:color="000000" w:sz="4" w:space="0"/>
            </w:tcBorders>
          </w:tcPr>
          <w:p w14:paraId="06CA0E34">
            <w:pPr>
              <w:spacing w:line="360" w:lineRule="auto"/>
              <w:rPr>
                <w:rFonts w:ascii="宋体" w:hAnsi="宋体"/>
                <w:color w:val="auto"/>
                <w:szCs w:val="21"/>
                <w:highlight w:val="none"/>
              </w:rPr>
            </w:pPr>
            <w:r>
              <w:rPr>
                <w:rFonts w:hint="eastAsia" w:ascii="宋体" w:hAnsi="宋体"/>
                <w:color w:val="auto"/>
                <w:szCs w:val="21"/>
                <w:highlight w:val="none"/>
              </w:rPr>
              <w:t>供应商资格条件要求详见公告。</w:t>
            </w:r>
          </w:p>
        </w:tc>
      </w:tr>
      <w:tr w14:paraId="29B7B6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55" w:type="pct"/>
            <w:tcBorders>
              <w:top w:val="single" w:color="000000" w:sz="4" w:space="0"/>
              <w:left w:val="single" w:color="000000" w:sz="4" w:space="0"/>
              <w:bottom w:val="single" w:color="000000" w:sz="4" w:space="0"/>
              <w:right w:val="single" w:color="000000" w:sz="4" w:space="0"/>
            </w:tcBorders>
            <w:vAlign w:val="center"/>
          </w:tcPr>
          <w:p w14:paraId="005C5051">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5.1</w:t>
            </w:r>
          </w:p>
        </w:tc>
        <w:tc>
          <w:tcPr>
            <w:tcW w:w="1289" w:type="pct"/>
            <w:tcBorders>
              <w:top w:val="single" w:color="000000" w:sz="4" w:space="0"/>
              <w:left w:val="single" w:color="000000" w:sz="4" w:space="0"/>
              <w:bottom w:val="single" w:color="000000" w:sz="4" w:space="0"/>
              <w:right w:val="single" w:color="000000" w:sz="4" w:space="0"/>
            </w:tcBorders>
            <w:vAlign w:val="center"/>
          </w:tcPr>
          <w:p w14:paraId="19C99A06">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是否接受联合体竞标</w:t>
            </w:r>
          </w:p>
        </w:tc>
        <w:tc>
          <w:tcPr>
            <w:tcW w:w="3254" w:type="pct"/>
            <w:tcBorders>
              <w:top w:val="single" w:color="000000" w:sz="4" w:space="0"/>
              <w:left w:val="single" w:color="000000" w:sz="4" w:space="0"/>
              <w:bottom w:val="single" w:color="000000" w:sz="4" w:space="0"/>
              <w:right w:val="single" w:color="000000" w:sz="4" w:space="0"/>
            </w:tcBorders>
            <w:vAlign w:val="center"/>
          </w:tcPr>
          <w:p w14:paraId="264E075B">
            <w:pPr>
              <w:spacing w:line="360" w:lineRule="auto"/>
              <w:rPr>
                <w:rFonts w:ascii="宋体" w:hAnsi="宋体" w:cs="宋体"/>
                <w:color w:val="auto"/>
                <w:szCs w:val="21"/>
                <w:highlight w:val="none"/>
              </w:rPr>
            </w:pPr>
            <w:bookmarkStart w:id="30" w:name="PO_3000001868_PM007"/>
            <w:r>
              <w:rPr>
                <w:rFonts w:hint="eastAsia" w:ascii="宋体" w:hAnsi="宋体"/>
                <w:color w:val="auto"/>
                <w:szCs w:val="21"/>
                <w:highlight w:val="none"/>
              </w:rPr>
              <w:t>不允许联合体</w:t>
            </w:r>
            <w:bookmarkEnd w:id="30"/>
            <w:r>
              <w:rPr>
                <w:rFonts w:hint="eastAsia" w:ascii="宋体" w:hAnsi="宋体"/>
                <w:color w:val="auto"/>
                <w:szCs w:val="21"/>
                <w:highlight w:val="none"/>
              </w:rPr>
              <w:t>竞标</w:t>
            </w:r>
          </w:p>
        </w:tc>
      </w:tr>
      <w:tr w14:paraId="46D865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55" w:type="pct"/>
            <w:tcBorders>
              <w:top w:val="single" w:color="000000" w:sz="4" w:space="0"/>
              <w:left w:val="single" w:color="000000" w:sz="4" w:space="0"/>
              <w:bottom w:val="single" w:color="000000" w:sz="4" w:space="0"/>
              <w:right w:val="single" w:color="000000" w:sz="4" w:space="0"/>
            </w:tcBorders>
            <w:vAlign w:val="center"/>
          </w:tcPr>
          <w:p w14:paraId="06B53C98">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5.2</w:t>
            </w:r>
          </w:p>
        </w:tc>
        <w:tc>
          <w:tcPr>
            <w:tcW w:w="1289" w:type="pct"/>
            <w:tcBorders>
              <w:top w:val="single" w:color="000000" w:sz="4" w:space="0"/>
              <w:left w:val="single" w:color="000000" w:sz="4" w:space="0"/>
              <w:bottom w:val="single" w:color="000000" w:sz="4" w:space="0"/>
              <w:right w:val="single" w:color="000000" w:sz="4" w:space="0"/>
            </w:tcBorders>
            <w:vAlign w:val="center"/>
          </w:tcPr>
          <w:p w14:paraId="49D837A3">
            <w:pPr>
              <w:spacing w:line="360" w:lineRule="auto"/>
              <w:jc w:val="center"/>
              <w:rPr>
                <w:rFonts w:ascii="宋体" w:hAnsi="宋体" w:cs="宋体"/>
                <w:color w:val="auto"/>
                <w:szCs w:val="21"/>
                <w:highlight w:val="none"/>
              </w:rPr>
            </w:pPr>
            <w:r>
              <w:rPr>
                <w:rFonts w:hint="eastAsia" w:ascii="宋体" w:hAnsi="宋体"/>
                <w:color w:val="auto"/>
                <w:szCs w:val="21"/>
                <w:highlight w:val="none"/>
              </w:rPr>
              <w:t>联合体竞标要求</w:t>
            </w:r>
          </w:p>
        </w:tc>
        <w:tc>
          <w:tcPr>
            <w:tcW w:w="3254" w:type="pct"/>
            <w:tcBorders>
              <w:top w:val="single" w:color="000000" w:sz="4" w:space="0"/>
              <w:left w:val="single" w:color="000000" w:sz="4" w:space="0"/>
              <w:bottom w:val="single" w:color="000000" w:sz="4" w:space="0"/>
              <w:right w:val="single" w:color="000000" w:sz="4" w:space="0"/>
            </w:tcBorders>
            <w:vAlign w:val="center"/>
          </w:tcPr>
          <w:p w14:paraId="0DBDE716">
            <w:pPr>
              <w:spacing w:line="360" w:lineRule="auto"/>
              <w:rPr>
                <w:rFonts w:ascii="宋体" w:hAnsi="宋体" w:cs="宋体"/>
                <w:color w:val="auto"/>
                <w:szCs w:val="21"/>
                <w:highlight w:val="none"/>
              </w:rPr>
            </w:pPr>
            <w:r>
              <w:rPr>
                <w:rFonts w:hint="eastAsia" w:ascii="宋体" w:hAnsi="宋体" w:cs="宋体"/>
                <w:color w:val="auto"/>
                <w:szCs w:val="21"/>
                <w:highlight w:val="none"/>
              </w:rPr>
              <w:t>无</w:t>
            </w:r>
          </w:p>
        </w:tc>
      </w:tr>
      <w:tr w14:paraId="25F7E6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55" w:type="pct"/>
            <w:tcBorders>
              <w:top w:val="single" w:color="000000" w:sz="4" w:space="0"/>
              <w:left w:val="single" w:color="000000" w:sz="4" w:space="0"/>
              <w:bottom w:val="single" w:color="000000" w:sz="4" w:space="0"/>
              <w:right w:val="single" w:color="000000" w:sz="4" w:space="0"/>
            </w:tcBorders>
            <w:vAlign w:val="center"/>
          </w:tcPr>
          <w:p w14:paraId="6CD81E45">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6.1</w:t>
            </w:r>
          </w:p>
        </w:tc>
        <w:tc>
          <w:tcPr>
            <w:tcW w:w="1289" w:type="pct"/>
            <w:tcBorders>
              <w:top w:val="single" w:color="000000" w:sz="4" w:space="0"/>
              <w:left w:val="single" w:color="000000" w:sz="4" w:space="0"/>
              <w:bottom w:val="single" w:color="000000" w:sz="4" w:space="0"/>
              <w:right w:val="single" w:color="000000" w:sz="4" w:space="0"/>
            </w:tcBorders>
            <w:vAlign w:val="center"/>
          </w:tcPr>
          <w:p w14:paraId="5178E94C">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是否允许分包</w:t>
            </w:r>
          </w:p>
        </w:tc>
        <w:tc>
          <w:tcPr>
            <w:tcW w:w="3254" w:type="pct"/>
            <w:tcBorders>
              <w:top w:val="single" w:color="000000" w:sz="4" w:space="0"/>
              <w:left w:val="single" w:color="000000" w:sz="4" w:space="0"/>
              <w:bottom w:val="single" w:color="000000" w:sz="4" w:space="0"/>
              <w:right w:val="single" w:color="000000" w:sz="4" w:space="0"/>
            </w:tcBorders>
            <w:vAlign w:val="center"/>
          </w:tcPr>
          <w:p w14:paraId="7A4EACAB">
            <w:pPr>
              <w:spacing w:line="360" w:lineRule="auto"/>
              <w:rPr>
                <w:rFonts w:ascii="宋体" w:hAnsi="宋体" w:cs="宋体"/>
                <w:color w:val="auto"/>
                <w:kern w:val="0"/>
                <w:sz w:val="24"/>
                <w:szCs w:val="21"/>
                <w:highlight w:val="none"/>
              </w:rPr>
            </w:pPr>
            <w:bookmarkStart w:id="31" w:name="PO_3000001868_PM044"/>
            <w:r>
              <w:rPr>
                <w:rFonts w:hint="eastAsia" w:ascii="宋体" w:hAnsi="宋体"/>
                <w:color w:val="auto"/>
                <w:szCs w:val="21"/>
                <w:highlight w:val="none"/>
              </w:rPr>
              <w:t>不允许分包</w:t>
            </w:r>
            <w:bookmarkEnd w:id="31"/>
          </w:p>
        </w:tc>
      </w:tr>
      <w:tr w14:paraId="002AC2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55" w:type="pct"/>
            <w:tcBorders>
              <w:top w:val="single" w:color="000000" w:sz="4" w:space="0"/>
              <w:left w:val="single" w:color="000000" w:sz="4" w:space="0"/>
              <w:bottom w:val="single" w:color="000000" w:sz="4" w:space="0"/>
              <w:right w:val="single" w:color="000000" w:sz="4" w:space="0"/>
            </w:tcBorders>
            <w:vAlign w:val="center"/>
          </w:tcPr>
          <w:p w14:paraId="51FC85D2">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12.1.1</w:t>
            </w:r>
          </w:p>
        </w:tc>
        <w:tc>
          <w:tcPr>
            <w:tcW w:w="1289" w:type="pct"/>
            <w:tcBorders>
              <w:top w:val="single" w:color="000000" w:sz="4" w:space="0"/>
              <w:left w:val="single" w:color="000000" w:sz="4" w:space="0"/>
              <w:bottom w:val="single" w:color="000000" w:sz="4" w:space="0"/>
              <w:right w:val="single" w:color="000000" w:sz="4" w:space="0"/>
            </w:tcBorders>
            <w:vAlign w:val="center"/>
          </w:tcPr>
          <w:p w14:paraId="67110C04">
            <w:pPr>
              <w:snapToGrid w:val="0"/>
              <w:spacing w:line="360" w:lineRule="auto"/>
              <w:jc w:val="center"/>
              <w:rPr>
                <w:rFonts w:ascii="宋体" w:hAnsi="宋体" w:cs="宋体"/>
                <w:b/>
                <w:color w:val="auto"/>
                <w:szCs w:val="21"/>
                <w:highlight w:val="none"/>
              </w:rPr>
            </w:pPr>
            <w:r>
              <w:rPr>
                <w:rFonts w:hint="eastAsia" w:ascii="宋体" w:hAnsi="宋体" w:cs="宋体"/>
                <w:b/>
                <w:color w:val="auto"/>
                <w:szCs w:val="21"/>
                <w:highlight w:val="none"/>
              </w:rPr>
              <w:t>资格证明文件组成</w:t>
            </w:r>
          </w:p>
          <w:p w14:paraId="448F7D31">
            <w:pPr>
              <w:spacing w:line="360" w:lineRule="auto"/>
              <w:jc w:val="center"/>
              <w:rPr>
                <w:rFonts w:ascii="宋体" w:hAnsi="宋体" w:cs="宋体"/>
                <w:color w:val="auto"/>
                <w:szCs w:val="21"/>
                <w:highlight w:val="none"/>
              </w:rPr>
            </w:pPr>
          </w:p>
        </w:tc>
        <w:tc>
          <w:tcPr>
            <w:tcW w:w="3254" w:type="pct"/>
            <w:tcBorders>
              <w:top w:val="single" w:color="000000" w:sz="4" w:space="0"/>
              <w:left w:val="single" w:color="000000" w:sz="4" w:space="0"/>
              <w:bottom w:val="single" w:color="000000" w:sz="4" w:space="0"/>
              <w:right w:val="single" w:color="000000" w:sz="4" w:space="0"/>
            </w:tcBorders>
            <w:vAlign w:val="center"/>
          </w:tcPr>
          <w:p w14:paraId="062CC382">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1.供应商为法人或者其他组织的提供其营业执照等证明文件（如营业执照或者事业单位法人证书或者执业许可证等），供应商为自然人的提供其身份证复印件；</w:t>
            </w:r>
            <w:r>
              <w:rPr>
                <w:rFonts w:hint="eastAsia" w:ascii="宋体" w:hAnsi="宋体" w:cs="宋体"/>
                <w:b/>
                <w:bCs/>
                <w:color w:val="auto"/>
                <w:szCs w:val="21"/>
                <w:highlight w:val="none"/>
              </w:rPr>
              <w:t>（必须提供，否则响应文件按无效响应处理）</w:t>
            </w:r>
          </w:p>
          <w:p w14:paraId="74385E3D">
            <w:pPr>
              <w:snapToGrid w:val="0"/>
              <w:spacing w:line="360" w:lineRule="auto"/>
              <w:jc w:val="left"/>
              <w:rPr>
                <w:rFonts w:ascii="宋体" w:hAnsi="宋体"/>
                <w:color w:val="auto"/>
                <w:szCs w:val="21"/>
                <w:highlight w:val="none"/>
              </w:rPr>
            </w:pPr>
            <w:r>
              <w:rPr>
                <w:rFonts w:hint="eastAsia" w:ascii="宋体" w:hAnsi="宋体" w:cs="宋体"/>
                <w:color w:val="auto"/>
                <w:szCs w:val="21"/>
                <w:highlight w:val="none"/>
              </w:rPr>
              <w:t>2.供应商依法缴纳税收的相关材料：[</w:t>
            </w:r>
            <w:r>
              <w:rPr>
                <w:rFonts w:hint="eastAsia" w:ascii="宋体" w:hAnsi="宋体" w:cs="宋体"/>
                <w:color w:val="auto"/>
                <w:szCs w:val="21"/>
                <w:highlight w:val="none"/>
                <w:u w:val="single"/>
              </w:rPr>
              <w:t xml:space="preserve"> 2025年</w:t>
            </w:r>
            <w:r>
              <w:rPr>
                <w:rFonts w:hint="eastAsia" w:ascii="宋体" w:hAnsi="宋体" w:cs="宋体"/>
                <w:color w:val="auto"/>
                <w:szCs w:val="21"/>
                <w:highlight w:val="none"/>
                <w:u w:val="single"/>
                <w:lang w:val="en-US" w:eastAsia="zh-CN"/>
              </w:rPr>
              <w:t>10</w:t>
            </w:r>
            <w:r>
              <w:rPr>
                <w:rFonts w:hint="eastAsia" w:ascii="宋体" w:hAnsi="宋体" w:cs="宋体"/>
                <w:color w:val="auto"/>
                <w:szCs w:val="21"/>
                <w:highlight w:val="none"/>
                <w:u w:val="single"/>
              </w:rPr>
              <w:t>月至 202</w:t>
            </w:r>
            <w:r>
              <w:rPr>
                <w:rFonts w:hint="eastAsia" w:ascii="宋体" w:hAnsi="宋体" w:cs="宋体"/>
                <w:color w:val="auto"/>
                <w:szCs w:val="21"/>
                <w:highlight w:val="none"/>
                <w:u w:val="single"/>
                <w:lang w:val="en-US" w:eastAsia="zh-CN"/>
              </w:rPr>
              <w:t>6</w:t>
            </w:r>
            <w:r>
              <w:rPr>
                <w:rFonts w:hint="eastAsia" w:ascii="宋体" w:hAnsi="宋体" w:cs="宋体"/>
                <w:color w:val="auto"/>
                <w:szCs w:val="21"/>
                <w:highlight w:val="none"/>
                <w:u w:val="single"/>
              </w:rPr>
              <w:t>年</w:t>
            </w:r>
            <w:r>
              <w:rPr>
                <w:rFonts w:hint="eastAsia" w:ascii="宋体" w:hAnsi="宋体" w:cs="宋体"/>
                <w:color w:val="auto"/>
                <w:szCs w:val="21"/>
                <w:highlight w:val="none"/>
                <w:u w:val="single"/>
                <w:lang w:val="en-US" w:eastAsia="zh-CN"/>
              </w:rPr>
              <w:t>3</w:t>
            </w:r>
            <w:r>
              <w:rPr>
                <w:rFonts w:hint="eastAsia" w:ascii="宋体" w:hAnsi="宋体" w:cs="宋体"/>
                <w:color w:val="auto"/>
                <w:szCs w:val="21"/>
                <w:highlight w:val="none"/>
                <w:u w:val="single"/>
              </w:rPr>
              <w:t>月</w:t>
            </w:r>
            <w:r>
              <w:rPr>
                <w:rFonts w:hint="eastAsia" w:ascii="宋体" w:hAnsi="宋体" w:cs="宋体"/>
                <w:color w:val="auto"/>
                <w:szCs w:val="21"/>
                <w:highlight w:val="none"/>
              </w:rPr>
              <w:t>]任意</w:t>
            </w:r>
            <w:r>
              <w:rPr>
                <w:rFonts w:hint="eastAsia" w:ascii="宋体" w:hAnsi="宋体" w:cs="宋体"/>
                <w:color w:val="auto"/>
                <w:szCs w:val="21"/>
                <w:highlight w:val="none"/>
                <w:u w:val="single"/>
              </w:rPr>
              <w:t xml:space="preserve"> 1</w:t>
            </w:r>
            <w:r>
              <w:rPr>
                <w:rFonts w:hint="eastAsia" w:ascii="宋体" w:hAnsi="宋体" w:cs="宋体"/>
                <w:color w:val="auto"/>
                <w:szCs w:val="21"/>
                <w:highlight w:val="none"/>
              </w:rPr>
              <w:t>个月的依法缴纳税收的凭据复印件；依</w:t>
            </w:r>
            <w:r>
              <w:rPr>
                <w:rFonts w:hint="eastAsia" w:ascii="宋体" w:hAnsi="宋体"/>
                <w:color w:val="auto"/>
                <w:szCs w:val="21"/>
                <w:highlight w:val="none"/>
              </w:rPr>
              <w:t>法免税的供应商，必须提供相应文件证明其依法免税。</w:t>
            </w:r>
            <w:r>
              <w:rPr>
                <w:rFonts w:hint="eastAsia" w:ascii="宋体" w:hAnsi="宋体" w:cs="宋体"/>
                <w:color w:val="auto"/>
                <w:szCs w:val="21"/>
                <w:highlight w:val="none"/>
              </w:rPr>
              <w:t>从取得营业执照时间起到竞标文件提交截止时间为止不足要求月数的，只需提供从取得营业执照起的依法缴纳税收</w:t>
            </w:r>
            <w:r>
              <w:rPr>
                <w:rFonts w:hint="eastAsia" w:ascii="宋体" w:hAnsi="宋体"/>
                <w:color w:val="auto"/>
                <w:szCs w:val="21"/>
                <w:highlight w:val="none"/>
              </w:rPr>
              <w:t>相应证明文件</w:t>
            </w:r>
            <w:r>
              <w:rPr>
                <w:rFonts w:hint="eastAsia" w:ascii="宋体" w:hAnsi="宋体" w:cs="宋体"/>
                <w:color w:val="auto"/>
                <w:szCs w:val="21"/>
                <w:highlight w:val="none"/>
              </w:rPr>
              <w:t>）</w:t>
            </w:r>
            <w:r>
              <w:rPr>
                <w:rFonts w:hint="eastAsia" w:ascii="宋体" w:hAnsi="宋体"/>
                <w:color w:val="auto"/>
                <w:szCs w:val="21"/>
                <w:highlight w:val="none"/>
              </w:rPr>
              <w:t>；（</w:t>
            </w:r>
            <w:r>
              <w:rPr>
                <w:rFonts w:hint="eastAsia" w:ascii="宋体" w:hAnsi="宋体"/>
                <w:b/>
                <w:color w:val="auto"/>
                <w:szCs w:val="21"/>
                <w:highlight w:val="none"/>
              </w:rPr>
              <w:t>必须提供，否则作无效竞标处理</w:t>
            </w:r>
            <w:r>
              <w:rPr>
                <w:rFonts w:hint="eastAsia" w:ascii="宋体" w:hAnsi="宋体"/>
                <w:color w:val="auto"/>
                <w:szCs w:val="21"/>
                <w:highlight w:val="none"/>
              </w:rPr>
              <w:t>）</w:t>
            </w:r>
          </w:p>
          <w:p w14:paraId="5692D373">
            <w:pPr>
              <w:snapToGrid w:val="0"/>
              <w:spacing w:line="360" w:lineRule="auto"/>
              <w:jc w:val="left"/>
              <w:rPr>
                <w:rFonts w:ascii="宋体" w:hAnsi="宋体"/>
                <w:color w:val="auto"/>
                <w:szCs w:val="21"/>
                <w:highlight w:val="none"/>
              </w:rPr>
            </w:pPr>
            <w:r>
              <w:rPr>
                <w:rFonts w:hint="eastAsia" w:ascii="宋体" w:hAnsi="宋体" w:cs="宋体"/>
                <w:color w:val="auto"/>
                <w:szCs w:val="21"/>
                <w:highlight w:val="none"/>
              </w:rPr>
              <w:t>3.供应商依法缴纳社会保障资金的相关材料：[</w:t>
            </w:r>
            <w:r>
              <w:rPr>
                <w:rFonts w:hint="eastAsia" w:ascii="宋体" w:hAnsi="宋体" w:cs="宋体"/>
                <w:color w:val="auto"/>
                <w:szCs w:val="21"/>
                <w:highlight w:val="none"/>
                <w:u w:val="single"/>
              </w:rPr>
              <w:t xml:space="preserve"> 2025年</w:t>
            </w:r>
            <w:r>
              <w:rPr>
                <w:rFonts w:hint="eastAsia" w:ascii="宋体" w:hAnsi="宋体" w:cs="宋体"/>
                <w:color w:val="auto"/>
                <w:szCs w:val="21"/>
                <w:highlight w:val="none"/>
                <w:u w:val="single"/>
                <w:lang w:val="en-US" w:eastAsia="zh-CN"/>
              </w:rPr>
              <w:t>10</w:t>
            </w:r>
            <w:r>
              <w:rPr>
                <w:rFonts w:hint="eastAsia" w:ascii="宋体" w:hAnsi="宋体" w:cs="宋体"/>
                <w:color w:val="auto"/>
                <w:szCs w:val="21"/>
                <w:highlight w:val="none"/>
                <w:u w:val="single"/>
              </w:rPr>
              <w:t>月至 202</w:t>
            </w:r>
            <w:r>
              <w:rPr>
                <w:rFonts w:hint="eastAsia" w:ascii="宋体" w:hAnsi="宋体" w:cs="宋体"/>
                <w:color w:val="auto"/>
                <w:szCs w:val="21"/>
                <w:highlight w:val="none"/>
                <w:u w:val="single"/>
                <w:lang w:val="en-US" w:eastAsia="zh-CN"/>
              </w:rPr>
              <w:t>6</w:t>
            </w:r>
            <w:r>
              <w:rPr>
                <w:rFonts w:hint="eastAsia" w:ascii="宋体" w:hAnsi="宋体" w:cs="宋体"/>
                <w:color w:val="auto"/>
                <w:szCs w:val="21"/>
                <w:highlight w:val="none"/>
                <w:u w:val="single"/>
              </w:rPr>
              <w:t>年</w:t>
            </w:r>
            <w:r>
              <w:rPr>
                <w:rFonts w:hint="eastAsia" w:ascii="宋体" w:hAnsi="宋体" w:cs="宋体"/>
                <w:color w:val="auto"/>
                <w:szCs w:val="21"/>
                <w:highlight w:val="none"/>
                <w:u w:val="single"/>
                <w:lang w:val="en-US" w:eastAsia="zh-CN"/>
              </w:rPr>
              <w:t>3</w:t>
            </w:r>
            <w:r>
              <w:rPr>
                <w:rFonts w:hint="eastAsia" w:ascii="宋体" w:hAnsi="宋体" w:cs="宋体"/>
                <w:color w:val="auto"/>
                <w:szCs w:val="21"/>
                <w:highlight w:val="none"/>
                <w:u w:val="single"/>
              </w:rPr>
              <w:t>月</w:t>
            </w:r>
            <w:r>
              <w:rPr>
                <w:rFonts w:hint="eastAsia" w:ascii="宋体" w:hAnsi="宋体" w:cs="宋体"/>
                <w:color w:val="auto"/>
                <w:szCs w:val="21"/>
                <w:highlight w:val="none"/>
              </w:rPr>
              <w:t>]任意</w:t>
            </w:r>
            <w:r>
              <w:rPr>
                <w:rFonts w:hint="eastAsia" w:ascii="宋体" w:hAnsi="宋体" w:cs="宋体"/>
                <w:color w:val="auto"/>
                <w:szCs w:val="21"/>
                <w:highlight w:val="none"/>
                <w:u w:val="single"/>
              </w:rPr>
              <w:t>1</w:t>
            </w:r>
            <w:r>
              <w:rPr>
                <w:rFonts w:hint="eastAsia" w:ascii="宋体" w:hAnsi="宋体" w:cs="宋体"/>
                <w:color w:val="auto"/>
                <w:szCs w:val="21"/>
                <w:highlight w:val="none"/>
              </w:rPr>
              <w:t>个月的依法缴纳社会保障资金的缴费凭证（专用收据或者社会保险缴纳清单）复印件；</w:t>
            </w:r>
            <w:r>
              <w:rPr>
                <w:rFonts w:hint="eastAsia" w:ascii="宋体" w:hAnsi="宋体"/>
                <w:color w:val="auto"/>
                <w:szCs w:val="21"/>
                <w:highlight w:val="none"/>
              </w:rPr>
              <w:t>依法不需要缴纳社会保障资金的供应商，必须提供相应文件证明不需要缴纳社会保障资金。</w:t>
            </w:r>
            <w:r>
              <w:rPr>
                <w:rFonts w:hint="eastAsia" w:ascii="宋体" w:hAnsi="宋体" w:cs="宋体"/>
                <w:color w:val="auto"/>
                <w:szCs w:val="21"/>
                <w:highlight w:val="none"/>
              </w:rPr>
              <w:t>从取得营业执照时间起到响应文件提交截止时间为止不足要求月数的只需提供从取得营业执照起的依法缴纳社会保障资金的</w:t>
            </w:r>
            <w:r>
              <w:rPr>
                <w:rFonts w:hint="eastAsia" w:ascii="宋体" w:hAnsi="宋体"/>
                <w:color w:val="auto"/>
                <w:szCs w:val="21"/>
                <w:highlight w:val="none"/>
              </w:rPr>
              <w:t>相应证明文件</w:t>
            </w:r>
            <w:r>
              <w:rPr>
                <w:rFonts w:hint="eastAsia" w:ascii="宋体" w:hAnsi="宋体" w:cs="宋体"/>
                <w:color w:val="auto"/>
                <w:szCs w:val="21"/>
                <w:highlight w:val="none"/>
              </w:rPr>
              <w:t>]</w:t>
            </w:r>
            <w:r>
              <w:rPr>
                <w:rFonts w:hint="eastAsia" w:ascii="宋体" w:hAnsi="宋体"/>
                <w:color w:val="auto"/>
                <w:szCs w:val="21"/>
                <w:highlight w:val="none"/>
              </w:rPr>
              <w:t>；（</w:t>
            </w:r>
            <w:r>
              <w:rPr>
                <w:rFonts w:hint="eastAsia" w:ascii="宋体" w:hAnsi="宋体"/>
                <w:b/>
                <w:color w:val="auto"/>
                <w:szCs w:val="21"/>
                <w:highlight w:val="none"/>
              </w:rPr>
              <w:t>必须提供，否则作无效竞标处理</w:t>
            </w:r>
            <w:r>
              <w:rPr>
                <w:rFonts w:hint="eastAsia" w:ascii="宋体" w:hAnsi="宋体"/>
                <w:color w:val="auto"/>
                <w:szCs w:val="21"/>
                <w:highlight w:val="none"/>
              </w:rPr>
              <w:t>）</w:t>
            </w:r>
          </w:p>
          <w:p w14:paraId="528D8AD7">
            <w:pPr>
              <w:snapToGrid w:val="0"/>
              <w:spacing w:line="380" w:lineRule="exact"/>
              <w:jc w:val="left"/>
              <w:rPr>
                <w:rFonts w:hint="eastAsia" w:ascii="宋体" w:hAnsi="宋体"/>
                <w:szCs w:val="21"/>
              </w:rPr>
            </w:pPr>
            <w:r>
              <w:rPr>
                <w:rFonts w:hint="eastAsia" w:ascii="宋体" w:hAnsi="宋体" w:cs="宋体"/>
                <w:color w:val="auto"/>
                <w:szCs w:val="21"/>
                <w:highlight w:val="none"/>
              </w:rPr>
              <w:t>4. 供应商财务状况报告：</w:t>
            </w:r>
            <w:r>
              <w:rPr>
                <w:rFonts w:hint="eastAsia" w:ascii="宋体" w:hAnsi="宋体" w:cs="宋体"/>
                <w:color w:val="auto"/>
                <w:szCs w:val="21"/>
                <w:highlight w:val="none"/>
                <w:lang w:bidi="ar"/>
              </w:rPr>
              <w:t>【</w:t>
            </w:r>
            <w:r>
              <w:rPr>
                <w:rFonts w:hint="eastAsia" w:ascii="宋体" w:hAnsi="宋体" w:cs="宋体"/>
                <w:color w:val="auto"/>
                <w:szCs w:val="21"/>
                <w:highlight w:val="none"/>
                <w:u w:val="single"/>
              </w:rPr>
              <w:t>202</w:t>
            </w:r>
            <w:r>
              <w:rPr>
                <w:rFonts w:hint="eastAsia" w:ascii="宋体" w:hAnsi="宋体" w:cs="宋体"/>
                <w:color w:val="auto"/>
                <w:szCs w:val="21"/>
                <w:highlight w:val="none"/>
                <w:u w:val="single"/>
                <w:lang w:val="en-US" w:eastAsia="zh-CN"/>
              </w:rPr>
              <w:t>4年或2025年</w:t>
            </w:r>
            <w:r>
              <w:rPr>
                <w:rFonts w:hint="eastAsia" w:ascii="宋体" w:hAnsi="宋体" w:cs="宋体"/>
                <w:color w:val="auto"/>
                <w:szCs w:val="21"/>
                <w:highlight w:val="none"/>
                <w:lang w:bidi="ar"/>
              </w:rPr>
              <w:t>】</w:t>
            </w:r>
            <w:r>
              <w:rPr>
                <w:rFonts w:hint="eastAsia" w:ascii="宋体" w:hAnsi="宋体"/>
                <w:color w:val="auto"/>
                <w:szCs w:val="21"/>
                <w:highlight w:val="none"/>
              </w:rPr>
              <w:t>财务状况报告复印件；</w:t>
            </w:r>
            <w:r>
              <w:rPr>
                <w:rFonts w:hint="eastAsia" w:ascii="宋体" w:hAnsi="宋体"/>
                <w:szCs w:val="21"/>
              </w:rPr>
              <w:t>供应商成立不满一年的应按提供截标之日上一个月的财务状况报告复印件。（上述财务状况报告包括：供应商执行《企业会计准则》的，提供资产负债表、利润表、现金流量表、所有者权益变动表及其附注（以下称“四表一注”）；供应商执行《小企业会计准则》的，提供资产负债表、利润表、现金流量表及其附注（以下称“三表一注”）；供应商执行《政府会计制度》的，提供资产负债表、收入费用表和净资产变动表及其附注)。（</w:t>
            </w:r>
            <w:r>
              <w:rPr>
                <w:rFonts w:hint="eastAsia" w:ascii="宋体" w:hAnsi="宋体"/>
                <w:b/>
                <w:szCs w:val="21"/>
              </w:rPr>
              <w:t>必须提供，否则作无效投标处理</w:t>
            </w:r>
            <w:r>
              <w:rPr>
                <w:rFonts w:hint="eastAsia" w:ascii="宋体" w:hAnsi="宋体"/>
                <w:szCs w:val="21"/>
              </w:rPr>
              <w:t>）</w:t>
            </w:r>
          </w:p>
          <w:p w14:paraId="5A15238E">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5.供应商直接控股、管理关系信息表；（</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699D3565">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6.资格声明；（</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099AB17A">
            <w:pPr>
              <w:snapToGrid w:val="0"/>
              <w:spacing w:line="360" w:lineRule="auto"/>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bidi="ar"/>
              </w:rPr>
              <w:t>7</w:t>
            </w:r>
            <w:r>
              <w:rPr>
                <w:rFonts w:hint="eastAsia" w:ascii="宋体" w:hAnsi="宋体" w:cs="宋体"/>
                <w:color w:val="auto"/>
                <w:szCs w:val="21"/>
                <w:highlight w:val="none"/>
                <w:lang w:bidi="ar"/>
              </w:rPr>
              <w:t>.联合体协议书；（联合体竞标时必须提供，否则响应文件按无效响应处理）</w:t>
            </w:r>
          </w:p>
          <w:p w14:paraId="4E818B3F">
            <w:pPr>
              <w:snapToGrid w:val="0"/>
              <w:spacing w:line="360" w:lineRule="auto"/>
              <w:jc w:val="left"/>
              <w:rPr>
                <w:rFonts w:hint="eastAsia" w:ascii="宋体" w:hAnsi="宋体" w:cs="宋体"/>
                <w:b/>
                <w:bCs/>
                <w:color w:val="auto"/>
                <w:szCs w:val="21"/>
                <w:highlight w:val="none"/>
              </w:rPr>
            </w:pP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.《中小企业声明函》或《残疾人福利性单位声明函》或属于监狱企业的证明文件（格式后附）。</w:t>
            </w:r>
            <w:r>
              <w:rPr>
                <w:rFonts w:hint="eastAsia" w:ascii="宋体" w:hAnsi="宋体" w:cs="宋体"/>
                <w:b/>
                <w:bCs/>
                <w:color w:val="auto"/>
                <w:szCs w:val="21"/>
                <w:highlight w:val="none"/>
              </w:rPr>
              <w:t>（必须提供，否则作无效投标处理）</w:t>
            </w:r>
          </w:p>
          <w:p w14:paraId="3F9E7B0B">
            <w:pPr>
              <w:snapToGrid w:val="0"/>
              <w:spacing w:line="360" w:lineRule="auto"/>
              <w:jc w:val="left"/>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除磋商文件规定必须提供以外，供应商认为需要提供的其他证明材料</w:t>
            </w:r>
            <w:r>
              <w:rPr>
                <w:rFonts w:hint="eastAsia" w:ascii="宋体" w:hAnsi="宋体" w:cs="宋体"/>
                <w:color w:val="auto"/>
                <w:szCs w:val="21"/>
                <w:highlight w:val="none"/>
                <w:lang w:val="en-US" w:eastAsia="zh-CN"/>
              </w:rPr>
              <w:t>。</w:t>
            </w:r>
          </w:p>
          <w:p w14:paraId="42D014DC">
            <w:pPr>
              <w:snapToGrid w:val="0"/>
              <w:spacing w:line="360" w:lineRule="auto"/>
              <w:ind w:firstLine="413" w:firstLineChars="196"/>
              <w:jc w:val="left"/>
              <w:rPr>
                <w:rFonts w:ascii="宋体" w:hAnsi="宋体" w:cs="宋体"/>
                <w:b/>
                <w:color w:val="auto"/>
                <w:szCs w:val="21"/>
                <w:highlight w:val="none"/>
              </w:rPr>
            </w:pPr>
            <w:r>
              <w:rPr>
                <w:rFonts w:hint="eastAsia" w:ascii="宋体" w:hAnsi="宋体" w:cs="宋体"/>
                <w:b/>
                <w:color w:val="auto"/>
                <w:szCs w:val="21"/>
                <w:highlight w:val="none"/>
              </w:rPr>
              <w:t>注：</w:t>
            </w:r>
          </w:p>
          <w:p w14:paraId="7F9E8A61">
            <w:pPr>
              <w:snapToGrid w:val="0"/>
              <w:spacing w:line="360" w:lineRule="auto"/>
              <w:ind w:firstLine="413" w:firstLineChars="196"/>
              <w:jc w:val="left"/>
              <w:rPr>
                <w:rFonts w:ascii="宋体" w:hAnsi="宋体" w:cs="宋体"/>
                <w:b/>
                <w:color w:val="auto"/>
                <w:szCs w:val="21"/>
                <w:highlight w:val="none"/>
              </w:rPr>
            </w:pPr>
            <w:r>
              <w:rPr>
                <w:rFonts w:hint="eastAsia" w:ascii="宋体" w:hAnsi="宋体" w:cs="宋体"/>
                <w:b/>
                <w:color w:val="auto"/>
                <w:szCs w:val="21"/>
                <w:highlight w:val="none"/>
              </w:rPr>
              <w:t>1.以上标明“必须提供”的材料属于复印件的扫描件的，必须加盖供应商电子公章，否则响应文件按无效响应处理。</w:t>
            </w:r>
          </w:p>
          <w:p w14:paraId="1760F00D">
            <w:pPr>
              <w:snapToGrid w:val="0"/>
              <w:spacing w:line="360" w:lineRule="auto"/>
              <w:ind w:firstLine="413" w:firstLineChars="196"/>
              <w:jc w:val="left"/>
              <w:rPr>
                <w:rFonts w:ascii="宋体" w:hAnsi="宋体" w:cs="宋体"/>
                <w:b/>
                <w:color w:val="auto"/>
                <w:szCs w:val="21"/>
                <w:highlight w:val="none"/>
              </w:rPr>
            </w:pPr>
            <w:r>
              <w:rPr>
                <w:rFonts w:hint="eastAsia" w:ascii="宋体" w:hAnsi="宋体" w:cs="宋体"/>
                <w:b/>
                <w:color w:val="auto"/>
                <w:szCs w:val="21"/>
                <w:highlight w:val="none"/>
              </w:rPr>
              <w:t>2.联合体竞标时，第1-</w:t>
            </w:r>
            <w:r>
              <w:rPr>
                <w:rFonts w:hint="eastAsia" w:ascii="宋体" w:hAnsi="宋体" w:cs="宋体"/>
                <w:b/>
                <w:color w:val="auto"/>
                <w:szCs w:val="21"/>
                <w:highlight w:val="none"/>
                <w:lang w:val="en-US" w:eastAsia="zh-CN"/>
              </w:rPr>
              <w:t>5、8</w:t>
            </w:r>
            <w:r>
              <w:rPr>
                <w:rFonts w:hint="eastAsia" w:ascii="宋体" w:hAnsi="宋体" w:cs="宋体"/>
                <w:b/>
                <w:color w:val="auto"/>
                <w:szCs w:val="21"/>
                <w:highlight w:val="none"/>
              </w:rPr>
              <w:t>项资格证明文件联合体各方均必须分别提供，联合体各方分别盖章和签字，否则响应文件按无效响应处理。</w:t>
            </w:r>
          </w:p>
        </w:tc>
      </w:tr>
      <w:tr w14:paraId="74E364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55" w:type="pct"/>
            <w:vMerge w:val="restart"/>
            <w:tcBorders>
              <w:top w:val="single" w:color="000000" w:sz="4" w:space="0"/>
              <w:left w:val="single" w:color="000000" w:sz="4" w:space="0"/>
              <w:bottom w:val="single" w:color="000000" w:sz="4" w:space="0"/>
              <w:right w:val="single" w:color="000000" w:sz="4" w:space="0"/>
            </w:tcBorders>
            <w:vAlign w:val="center"/>
          </w:tcPr>
          <w:p w14:paraId="4824F8C4">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12.1.2</w:t>
            </w:r>
          </w:p>
        </w:tc>
        <w:tc>
          <w:tcPr>
            <w:tcW w:w="1289" w:type="pct"/>
            <w:tcBorders>
              <w:top w:val="single" w:color="000000" w:sz="4" w:space="0"/>
              <w:left w:val="single" w:color="000000" w:sz="4" w:space="0"/>
              <w:bottom w:val="single" w:color="000000" w:sz="4" w:space="0"/>
              <w:right w:val="single" w:color="000000" w:sz="4" w:space="0"/>
            </w:tcBorders>
            <w:vAlign w:val="center"/>
          </w:tcPr>
          <w:p w14:paraId="7702398D">
            <w:pPr>
              <w:spacing w:line="360" w:lineRule="auto"/>
              <w:jc w:val="center"/>
              <w:rPr>
                <w:rFonts w:ascii="宋体" w:hAnsi="宋体" w:cs="宋体"/>
                <w:b/>
                <w:bCs/>
                <w:color w:val="auto"/>
                <w:szCs w:val="21"/>
                <w:highlight w:val="none"/>
              </w:rPr>
            </w:pPr>
            <w:r>
              <w:rPr>
                <w:rFonts w:hint="eastAsia" w:ascii="宋体" w:hAnsi="宋体" w:cs="宋体"/>
                <w:b/>
                <w:bCs/>
                <w:color w:val="auto"/>
                <w:szCs w:val="21"/>
                <w:highlight w:val="none"/>
              </w:rPr>
              <w:t>商务文件组成</w:t>
            </w:r>
          </w:p>
        </w:tc>
        <w:tc>
          <w:tcPr>
            <w:tcW w:w="3254" w:type="pct"/>
            <w:tcBorders>
              <w:top w:val="single" w:color="000000" w:sz="4" w:space="0"/>
              <w:left w:val="single" w:color="000000" w:sz="4" w:space="0"/>
              <w:bottom w:val="single" w:color="000000" w:sz="4" w:space="0"/>
              <w:right w:val="single" w:color="000000" w:sz="4" w:space="0"/>
            </w:tcBorders>
            <w:vAlign w:val="center"/>
          </w:tcPr>
          <w:p w14:paraId="3EBBDB01">
            <w:pPr>
              <w:spacing w:line="360" w:lineRule="auto"/>
              <w:rPr>
                <w:rFonts w:ascii="宋体" w:hAnsi="宋体" w:cs="宋体"/>
                <w:color w:val="auto"/>
                <w:szCs w:val="21"/>
                <w:highlight w:val="none"/>
              </w:rPr>
            </w:pPr>
            <w:r>
              <w:rPr>
                <w:rFonts w:hint="eastAsia" w:ascii="宋体" w:hAnsi="宋体" w:cs="宋体"/>
                <w:color w:val="auto"/>
                <w:szCs w:val="21"/>
                <w:highlight w:val="none"/>
              </w:rPr>
              <w:t>1.无串通竞标行为的承诺函；（</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54F81610">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2.法定代表人身份证明书及法定代表人有效身份证正反面复印件；（</w:t>
            </w:r>
            <w:r>
              <w:rPr>
                <w:rFonts w:hint="eastAsia" w:ascii="宋体" w:hAnsi="宋体" w:cs="宋体"/>
                <w:b/>
                <w:bCs/>
                <w:color w:val="auto"/>
                <w:szCs w:val="21"/>
                <w:highlight w:val="none"/>
              </w:rPr>
              <w:t>除自然人竞标外</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1965464E">
            <w:pPr>
              <w:spacing w:line="360" w:lineRule="auto"/>
              <w:rPr>
                <w:rFonts w:ascii="宋体" w:hAnsi="宋体" w:cs="宋体"/>
                <w:b/>
                <w:color w:val="auto"/>
                <w:szCs w:val="21"/>
                <w:highlight w:val="none"/>
              </w:rPr>
            </w:pPr>
            <w:r>
              <w:rPr>
                <w:rFonts w:hint="eastAsia" w:ascii="宋体" w:hAnsi="宋体" w:cs="宋体"/>
                <w:color w:val="auto"/>
                <w:szCs w:val="21"/>
                <w:highlight w:val="none"/>
              </w:rPr>
              <w:t>3.法定代表人授权委托书及委托代理人有效身份证正反面复印件；（</w:t>
            </w:r>
            <w:r>
              <w:rPr>
                <w:rFonts w:hint="eastAsia" w:ascii="宋体" w:hAnsi="宋体" w:cs="宋体"/>
                <w:b/>
                <w:color w:val="auto"/>
                <w:szCs w:val="21"/>
                <w:highlight w:val="none"/>
              </w:rPr>
              <w:t>委托时必须提供，否则响应文件按无效响应处理</w:t>
            </w:r>
            <w:r>
              <w:rPr>
                <w:rFonts w:hint="eastAsia" w:ascii="宋体" w:hAnsi="宋体" w:cs="宋体"/>
                <w:color w:val="auto"/>
                <w:szCs w:val="21"/>
                <w:highlight w:val="none"/>
              </w:rPr>
              <w:t>）</w:t>
            </w:r>
          </w:p>
          <w:p w14:paraId="3C7FEA7E">
            <w:pPr>
              <w:spacing w:line="360" w:lineRule="auto"/>
              <w:rPr>
                <w:rFonts w:ascii="宋体" w:hAnsi="宋体" w:cs="宋体"/>
                <w:color w:val="auto"/>
                <w:szCs w:val="21"/>
                <w:highlight w:val="none"/>
              </w:rPr>
            </w:pPr>
            <w:r>
              <w:rPr>
                <w:rFonts w:hint="eastAsia" w:ascii="宋体" w:hAnsi="宋体" w:cs="宋体"/>
                <w:color w:val="auto"/>
                <w:szCs w:val="21"/>
                <w:highlight w:val="none"/>
              </w:rPr>
              <w:t>4.商务条款偏离表；（</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760F0780">
            <w:pPr>
              <w:spacing w:line="360" w:lineRule="auto"/>
              <w:rPr>
                <w:rFonts w:ascii="宋体" w:hAnsi="宋体" w:cs="宋体"/>
                <w:color w:val="auto"/>
                <w:szCs w:val="21"/>
                <w:highlight w:val="none"/>
              </w:rPr>
            </w:pPr>
            <w:r>
              <w:rPr>
                <w:rFonts w:hint="eastAsia" w:ascii="宋体" w:hAnsi="宋体" w:cs="宋体"/>
                <w:color w:val="auto"/>
                <w:szCs w:val="21"/>
                <w:highlight w:val="none"/>
              </w:rPr>
              <w:t>5.竞标人情况介绍；</w:t>
            </w:r>
          </w:p>
          <w:p w14:paraId="7B206928">
            <w:pPr>
              <w:spacing w:line="360" w:lineRule="auto"/>
              <w:rPr>
                <w:rFonts w:ascii="宋体" w:hAnsi="宋体" w:cs="宋体"/>
                <w:color w:val="auto"/>
                <w:szCs w:val="21"/>
                <w:highlight w:val="none"/>
              </w:rPr>
            </w:pPr>
            <w:r>
              <w:rPr>
                <w:rFonts w:hint="eastAsia" w:ascii="宋体" w:hAnsi="宋体" w:cs="宋体"/>
                <w:color w:val="auto"/>
                <w:szCs w:val="21"/>
                <w:highlight w:val="none"/>
              </w:rPr>
              <w:t>6.除</w:t>
            </w:r>
            <w:r>
              <w:rPr>
                <w:rFonts w:hint="eastAsia" w:ascii="宋体" w:hAnsi="宋体" w:cs="宋体"/>
                <w:color w:val="auto"/>
                <w:szCs w:val="21"/>
                <w:highlight w:val="none"/>
                <w:lang w:val="en-US" w:eastAsia="zh-CN"/>
              </w:rPr>
              <w:t>磋商</w:t>
            </w:r>
            <w:r>
              <w:rPr>
                <w:rFonts w:hint="eastAsia" w:ascii="宋体" w:hAnsi="宋体" w:cs="宋体"/>
                <w:color w:val="auto"/>
                <w:szCs w:val="21"/>
                <w:highlight w:val="none"/>
              </w:rPr>
              <w:t>文件规定必须提供以外，</w:t>
            </w:r>
            <w:r>
              <w:rPr>
                <w:rFonts w:hint="eastAsia" w:ascii="宋体" w:hAnsi="宋体" w:cs="宋体"/>
                <w:color w:val="auto"/>
                <w:szCs w:val="21"/>
                <w:highlight w:val="none"/>
                <w:lang w:val="en-US" w:eastAsia="zh-CN"/>
              </w:rPr>
              <w:t>供应商</w:t>
            </w:r>
            <w:r>
              <w:rPr>
                <w:rFonts w:hint="eastAsia" w:ascii="宋体" w:hAnsi="宋体" w:cs="宋体"/>
                <w:color w:val="auto"/>
                <w:szCs w:val="21"/>
                <w:highlight w:val="none"/>
              </w:rPr>
              <w:t>认为需要提供的其他证明材料。（</w:t>
            </w:r>
            <w:r>
              <w:rPr>
                <w:rFonts w:hint="eastAsia" w:ascii="宋体" w:hAnsi="宋体" w:cs="宋体"/>
                <w:color w:val="auto"/>
                <w:szCs w:val="21"/>
                <w:highlight w:val="none"/>
                <w:lang w:val="en-US" w:eastAsia="zh-CN"/>
              </w:rPr>
              <w:t>供应商</w:t>
            </w:r>
            <w:r>
              <w:rPr>
                <w:rFonts w:hint="eastAsia" w:ascii="宋体" w:hAnsi="宋体" w:cs="宋体"/>
                <w:color w:val="auto"/>
                <w:szCs w:val="21"/>
                <w:highlight w:val="none"/>
              </w:rPr>
              <w:t>根据“第二章 采购需求”及“第四章 评标方法及评标标准”提供有关证明材料）。</w:t>
            </w:r>
          </w:p>
          <w:p w14:paraId="241889AE">
            <w:pPr>
              <w:snapToGrid w:val="0"/>
              <w:spacing w:line="360" w:lineRule="auto"/>
              <w:jc w:val="left"/>
              <w:rPr>
                <w:rFonts w:ascii="宋体" w:hAnsi="宋体" w:cs="宋体"/>
                <w:b/>
                <w:color w:val="auto"/>
                <w:szCs w:val="21"/>
                <w:highlight w:val="none"/>
              </w:rPr>
            </w:pPr>
            <w:r>
              <w:rPr>
                <w:rFonts w:hint="eastAsia" w:ascii="宋体" w:hAnsi="宋体" w:cs="宋体"/>
                <w:b/>
                <w:color w:val="auto"/>
                <w:szCs w:val="21"/>
                <w:highlight w:val="none"/>
              </w:rPr>
              <w:t xml:space="preserve">注： </w:t>
            </w:r>
          </w:p>
          <w:p w14:paraId="66109B35">
            <w:pPr>
              <w:snapToGrid w:val="0"/>
              <w:spacing w:line="360" w:lineRule="auto"/>
              <w:ind w:firstLine="413" w:firstLineChars="196"/>
              <w:jc w:val="left"/>
              <w:rPr>
                <w:rFonts w:ascii="宋体" w:hAnsi="宋体" w:cs="宋体"/>
                <w:b/>
                <w:color w:val="auto"/>
                <w:szCs w:val="21"/>
                <w:highlight w:val="none"/>
              </w:rPr>
            </w:pPr>
            <w:r>
              <w:rPr>
                <w:rFonts w:hint="eastAsia" w:ascii="宋体" w:hAnsi="宋体" w:cs="宋体"/>
                <w:b/>
                <w:color w:val="auto"/>
                <w:szCs w:val="21"/>
                <w:highlight w:val="none"/>
              </w:rPr>
              <w:t>1.法定代表人授权委托书必须由法定代表人及委托代理人签字，并加盖供应商公章，否则响应文件按无效响应处理。</w:t>
            </w:r>
          </w:p>
          <w:p w14:paraId="5BB52DBD">
            <w:pPr>
              <w:spacing w:line="360" w:lineRule="auto"/>
              <w:ind w:firstLine="413" w:firstLineChars="196"/>
              <w:rPr>
                <w:rFonts w:ascii="宋体" w:hAnsi="宋体" w:cs="宋体"/>
                <w:b/>
                <w:color w:val="auto"/>
                <w:szCs w:val="21"/>
                <w:highlight w:val="none"/>
              </w:rPr>
            </w:pPr>
            <w:r>
              <w:rPr>
                <w:rFonts w:hint="eastAsia" w:ascii="宋体" w:hAnsi="宋体" w:cs="宋体"/>
                <w:b/>
                <w:color w:val="auto"/>
                <w:szCs w:val="21"/>
                <w:highlight w:val="none"/>
              </w:rPr>
              <w:t>2.以上标明“必须提供”的材料属于复印件的扫描件的，必须加盖供应商电子公章，否则响应文件按无效响应处理。</w:t>
            </w:r>
          </w:p>
        </w:tc>
      </w:tr>
      <w:tr w14:paraId="3B73D9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55" w:type="pct"/>
            <w:vMerge w:val="continue"/>
            <w:tcBorders>
              <w:top w:val="single" w:color="000000" w:sz="4" w:space="0"/>
              <w:left w:val="single" w:color="000000" w:sz="4" w:space="0"/>
              <w:bottom w:val="single" w:color="000000" w:sz="4" w:space="0"/>
              <w:right w:val="single" w:color="000000" w:sz="4" w:space="0"/>
            </w:tcBorders>
            <w:vAlign w:val="center"/>
          </w:tcPr>
          <w:p w14:paraId="418F6E4E">
            <w:pPr>
              <w:widowControl/>
              <w:jc w:val="left"/>
              <w:rPr>
                <w:rFonts w:ascii="宋体" w:hAnsi="宋体" w:cs="宋体"/>
                <w:color w:val="auto"/>
                <w:szCs w:val="21"/>
                <w:highlight w:val="none"/>
              </w:rPr>
            </w:pPr>
          </w:p>
        </w:tc>
        <w:tc>
          <w:tcPr>
            <w:tcW w:w="1289" w:type="pct"/>
            <w:tcBorders>
              <w:top w:val="single" w:color="000000" w:sz="4" w:space="0"/>
              <w:left w:val="single" w:color="000000" w:sz="4" w:space="0"/>
              <w:bottom w:val="single" w:color="000000" w:sz="4" w:space="0"/>
              <w:right w:val="single" w:color="000000" w:sz="4" w:space="0"/>
            </w:tcBorders>
            <w:vAlign w:val="center"/>
          </w:tcPr>
          <w:p w14:paraId="6C13AD2E">
            <w:pPr>
              <w:spacing w:line="360" w:lineRule="auto"/>
              <w:jc w:val="center"/>
              <w:rPr>
                <w:rFonts w:ascii="宋体" w:hAnsi="宋体" w:cs="宋体"/>
                <w:b/>
                <w:bCs/>
                <w:color w:val="auto"/>
                <w:szCs w:val="21"/>
                <w:highlight w:val="none"/>
              </w:rPr>
            </w:pPr>
            <w:r>
              <w:rPr>
                <w:rFonts w:hint="eastAsia" w:ascii="宋体" w:hAnsi="宋体" w:cs="宋体"/>
                <w:b/>
                <w:bCs/>
                <w:color w:val="auto"/>
                <w:szCs w:val="21"/>
                <w:highlight w:val="none"/>
              </w:rPr>
              <w:t>技术文件组成</w:t>
            </w:r>
          </w:p>
        </w:tc>
        <w:tc>
          <w:tcPr>
            <w:tcW w:w="3254" w:type="pct"/>
            <w:tcBorders>
              <w:top w:val="single" w:color="000000" w:sz="4" w:space="0"/>
              <w:left w:val="single" w:color="000000" w:sz="4" w:space="0"/>
              <w:bottom w:val="single" w:color="000000" w:sz="4" w:space="0"/>
              <w:right w:val="single" w:color="000000" w:sz="4" w:space="0"/>
            </w:tcBorders>
            <w:vAlign w:val="center"/>
          </w:tcPr>
          <w:p w14:paraId="0CE14F50">
            <w:pPr>
              <w:spacing w:line="360" w:lineRule="auto"/>
              <w:rPr>
                <w:rFonts w:ascii="宋体" w:hAnsi="宋体" w:cs="宋体"/>
                <w:color w:val="auto"/>
                <w:szCs w:val="21"/>
                <w:highlight w:val="none"/>
              </w:rPr>
            </w:pPr>
            <w:r>
              <w:rPr>
                <w:rFonts w:hint="eastAsia" w:ascii="宋体" w:hAnsi="宋体" w:cs="宋体"/>
                <w:color w:val="auto"/>
                <w:szCs w:val="21"/>
                <w:highlight w:val="none"/>
              </w:rPr>
              <w:t>1.服务需求偏离表；（</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4950BDC9">
            <w:pPr>
              <w:snapToGrid w:val="0"/>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2.项目服务实施方案（由投标人自行结合“项目采购需求”及“评标办法”编制，格式自拟）；（如有，请提供）</w:t>
            </w:r>
          </w:p>
          <w:p w14:paraId="63F62C24">
            <w:pPr>
              <w:snapToGrid w:val="0"/>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3.应急预案；（如有，请提供）</w:t>
            </w:r>
          </w:p>
          <w:p w14:paraId="0A7859DF">
            <w:pPr>
              <w:snapToGrid w:val="0"/>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4.售后及保密</w:t>
            </w:r>
            <w:r>
              <w:rPr>
                <w:rFonts w:hint="eastAsia" w:ascii="宋体" w:hAnsi="宋体" w:cs="宋体"/>
                <w:color w:val="auto"/>
                <w:szCs w:val="21"/>
                <w:highlight w:val="none"/>
                <w:lang w:val="en-US" w:eastAsia="zh-CN"/>
              </w:rPr>
              <w:t>方案</w:t>
            </w:r>
            <w:r>
              <w:rPr>
                <w:rFonts w:hint="eastAsia" w:ascii="宋体" w:hAnsi="宋体" w:cs="宋体"/>
                <w:color w:val="auto"/>
                <w:szCs w:val="21"/>
                <w:highlight w:val="none"/>
              </w:rPr>
              <w:t>；（如有，请提供）</w:t>
            </w:r>
          </w:p>
          <w:p w14:paraId="08FD60FA">
            <w:pPr>
              <w:snapToGrid w:val="0"/>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5.</w:t>
            </w:r>
            <w:bookmarkStart w:id="32" w:name="_Hlk165289940"/>
            <w:r>
              <w:rPr>
                <w:rFonts w:hint="eastAsia" w:ascii="宋体" w:hAnsi="宋体" w:cs="宋体"/>
                <w:color w:val="auto"/>
                <w:szCs w:val="21"/>
                <w:highlight w:val="none"/>
                <w:lang w:val="en-US" w:eastAsia="zh-CN"/>
              </w:rPr>
              <w:t>项目实施人员一览表；</w:t>
            </w:r>
            <w:r>
              <w:rPr>
                <w:rFonts w:hint="eastAsia" w:ascii="宋体" w:hAnsi="宋体" w:cs="宋体"/>
                <w:color w:val="auto"/>
                <w:szCs w:val="21"/>
                <w:highlight w:val="none"/>
              </w:rPr>
              <w:t>（如有，请提供）</w:t>
            </w:r>
          </w:p>
          <w:p w14:paraId="575C501A">
            <w:pPr>
              <w:snapToGrid w:val="0"/>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除</w:t>
            </w:r>
            <w:r>
              <w:rPr>
                <w:rFonts w:hint="eastAsia" w:ascii="宋体" w:hAnsi="宋体" w:cs="宋体"/>
                <w:color w:val="auto"/>
                <w:szCs w:val="21"/>
                <w:highlight w:val="none"/>
                <w:lang w:val="en-US" w:eastAsia="zh-CN"/>
              </w:rPr>
              <w:t>磋商</w:t>
            </w:r>
            <w:r>
              <w:rPr>
                <w:rFonts w:hint="eastAsia" w:ascii="宋体" w:hAnsi="宋体" w:cs="宋体"/>
                <w:color w:val="auto"/>
                <w:szCs w:val="21"/>
                <w:highlight w:val="none"/>
              </w:rPr>
              <w:t>文件规定必须提供以外，</w:t>
            </w:r>
            <w:bookmarkStart w:id="33" w:name="_Hlk165290052"/>
            <w:r>
              <w:rPr>
                <w:rFonts w:hint="eastAsia" w:ascii="宋体" w:hAnsi="宋体" w:cs="宋体"/>
                <w:color w:val="auto"/>
                <w:szCs w:val="21"/>
                <w:highlight w:val="none"/>
                <w:lang w:val="en-US" w:eastAsia="zh-CN"/>
              </w:rPr>
              <w:t>供应商</w:t>
            </w:r>
            <w:r>
              <w:rPr>
                <w:rFonts w:hint="eastAsia" w:ascii="宋体" w:hAnsi="宋体" w:cs="宋体"/>
                <w:color w:val="auto"/>
                <w:szCs w:val="21"/>
                <w:highlight w:val="none"/>
              </w:rPr>
              <w:t>需要说明的其他文件和说明。</w:t>
            </w:r>
            <w:bookmarkEnd w:id="33"/>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供应商</w:t>
            </w:r>
            <w:r>
              <w:rPr>
                <w:rFonts w:hint="eastAsia" w:ascii="宋体" w:hAnsi="宋体" w:cs="宋体"/>
                <w:color w:val="auto"/>
                <w:szCs w:val="21"/>
                <w:highlight w:val="none"/>
              </w:rPr>
              <w:t>根据“第二章 采购需求”及“第四章 评标方法及评标标准”提供有关证明材料）</w:t>
            </w:r>
            <w:bookmarkEnd w:id="32"/>
          </w:p>
          <w:p w14:paraId="62BB3C0E">
            <w:pPr>
              <w:spacing w:line="360" w:lineRule="auto"/>
              <w:rPr>
                <w:rFonts w:ascii="宋体" w:hAnsi="宋体" w:cs="宋体"/>
                <w:color w:val="auto"/>
                <w:szCs w:val="21"/>
                <w:highlight w:val="none"/>
              </w:rPr>
            </w:pPr>
            <w:r>
              <w:rPr>
                <w:rFonts w:hint="eastAsia" w:ascii="宋体" w:hAnsi="宋体" w:cs="宋体"/>
                <w:b/>
                <w:color w:val="auto"/>
                <w:szCs w:val="21"/>
                <w:highlight w:val="none"/>
              </w:rPr>
              <w:t>注：1.以上标明“必须提供”的材料属于复印件的扫描件的，必须加盖供应商电子公章，否则响应文件按无效响应处理。</w:t>
            </w:r>
          </w:p>
        </w:tc>
      </w:tr>
      <w:tr w14:paraId="325DF0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55" w:type="pct"/>
            <w:tcBorders>
              <w:top w:val="single" w:color="000000" w:sz="4" w:space="0"/>
              <w:left w:val="single" w:color="000000" w:sz="4" w:space="0"/>
              <w:bottom w:val="single" w:color="000000" w:sz="4" w:space="0"/>
              <w:right w:val="single" w:color="000000" w:sz="4" w:space="0"/>
            </w:tcBorders>
            <w:vAlign w:val="center"/>
          </w:tcPr>
          <w:p w14:paraId="7B7EFBA4">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12.1.2</w:t>
            </w:r>
          </w:p>
        </w:tc>
        <w:tc>
          <w:tcPr>
            <w:tcW w:w="1289" w:type="pct"/>
            <w:tcBorders>
              <w:top w:val="single" w:color="000000" w:sz="4" w:space="0"/>
              <w:left w:val="single" w:color="000000" w:sz="4" w:space="0"/>
              <w:bottom w:val="single" w:color="000000" w:sz="4" w:space="0"/>
              <w:right w:val="single" w:color="000000" w:sz="4" w:space="0"/>
            </w:tcBorders>
            <w:vAlign w:val="center"/>
          </w:tcPr>
          <w:p w14:paraId="61A45889">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报价文件组成</w:t>
            </w:r>
          </w:p>
        </w:tc>
        <w:tc>
          <w:tcPr>
            <w:tcW w:w="3254" w:type="pct"/>
            <w:tcBorders>
              <w:top w:val="single" w:color="000000" w:sz="4" w:space="0"/>
              <w:left w:val="single" w:color="000000" w:sz="4" w:space="0"/>
              <w:bottom w:val="single" w:color="000000" w:sz="4" w:space="0"/>
              <w:right w:val="single" w:color="000000" w:sz="4" w:space="0"/>
            </w:tcBorders>
            <w:vAlign w:val="center"/>
          </w:tcPr>
          <w:p w14:paraId="4BB3768F">
            <w:pPr>
              <w:spacing w:line="360" w:lineRule="auto"/>
              <w:rPr>
                <w:color w:val="auto"/>
                <w:highlight w:val="none"/>
              </w:rPr>
            </w:pPr>
            <w:r>
              <w:rPr>
                <w:rFonts w:hint="eastAsia"/>
                <w:color w:val="auto"/>
                <w:highlight w:val="none"/>
              </w:rPr>
              <w:t>1.响应函；</w:t>
            </w:r>
            <w:r>
              <w:rPr>
                <w:rFonts w:hint="eastAsia"/>
                <w:b/>
                <w:bCs/>
                <w:color w:val="auto"/>
                <w:highlight w:val="none"/>
              </w:rPr>
              <w:t>（必须提供，否则作无效响应处理）</w:t>
            </w:r>
          </w:p>
          <w:p w14:paraId="2D0B9E61">
            <w:pPr>
              <w:spacing w:line="360" w:lineRule="auto"/>
              <w:rPr>
                <w:color w:val="auto"/>
                <w:highlight w:val="none"/>
              </w:rPr>
            </w:pPr>
            <w:r>
              <w:rPr>
                <w:rFonts w:hint="eastAsia"/>
                <w:color w:val="auto"/>
                <w:highlight w:val="none"/>
              </w:rPr>
              <w:t>2.响应报价表；</w:t>
            </w:r>
            <w:r>
              <w:rPr>
                <w:rFonts w:hint="eastAsia"/>
                <w:b/>
                <w:bCs/>
                <w:color w:val="auto"/>
                <w:highlight w:val="none"/>
              </w:rPr>
              <w:t>（必须提供，否则响应文件按无效响应处理）</w:t>
            </w:r>
          </w:p>
          <w:p w14:paraId="266CD721">
            <w:pPr>
              <w:spacing w:line="360" w:lineRule="auto"/>
              <w:rPr>
                <w:color w:val="auto"/>
                <w:highlight w:val="none"/>
              </w:rPr>
            </w:pPr>
            <w:r>
              <w:rPr>
                <w:rFonts w:hint="eastAsia" w:ascii="宋体" w:hAnsi="宋体"/>
                <w:color w:val="auto"/>
                <w:szCs w:val="21"/>
                <w:highlight w:val="none"/>
              </w:rPr>
              <w:t>3.供应商针对报价需要说明的其他文件和说明（格式自拟）。</w:t>
            </w:r>
          </w:p>
        </w:tc>
      </w:tr>
      <w:tr w14:paraId="1A3EF8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55" w:type="pct"/>
            <w:tcBorders>
              <w:top w:val="single" w:color="000000" w:sz="4" w:space="0"/>
              <w:left w:val="single" w:color="000000" w:sz="4" w:space="0"/>
              <w:bottom w:val="single" w:color="000000" w:sz="4" w:space="0"/>
              <w:right w:val="single" w:color="000000" w:sz="4" w:space="0"/>
            </w:tcBorders>
            <w:vAlign w:val="center"/>
          </w:tcPr>
          <w:p w14:paraId="349D2F55">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12.2</w:t>
            </w:r>
          </w:p>
        </w:tc>
        <w:tc>
          <w:tcPr>
            <w:tcW w:w="1289" w:type="pct"/>
            <w:tcBorders>
              <w:top w:val="single" w:color="000000" w:sz="4" w:space="0"/>
              <w:left w:val="single" w:color="000000" w:sz="4" w:space="0"/>
              <w:bottom w:val="single" w:color="000000" w:sz="4" w:space="0"/>
              <w:right w:val="single" w:color="000000" w:sz="4" w:space="0"/>
            </w:tcBorders>
            <w:vAlign w:val="center"/>
          </w:tcPr>
          <w:p w14:paraId="0BFF4F8E">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响应文件电子版要求</w:t>
            </w:r>
          </w:p>
        </w:tc>
        <w:tc>
          <w:tcPr>
            <w:tcW w:w="3254" w:type="pct"/>
            <w:tcBorders>
              <w:top w:val="single" w:color="000000" w:sz="4" w:space="0"/>
              <w:left w:val="single" w:color="000000" w:sz="4" w:space="0"/>
              <w:bottom w:val="single" w:color="000000" w:sz="4" w:space="0"/>
              <w:right w:val="single" w:color="000000" w:sz="4" w:space="0"/>
            </w:tcBorders>
            <w:vAlign w:val="center"/>
          </w:tcPr>
          <w:p w14:paraId="69E650B6">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1.响应文件电子版要求：按照本采购文件“</w:t>
            </w:r>
            <w:r>
              <w:rPr>
                <w:rFonts w:hint="eastAsia" w:ascii="宋体" w:hAnsi="宋体"/>
                <w:color w:val="auto"/>
                <w:szCs w:val="21"/>
                <w:highlight w:val="none"/>
              </w:rPr>
              <w:t>第五章 响应文件格式</w:t>
            </w:r>
            <w:r>
              <w:rPr>
                <w:rFonts w:hint="eastAsia" w:ascii="宋体" w:hAnsi="宋体" w:cs="宋体"/>
                <w:color w:val="auto"/>
                <w:szCs w:val="21"/>
                <w:highlight w:val="none"/>
              </w:rPr>
              <w:t>”编写（第五章未附格式的，由供应商自行拟定），不可涂改并在规定加盖公章处加盖电子公章，</w:t>
            </w:r>
            <w:r>
              <w:rPr>
                <w:rFonts w:hint="eastAsia" w:ascii="宋体" w:hAnsi="宋体" w:cs="宋体"/>
                <w:b/>
                <w:color w:val="auto"/>
                <w:szCs w:val="21"/>
                <w:highlight w:val="none"/>
              </w:rPr>
              <w:t>否则响应文件按无效响应处理</w:t>
            </w:r>
            <w:r>
              <w:rPr>
                <w:rFonts w:hint="eastAsia" w:ascii="宋体" w:hAnsi="宋体" w:cs="宋体"/>
                <w:color w:val="auto"/>
                <w:szCs w:val="21"/>
                <w:highlight w:val="none"/>
              </w:rPr>
              <w:t>。</w:t>
            </w:r>
          </w:p>
          <w:p w14:paraId="2AFA6184">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Courier New"/>
                <w:color w:val="auto"/>
                <w:szCs w:val="21"/>
                <w:highlight w:val="none"/>
              </w:rPr>
              <w:t>.响应文件电子版密封方式：电子响应文件通过平台有效CA加密后在“广西政府采购云平台”投送。（操作方式见公告附件“</w:t>
            </w:r>
            <w:r>
              <w:rPr>
                <w:rFonts w:hint="eastAsia" w:ascii="宋体" w:hAnsi="宋体"/>
                <w:color w:val="auto"/>
                <w:szCs w:val="21"/>
                <w:highlight w:val="none"/>
              </w:rPr>
              <w:t>电子响应文件制作与投送教程</w:t>
            </w:r>
            <w:r>
              <w:rPr>
                <w:rFonts w:hint="eastAsia" w:ascii="宋体" w:hAnsi="宋体" w:cs="Courier New"/>
                <w:color w:val="auto"/>
                <w:szCs w:val="21"/>
                <w:highlight w:val="none"/>
              </w:rPr>
              <w:t>” ）</w:t>
            </w:r>
          </w:p>
        </w:tc>
      </w:tr>
      <w:tr w14:paraId="46F42F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55" w:type="pct"/>
            <w:tcBorders>
              <w:top w:val="single" w:color="000000" w:sz="4" w:space="0"/>
              <w:left w:val="single" w:color="000000" w:sz="4" w:space="0"/>
              <w:bottom w:val="single" w:color="000000" w:sz="4" w:space="0"/>
              <w:right w:val="single" w:color="000000" w:sz="4" w:space="0"/>
            </w:tcBorders>
            <w:vAlign w:val="center"/>
          </w:tcPr>
          <w:p w14:paraId="616D2230">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15.2</w:t>
            </w:r>
          </w:p>
        </w:tc>
        <w:tc>
          <w:tcPr>
            <w:tcW w:w="1289" w:type="pct"/>
            <w:tcBorders>
              <w:top w:val="single" w:color="000000" w:sz="4" w:space="0"/>
              <w:left w:val="single" w:color="000000" w:sz="4" w:space="0"/>
              <w:bottom w:val="single" w:color="000000" w:sz="4" w:space="0"/>
              <w:right w:val="single" w:color="000000" w:sz="4" w:space="0"/>
            </w:tcBorders>
            <w:vAlign w:val="center"/>
          </w:tcPr>
          <w:p w14:paraId="3A526240">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响应报价要求</w:t>
            </w:r>
          </w:p>
        </w:tc>
        <w:tc>
          <w:tcPr>
            <w:tcW w:w="3254" w:type="pct"/>
            <w:tcBorders>
              <w:top w:val="single" w:color="000000" w:sz="4" w:space="0"/>
              <w:left w:val="single" w:color="000000" w:sz="4" w:space="0"/>
              <w:bottom w:val="single" w:color="000000" w:sz="4" w:space="0"/>
              <w:right w:val="single" w:color="000000" w:sz="4" w:space="0"/>
            </w:tcBorders>
            <w:vAlign w:val="center"/>
          </w:tcPr>
          <w:p w14:paraId="3198BC26">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响应报价是履行合同的最终价格,包括：</w:t>
            </w:r>
          </w:p>
          <w:p w14:paraId="685C2410">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（1）服务的价格；</w:t>
            </w:r>
          </w:p>
          <w:p w14:paraId="5D650EE5">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（2）必要的保险费用和各项税金；</w:t>
            </w:r>
          </w:p>
          <w:p w14:paraId="0750527B">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（3）其他（如调试、培训、技术支持、售后服务、更新升级等费用）。</w:t>
            </w:r>
            <w:r>
              <w:rPr>
                <w:rFonts w:hint="eastAsia" w:ascii="宋体" w:hAnsi="宋体"/>
                <w:b/>
                <w:color w:val="auto"/>
                <w:szCs w:val="21"/>
                <w:highlight w:val="none"/>
              </w:rPr>
              <w:t>（采购需求另有约定的，从其约定。）</w:t>
            </w:r>
          </w:p>
        </w:tc>
      </w:tr>
      <w:tr w14:paraId="7E4AED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8" w:hRule="atLeast"/>
          <w:jc w:val="center"/>
        </w:trPr>
        <w:tc>
          <w:tcPr>
            <w:tcW w:w="455" w:type="pct"/>
            <w:tcBorders>
              <w:top w:val="single" w:color="000000" w:sz="4" w:space="0"/>
              <w:left w:val="single" w:color="000000" w:sz="4" w:space="0"/>
              <w:bottom w:val="single" w:color="000000" w:sz="4" w:space="0"/>
              <w:right w:val="single" w:color="000000" w:sz="4" w:space="0"/>
            </w:tcBorders>
            <w:vAlign w:val="center"/>
          </w:tcPr>
          <w:p w14:paraId="100BC91B">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16.2</w:t>
            </w:r>
          </w:p>
        </w:tc>
        <w:tc>
          <w:tcPr>
            <w:tcW w:w="1289" w:type="pct"/>
            <w:tcBorders>
              <w:top w:val="single" w:color="000000" w:sz="4" w:space="0"/>
              <w:left w:val="single" w:color="000000" w:sz="4" w:space="0"/>
              <w:bottom w:val="single" w:color="000000" w:sz="4" w:space="0"/>
              <w:right w:val="single" w:color="000000" w:sz="4" w:space="0"/>
            </w:tcBorders>
            <w:vAlign w:val="center"/>
          </w:tcPr>
          <w:p w14:paraId="57DEEE41">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竞标有效期</w:t>
            </w:r>
          </w:p>
        </w:tc>
        <w:tc>
          <w:tcPr>
            <w:tcW w:w="3254" w:type="pct"/>
            <w:tcBorders>
              <w:top w:val="single" w:color="000000" w:sz="4" w:space="0"/>
              <w:left w:val="single" w:color="000000" w:sz="4" w:space="0"/>
              <w:bottom w:val="single" w:color="000000" w:sz="4" w:space="0"/>
              <w:right w:val="single" w:color="000000" w:sz="4" w:space="0"/>
            </w:tcBorders>
            <w:vAlign w:val="center"/>
          </w:tcPr>
          <w:p w14:paraId="196EDD88">
            <w:pPr>
              <w:snapToGrid w:val="0"/>
              <w:spacing w:after="120" w:line="360" w:lineRule="auto"/>
              <w:rPr>
                <w:rFonts w:ascii="宋体" w:hAnsi="宋体" w:cs="宋体"/>
                <w:color w:val="auto"/>
                <w:szCs w:val="21"/>
                <w:highlight w:val="none"/>
              </w:rPr>
            </w:pPr>
            <w:r>
              <w:rPr>
                <w:rFonts w:hint="eastAsia" w:ascii="宋体" w:hAnsi="宋体" w:cs="宋体"/>
                <w:color w:val="auto"/>
                <w:szCs w:val="21"/>
                <w:highlight w:val="none"/>
              </w:rPr>
              <w:t>自首次响应文件提交截止之日起</w:t>
            </w:r>
            <w:bookmarkStart w:id="34" w:name="PO_3000001868_PM046"/>
            <w:r>
              <w:rPr>
                <w:rFonts w:hint="eastAsia" w:ascii="宋体" w:hAnsi="宋体" w:cs="宋体"/>
                <w:color w:val="auto"/>
                <w:szCs w:val="21"/>
                <w:highlight w:val="none"/>
                <w:u w:val="single"/>
              </w:rPr>
              <w:t>90</w:t>
            </w:r>
            <w:bookmarkEnd w:id="34"/>
            <w:r>
              <w:rPr>
                <w:rFonts w:hint="eastAsia" w:ascii="宋体" w:hAnsi="宋体" w:cs="宋体"/>
                <w:color w:val="auto"/>
                <w:szCs w:val="21"/>
                <w:highlight w:val="none"/>
              </w:rPr>
              <w:t>日。</w:t>
            </w:r>
          </w:p>
        </w:tc>
      </w:tr>
      <w:tr w14:paraId="62F19E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55" w:type="pct"/>
            <w:tcBorders>
              <w:top w:val="single" w:color="000000" w:sz="4" w:space="0"/>
              <w:left w:val="single" w:color="000000" w:sz="4" w:space="0"/>
              <w:bottom w:val="single" w:color="000000" w:sz="4" w:space="0"/>
              <w:right w:val="single" w:color="000000" w:sz="4" w:space="0"/>
            </w:tcBorders>
            <w:vAlign w:val="center"/>
          </w:tcPr>
          <w:p w14:paraId="55E138CE">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17.1</w:t>
            </w:r>
          </w:p>
        </w:tc>
        <w:tc>
          <w:tcPr>
            <w:tcW w:w="1289" w:type="pct"/>
            <w:tcBorders>
              <w:top w:val="single" w:color="000000" w:sz="4" w:space="0"/>
              <w:left w:val="single" w:color="000000" w:sz="4" w:space="0"/>
              <w:bottom w:val="single" w:color="000000" w:sz="4" w:space="0"/>
              <w:right w:val="single" w:color="000000" w:sz="4" w:space="0"/>
            </w:tcBorders>
            <w:vAlign w:val="center"/>
          </w:tcPr>
          <w:p w14:paraId="132E694B">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磋商保证金</w:t>
            </w:r>
          </w:p>
        </w:tc>
        <w:tc>
          <w:tcPr>
            <w:tcW w:w="3254" w:type="pct"/>
            <w:tcBorders>
              <w:top w:val="single" w:color="000000" w:sz="4" w:space="0"/>
              <w:left w:val="single" w:color="000000" w:sz="4" w:space="0"/>
              <w:bottom w:val="single" w:color="000000" w:sz="4" w:space="0"/>
              <w:right w:val="single" w:color="000000" w:sz="4" w:space="0"/>
            </w:tcBorders>
            <w:vAlign w:val="center"/>
          </w:tcPr>
          <w:p w14:paraId="15B5B3D0">
            <w:pPr>
              <w:autoSpaceDE w:val="0"/>
              <w:autoSpaceDN w:val="0"/>
              <w:snapToGrid w:val="0"/>
              <w:spacing w:line="360" w:lineRule="auto"/>
              <w:textAlignment w:val="bottom"/>
              <w:rPr>
                <w:rFonts w:ascii="宋体" w:hAnsi="宋体"/>
                <w:color w:val="auto"/>
                <w:szCs w:val="21"/>
                <w:highlight w:val="none"/>
              </w:rPr>
            </w:pPr>
            <w:r>
              <w:rPr>
                <w:rFonts w:hint="eastAsia" w:ascii="宋体" w:hAnsi="宋体"/>
                <w:color w:val="auto"/>
                <w:szCs w:val="21"/>
                <w:highlight w:val="none"/>
              </w:rPr>
              <w:t>本项目不收取磋商保证金。</w:t>
            </w:r>
          </w:p>
        </w:tc>
      </w:tr>
      <w:tr w14:paraId="1487D1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455" w:type="pct"/>
            <w:vMerge w:val="restart"/>
            <w:tcBorders>
              <w:top w:val="single" w:color="000000" w:sz="4" w:space="0"/>
              <w:left w:val="single" w:color="000000" w:sz="4" w:space="0"/>
              <w:bottom w:val="single" w:color="000000" w:sz="4" w:space="0"/>
              <w:right w:val="single" w:color="000000" w:sz="4" w:space="0"/>
            </w:tcBorders>
            <w:vAlign w:val="center"/>
          </w:tcPr>
          <w:p w14:paraId="11A5C9AD">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20.1</w:t>
            </w:r>
          </w:p>
        </w:tc>
        <w:tc>
          <w:tcPr>
            <w:tcW w:w="1289" w:type="pct"/>
            <w:tcBorders>
              <w:top w:val="single" w:color="000000" w:sz="4" w:space="0"/>
              <w:left w:val="single" w:color="000000" w:sz="4" w:space="0"/>
              <w:bottom w:val="single" w:color="000000" w:sz="4" w:space="0"/>
              <w:right w:val="single" w:color="000000" w:sz="4" w:space="0"/>
            </w:tcBorders>
            <w:vAlign w:val="center"/>
          </w:tcPr>
          <w:p w14:paraId="7C986B35">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首次响应文件提交起止时间</w:t>
            </w:r>
          </w:p>
        </w:tc>
        <w:tc>
          <w:tcPr>
            <w:tcW w:w="3254" w:type="pct"/>
            <w:tcBorders>
              <w:top w:val="single" w:color="000000" w:sz="4" w:space="0"/>
              <w:left w:val="single" w:color="000000" w:sz="4" w:space="0"/>
              <w:bottom w:val="single" w:color="000000" w:sz="4" w:space="0"/>
              <w:right w:val="single" w:color="000000" w:sz="4" w:space="0"/>
            </w:tcBorders>
            <w:vAlign w:val="center"/>
          </w:tcPr>
          <w:p w14:paraId="328E00DF">
            <w:pPr>
              <w:snapToGrid w:val="0"/>
              <w:spacing w:line="360" w:lineRule="auto"/>
              <w:jc w:val="left"/>
              <w:rPr>
                <w:rFonts w:ascii="宋体" w:hAnsi="宋体" w:cs="宋体"/>
                <w:color w:val="auto"/>
                <w:szCs w:val="21"/>
                <w:highlight w:val="none"/>
                <w:u w:val="single"/>
              </w:rPr>
            </w:pPr>
            <w:r>
              <w:rPr>
                <w:rFonts w:hint="eastAsia" w:ascii="宋体" w:hAnsi="宋体" w:cs="宋体"/>
                <w:color w:val="auto"/>
                <w:szCs w:val="21"/>
                <w:highlight w:val="none"/>
              </w:rPr>
              <w:t>详见竞争性磋商公告。</w:t>
            </w:r>
          </w:p>
        </w:tc>
      </w:tr>
      <w:tr w14:paraId="5AE354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455" w:type="pct"/>
            <w:vMerge w:val="continue"/>
            <w:tcBorders>
              <w:top w:val="single" w:color="000000" w:sz="4" w:space="0"/>
              <w:left w:val="single" w:color="000000" w:sz="4" w:space="0"/>
              <w:bottom w:val="single" w:color="000000" w:sz="4" w:space="0"/>
              <w:right w:val="single" w:color="000000" w:sz="4" w:space="0"/>
            </w:tcBorders>
            <w:vAlign w:val="center"/>
          </w:tcPr>
          <w:p w14:paraId="55A173FA">
            <w:pPr>
              <w:widowControl/>
              <w:jc w:val="left"/>
              <w:rPr>
                <w:rFonts w:ascii="宋体" w:hAnsi="宋体" w:cs="宋体"/>
                <w:color w:val="auto"/>
                <w:szCs w:val="21"/>
                <w:highlight w:val="none"/>
              </w:rPr>
            </w:pPr>
          </w:p>
        </w:tc>
        <w:tc>
          <w:tcPr>
            <w:tcW w:w="1289" w:type="pct"/>
            <w:tcBorders>
              <w:top w:val="single" w:color="000000" w:sz="4" w:space="0"/>
              <w:left w:val="single" w:color="000000" w:sz="4" w:space="0"/>
              <w:bottom w:val="single" w:color="000000" w:sz="4" w:space="0"/>
              <w:right w:val="single" w:color="000000" w:sz="4" w:space="0"/>
            </w:tcBorders>
            <w:vAlign w:val="center"/>
          </w:tcPr>
          <w:p w14:paraId="0C10FC7F">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首次响应文件提交地点</w:t>
            </w:r>
          </w:p>
        </w:tc>
        <w:tc>
          <w:tcPr>
            <w:tcW w:w="3254" w:type="pct"/>
            <w:tcBorders>
              <w:top w:val="single" w:color="000000" w:sz="4" w:space="0"/>
              <w:left w:val="single" w:color="000000" w:sz="4" w:space="0"/>
              <w:bottom w:val="single" w:color="000000" w:sz="4" w:space="0"/>
              <w:right w:val="single" w:color="000000" w:sz="4" w:space="0"/>
            </w:tcBorders>
            <w:vAlign w:val="center"/>
          </w:tcPr>
          <w:p w14:paraId="7A20EB06">
            <w:pPr>
              <w:snapToGrid w:val="0"/>
              <w:spacing w:line="360" w:lineRule="auto"/>
              <w:jc w:val="left"/>
              <w:rPr>
                <w:rFonts w:ascii="宋体" w:hAnsi="宋体" w:cs="宋体"/>
                <w:color w:val="auto"/>
                <w:szCs w:val="21"/>
                <w:highlight w:val="none"/>
                <w:u w:val="single"/>
              </w:rPr>
            </w:pPr>
            <w:r>
              <w:rPr>
                <w:rFonts w:hint="eastAsia" w:ascii="宋体" w:hAnsi="宋体" w:cs="宋体"/>
                <w:color w:val="auto"/>
                <w:szCs w:val="21"/>
                <w:highlight w:val="none"/>
              </w:rPr>
              <w:t>详见竞争性磋商公告。</w:t>
            </w:r>
          </w:p>
        </w:tc>
      </w:tr>
      <w:tr w14:paraId="703C61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455" w:type="pct"/>
            <w:tcBorders>
              <w:top w:val="single" w:color="000000" w:sz="4" w:space="0"/>
              <w:left w:val="single" w:color="000000" w:sz="4" w:space="0"/>
              <w:bottom w:val="single" w:color="000000" w:sz="4" w:space="0"/>
              <w:right w:val="single" w:color="000000" w:sz="4" w:space="0"/>
            </w:tcBorders>
            <w:vAlign w:val="center"/>
          </w:tcPr>
          <w:p w14:paraId="54A02DD5">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20.6</w:t>
            </w:r>
          </w:p>
        </w:tc>
        <w:tc>
          <w:tcPr>
            <w:tcW w:w="1289" w:type="pct"/>
            <w:tcBorders>
              <w:top w:val="single" w:color="000000" w:sz="4" w:space="0"/>
              <w:left w:val="single" w:color="000000" w:sz="4" w:space="0"/>
              <w:bottom w:val="single" w:color="000000" w:sz="4" w:space="0"/>
              <w:right w:val="single" w:color="000000" w:sz="4" w:space="0"/>
            </w:tcBorders>
            <w:vAlign w:val="center"/>
          </w:tcPr>
          <w:p w14:paraId="2E28B08C">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备份响应文件</w:t>
            </w:r>
          </w:p>
        </w:tc>
        <w:tc>
          <w:tcPr>
            <w:tcW w:w="3254" w:type="pct"/>
            <w:tcBorders>
              <w:top w:val="single" w:color="000000" w:sz="4" w:space="0"/>
              <w:left w:val="single" w:color="000000" w:sz="4" w:space="0"/>
              <w:bottom w:val="single" w:color="000000" w:sz="4" w:space="0"/>
              <w:right w:val="single" w:color="000000" w:sz="4" w:space="0"/>
            </w:tcBorders>
            <w:vAlign w:val="center"/>
          </w:tcPr>
          <w:p w14:paraId="6EE2E386">
            <w:pPr>
              <w:snapToGrid w:val="0"/>
              <w:spacing w:line="360" w:lineRule="auto"/>
              <w:jc w:val="left"/>
              <w:rPr>
                <w:rFonts w:ascii="宋体" w:hAnsi="宋体" w:cs="宋体"/>
                <w:color w:val="auto"/>
                <w:szCs w:val="21"/>
                <w:highlight w:val="none"/>
              </w:rPr>
            </w:pPr>
            <w:r>
              <w:rPr>
                <w:rFonts w:hint="eastAsia" w:ascii="宋体" w:hAnsi="宋体"/>
                <w:color w:val="auto"/>
                <w:szCs w:val="21"/>
                <w:highlight w:val="none"/>
              </w:rPr>
              <w:t>本项目不接受备份响应文件。</w:t>
            </w:r>
          </w:p>
        </w:tc>
      </w:tr>
      <w:tr w14:paraId="20FFAB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455" w:type="pct"/>
            <w:tcBorders>
              <w:top w:val="single" w:color="000000" w:sz="4" w:space="0"/>
              <w:left w:val="single" w:color="000000" w:sz="4" w:space="0"/>
              <w:bottom w:val="single" w:color="000000" w:sz="4" w:space="0"/>
              <w:right w:val="single" w:color="000000" w:sz="4" w:space="0"/>
            </w:tcBorders>
            <w:vAlign w:val="center"/>
          </w:tcPr>
          <w:p w14:paraId="34D4D019">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21</w:t>
            </w:r>
          </w:p>
        </w:tc>
        <w:tc>
          <w:tcPr>
            <w:tcW w:w="1289" w:type="pct"/>
            <w:tcBorders>
              <w:top w:val="single" w:color="000000" w:sz="4" w:space="0"/>
              <w:left w:val="single" w:color="000000" w:sz="4" w:space="0"/>
              <w:bottom w:val="single" w:color="000000" w:sz="4" w:space="0"/>
              <w:right w:val="single" w:color="000000" w:sz="4" w:space="0"/>
            </w:tcBorders>
            <w:vAlign w:val="center"/>
          </w:tcPr>
          <w:p w14:paraId="3FA3C5DE">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首次响应文件的退回</w:t>
            </w:r>
          </w:p>
        </w:tc>
        <w:tc>
          <w:tcPr>
            <w:tcW w:w="3254" w:type="pct"/>
            <w:tcBorders>
              <w:top w:val="single" w:color="000000" w:sz="4" w:space="0"/>
              <w:left w:val="single" w:color="000000" w:sz="4" w:space="0"/>
              <w:bottom w:val="single" w:color="000000" w:sz="4" w:space="0"/>
              <w:right w:val="single" w:color="000000" w:sz="4" w:space="0"/>
            </w:tcBorders>
            <w:vAlign w:val="center"/>
          </w:tcPr>
          <w:p w14:paraId="2FC837F4">
            <w:pPr>
              <w:snapToGrid w:val="0"/>
              <w:spacing w:line="360" w:lineRule="auto"/>
              <w:jc w:val="left"/>
              <w:rPr>
                <w:rFonts w:ascii="宋体" w:hAnsi="宋体"/>
                <w:color w:val="auto"/>
                <w:szCs w:val="21"/>
                <w:highlight w:val="none"/>
              </w:rPr>
            </w:pPr>
            <w:r>
              <w:rPr>
                <w:rFonts w:hint="eastAsia" w:ascii="宋体" w:hAnsi="宋体" w:cs="宋体"/>
                <w:color w:val="auto"/>
                <w:szCs w:val="21"/>
                <w:highlight w:val="none"/>
              </w:rPr>
              <w:t>详见竞争性磋商公告。</w:t>
            </w:r>
          </w:p>
        </w:tc>
      </w:tr>
      <w:tr w14:paraId="23BF90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455" w:type="pct"/>
            <w:tcBorders>
              <w:top w:val="single" w:color="000000" w:sz="4" w:space="0"/>
              <w:left w:val="single" w:color="000000" w:sz="4" w:space="0"/>
              <w:bottom w:val="single" w:color="000000" w:sz="4" w:space="0"/>
              <w:right w:val="single" w:color="000000" w:sz="4" w:space="0"/>
            </w:tcBorders>
            <w:vAlign w:val="center"/>
          </w:tcPr>
          <w:p w14:paraId="7C4C638C">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26.2</w:t>
            </w:r>
          </w:p>
        </w:tc>
        <w:tc>
          <w:tcPr>
            <w:tcW w:w="1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BBB42">
            <w:pPr>
              <w:snapToGrid w:val="0"/>
              <w:spacing w:line="360" w:lineRule="auto"/>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磋商的顺序</w:t>
            </w:r>
          </w:p>
        </w:tc>
        <w:tc>
          <w:tcPr>
            <w:tcW w:w="3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A56ECE">
            <w:pPr>
              <w:pStyle w:val="6"/>
              <w:widowControl/>
              <w:numPr>
                <w:ilvl w:val="0"/>
                <w:numId w:val="0"/>
              </w:numPr>
              <w:tabs>
                <w:tab w:val="left" w:pos="454"/>
                <w:tab w:val="left" w:pos="720"/>
                <w:tab w:val="left" w:pos="840"/>
              </w:tabs>
              <w:spacing w:after="120" w:afterLines="50" w:line="360" w:lineRule="auto"/>
              <w:ind w:left="360" w:hanging="360"/>
              <w:jc w:val="left"/>
              <w:rPr>
                <w:rFonts w:ascii="宋体" w:hAnsi="宋体" w:cs="宋体"/>
                <w:color w:val="auto"/>
                <w:szCs w:val="21"/>
                <w:highlight w:val="none"/>
              </w:rPr>
            </w:pPr>
            <w:r>
              <w:rPr>
                <w:rFonts w:hint="eastAsia" w:ascii="宋体" w:hAnsi="宋体" w:cs="宋体"/>
                <w:color w:val="auto"/>
                <w:szCs w:val="21"/>
                <w:highlight w:val="none"/>
              </w:rPr>
              <w:t>□按照提交首次响应文件的顺序，通知磋商时，若某供应商不在通知现场时，该供应商排序到最后磋商，按照签到的顺序由其下一位供应商先参与磋商。</w:t>
            </w:r>
          </w:p>
          <w:p w14:paraId="53FBEA11">
            <w:pPr>
              <w:snapToGrid w:val="0"/>
              <w:spacing w:line="360" w:lineRule="auto"/>
              <w:rPr>
                <w:rFonts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sym w:font="Wingdings 2" w:char="0052"/>
            </w:r>
            <w:r>
              <w:rPr>
                <w:rFonts w:hint="eastAsia" w:ascii="宋体" w:hAnsi="宋体" w:cs="宋体"/>
                <w:color w:val="auto"/>
                <w:szCs w:val="21"/>
                <w:highlight w:val="none"/>
              </w:rPr>
              <w:t>随机排序。本项目为电子标，所有响应单位在规定的时间内统一进行磋商报价。</w:t>
            </w:r>
          </w:p>
        </w:tc>
      </w:tr>
      <w:tr w14:paraId="0BD6B9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55" w:type="pct"/>
            <w:tcBorders>
              <w:top w:val="single" w:color="000000" w:sz="4" w:space="0"/>
              <w:left w:val="single" w:color="000000" w:sz="4" w:space="0"/>
              <w:bottom w:val="single" w:color="000000" w:sz="4" w:space="0"/>
              <w:right w:val="single" w:color="000000" w:sz="4" w:space="0"/>
            </w:tcBorders>
            <w:vAlign w:val="center"/>
          </w:tcPr>
          <w:p w14:paraId="0A08C3B8">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28</w:t>
            </w:r>
          </w:p>
        </w:tc>
        <w:tc>
          <w:tcPr>
            <w:tcW w:w="1289" w:type="pct"/>
            <w:tcBorders>
              <w:top w:val="single" w:color="000000" w:sz="4" w:space="0"/>
              <w:left w:val="single" w:color="000000" w:sz="4" w:space="0"/>
              <w:bottom w:val="single" w:color="000000" w:sz="4" w:space="0"/>
              <w:right w:val="single" w:color="000000" w:sz="4" w:space="0"/>
            </w:tcBorders>
            <w:vAlign w:val="center"/>
          </w:tcPr>
          <w:p w14:paraId="2E54773D">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履约保证金</w:t>
            </w:r>
          </w:p>
        </w:tc>
        <w:tc>
          <w:tcPr>
            <w:tcW w:w="3254" w:type="pct"/>
            <w:tcBorders>
              <w:top w:val="single" w:color="000000" w:sz="4" w:space="0"/>
              <w:left w:val="single" w:color="000000" w:sz="4" w:space="0"/>
              <w:bottom w:val="single" w:color="000000" w:sz="4" w:space="0"/>
              <w:right w:val="single" w:color="000000" w:sz="4" w:space="0"/>
            </w:tcBorders>
            <w:vAlign w:val="center"/>
          </w:tcPr>
          <w:p w14:paraId="7DDE5852">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本项目不收取履约保证金 </w:t>
            </w:r>
          </w:p>
        </w:tc>
      </w:tr>
      <w:tr w14:paraId="017448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55" w:type="pct"/>
            <w:tcBorders>
              <w:top w:val="single" w:color="000000" w:sz="4" w:space="0"/>
              <w:left w:val="single" w:color="000000" w:sz="4" w:space="0"/>
              <w:bottom w:val="single" w:color="000000" w:sz="4" w:space="0"/>
              <w:right w:val="single" w:color="000000" w:sz="4" w:space="0"/>
            </w:tcBorders>
            <w:vAlign w:val="center"/>
          </w:tcPr>
          <w:p w14:paraId="65D70BDE">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29.5</w:t>
            </w:r>
          </w:p>
        </w:tc>
        <w:tc>
          <w:tcPr>
            <w:tcW w:w="1289" w:type="pct"/>
            <w:tcBorders>
              <w:top w:val="single" w:color="000000" w:sz="4" w:space="0"/>
              <w:left w:val="single" w:color="000000" w:sz="4" w:space="0"/>
              <w:bottom w:val="single" w:color="000000" w:sz="4" w:space="0"/>
              <w:right w:val="single" w:color="000000" w:sz="4" w:space="0"/>
            </w:tcBorders>
            <w:vAlign w:val="center"/>
          </w:tcPr>
          <w:p w14:paraId="0C1ECC54">
            <w:pPr>
              <w:spacing w:line="360" w:lineRule="auto"/>
              <w:jc w:val="center"/>
              <w:rPr>
                <w:rFonts w:ascii="宋体" w:hAnsi="宋体" w:cs="宋体"/>
                <w:color w:val="auto"/>
                <w:szCs w:val="21"/>
                <w:highlight w:val="none"/>
              </w:rPr>
            </w:pPr>
            <w:r>
              <w:rPr>
                <w:rFonts w:hint="eastAsia" w:ascii="宋体" w:hAnsi="宋体"/>
                <w:color w:val="auto"/>
                <w:szCs w:val="21"/>
                <w:highlight w:val="none"/>
              </w:rPr>
              <w:t>签订合同携带的材料</w:t>
            </w:r>
          </w:p>
        </w:tc>
        <w:tc>
          <w:tcPr>
            <w:tcW w:w="3254" w:type="pct"/>
            <w:tcBorders>
              <w:top w:val="single" w:color="000000" w:sz="4" w:space="0"/>
              <w:left w:val="single" w:color="000000" w:sz="4" w:space="0"/>
              <w:bottom w:val="single" w:color="000000" w:sz="4" w:space="0"/>
              <w:right w:val="single" w:color="000000" w:sz="4" w:space="0"/>
            </w:tcBorders>
            <w:vAlign w:val="center"/>
          </w:tcPr>
          <w:p w14:paraId="3EE18C50">
            <w:pPr>
              <w:snapToGrid w:val="0"/>
              <w:spacing w:line="360" w:lineRule="auto"/>
              <w:rPr>
                <w:rFonts w:ascii="宋体" w:hAnsi="宋体" w:cs="宋体"/>
                <w:color w:val="auto"/>
                <w:szCs w:val="21"/>
                <w:highlight w:val="none"/>
              </w:rPr>
            </w:pPr>
            <w:r>
              <w:rPr>
                <w:rFonts w:hint="eastAsia" w:ascii="宋体" w:hAnsi="宋体"/>
                <w:color w:val="auto"/>
                <w:szCs w:val="21"/>
                <w:highlight w:val="none"/>
              </w:rPr>
              <w:t>使用的有效CA证书加盖单位电子公章</w:t>
            </w:r>
          </w:p>
        </w:tc>
      </w:tr>
      <w:tr w14:paraId="242375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55" w:type="pct"/>
            <w:vMerge w:val="restart"/>
            <w:tcBorders>
              <w:top w:val="single" w:color="000000" w:sz="4" w:space="0"/>
              <w:left w:val="single" w:color="000000" w:sz="4" w:space="0"/>
              <w:bottom w:val="single" w:color="000000" w:sz="4" w:space="0"/>
              <w:right w:val="single" w:color="000000" w:sz="4" w:space="0"/>
            </w:tcBorders>
            <w:vAlign w:val="center"/>
          </w:tcPr>
          <w:p w14:paraId="471571AE">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31.2</w:t>
            </w:r>
          </w:p>
        </w:tc>
        <w:tc>
          <w:tcPr>
            <w:tcW w:w="1289" w:type="pct"/>
            <w:tcBorders>
              <w:top w:val="single" w:color="000000" w:sz="4" w:space="0"/>
              <w:left w:val="single" w:color="000000" w:sz="4" w:space="0"/>
              <w:bottom w:val="single" w:color="000000" w:sz="4" w:space="0"/>
              <w:right w:val="single" w:color="000000" w:sz="4" w:space="0"/>
            </w:tcBorders>
            <w:vAlign w:val="center"/>
          </w:tcPr>
          <w:p w14:paraId="1433C2CB">
            <w:pPr>
              <w:spacing w:line="380" w:lineRule="exact"/>
              <w:jc w:val="center"/>
              <w:rPr>
                <w:rFonts w:ascii="宋体" w:hAnsi="宋体"/>
                <w:color w:val="auto"/>
                <w:szCs w:val="21"/>
                <w:highlight w:val="none"/>
              </w:rPr>
            </w:pPr>
            <w:r>
              <w:rPr>
                <w:rFonts w:hint="eastAsia" w:ascii="宋体" w:hAnsi="宋体"/>
                <w:color w:val="auto"/>
                <w:szCs w:val="21"/>
                <w:highlight w:val="none"/>
              </w:rPr>
              <w:t>接收质疑函方式</w:t>
            </w:r>
          </w:p>
        </w:tc>
        <w:tc>
          <w:tcPr>
            <w:tcW w:w="3254" w:type="pct"/>
            <w:tcBorders>
              <w:top w:val="single" w:color="000000" w:sz="4" w:space="0"/>
              <w:left w:val="single" w:color="000000" w:sz="4" w:space="0"/>
              <w:bottom w:val="single" w:color="000000" w:sz="4" w:space="0"/>
              <w:right w:val="single" w:color="000000" w:sz="4" w:space="0"/>
            </w:tcBorders>
            <w:vAlign w:val="center"/>
          </w:tcPr>
          <w:p w14:paraId="31488AFB">
            <w:pPr>
              <w:snapToGrid w:val="0"/>
              <w:spacing w:line="380" w:lineRule="exact"/>
              <w:rPr>
                <w:rFonts w:ascii="宋体" w:hAnsi="宋体"/>
                <w:color w:val="auto"/>
                <w:szCs w:val="21"/>
                <w:highlight w:val="none"/>
              </w:rPr>
            </w:pPr>
            <w:r>
              <w:rPr>
                <w:rFonts w:hint="eastAsia" w:ascii="宋体" w:hAnsi="宋体"/>
                <w:color w:val="auto"/>
                <w:szCs w:val="21"/>
                <w:highlight w:val="none"/>
              </w:rPr>
              <w:t>以书面形式</w:t>
            </w:r>
          </w:p>
        </w:tc>
      </w:tr>
      <w:tr w14:paraId="4740F3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55" w:type="pct"/>
            <w:vMerge w:val="continue"/>
            <w:tcBorders>
              <w:top w:val="single" w:color="000000" w:sz="4" w:space="0"/>
              <w:left w:val="single" w:color="000000" w:sz="4" w:space="0"/>
              <w:bottom w:val="single" w:color="000000" w:sz="4" w:space="0"/>
              <w:right w:val="single" w:color="000000" w:sz="4" w:space="0"/>
            </w:tcBorders>
            <w:vAlign w:val="center"/>
          </w:tcPr>
          <w:p w14:paraId="69F9821E">
            <w:pPr>
              <w:widowControl/>
              <w:jc w:val="left"/>
              <w:rPr>
                <w:rFonts w:ascii="宋体" w:hAnsi="宋体" w:cs="宋体"/>
                <w:color w:val="auto"/>
                <w:szCs w:val="21"/>
                <w:highlight w:val="none"/>
              </w:rPr>
            </w:pPr>
          </w:p>
        </w:tc>
        <w:tc>
          <w:tcPr>
            <w:tcW w:w="1289" w:type="pct"/>
            <w:tcBorders>
              <w:top w:val="single" w:color="000000" w:sz="4" w:space="0"/>
              <w:left w:val="single" w:color="000000" w:sz="4" w:space="0"/>
              <w:bottom w:val="single" w:color="000000" w:sz="4" w:space="0"/>
              <w:right w:val="single" w:color="000000" w:sz="4" w:space="0"/>
            </w:tcBorders>
            <w:vAlign w:val="center"/>
          </w:tcPr>
          <w:p w14:paraId="7385A4CD">
            <w:pPr>
              <w:spacing w:line="380" w:lineRule="exact"/>
              <w:jc w:val="center"/>
              <w:rPr>
                <w:rFonts w:ascii="宋体" w:hAnsi="宋体"/>
                <w:color w:val="auto"/>
                <w:szCs w:val="21"/>
                <w:highlight w:val="none"/>
              </w:rPr>
            </w:pPr>
            <w:r>
              <w:rPr>
                <w:rFonts w:hint="eastAsia" w:ascii="宋体" w:hAnsi="宋体"/>
                <w:color w:val="auto"/>
                <w:szCs w:val="21"/>
                <w:highlight w:val="none"/>
              </w:rPr>
              <w:t>质疑联系部门及联系方式</w:t>
            </w:r>
          </w:p>
        </w:tc>
        <w:tc>
          <w:tcPr>
            <w:tcW w:w="3254" w:type="pct"/>
            <w:tcBorders>
              <w:top w:val="single" w:color="000000" w:sz="4" w:space="0"/>
              <w:left w:val="single" w:color="000000" w:sz="4" w:space="0"/>
              <w:bottom w:val="single" w:color="000000" w:sz="4" w:space="0"/>
              <w:right w:val="single" w:color="000000" w:sz="4" w:space="0"/>
            </w:tcBorders>
            <w:vAlign w:val="center"/>
          </w:tcPr>
          <w:p w14:paraId="10A3860E">
            <w:pPr>
              <w:widowControl/>
              <w:shd w:val="clear" w:color="auto" w:fill="FFFFFF"/>
              <w:snapToGrid/>
              <w:spacing w:line="400" w:lineRule="exact"/>
              <w:jc w:val="left"/>
              <w:rPr>
                <w:rFonts w:ascii="宋体" w:hAnsi="宋体"/>
                <w:color w:val="auto"/>
                <w:szCs w:val="21"/>
                <w:highlight w:val="none"/>
                <w:u w:val="none"/>
              </w:rPr>
            </w:pPr>
            <w:r>
              <w:rPr>
                <w:rFonts w:hint="eastAsia" w:ascii="宋体" w:hAnsi="宋体"/>
                <w:color w:val="auto"/>
                <w:szCs w:val="21"/>
                <w:highlight w:val="none"/>
                <w:u w:val="none"/>
              </w:rPr>
              <w:t>（1）广西机电设备招标有限公司；</w:t>
            </w:r>
          </w:p>
          <w:p w14:paraId="0ECDD14D">
            <w:pPr>
              <w:widowControl/>
              <w:shd w:val="clear" w:color="auto" w:fill="FFFFFF"/>
              <w:snapToGrid/>
              <w:spacing w:line="400" w:lineRule="exact"/>
              <w:jc w:val="left"/>
              <w:rPr>
                <w:rFonts w:ascii="宋体" w:hAnsi="宋体"/>
                <w:color w:val="auto"/>
                <w:szCs w:val="21"/>
                <w:highlight w:val="none"/>
                <w:u w:val="none"/>
              </w:rPr>
            </w:pPr>
            <w:r>
              <w:rPr>
                <w:rFonts w:hint="eastAsia" w:ascii="宋体" w:hAnsi="宋体"/>
                <w:color w:val="auto"/>
                <w:szCs w:val="21"/>
                <w:highlight w:val="none"/>
                <w:u w:val="none"/>
              </w:rPr>
              <w:t>联系电话：0771-2808981，</w:t>
            </w:r>
          </w:p>
          <w:p w14:paraId="37E9252D">
            <w:pPr>
              <w:widowControl/>
              <w:shd w:val="clear" w:color="auto" w:fill="FFFFFF"/>
              <w:snapToGrid/>
              <w:spacing w:line="400" w:lineRule="exact"/>
              <w:jc w:val="left"/>
              <w:rPr>
                <w:rFonts w:ascii="宋体" w:hAnsi="宋体"/>
                <w:color w:val="auto"/>
                <w:szCs w:val="21"/>
                <w:highlight w:val="none"/>
                <w:u w:val="none"/>
              </w:rPr>
            </w:pPr>
            <w:r>
              <w:rPr>
                <w:rFonts w:hint="eastAsia" w:ascii="宋体" w:hAnsi="宋体"/>
                <w:color w:val="auto"/>
                <w:szCs w:val="21"/>
                <w:highlight w:val="none"/>
                <w:u w:val="none"/>
              </w:rPr>
              <w:t>通讯地址</w:t>
            </w:r>
            <w:r>
              <w:rPr>
                <w:rFonts w:hint="eastAsia" w:ascii="宋体" w:hAnsi="宋体" w:cs="Helvetica"/>
                <w:color w:val="auto"/>
                <w:szCs w:val="21"/>
                <w:highlight w:val="none"/>
                <w:u w:val="none"/>
              </w:rPr>
              <w:t>：</w:t>
            </w:r>
            <w:r>
              <w:rPr>
                <w:rFonts w:hint="eastAsia" w:ascii="宋体" w:hAnsi="宋体"/>
                <w:color w:val="auto"/>
                <w:szCs w:val="21"/>
                <w:highlight w:val="none"/>
                <w:u w:val="none"/>
              </w:rPr>
              <w:t>南宁市青秀区金湖路63号金源CBD现代城7层</w:t>
            </w:r>
          </w:p>
          <w:p w14:paraId="49E817BC">
            <w:pPr>
              <w:snapToGrid w:val="0"/>
              <w:spacing w:line="380" w:lineRule="exact"/>
              <w:rPr>
                <w:rFonts w:hint="eastAsia" w:ascii="宋体" w:hAnsi="宋体"/>
                <w:szCs w:val="21"/>
              </w:rPr>
            </w:pPr>
            <w:r>
              <w:rPr>
                <w:rFonts w:hint="eastAsia" w:ascii="宋体" w:hAnsi="宋体"/>
                <w:szCs w:val="21"/>
              </w:rPr>
              <w:t>（2）</w:t>
            </w:r>
            <w:r>
              <w:rPr>
                <w:rFonts w:hint="eastAsia" w:ascii="宋体" w:cs="Arial"/>
                <w:szCs w:val="21"/>
              </w:rPr>
              <w:t>中国共产主义青年团南宁市委员会</w:t>
            </w:r>
            <w:r>
              <w:rPr>
                <w:rFonts w:hint="eastAsia" w:ascii="宋体" w:hAnsi="宋体"/>
                <w:szCs w:val="21"/>
              </w:rPr>
              <w:t>；</w:t>
            </w:r>
          </w:p>
          <w:p w14:paraId="34115DA5">
            <w:pPr>
              <w:snapToGrid w:val="0"/>
              <w:spacing w:line="380" w:lineRule="exact"/>
              <w:rPr>
                <w:rFonts w:hint="eastAsia" w:ascii="宋体" w:hAnsi="宋体"/>
              </w:rPr>
            </w:pPr>
            <w:r>
              <w:rPr>
                <w:rFonts w:hint="eastAsia" w:ascii="宋体" w:hAnsi="宋体"/>
                <w:szCs w:val="21"/>
              </w:rPr>
              <w:t>联系电话：</w:t>
            </w:r>
            <w:r>
              <w:rPr>
                <w:rFonts w:ascii="宋体" w:hAnsi="宋体"/>
                <w:szCs w:val="21"/>
              </w:rPr>
              <w:t>0771-2810125</w:t>
            </w:r>
          </w:p>
          <w:p w14:paraId="3BDA5A60">
            <w:pPr>
              <w:widowControl/>
              <w:shd w:val="clear" w:color="auto" w:fill="FFFFFF"/>
              <w:snapToGrid/>
              <w:spacing w:line="400" w:lineRule="exact"/>
              <w:jc w:val="left"/>
              <w:rPr>
                <w:rFonts w:ascii="宋体" w:hAnsi="宋体"/>
                <w:color w:val="auto"/>
                <w:szCs w:val="21"/>
                <w:highlight w:val="none"/>
              </w:rPr>
            </w:pPr>
            <w:r>
              <w:rPr>
                <w:rFonts w:hint="eastAsia" w:ascii="宋体" w:hAnsi="宋体"/>
                <w:szCs w:val="21"/>
              </w:rPr>
              <w:t>通讯地址</w:t>
            </w:r>
            <w:r>
              <w:rPr>
                <w:rFonts w:hint="eastAsia" w:ascii="宋体" w:hAnsi="宋体" w:cs="Helvetica"/>
                <w:szCs w:val="21"/>
              </w:rPr>
              <w:t>：</w:t>
            </w:r>
            <w:r>
              <w:rPr>
                <w:rFonts w:hint="eastAsia" w:ascii="宋体" w:hAnsi="宋体"/>
                <w:szCs w:val="21"/>
              </w:rPr>
              <w:t>南宁市平乐大道20号</w:t>
            </w:r>
          </w:p>
        </w:tc>
      </w:tr>
      <w:tr w14:paraId="60DA68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6" w:hRule="atLeast"/>
          <w:jc w:val="center"/>
        </w:trPr>
        <w:tc>
          <w:tcPr>
            <w:tcW w:w="455" w:type="pct"/>
            <w:vMerge w:val="continue"/>
            <w:tcBorders>
              <w:top w:val="single" w:color="000000" w:sz="4" w:space="0"/>
              <w:left w:val="single" w:color="000000" w:sz="4" w:space="0"/>
              <w:bottom w:val="single" w:color="000000" w:sz="4" w:space="0"/>
              <w:right w:val="single" w:color="000000" w:sz="4" w:space="0"/>
            </w:tcBorders>
            <w:vAlign w:val="center"/>
          </w:tcPr>
          <w:p w14:paraId="53DAD878">
            <w:pPr>
              <w:widowControl/>
              <w:jc w:val="left"/>
              <w:rPr>
                <w:rFonts w:ascii="宋体" w:hAnsi="宋体" w:cs="宋体"/>
                <w:color w:val="auto"/>
                <w:szCs w:val="21"/>
                <w:highlight w:val="none"/>
              </w:rPr>
            </w:pPr>
          </w:p>
        </w:tc>
        <w:tc>
          <w:tcPr>
            <w:tcW w:w="1289" w:type="pct"/>
            <w:tcBorders>
              <w:top w:val="single" w:color="000000" w:sz="4" w:space="0"/>
              <w:left w:val="single" w:color="000000" w:sz="4" w:space="0"/>
              <w:bottom w:val="single" w:color="000000" w:sz="4" w:space="0"/>
              <w:right w:val="single" w:color="000000" w:sz="4" w:space="0"/>
            </w:tcBorders>
            <w:vAlign w:val="center"/>
          </w:tcPr>
          <w:p w14:paraId="5FF2D541">
            <w:pPr>
              <w:spacing w:line="380" w:lineRule="exact"/>
              <w:jc w:val="center"/>
              <w:rPr>
                <w:rFonts w:ascii="宋体" w:hAnsi="宋体"/>
                <w:color w:val="auto"/>
                <w:szCs w:val="21"/>
                <w:highlight w:val="none"/>
              </w:rPr>
            </w:pPr>
            <w:r>
              <w:rPr>
                <w:rFonts w:hint="eastAsia" w:hAnsi="宋体"/>
                <w:color w:val="auto"/>
                <w:highlight w:val="none"/>
              </w:rPr>
              <w:t>现场提交质疑办理业务时间</w:t>
            </w:r>
          </w:p>
        </w:tc>
        <w:tc>
          <w:tcPr>
            <w:tcW w:w="3254" w:type="pct"/>
            <w:tcBorders>
              <w:top w:val="single" w:color="000000" w:sz="4" w:space="0"/>
              <w:left w:val="single" w:color="000000" w:sz="4" w:space="0"/>
              <w:bottom w:val="single" w:color="000000" w:sz="4" w:space="0"/>
              <w:right w:val="single" w:color="000000" w:sz="4" w:space="0"/>
            </w:tcBorders>
            <w:vAlign w:val="center"/>
          </w:tcPr>
          <w:p w14:paraId="340F99C7">
            <w:pPr>
              <w:snapToGrid w:val="0"/>
              <w:spacing w:line="380" w:lineRule="exact"/>
              <w:rPr>
                <w:rFonts w:ascii="宋体" w:hAnsi="宋体"/>
                <w:color w:val="auto"/>
                <w:szCs w:val="21"/>
                <w:highlight w:val="none"/>
              </w:rPr>
            </w:pPr>
            <w:r>
              <w:rPr>
                <w:rFonts w:hint="eastAsia" w:ascii="宋体" w:hAnsi="宋体" w:cs="宋体"/>
                <w:color w:val="auto"/>
                <w:highlight w:val="none"/>
              </w:rPr>
              <w:t>质疑期内每个工作日</w:t>
            </w:r>
            <w:r>
              <w:rPr>
                <w:rFonts w:hint="eastAsia" w:ascii="宋体" w:hAnsi="宋体" w:cs="宋体"/>
                <w:color w:val="auto"/>
                <w:highlight w:val="none"/>
                <w:u w:val="single"/>
              </w:rPr>
              <w:t>9时00分到11时30分，15时00分到17 时30分</w:t>
            </w:r>
          </w:p>
        </w:tc>
      </w:tr>
      <w:tr w14:paraId="32B322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55" w:type="pct"/>
            <w:tcBorders>
              <w:top w:val="single" w:color="000000" w:sz="4" w:space="0"/>
              <w:left w:val="single" w:color="000000" w:sz="4" w:space="0"/>
              <w:bottom w:val="single" w:color="000000" w:sz="4" w:space="0"/>
              <w:right w:val="single" w:color="000000" w:sz="4" w:space="0"/>
            </w:tcBorders>
            <w:vAlign w:val="center"/>
          </w:tcPr>
          <w:p w14:paraId="7E6081E9">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31.6</w:t>
            </w:r>
          </w:p>
        </w:tc>
        <w:tc>
          <w:tcPr>
            <w:tcW w:w="1289" w:type="pct"/>
            <w:tcBorders>
              <w:top w:val="single" w:color="000000" w:sz="4" w:space="0"/>
              <w:left w:val="single" w:color="000000" w:sz="4" w:space="0"/>
              <w:bottom w:val="single" w:color="000000" w:sz="4" w:space="0"/>
              <w:right w:val="single" w:color="000000" w:sz="4" w:space="0"/>
            </w:tcBorders>
            <w:vAlign w:val="center"/>
          </w:tcPr>
          <w:p w14:paraId="1B81D329">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受理投诉方式</w:t>
            </w:r>
          </w:p>
        </w:tc>
        <w:tc>
          <w:tcPr>
            <w:tcW w:w="3254" w:type="pct"/>
            <w:tcBorders>
              <w:top w:val="single" w:color="000000" w:sz="4" w:space="0"/>
              <w:left w:val="single" w:color="000000" w:sz="4" w:space="0"/>
              <w:bottom w:val="single" w:color="000000" w:sz="4" w:space="0"/>
              <w:right w:val="single" w:color="000000" w:sz="4" w:space="0"/>
            </w:tcBorders>
            <w:vAlign w:val="center"/>
          </w:tcPr>
          <w:p w14:paraId="0F67F148">
            <w:pPr>
              <w:snapToGrid w:val="0"/>
              <w:spacing w:line="380" w:lineRule="exact"/>
              <w:rPr>
                <w:rFonts w:ascii="宋体" w:hAnsi="宋体" w:cs="宋体"/>
                <w:color w:val="auto"/>
                <w:highlight w:val="none"/>
              </w:rPr>
            </w:pPr>
            <w:r>
              <w:rPr>
                <w:rFonts w:hint="eastAsia" w:ascii="宋体" w:hAnsi="宋体" w:cs="宋体"/>
                <w:color w:val="auto"/>
                <w:highlight w:val="none"/>
              </w:rPr>
              <w:t>1、受理方式：纸质方式受理，投诉书正、副本（经过质疑的事项才可投诉）。</w:t>
            </w:r>
          </w:p>
          <w:p w14:paraId="33037B9D">
            <w:pPr>
              <w:snapToGrid w:val="0"/>
              <w:spacing w:line="380" w:lineRule="exact"/>
              <w:rPr>
                <w:rFonts w:ascii="宋体" w:hAnsi="宋体" w:cs="宋体"/>
                <w:color w:val="auto"/>
                <w:highlight w:val="none"/>
              </w:rPr>
            </w:pPr>
            <w:r>
              <w:rPr>
                <w:rFonts w:hint="eastAsia" w:ascii="宋体" w:hAnsi="宋体" w:cs="宋体"/>
                <w:color w:val="auto"/>
                <w:highlight w:val="none"/>
              </w:rPr>
              <w:t>2、邮寄地址：</w:t>
            </w:r>
            <w:bookmarkStart w:id="35" w:name="PO_3000001868_PM038"/>
          </w:p>
          <w:bookmarkEnd w:id="35"/>
          <w:p w14:paraId="63E3838D">
            <w:pPr>
              <w:snapToGrid w:val="0"/>
              <w:spacing w:line="380" w:lineRule="exact"/>
              <w:rPr>
                <w:rFonts w:ascii="宋体" w:hAnsi="宋体" w:cs="宋体"/>
                <w:color w:val="auto"/>
                <w:highlight w:val="none"/>
              </w:rPr>
            </w:pPr>
            <w:r>
              <w:rPr>
                <w:rFonts w:hint="eastAsia" w:ascii="宋体" w:hAnsi="宋体" w:cs="宋体"/>
                <w:color w:val="auto"/>
                <w:highlight w:val="none"/>
              </w:rPr>
              <w:t>名称：南宁市财政局政府采购监督管理科</w:t>
            </w:r>
          </w:p>
          <w:p w14:paraId="4503B044">
            <w:pPr>
              <w:snapToGrid w:val="0"/>
              <w:spacing w:line="380" w:lineRule="exact"/>
              <w:rPr>
                <w:rFonts w:ascii="宋体" w:hAnsi="宋体" w:cs="宋体"/>
                <w:color w:val="auto"/>
                <w:highlight w:val="none"/>
              </w:rPr>
            </w:pPr>
            <w:r>
              <w:rPr>
                <w:rFonts w:hint="eastAsia" w:ascii="宋体" w:hAnsi="宋体" w:cs="宋体"/>
                <w:color w:val="auto"/>
                <w:highlight w:val="none"/>
              </w:rPr>
              <w:t>地址：</w:t>
            </w:r>
            <w:bookmarkStart w:id="36" w:name="PO_3000001866_PM039"/>
            <w:r>
              <w:rPr>
                <w:rFonts w:hint="eastAsia" w:hAnsi="宋体"/>
                <w:color w:val="auto"/>
                <w:highlight w:val="none"/>
              </w:rPr>
              <w:t>南宁市青秀区东葛路129号</w:t>
            </w:r>
            <w:bookmarkEnd w:id="36"/>
          </w:p>
          <w:p w14:paraId="6D0364CE">
            <w:pPr>
              <w:snapToGrid w:val="0"/>
              <w:spacing w:line="380" w:lineRule="exact"/>
              <w:rPr>
                <w:rFonts w:hAnsi="宋体" w:cs="宋体"/>
                <w:color w:val="auto"/>
                <w:highlight w:val="none"/>
              </w:rPr>
            </w:pPr>
            <w:r>
              <w:rPr>
                <w:rFonts w:hint="eastAsia" w:ascii="宋体" w:hAnsi="宋体" w:cs="宋体"/>
                <w:color w:val="auto"/>
                <w:highlight w:val="none"/>
              </w:rPr>
              <w:t>联系电话：</w:t>
            </w:r>
            <w:bookmarkStart w:id="37" w:name="PO_3000001866_PM038_1"/>
            <w:r>
              <w:rPr>
                <w:rFonts w:hint="eastAsia" w:hAnsi="宋体"/>
                <w:color w:val="auto"/>
                <w:highlight w:val="none"/>
              </w:rPr>
              <w:t>0771-2189091</w:t>
            </w:r>
            <w:bookmarkEnd w:id="37"/>
          </w:p>
        </w:tc>
      </w:tr>
      <w:tr w14:paraId="2F697E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55" w:type="pct"/>
            <w:tcBorders>
              <w:top w:val="single" w:color="000000" w:sz="4" w:space="0"/>
              <w:left w:val="single" w:color="000000" w:sz="4" w:space="0"/>
              <w:bottom w:val="single" w:color="000000" w:sz="4" w:space="0"/>
              <w:right w:val="single" w:color="000000" w:sz="4" w:space="0"/>
            </w:tcBorders>
            <w:vAlign w:val="center"/>
          </w:tcPr>
          <w:p w14:paraId="7AC507FE">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33</w:t>
            </w:r>
          </w:p>
        </w:tc>
        <w:tc>
          <w:tcPr>
            <w:tcW w:w="1289" w:type="pct"/>
            <w:tcBorders>
              <w:top w:val="single" w:color="000000" w:sz="4" w:space="0"/>
              <w:left w:val="single" w:color="000000" w:sz="4" w:space="0"/>
              <w:bottom w:val="single" w:color="000000" w:sz="4" w:space="0"/>
              <w:right w:val="single" w:color="000000" w:sz="4" w:space="0"/>
            </w:tcBorders>
            <w:vAlign w:val="center"/>
          </w:tcPr>
          <w:p w14:paraId="268E7931">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采购代理费</w:t>
            </w:r>
          </w:p>
        </w:tc>
        <w:tc>
          <w:tcPr>
            <w:tcW w:w="3254" w:type="pct"/>
            <w:tcBorders>
              <w:top w:val="single" w:color="000000" w:sz="4" w:space="0"/>
              <w:left w:val="single" w:color="000000" w:sz="4" w:space="0"/>
              <w:bottom w:val="single" w:color="000000" w:sz="4" w:space="0"/>
              <w:right w:val="single" w:color="000000" w:sz="4" w:space="0"/>
            </w:tcBorders>
            <w:vAlign w:val="center"/>
          </w:tcPr>
          <w:p w14:paraId="319F9A06">
            <w:pPr>
              <w:pStyle w:val="12"/>
              <w:snapToGrid w:val="0"/>
              <w:spacing w:line="360" w:lineRule="auto"/>
              <w:ind w:left="0" w:leftChars="0"/>
              <w:rPr>
                <w:rFonts w:hAnsi="宋体" w:cs="宋体"/>
                <w:color w:val="auto"/>
                <w:highlight w:val="none"/>
              </w:rPr>
            </w:pPr>
            <w:r>
              <w:rPr>
                <w:rFonts w:hint="eastAsia" w:hAnsi="宋体" w:cs="宋体"/>
                <w:color w:val="auto"/>
                <w:highlight w:val="none"/>
              </w:rPr>
              <w:t>1. 是否收取采购代理费：</w:t>
            </w:r>
          </w:p>
          <w:p w14:paraId="60484FEE">
            <w:pPr>
              <w:pStyle w:val="12"/>
              <w:snapToGrid w:val="0"/>
              <w:spacing w:line="360" w:lineRule="auto"/>
              <w:ind w:left="0" w:leftChars="0"/>
              <w:rPr>
                <w:rFonts w:hAnsi="宋体" w:cs="宋体"/>
                <w:color w:val="auto"/>
                <w:highlight w:val="none"/>
              </w:rPr>
            </w:pPr>
            <w:r>
              <w:rPr>
                <w:rFonts w:hint="eastAsia" w:hAnsi="宋体" w:cs="宋体"/>
                <w:color w:val="auto"/>
                <w:highlight w:val="none"/>
              </w:rPr>
              <w:sym w:font="Wingdings 2" w:char="0052"/>
            </w:r>
            <w:r>
              <w:rPr>
                <w:rFonts w:hint="eastAsia" w:hAnsi="宋体" w:cs="宋体"/>
                <w:color w:val="auto"/>
                <w:highlight w:val="none"/>
              </w:rPr>
              <w:t>是    □ 否</w:t>
            </w:r>
          </w:p>
          <w:p w14:paraId="2A554F62">
            <w:pPr>
              <w:pStyle w:val="12"/>
              <w:snapToGrid w:val="0"/>
              <w:spacing w:line="360" w:lineRule="auto"/>
              <w:ind w:left="0" w:leftChars="0"/>
              <w:rPr>
                <w:rFonts w:hAnsi="宋体" w:cs="宋体"/>
                <w:color w:val="auto"/>
                <w:highlight w:val="none"/>
              </w:rPr>
            </w:pPr>
            <w:r>
              <w:rPr>
                <w:rFonts w:hint="eastAsia" w:hAnsi="宋体" w:cs="宋体"/>
                <w:color w:val="auto"/>
                <w:highlight w:val="none"/>
              </w:rPr>
              <w:t>2.采购代理费支付方式：</w:t>
            </w:r>
          </w:p>
          <w:p w14:paraId="26218B95">
            <w:pPr>
              <w:pStyle w:val="12"/>
              <w:snapToGrid w:val="0"/>
              <w:spacing w:line="360" w:lineRule="auto"/>
              <w:ind w:left="0" w:leftChars="0"/>
              <w:rPr>
                <w:rFonts w:hAnsi="宋体" w:cs="宋体"/>
                <w:color w:val="auto"/>
                <w:highlight w:val="none"/>
              </w:rPr>
            </w:pPr>
            <w:r>
              <w:rPr>
                <w:rFonts w:hint="eastAsia" w:hAnsi="宋体" w:cs="宋体"/>
                <w:color w:val="auto"/>
                <w:highlight w:val="none"/>
              </w:rPr>
              <w:sym w:font="Wingdings 2" w:char="0052"/>
            </w:r>
            <w:r>
              <w:rPr>
                <w:rFonts w:hint="eastAsia" w:hAnsi="宋体" w:cs="宋体"/>
                <w:color w:val="auto"/>
                <w:highlight w:val="none"/>
              </w:rPr>
              <w:t>本项目代理服务费由</w:t>
            </w:r>
            <w:r>
              <w:rPr>
                <w:rFonts w:hint="eastAsia" w:hAnsi="宋体" w:cs="宋体"/>
                <w:color w:val="auto"/>
                <w:highlight w:val="none"/>
                <w:u w:val="single"/>
              </w:rPr>
              <w:t>成交供应商</w:t>
            </w:r>
            <w:r>
              <w:rPr>
                <w:rFonts w:hint="eastAsia" w:hAnsi="宋体" w:cs="宋体"/>
                <w:color w:val="auto"/>
                <w:highlight w:val="none"/>
              </w:rPr>
              <w:t>领取成交通知书前，一次性向采购代理机构支付。</w:t>
            </w:r>
          </w:p>
          <w:p w14:paraId="1E18538C">
            <w:pPr>
              <w:pStyle w:val="12"/>
              <w:snapToGrid w:val="0"/>
              <w:spacing w:line="360" w:lineRule="auto"/>
              <w:ind w:left="0" w:leftChars="0"/>
              <w:rPr>
                <w:rFonts w:hAnsi="宋体" w:cs="宋体"/>
                <w:color w:val="auto"/>
                <w:highlight w:val="none"/>
              </w:rPr>
            </w:pPr>
            <w:r>
              <w:rPr>
                <w:rFonts w:hint="eastAsia" w:hAnsi="宋体" w:cs="宋体"/>
                <w:color w:val="auto"/>
                <w:highlight w:val="none"/>
              </w:rPr>
              <w:t>□采购人支付。</w:t>
            </w:r>
          </w:p>
          <w:p w14:paraId="4333B923">
            <w:pPr>
              <w:pStyle w:val="12"/>
              <w:snapToGrid w:val="0"/>
              <w:spacing w:line="360" w:lineRule="auto"/>
              <w:ind w:left="0" w:leftChars="0"/>
              <w:rPr>
                <w:rFonts w:hAnsi="宋体" w:cs="宋体"/>
                <w:color w:val="auto"/>
                <w:highlight w:val="none"/>
              </w:rPr>
            </w:pPr>
            <w:r>
              <w:rPr>
                <w:rFonts w:hint="eastAsia" w:hAnsi="宋体" w:cs="宋体"/>
                <w:color w:val="auto"/>
                <w:highlight w:val="none"/>
              </w:rPr>
              <w:t>3.采购代理费收取标准：</w:t>
            </w:r>
          </w:p>
          <w:p w14:paraId="2B29DA21">
            <w:pPr>
              <w:spacing w:line="360" w:lineRule="auto"/>
              <w:jc w:val="left"/>
              <w:rPr>
                <w:rFonts w:hint="eastAsia" w:hAnsi="宋体" w:cs="宋体"/>
                <w:color w:val="auto"/>
                <w:highlight w:val="none"/>
              </w:rPr>
            </w:pPr>
            <w:r>
              <w:rPr>
                <w:rFonts w:hint="eastAsia" w:ascii="Arial" w:hAnsi="Arial" w:cs="Arial"/>
                <w:color w:val="auto"/>
                <w:szCs w:val="21"/>
                <w:highlight w:val="none"/>
                <w:lang w:eastAsia="zh-CN"/>
              </w:rPr>
              <w:t>按照原国家计委关于《招标代理服务收费管理暂行办法》的通知（计价格〔2002〕1980号）、《国家发展改革委办公厅关于招标代理服务收费有关问题的通知》（发改办价格［2003］857号）以及《国家发展改革委关于降低部分建设项目收费标准规范收费行为等有关问题的通知》（发改价格〔2011〕534号）的规定，按差额定率累进法计算。</w:t>
            </w:r>
          </w:p>
          <w:p w14:paraId="3DC6EE1B">
            <w:pPr>
              <w:pStyle w:val="12"/>
              <w:snapToGrid w:val="0"/>
              <w:spacing w:line="360" w:lineRule="auto"/>
              <w:ind w:left="0" w:leftChars="0"/>
              <w:rPr>
                <w:rFonts w:hAnsi="宋体" w:cs="宋体"/>
                <w:color w:val="auto"/>
                <w:highlight w:val="none"/>
              </w:rPr>
            </w:pPr>
            <w:r>
              <w:rPr>
                <w:rFonts w:hint="eastAsia" w:hAnsi="宋体" w:cs="宋体"/>
                <w:color w:val="auto"/>
                <w:highlight w:val="none"/>
              </w:rPr>
              <w:t>4. 采购代理费收取银行账户</w:t>
            </w:r>
          </w:p>
          <w:p w14:paraId="11E37646">
            <w:pPr>
              <w:pStyle w:val="12"/>
              <w:snapToGrid w:val="0"/>
              <w:spacing w:line="360" w:lineRule="auto"/>
              <w:ind w:left="0" w:leftChars="0"/>
              <w:rPr>
                <w:rFonts w:hAnsi="宋体" w:cs="宋体"/>
                <w:color w:val="auto"/>
                <w:highlight w:val="none"/>
              </w:rPr>
            </w:pPr>
            <w:r>
              <w:rPr>
                <w:rFonts w:hint="eastAsia" w:hAnsi="宋体" w:cs="宋体"/>
                <w:color w:val="auto"/>
                <w:highlight w:val="none"/>
              </w:rPr>
              <w:t>开户名称：广西机电设备招标有限公司</w:t>
            </w:r>
          </w:p>
          <w:p w14:paraId="36CADDC6">
            <w:pPr>
              <w:pStyle w:val="12"/>
              <w:snapToGrid w:val="0"/>
              <w:spacing w:line="360" w:lineRule="auto"/>
              <w:ind w:left="0" w:leftChars="0"/>
              <w:rPr>
                <w:rFonts w:hAnsi="宋体" w:cs="宋体"/>
                <w:color w:val="auto"/>
                <w:highlight w:val="none"/>
              </w:rPr>
            </w:pPr>
            <w:r>
              <w:rPr>
                <w:rFonts w:hint="eastAsia" w:hAnsi="宋体" w:cs="宋体"/>
                <w:color w:val="auto"/>
                <w:highlight w:val="none"/>
              </w:rPr>
              <w:t>开户银行：广西北部湾银行南宁市金湖支行</w:t>
            </w:r>
          </w:p>
          <w:p w14:paraId="52B398F6">
            <w:pPr>
              <w:pStyle w:val="12"/>
              <w:snapToGrid w:val="0"/>
              <w:spacing w:line="360" w:lineRule="auto"/>
              <w:ind w:left="0" w:leftChars="0"/>
              <w:rPr>
                <w:rFonts w:hAnsi="宋体" w:cs="宋体"/>
                <w:color w:val="auto"/>
                <w:highlight w:val="none"/>
              </w:rPr>
            </w:pPr>
            <w:r>
              <w:rPr>
                <w:rFonts w:hint="eastAsia" w:hAnsi="宋体" w:cs="宋体"/>
                <w:color w:val="auto"/>
                <w:highlight w:val="none"/>
              </w:rPr>
              <w:t>银行账号：1705012090027723 (联行号 313611017053)</w:t>
            </w:r>
          </w:p>
        </w:tc>
      </w:tr>
      <w:tr w14:paraId="3F685F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55" w:type="pct"/>
            <w:tcBorders>
              <w:top w:val="single" w:color="000000" w:sz="4" w:space="0"/>
              <w:left w:val="single" w:color="000000" w:sz="4" w:space="0"/>
              <w:bottom w:val="single" w:color="000000" w:sz="4" w:space="0"/>
              <w:right w:val="single" w:color="000000" w:sz="4" w:space="0"/>
            </w:tcBorders>
            <w:vAlign w:val="center"/>
          </w:tcPr>
          <w:p w14:paraId="26F0B08C">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34.1</w:t>
            </w:r>
          </w:p>
        </w:tc>
        <w:tc>
          <w:tcPr>
            <w:tcW w:w="1289" w:type="pct"/>
            <w:tcBorders>
              <w:top w:val="single" w:color="000000" w:sz="4" w:space="0"/>
              <w:left w:val="single" w:color="000000" w:sz="4" w:space="0"/>
              <w:bottom w:val="single" w:color="000000" w:sz="4" w:space="0"/>
              <w:right w:val="single" w:color="000000" w:sz="4" w:space="0"/>
            </w:tcBorders>
            <w:vAlign w:val="center"/>
          </w:tcPr>
          <w:p w14:paraId="779AB28F">
            <w:pPr>
              <w:spacing w:line="360" w:lineRule="auto"/>
              <w:jc w:val="center"/>
              <w:rPr>
                <w:rFonts w:ascii="宋体" w:hAnsi="宋体" w:cs="宋体"/>
                <w:color w:val="auto"/>
                <w:szCs w:val="21"/>
                <w:highlight w:val="none"/>
              </w:rPr>
            </w:pPr>
            <w:r>
              <w:rPr>
                <w:rFonts w:hint="eastAsia" w:hAnsi="宋体"/>
                <w:color w:val="auto"/>
                <w:highlight w:val="none"/>
              </w:rPr>
              <w:t>解释</w:t>
            </w:r>
          </w:p>
        </w:tc>
        <w:tc>
          <w:tcPr>
            <w:tcW w:w="3254" w:type="pct"/>
            <w:tcBorders>
              <w:top w:val="single" w:color="000000" w:sz="4" w:space="0"/>
              <w:left w:val="single" w:color="000000" w:sz="4" w:space="0"/>
              <w:bottom w:val="single" w:color="000000" w:sz="4" w:space="0"/>
              <w:right w:val="single" w:color="000000" w:sz="4" w:space="0"/>
            </w:tcBorders>
            <w:vAlign w:val="center"/>
          </w:tcPr>
          <w:p w14:paraId="2006EBAA">
            <w:pPr>
              <w:pStyle w:val="12"/>
              <w:snapToGrid w:val="0"/>
              <w:spacing w:line="360" w:lineRule="auto"/>
              <w:ind w:left="0" w:leftChars="0"/>
              <w:rPr>
                <w:rFonts w:hAnsi="宋体" w:cs="宋体"/>
                <w:b/>
                <w:color w:val="auto"/>
                <w:highlight w:val="none"/>
              </w:rPr>
            </w:pPr>
            <w:r>
              <w:rPr>
                <w:rFonts w:hint="eastAsia" w:hAnsi="宋体" w:cs="宋体"/>
                <w:b/>
                <w:color w:val="auto"/>
                <w:highlight w:val="none"/>
              </w:rPr>
              <w:t>解释权：</w:t>
            </w:r>
            <w:r>
              <w:rPr>
                <w:rFonts w:hint="eastAsia" w:hAnsi="宋体" w:cs="宋体"/>
                <w:color w:val="auto"/>
                <w:highlight w:val="none"/>
              </w:rPr>
              <w:t>构成本磋商文件的各个组成文件应互为解释，互为说明；除磋商文件中有特别规定外，仅适用于竞标阶段的规定，按更正公告（澄清公告）、竞争性磋商公告、供应商须知、采购需求、评审程序、评审方法和评审标准、响应文件格式、合同文本的先后顺序解释；同一组成文件中就同一事项的规定或者约定不一致的，以编排顺序在后者为准；同一组成文件不同版本之间有不一致的，以形成时间在后者为准；更正公告（澄清公告）与同步更新的磋商文件不一致时以更正公告（澄清公告）为准。按本款前述规定仍不能形成结论的，</w:t>
            </w:r>
            <w:r>
              <w:rPr>
                <w:rFonts w:hint="eastAsia" w:hAnsi="宋体" w:cs="宋体"/>
                <w:b/>
                <w:color w:val="auto"/>
                <w:highlight w:val="none"/>
              </w:rPr>
              <w:t>由采购人或者采购代理机构负责解释。</w:t>
            </w:r>
          </w:p>
          <w:p w14:paraId="15B8DEBE">
            <w:pPr>
              <w:pStyle w:val="12"/>
              <w:snapToGrid w:val="0"/>
              <w:spacing w:line="360" w:lineRule="auto"/>
              <w:ind w:left="0" w:leftChars="0"/>
              <w:rPr>
                <w:rFonts w:hAnsi="宋体" w:cs="宋体"/>
                <w:b/>
                <w:color w:val="auto"/>
                <w:highlight w:val="none"/>
              </w:rPr>
            </w:pPr>
            <w:r>
              <w:rPr>
                <w:rFonts w:hint="eastAsia" w:hAnsi="宋体" w:cs="宋体"/>
                <w:b/>
                <w:color w:val="auto"/>
                <w:highlight w:val="none"/>
              </w:rPr>
              <w:t>法律责任：</w:t>
            </w:r>
          </w:p>
          <w:p w14:paraId="2DE874F4">
            <w:pPr>
              <w:pStyle w:val="12"/>
              <w:snapToGrid w:val="0"/>
              <w:spacing w:line="360" w:lineRule="auto"/>
              <w:ind w:left="0" w:leftChars="0"/>
              <w:rPr>
                <w:rFonts w:hAnsi="宋体" w:cs="宋体"/>
                <w:color w:val="auto"/>
                <w:highlight w:val="none"/>
              </w:rPr>
            </w:pPr>
            <w:r>
              <w:rPr>
                <w:rFonts w:hint="eastAsia" w:hAnsi="宋体" w:cs="宋体"/>
                <w:b/>
                <w:color w:val="auto"/>
                <w:highlight w:val="none"/>
              </w:rPr>
              <w:t>1.</w:t>
            </w:r>
            <w:r>
              <w:rPr>
                <w:rFonts w:hint="eastAsia" w:hAnsi="宋体" w:cs="宋体"/>
                <w:color w:val="auto"/>
                <w:highlight w:val="none"/>
              </w:rPr>
              <w:t>本采购文件根据《中华人民共和国政府采购法》、《中华人民共和国民法典》；《中华人民共和国政府采购法实施条例》、《政府采购竞争性磋商采购方式管理暂行办法》等有关法律、法规编制，参与本项目的各政府采购当事人依法享有上述法律法规所赋予的权利与义务。</w:t>
            </w:r>
          </w:p>
          <w:p w14:paraId="02D9672A">
            <w:pPr>
              <w:spacing w:line="360" w:lineRule="auto"/>
              <w:rPr>
                <w:rFonts w:hAnsi="宋体" w:cs="宋体"/>
                <w:color w:val="auto"/>
                <w:highlight w:val="none"/>
              </w:rPr>
            </w:pPr>
            <w:r>
              <w:rPr>
                <w:rFonts w:hint="eastAsia" w:hAnsi="宋体" w:cs="宋体"/>
                <w:b/>
                <w:color w:val="auto"/>
                <w:highlight w:val="none"/>
              </w:rPr>
              <w:t>2.</w:t>
            </w:r>
            <w:r>
              <w:rPr>
                <w:rFonts w:hint="eastAsia" w:ascii="宋体" w:hAnsi="宋体"/>
                <w:b/>
                <w:color w:val="auto"/>
                <w:szCs w:val="21"/>
                <w:highlight w:val="none"/>
              </w:rPr>
              <w:t xml:space="preserve"> 本项目采购代理机构应严格按照“广西政府采购云平台”项目采购全流程电子化电子开评标规程执行项目采购活动，代理机构在“广西政府采购云平台”的“项目管理”—“采购文件管理”内开评标规则设置作为本采购文件的组成部分，截标之后不可更改，因代理机构开评标规则设置错误导致采购活动无法开展下去的情况，由代理机构负责解释并承担其后果。</w:t>
            </w:r>
          </w:p>
        </w:tc>
      </w:tr>
      <w:tr w14:paraId="25D6D0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55" w:type="pct"/>
            <w:tcBorders>
              <w:top w:val="single" w:color="000000" w:sz="4" w:space="0"/>
              <w:left w:val="single" w:color="000000" w:sz="4" w:space="0"/>
              <w:bottom w:val="single" w:color="000000" w:sz="4" w:space="0"/>
              <w:right w:val="single" w:color="000000" w:sz="4" w:space="0"/>
            </w:tcBorders>
            <w:vAlign w:val="center"/>
          </w:tcPr>
          <w:p w14:paraId="42D4906B">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34.2</w:t>
            </w:r>
          </w:p>
        </w:tc>
        <w:tc>
          <w:tcPr>
            <w:tcW w:w="1289" w:type="pct"/>
            <w:tcBorders>
              <w:top w:val="single" w:color="000000" w:sz="4" w:space="0"/>
              <w:left w:val="single" w:color="000000" w:sz="4" w:space="0"/>
              <w:bottom w:val="single" w:color="000000" w:sz="4" w:space="0"/>
              <w:right w:val="single" w:color="000000" w:sz="4" w:space="0"/>
            </w:tcBorders>
            <w:vAlign w:val="center"/>
          </w:tcPr>
          <w:p w14:paraId="1A448ECB">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其他</w:t>
            </w:r>
          </w:p>
        </w:tc>
        <w:tc>
          <w:tcPr>
            <w:tcW w:w="3254" w:type="pct"/>
            <w:tcBorders>
              <w:top w:val="single" w:color="000000" w:sz="4" w:space="0"/>
              <w:left w:val="single" w:color="000000" w:sz="4" w:space="0"/>
              <w:bottom w:val="single" w:color="000000" w:sz="4" w:space="0"/>
              <w:right w:val="single" w:color="000000" w:sz="4" w:space="0"/>
            </w:tcBorders>
            <w:vAlign w:val="center"/>
          </w:tcPr>
          <w:p w14:paraId="04379DA9">
            <w:pPr>
              <w:pStyle w:val="12"/>
              <w:snapToGrid w:val="0"/>
              <w:spacing w:line="360" w:lineRule="auto"/>
              <w:ind w:left="0" w:leftChars="0"/>
              <w:rPr>
                <w:rFonts w:hAnsi="宋体" w:cs="宋体"/>
                <w:color w:val="auto"/>
                <w:highlight w:val="none"/>
              </w:rPr>
            </w:pPr>
            <w:r>
              <w:rPr>
                <w:rFonts w:hint="eastAsia" w:hAnsi="宋体" w:cs="宋体"/>
                <w:color w:val="auto"/>
                <w:highlight w:val="none"/>
              </w:rPr>
              <w:t>1.本磋商文件中描述供应商的“公章”是指根据我国对公章的管理规定，用供应商法定主体行为名称制作的印章，除本磋商文件有特殊规定外，供应商的财务章、部门章、分公司章、工会章、合同章、竞标/投标专用章、业务专用章及银行的转账章、现金收讫章、现金付讫章等其他形式印章均不能代替公章。</w:t>
            </w:r>
          </w:p>
          <w:p w14:paraId="5C73305C">
            <w:pPr>
              <w:pStyle w:val="12"/>
              <w:snapToGrid w:val="0"/>
              <w:spacing w:line="360" w:lineRule="auto"/>
              <w:ind w:left="0" w:leftChars="0"/>
              <w:rPr>
                <w:rFonts w:hAnsi="宋体" w:cs="宋体"/>
                <w:color w:val="auto"/>
                <w:highlight w:val="none"/>
              </w:rPr>
            </w:pPr>
            <w:r>
              <w:rPr>
                <w:rFonts w:hint="eastAsia" w:hAnsi="宋体" w:cs="宋体"/>
                <w:color w:val="auto"/>
                <w:highlight w:val="none"/>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4E691558">
            <w:pPr>
              <w:pStyle w:val="12"/>
              <w:snapToGrid w:val="0"/>
              <w:spacing w:line="360" w:lineRule="auto"/>
              <w:ind w:left="0" w:leftChars="0"/>
              <w:rPr>
                <w:rFonts w:hAnsi="宋体" w:cs="宋体"/>
                <w:color w:val="auto"/>
                <w:highlight w:val="none"/>
              </w:rPr>
            </w:pPr>
            <w:r>
              <w:rPr>
                <w:rFonts w:hint="eastAsia" w:hAnsi="宋体" w:cs="宋体"/>
                <w:color w:val="auto"/>
                <w:highlight w:val="none"/>
              </w:rPr>
              <w:t>3.本磋商文件中描述供应商的“签字”是指供应商的法定代表人或者委托代理人亲自在文件规定签署处亲笔写上个人的名字的行为，私章、签字章、印鉴、影印等其他形式均不能代替亲笔签字。</w:t>
            </w:r>
          </w:p>
          <w:p w14:paraId="48B2C072">
            <w:pPr>
              <w:pStyle w:val="12"/>
              <w:snapToGrid w:val="0"/>
              <w:spacing w:line="360" w:lineRule="auto"/>
              <w:ind w:left="0" w:leftChars="0"/>
              <w:rPr>
                <w:rFonts w:hAnsi="宋体" w:cs="宋体"/>
                <w:color w:val="auto"/>
                <w:highlight w:val="none"/>
              </w:rPr>
            </w:pPr>
            <w:r>
              <w:rPr>
                <w:rFonts w:hint="eastAsia" w:hAnsi="宋体" w:cs="宋体"/>
                <w:color w:val="auto"/>
                <w:highlight w:val="none"/>
              </w:rPr>
              <w:t>4.自然人竞标的，磋商文件规定盖公章处由自然人摁手指指印。</w:t>
            </w:r>
          </w:p>
          <w:p w14:paraId="04CAA5F2">
            <w:pPr>
              <w:pStyle w:val="12"/>
              <w:snapToGrid w:val="0"/>
              <w:spacing w:line="360" w:lineRule="auto"/>
              <w:ind w:left="0" w:leftChars="0"/>
              <w:rPr>
                <w:rFonts w:hAnsi="宋体" w:cs="宋体"/>
                <w:color w:val="auto"/>
                <w:highlight w:val="none"/>
              </w:rPr>
            </w:pPr>
            <w:r>
              <w:rPr>
                <w:rFonts w:hint="eastAsia" w:hAnsi="宋体" w:cs="宋体"/>
                <w:color w:val="auto"/>
                <w:highlight w:val="none"/>
              </w:rPr>
              <w:t>5.本磋商文件所称的“以上”“以下”“以内”“届满”，包括本数；所称的“不满”“超过”“以外”，不包括本数。</w:t>
            </w:r>
          </w:p>
        </w:tc>
      </w:tr>
    </w:tbl>
    <w:p w14:paraId="4A99BC3F">
      <w:pPr>
        <w:pStyle w:val="3"/>
        <w:spacing w:line="420" w:lineRule="exact"/>
        <w:jc w:val="center"/>
        <w:rPr>
          <w:rFonts w:ascii="宋体" w:hAnsi="宋体" w:cs="宋体"/>
          <w:b w:val="0"/>
          <w:color w:val="auto"/>
          <w:highlight w:val="none"/>
        </w:rPr>
      </w:pPr>
      <w:r>
        <w:rPr>
          <w:rFonts w:hint="eastAsia" w:ascii="宋体" w:hAnsi="宋体"/>
          <w:bCs w:val="0"/>
          <w:color w:val="auto"/>
          <w:highlight w:val="none"/>
        </w:rPr>
        <w:br w:type="page"/>
      </w:r>
      <w:bookmarkStart w:id="38" w:name="_Toc22962"/>
      <w:r>
        <w:rPr>
          <w:rFonts w:hint="eastAsia" w:ascii="宋体" w:hAnsi="宋体"/>
          <w:b w:val="0"/>
          <w:color w:val="auto"/>
          <w:highlight w:val="none"/>
        </w:rPr>
        <w:t>第二节 供应商须知正文</w:t>
      </w:r>
      <w:bookmarkEnd w:id="38"/>
    </w:p>
    <w:p w14:paraId="6BA0B1E8">
      <w:pPr>
        <w:pStyle w:val="4"/>
        <w:spacing w:before="0" w:after="0" w:line="360" w:lineRule="auto"/>
        <w:ind w:firstLine="640" w:firstLineChars="200"/>
        <w:rPr>
          <w:rFonts w:ascii="宋体" w:hAnsi="宋体"/>
          <w:b w:val="0"/>
          <w:color w:val="auto"/>
          <w:highlight w:val="none"/>
        </w:rPr>
      </w:pPr>
      <w:bookmarkStart w:id="39" w:name="_Toc10364"/>
      <w:r>
        <w:rPr>
          <w:rFonts w:hint="eastAsia" w:ascii="宋体" w:hAnsi="宋体"/>
          <w:b w:val="0"/>
          <w:color w:val="auto"/>
          <w:highlight w:val="none"/>
        </w:rPr>
        <w:t>一、总则</w:t>
      </w:r>
      <w:bookmarkEnd w:id="39"/>
    </w:p>
    <w:p w14:paraId="246F0FE8">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1.适用范围</w:t>
      </w:r>
    </w:p>
    <w:p w14:paraId="4F92530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1.1本项目采购人、采购代理机构、供应商、磋商小组的相关行为均受《中华人民共和国政府采购法》《中华人民共和国政府采购法实施条例》</w:t>
      </w:r>
      <w:r>
        <w:rPr>
          <w:rFonts w:hint="eastAsia" w:ascii="宋体" w:hAnsi="宋体"/>
          <w:color w:val="auto"/>
          <w:szCs w:val="21"/>
          <w:highlight w:val="none"/>
        </w:rPr>
        <w:t>《政府采购竞争性磋商采购方式管理暂行办法》《财政部关于政府采购竞争性磋商采购方式管理暂行办法有关问题的补充通知》</w:t>
      </w:r>
      <w:r>
        <w:rPr>
          <w:rFonts w:hint="eastAsia" w:ascii="宋体" w:hAnsi="宋体" w:cs="宋体"/>
          <w:color w:val="auto"/>
          <w:szCs w:val="21"/>
          <w:highlight w:val="none"/>
        </w:rPr>
        <w:t>及本项目本级和上级财政部门政府采购有关规定的约束和保护。</w:t>
      </w:r>
    </w:p>
    <w:p w14:paraId="0159B05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1.2</w:t>
      </w:r>
      <w:r>
        <w:rPr>
          <w:rFonts w:hint="eastAsia" w:ascii="宋体" w:hAnsi="宋体" w:cs="宋体"/>
          <w:color w:val="auto"/>
          <w:spacing w:val="-6"/>
          <w:szCs w:val="21"/>
          <w:highlight w:val="none"/>
        </w:rPr>
        <w:t>本竞争性磋商文件（以下简称磋商文件）适用于本项目的所有采购程序和环节（法律、法规另有规定的，从其规定）。</w:t>
      </w:r>
    </w:p>
    <w:p w14:paraId="17AEB50E">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2.定义</w:t>
      </w:r>
    </w:p>
    <w:p w14:paraId="3D15140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2.1“采购人”是指依法进行政府采购的国家机关、事业单位、团体组织。</w:t>
      </w:r>
    </w:p>
    <w:p w14:paraId="4BA80B9A">
      <w:pPr>
        <w:spacing w:line="360" w:lineRule="auto"/>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2.2“采购代理机构”是指政府采购集中采购机构和集中采购机构以外的采购代理机构。</w:t>
      </w:r>
    </w:p>
    <w:p w14:paraId="435E45C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2.3“供应商”是指向采购人提供货物、工程或者服务的法人、其他组织或者自然人。</w:t>
      </w:r>
    </w:p>
    <w:p w14:paraId="75C0D0B0">
      <w:pPr>
        <w:spacing w:line="360" w:lineRule="auto"/>
        <w:ind w:firstLine="420" w:firstLineChars="200"/>
        <w:rPr>
          <w:rFonts w:ascii="宋体" w:hAnsi="宋体" w:cs="宋体"/>
          <w:color w:val="auto"/>
          <w:szCs w:val="21"/>
          <w:highlight w:val="none"/>
        </w:rPr>
      </w:pPr>
      <w:r>
        <w:rPr>
          <w:rFonts w:hint="eastAsia" w:ascii="宋体" w:hAnsi="宋体"/>
          <w:color w:val="auto"/>
          <w:szCs w:val="21"/>
          <w:highlight w:val="none"/>
        </w:rPr>
        <w:t>2.4“服务”是指除货物和工程以外的其他政府采购对象。</w:t>
      </w:r>
    </w:p>
    <w:p w14:paraId="6630646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2.5“竞标”是指供应商按照本项目竞争性磋商公告或者邀请函规定的方式获取磋商文件、提交响应文件并希望获得标的的行为。</w:t>
      </w:r>
    </w:p>
    <w:p w14:paraId="4B8F5A1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2.6“响应文件”</w:t>
      </w:r>
      <w:r>
        <w:rPr>
          <w:rFonts w:hint="eastAsia" w:ascii="宋体" w:hAnsi="宋体" w:cs="宋体"/>
          <w:color w:val="auto"/>
          <w:spacing w:val="-6"/>
          <w:szCs w:val="21"/>
          <w:highlight w:val="none"/>
        </w:rPr>
        <w:t>是指：供应商根据本磋商文件要求，编制包含资格证明、报价商务技术等所有内容的文件。</w:t>
      </w:r>
    </w:p>
    <w:p w14:paraId="61709B7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2.7“实质性要求”是指磋商文件中已经指明不满足则响应文件按无效响应处理的条款，或者不能负偏离的条款，或者采购需求中带“▲”的条款。</w:t>
      </w:r>
    </w:p>
    <w:p w14:paraId="4F71A51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2.8“正偏离”，是指响应文件对磋商文件“采购需求”中有关条款作出的响应优于条款要求并有利于采购人的情形。</w:t>
      </w:r>
    </w:p>
    <w:p w14:paraId="5458987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2.9“负偏离”，是指响应文件对磋商文件“采购需求”中有关条款作出的响应不满足条款要求，导致采购人要求不能得到满足的情形。</w:t>
      </w:r>
    </w:p>
    <w:p w14:paraId="38B4D06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2.10“允许负偏离的条款”是指采购需求中的不属于“实质性要求”的条款。</w:t>
      </w:r>
    </w:p>
    <w:p w14:paraId="696FF8B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2.11“书面形式”是指合同书、信件和数据电文（包括电报、电传、传真、电子数据交换和电子邮件）等可以有形地表现所载内容的形式。</w:t>
      </w:r>
    </w:p>
    <w:p w14:paraId="5C91946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2.12“首次报价”是指供应商提交的首次响应文件中的报价。</w:t>
      </w:r>
    </w:p>
    <w:p w14:paraId="6F94904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2.13“评审报价”是指供应商提交的最后报价并经修正（如有）和政策功能价格扣除（如有）后的价格。</w:t>
      </w:r>
    </w:p>
    <w:p w14:paraId="2D3F32E5">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3.供应商的资格条件</w:t>
      </w:r>
    </w:p>
    <w:p w14:paraId="4B71C78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供应商的资格条件详见“供应商须知前附表”。</w:t>
      </w:r>
    </w:p>
    <w:p w14:paraId="096F1F4D">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4.磋商费用</w:t>
      </w:r>
    </w:p>
    <w:p w14:paraId="140BD1C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供应商应承担参与本次采购活动有关的所有费用，包括但不限于、勘查现场、编制和提交响应文件、参加磋商与应答、签订合同等，不论竞标结果如何，均应自行承担。</w:t>
      </w:r>
    </w:p>
    <w:p w14:paraId="4CC569B0">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5.联合体竞标</w:t>
      </w:r>
    </w:p>
    <w:p w14:paraId="48C9418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5.1本项目是否接受联合体竞标，详见“供应商须知前附表”。</w:t>
      </w:r>
    </w:p>
    <w:p w14:paraId="1A0AA09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5.2</w:t>
      </w:r>
      <w:r>
        <w:rPr>
          <w:rFonts w:hint="eastAsia" w:ascii="宋体" w:hAnsi="宋体"/>
          <w:color w:val="auto"/>
          <w:highlight w:val="none"/>
        </w:rPr>
        <w:t>如接受联合体竞标，</w:t>
      </w:r>
      <w:r>
        <w:rPr>
          <w:rFonts w:hint="eastAsia" w:ascii="宋体" w:hAnsi="宋体" w:cs="宋体"/>
          <w:color w:val="auto"/>
          <w:szCs w:val="21"/>
          <w:highlight w:val="none"/>
        </w:rPr>
        <w:t>联合体竞标要求详见“供应商须知前附表”。</w:t>
      </w:r>
    </w:p>
    <w:p w14:paraId="6C2495EF">
      <w:pPr>
        <w:spacing w:line="360" w:lineRule="auto"/>
        <w:ind w:firstLine="420" w:firstLineChars="200"/>
        <w:rPr>
          <w:rFonts w:ascii="宋体" w:hAnsi="宋体"/>
          <w:bCs/>
          <w:color w:val="auto"/>
          <w:szCs w:val="21"/>
          <w:highlight w:val="none"/>
        </w:rPr>
      </w:pPr>
      <w:r>
        <w:rPr>
          <w:rFonts w:hint="eastAsia" w:ascii="宋体" w:hAnsi="宋体" w:cs="宋体"/>
          <w:color w:val="auto"/>
          <w:szCs w:val="21"/>
          <w:highlight w:val="none"/>
        </w:rPr>
        <w:t>5.3</w:t>
      </w:r>
      <w:r>
        <w:rPr>
          <w:rFonts w:hint="eastAsia" w:ascii="宋体" w:hAnsi="宋体"/>
          <w:bCs/>
          <w:color w:val="auto"/>
          <w:szCs w:val="21"/>
          <w:highlight w:val="none"/>
        </w:rPr>
        <w:t>根据《政府采购促进中小企业发展管理办法》（财库[2020]46号）第九条及</w:t>
      </w:r>
      <w:r>
        <w:rPr>
          <w:rFonts w:hint="eastAsia"/>
          <w:color w:val="auto"/>
          <w:highlight w:val="none"/>
        </w:rPr>
        <w:t>《广西壮族自治区财政厅关于贯彻落实政府采购支持中小企业发展政策的通知》（桂财采〔2022〕31号）</w:t>
      </w:r>
      <w:r>
        <w:rPr>
          <w:rFonts w:hint="eastAsia" w:ascii="宋体" w:hAnsi="宋体"/>
          <w:bCs/>
          <w:color w:val="auto"/>
          <w:szCs w:val="21"/>
          <w:highlight w:val="none"/>
        </w:rPr>
        <w:t>规定，接受大中型企业与小微企业组成联合体的采购项目，对于联合协议约定小微企业的合同份额占到合同总金额 30%以上的，采购人、采购代理机构应当对联合体的报价给予 4%-6%（工程项目为 1%—2%）的扣除，用扣除后的价格参加评审。组成联合体的小微企业与联合体内其他企业、分包企业之间存在直接控股、管理关系的，不享受价格扣除优惠政策。</w:t>
      </w:r>
    </w:p>
    <w:p w14:paraId="23B249B0">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 xml:space="preserve">6.转包与分包             </w:t>
      </w:r>
    </w:p>
    <w:p w14:paraId="43D7CDB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6.1本项目是否允许分包详见“供应商须知前附表”，本项目不允许违法分包。</w:t>
      </w:r>
    </w:p>
    <w:p w14:paraId="7B7962D9">
      <w:pPr>
        <w:spacing w:line="360" w:lineRule="auto"/>
        <w:ind w:firstLine="420" w:firstLineChars="200"/>
        <w:rPr>
          <w:rFonts w:ascii="宋体" w:hAnsi="宋体" w:cs="宋体"/>
          <w:bCs/>
          <w:color w:val="auto"/>
          <w:szCs w:val="21"/>
          <w:highlight w:val="none"/>
        </w:rPr>
      </w:pPr>
      <w:r>
        <w:rPr>
          <w:rFonts w:hint="eastAsia" w:ascii="宋体" w:hAnsi="宋体" w:cs="宋体"/>
          <w:color w:val="auto"/>
          <w:szCs w:val="21"/>
          <w:highlight w:val="none"/>
        </w:rPr>
        <w:t>6.2</w:t>
      </w:r>
      <w:r>
        <w:rPr>
          <w:rFonts w:hint="eastAsia" w:ascii="宋体" w:hAnsi="宋体"/>
          <w:bCs/>
          <w:color w:val="auto"/>
          <w:szCs w:val="21"/>
          <w:highlight w:val="none"/>
        </w:rPr>
        <w:t>根据《政府采购促进中小企业发展管理办法》（财库[2020]46号）第九条及</w:t>
      </w:r>
      <w:r>
        <w:rPr>
          <w:rFonts w:hint="eastAsia"/>
          <w:color w:val="auto"/>
          <w:highlight w:val="none"/>
        </w:rPr>
        <w:t>《广西壮族自治区财政厅关于贯彻落实政府采购支持中小企业发展政策的通知》（桂财采〔2022〕31号）</w:t>
      </w:r>
      <w:r>
        <w:rPr>
          <w:rFonts w:hint="eastAsia" w:ascii="宋体" w:hAnsi="宋体"/>
          <w:bCs/>
          <w:color w:val="auto"/>
          <w:szCs w:val="21"/>
          <w:highlight w:val="none"/>
        </w:rPr>
        <w:t>规定，允许大中型企业向一家或者多家小微企业分包的采购项目，对于分包意向协议约定小微企业的合同份额占到合同总金额 30%以上的，采购人、采购代理机构应当对大中型企业的报价给予 4%-6%的扣除，用扣除后的价格参加评审。接受分包的小微企业与分包企业之间存在直接控股、管理关系的，不享受价格扣除优惠政策。</w:t>
      </w:r>
    </w:p>
    <w:p w14:paraId="0136E1C6">
      <w:pPr>
        <w:spacing w:line="360" w:lineRule="auto"/>
        <w:ind w:firstLine="482" w:firstLineChars="200"/>
        <w:rPr>
          <w:rFonts w:ascii="黑体" w:hAnsi="黑体" w:eastAsia="黑体" w:cs="宋体"/>
          <w:b/>
          <w:bCs/>
          <w:color w:val="auto"/>
          <w:sz w:val="24"/>
          <w:highlight w:val="none"/>
        </w:rPr>
      </w:pPr>
      <w:bookmarkStart w:id="40" w:name="_Toc254970532"/>
      <w:bookmarkStart w:id="41" w:name="_Toc254970673"/>
      <w:r>
        <w:rPr>
          <w:rFonts w:hint="eastAsia" w:ascii="黑体" w:hAnsi="黑体" w:eastAsia="黑体" w:cs="宋体"/>
          <w:b/>
          <w:bCs/>
          <w:color w:val="auto"/>
          <w:sz w:val="24"/>
          <w:highlight w:val="none"/>
        </w:rPr>
        <w:t>7.特别说明</w:t>
      </w:r>
      <w:bookmarkEnd w:id="40"/>
      <w:bookmarkEnd w:id="41"/>
    </w:p>
    <w:p w14:paraId="6618AA14">
      <w:pPr>
        <w:spacing w:line="360" w:lineRule="auto"/>
        <w:ind w:firstLine="420" w:firstLineChars="200"/>
        <w:rPr>
          <w:rFonts w:ascii="宋体" w:hAnsi="宋体" w:cs="宋体"/>
          <w:color w:val="auto"/>
          <w:szCs w:val="21"/>
          <w:highlight w:val="none"/>
        </w:rPr>
      </w:pPr>
      <w:bookmarkStart w:id="42" w:name="_8.1提供相同品牌产品且通过资格审查、符合性审查的不同投标人参加同一合"/>
      <w:bookmarkEnd w:id="42"/>
      <w:r>
        <w:rPr>
          <w:rFonts w:hint="eastAsia" w:ascii="宋体" w:hAnsi="宋体" w:cs="宋体"/>
          <w:color w:val="auto"/>
          <w:szCs w:val="21"/>
          <w:highlight w:val="none"/>
        </w:rPr>
        <w:t>7.1</w:t>
      </w:r>
      <w:bookmarkStart w:id="43" w:name="_Hlk65832145"/>
      <w:r>
        <w:rPr>
          <w:rFonts w:hint="eastAsia" w:ascii="宋体" w:hAnsi="宋体"/>
          <w:color w:val="auto"/>
          <w:szCs w:val="21"/>
          <w:highlight w:val="none"/>
        </w:rPr>
        <w:t xml:space="preserve">如果本磋商文件要求提供供应商或制造商的资格、信誉、荣誉、业绩与企业认证等材料的，资格、信誉、荣誉、业绩与企业认证等必须为供应商或者制造商所拥有或自身获得 </w:t>
      </w:r>
      <w:r>
        <w:rPr>
          <w:rFonts w:hint="eastAsia" w:ascii="宋体" w:hAnsi="宋体" w:cs="宋体"/>
          <w:color w:val="auto"/>
          <w:szCs w:val="21"/>
          <w:highlight w:val="none"/>
        </w:rPr>
        <w:t>。</w:t>
      </w:r>
    </w:p>
    <w:bookmarkEnd w:id="43"/>
    <w:p w14:paraId="3657E22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7.2供应商应仔细阅读磋商文件的所有内容，按照磋商文件的要求提交响应文件，并对所提供的全部资料的真实性承担法律责任。</w:t>
      </w:r>
    </w:p>
    <w:p w14:paraId="1C3594F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7.3供应商在竞标活动中提供任何疑似虚假材料，将报监管部门查处；签订合同后发现的，成交供应商须依照《中华人民共和国消费者权益保护法》规定赔偿采购人，且民事赔偿并不免除违法供应商的行政与刑事责任。</w:t>
      </w:r>
    </w:p>
    <w:p w14:paraId="0F34F61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7.4在政府采购活动中，采购人员及相关人员与供应商有下列利害关系之一的，应当回避：</w:t>
      </w:r>
    </w:p>
    <w:p w14:paraId="1BAA244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（1）参加采购活动前3年内与供应商存在劳动关系；</w:t>
      </w:r>
    </w:p>
    <w:p w14:paraId="57BC24D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（2）参加采购活动前3年内担任供应商的董事、监事；</w:t>
      </w:r>
    </w:p>
    <w:p w14:paraId="40697BB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（3）参加采购活动前3年内是供应商的控股股东或者实际控制人；</w:t>
      </w:r>
    </w:p>
    <w:p w14:paraId="1AD7BD7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（4）与供应商的法定代表人或者负责人有夫妻、直系血亲、三代以内旁系血亲或者近姻亲关系；</w:t>
      </w:r>
    </w:p>
    <w:p w14:paraId="2DAEBBB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（5）与供应商有其他可能影响政府采购活动公平、公正进行的关系。</w:t>
      </w:r>
    </w:p>
    <w:p w14:paraId="0EAF725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0E8951F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7.5有下列情形之一的视为供应商相互串通竞标，响应文件将被视为无效：</w:t>
      </w:r>
    </w:p>
    <w:p w14:paraId="6F3060F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（1）不同供应商的响应文件由同一单位或者个人编制；或者不同供应商报名的IP地址一致的；或者编制响应文件硬件设备CPU编号、硬盘编号、网卡地址一致的情况。 </w:t>
      </w:r>
    </w:p>
    <w:p w14:paraId="678DDF8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（2）不同供应商委托同一单位或者个人办理竞标事宜；</w:t>
      </w:r>
    </w:p>
    <w:p w14:paraId="7074B0C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（3）不同的供应商的响应文件载明的项目管理员为同一个人；</w:t>
      </w:r>
    </w:p>
    <w:p w14:paraId="5CCC462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（4）不同供应商的响应文件异常一致或者报价呈规律性差异；</w:t>
      </w:r>
    </w:p>
    <w:p w14:paraId="6840452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（5）不同供应商的响应文件相互混装；</w:t>
      </w:r>
    </w:p>
    <w:p w14:paraId="0B06C1B7">
      <w:pPr>
        <w:tabs>
          <w:tab w:val="left" w:pos="6931"/>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（6）不同供应商的磋商保证金从同一单位或者个人账户转出。</w:t>
      </w:r>
      <w:r>
        <w:rPr>
          <w:rFonts w:hint="eastAsia" w:ascii="宋体" w:hAnsi="宋体" w:cs="宋体"/>
          <w:color w:val="auto"/>
          <w:szCs w:val="21"/>
          <w:highlight w:val="none"/>
        </w:rPr>
        <w:tab/>
      </w:r>
    </w:p>
    <w:p w14:paraId="2D64F2F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7.6供应商有下列情形之一的，属于恶意串通行为，将报同级监督管理部门：</w:t>
      </w:r>
    </w:p>
    <w:p w14:paraId="55C9638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（1）供应商直接或者间接从采购人或者采购代理机构处获得其他供应商的相关信息并修改其响应文件；</w:t>
      </w:r>
    </w:p>
    <w:p w14:paraId="19DF89C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（2）供应商按照采购人或者采购代理机构的授意撤换、修改响应文件；</w:t>
      </w:r>
    </w:p>
    <w:p w14:paraId="04E5054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（3）供应商之间协商报价、技术方案等响应文件或者响应文件的实质性内容；</w:t>
      </w:r>
    </w:p>
    <w:p w14:paraId="0015DF7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（4）属于同一集团、协会、商会等组织成员的供应商按照该组织要求协同参加政府采购活动；</w:t>
      </w:r>
    </w:p>
    <w:p w14:paraId="50182D9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（5）供应商之间事先约定一致抬高或者压低报价，或者在政府采购活动中事先约定轮流以高价位或者低价位成交，或者事先约定由某一特定供应商成交，然后再参加竞标；</w:t>
      </w:r>
    </w:p>
    <w:p w14:paraId="1BD584A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（6）供应商之间商定部分供应商放弃参加政府采购活动或者放弃成交；</w:t>
      </w:r>
    </w:p>
    <w:p w14:paraId="3641999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（7）供应商与采购人或者采购代理机构之间、供应商相互之间，为谋求特定供应商成交或者排斥其他供应商的其他串通行为。</w:t>
      </w:r>
    </w:p>
    <w:p w14:paraId="6060F3EE">
      <w:pPr>
        <w:pStyle w:val="4"/>
        <w:spacing w:before="0" w:after="0" w:line="360" w:lineRule="auto"/>
        <w:ind w:firstLine="640" w:firstLineChars="200"/>
        <w:rPr>
          <w:rFonts w:ascii="宋体" w:hAnsi="宋体"/>
          <w:b w:val="0"/>
          <w:bCs w:val="0"/>
          <w:color w:val="auto"/>
          <w:highlight w:val="none"/>
        </w:rPr>
      </w:pPr>
      <w:bookmarkStart w:id="44" w:name="_Toc28927"/>
      <w:bookmarkStart w:id="45" w:name="_Toc254970675"/>
      <w:bookmarkStart w:id="46" w:name="_Toc254970534"/>
      <w:r>
        <w:rPr>
          <w:rFonts w:hint="eastAsia" w:ascii="宋体" w:hAnsi="宋体"/>
          <w:b w:val="0"/>
          <w:bCs w:val="0"/>
          <w:color w:val="auto"/>
          <w:highlight w:val="none"/>
        </w:rPr>
        <w:t>二、磋商文件</w:t>
      </w:r>
      <w:bookmarkEnd w:id="44"/>
      <w:bookmarkEnd w:id="45"/>
      <w:bookmarkEnd w:id="46"/>
    </w:p>
    <w:p w14:paraId="54D189E3">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8.磋商文件的构成</w:t>
      </w:r>
    </w:p>
    <w:p w14:paraId="2828030C">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第一章 竞争性磋商公告；</w:t>
      </w:r>
    </w:p>
    <w:p w14:paraId="79531DF6">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第二章 采购需求；</w:t>
      </w:r>
    </w:p>
    <w:p w14:paraId="3162DC5C">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 xml:space="preserve">第三章 供应商须知； </w:t>
      </w:r>
    </w:p>
    <w:p w14:paraId="4F87B540">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第四章 评审程序、评审方法和评审标准；</w:t>
      </w:r>
    </w:p>
    <w:p w14:paraId="76E52E71">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第五章 响应文件格式；</w:t>
      </w:r>
    </w:p>
    <w:p w14:paraId="62D0D837">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第六章 合同文本；</w:t>
      </w:r>
    </w:p>
    <w:p w14:paraId="4FF710E6">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第七章 质疑、投诉材料格式。</w:t>
      </w:r>
    </w:p>
    <w:p w14:paraId="5D0E3A9C">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9.供应商的询问</w:t>
      </w:r>
    </w:p>
    <w:p w14:paraId="20D82D2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供应商应认真阅读磋商文件的采购需求，如供应商对磋商文件有疑问的，如要求采购人作出澄清或者修改的，供应商尽应在提交首次响应文件截止之日前，以书面形式向采购人、采购代理机构提出。</w:t>
      </w:r>
    </w:p>
    <w:p w14:paraId="602215D8">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10.磋商文件的澄清和修改</w:t>
      </w:r>
    </w:p>
    <w:p w14:paraId="01AB9533">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10.1已获取磋商文件的潜在供应商，若有问题需要澄清，应于应标截止时间前，以书面形式向采购代理机构提出，采购代理机构与采购人研究后，对认为有必要回答的问题，按照本章10.3的内容处理。</w:t>
      </w:r>
    </w:p>
    <w:p w14:paraId="2941ECDB">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10.2采购人或者采购代理机构可以对已发出的磋商文件进行必要的澄清或者修改，但不得改变采购标的和资格条件。澄清或者修改应当在原公告发布媒体上发布澄清公告。澄清或者修改的内容为磋商文件的组成部分。</w:t>
      </w:r>
    </w:p>
    <w:p w14:paraId="11E50CF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10.3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或者磋商小组在提交首次响应文件截止之日3个工作日前，以书面形式（目前为网上公告和系统短信等形式）通知所有获取磋商文件的供应商，不足3个工作日的，应当顺延提交首次响应文件截止之日。</w:t>
      </w:r>
    </w:p>
    <w:p w14:paraId="22BEEE2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10.4</w:t>
      </w:r>
      <w:r>
        <w:rPr>
          <w:rFonts w:hint="eastAsia" w:ascii="Arial" w:hAnsi="Arial" w:cs="Arial"/>
          <w:color w:val="auto"/>
          <w:highlight w:val="none"/>
          <w:shd w:val="clear" w:color="auto" w:fill="FFFFFF"/>
        </w:rPr>
        <w:t>采购信息更正公告的内容应当包括采购人和采购代理机构名称、地址、联系方式，原公告的采购项目名称及首次公告日期，更正事项、内容及日期，采购项目联系人和电话。</w:t>
      </w:r>
    </w:p>
    <w:p w14:paraId="63D2CFC0">
      <w:pPr>
        <w:spacing w:line="360" w:lineRule="auto"/>
        <w:ind w:firstLine="420" w:firstLineChars="200"/>
        <w:rPr>
          <w:color w:val="auto"/>
          <w:highlight w:val="none"/>
        </w:rPr>
      </w:pPr>
      <w:r>
        <w:rPr>
          <w:rFonts w:hAnsi="宋体"/>
          <w:color w:val="auto"/>
          <w:highlight w:val="none"/>
        </w:rPr>
        <w:t xml:space="preserve">10.5  </w:t>
      </w:r>
      <w:r>
        <w:rPr>
          <w:rFonts w:hint="eastAsia"/>
          <w:color w:val="auto"/>
          <w:highlight w:val="none"/>
        </w:rPr>
        <w:t>采购人和采购代理机构可以视采购具体情况，变更</w:t>
      </w:r>
      <w:r>
        <w:rPr>
          <w:rFonts w:hint="eastAsia" w:hAnsi="宋体"/>
          <w:color w:val="auto"/>
          <w:highlight w:val="none"/>
        </w:rPr>
        <w:t>提交首次响应文件</w:t>
      </w:r>
      <w:r>
        <w:rPr>
          <w:rFonts w:hint="eastAsia"/>
          <w:color w:val="auto"/>
          <w:highlight w:val="none"/>
        </w:rPr>
        <w:t>截止时间和竞谈时间，将变更时间将在</w:t>
      </w:r>
      <w:r>
        <w:rPr>
          <w:rFonts w:hint="eastAsia" w:hAnsi="宋体"/>
          <w:color w:val="auto"/>
          <w:highlight w:val="none"/>
        </w:rPr>
        <w:t>“采购文件公告”中“七、其他补充事宜</w:t>
      </w:r>
      <w:r>
        <w:rPr>
          <w:rFonts w:hAnsi="宋体"/>
          <w:color w:val="auto"/>
          <w:highlight w:val="none"/>
        </w:rPr>
        <w:t>3.</w:t>
      </w:r>
      <w:r>
        <w:rPr>
          <w:rFonts w:hint="eastAsia" w:hAnsi="宋体"/>
          <w:color w:val="auto"/>
          <w:highlight w:val="none"/>
        </w:rPr>
        <w:t>网上查询地址”</w:t>
      </w:r>
      <w:r>
        <w:rPr>
          <w:rFonts w:hint="eastAsia" w:cs="宋体"/>
          <w:color w:val="auto"/>
          <w:highlight w:val="none"/>
        </w:rPr>
        <w:t>规定的政府采购信息发布媒体上</w:t>
      </w:r>
      <w:r>
        <w:rPr>
          <w:rFonts w:hint="eastAsia"/>
          <w:color w:val="auto"/>
          <w:highlight w:val="none"/>
        </w:rPr>
        <w:t>发布更正公告。</w:t>
      </w:r>
    </w:p>
    <w:p w14:paraId="79104917">
      <w:pPr>
        <w:spacing w:line="360" w:lineRule="auto"/>
        <w:ind w:firstLine="400" w:firstLineChars="200"/>
        <w:rPr>
          <w:rFonts w:ascii="宋体" w:hAnsi="Courier New"/>
          <w:color w:val="auto"/>
          <w:kern w:val="0"/>
          <w:sz w:val="20"/>
          <w:szCs w:val="21"/>
          <w:highlight w:val="none"/>
        </w:rPr>
      </w:pPr>
      <w:r>
        <w:rPr>
          <w:rFonts w:hint="eastAsia" w:ascii="宋体" w:hAnsi="Courier New"/>
          <w:color w:val="auto"/>
          <w:kern w:val="0"/>
          <w:sz w:val="20"/>
          <w:szCs w:val="21"/>
          <w:highlight w:val="none"/>
        </w:rPr>
        <w:t>▲</w:t>
      </w:r>
      <w:r>
        <w:rPr>
          <w:rFonts w:hint="eastAsia" w:ascii="宋体" w:hAnsi="Courier New"/>
          <w:b/>
          <w:color w:val="auto"/>
          <w:kern w:val="0"/>
          <w:sz w:val="20"/>
          <w:szCs w:val="21"/>
          <w:highlight w:val="none"/>
        </w:rPr>
        <w:t>响应文件未按磋商文件的澄清、修改的内容编制，又不符合实质性要求的，其响应文件作无效处理。</w:t>
      </w:r>
    </w:p>
    <w:p w14:paraId="2876CF1B">
      <w:pPr>
        <w:pStyle w:val="4"/>
        <w:spacing w:before="0" w:after="0" w:line="360" w:lineRule="auto"/>
        <w:ind w:firstLine="640" w:firstLineChars="200"/>
        <w:rPr>
          <w:rFonts w:ascii="宋体" w:hAnsi="宋体"/>
          <w:b w:val="0"/>
          <w:bCs w:val="0"/>
          <w:color w:val="auto"/>
          <w:highlight w:val="none"/>
        </w:rPr>
      </w:pPr>
      <w:bookmarkStart w:id="47" w:name="_Toc12927"/>
      <w:r>
        <w:rPr>
          <w:rFonts w:hint="eastAsia" w:ascii="宋体" w:hAnsi="宋体"/>
          <w:b w:val="0"/>
          <w:bCs w:val="0"/>
          <w:color w:val="auto"/>
          <w:highlight w:val="none"/>
        </w:rPr>
        <w:t>三、响应文件的编制</w:t>
      </w:r>
      <w:bookmarkEnd w:id="47"/>
    </w:p>
    <w:p w14:paraId="5A8BA17C">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11.响应文件的编制原则</w:t>
      </w:r>
    </w:p>
    <w:p w14:paraId="774A2B9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供应商必须按照磋商文件的要求编制响应文件，并对其提交的响应文件的真实性、合法性承担法律责任。响应文件必须对磋商文件作出实质性响应。</w:t>
      </w:r>
    </w:p>
    <w:p w14:paraId="08AF3758">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12.响应文件的组成</w:t>
      </w:r>
    </w:p>
    <w:p w14:paraId="3CB0536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12.1响应文件由资格证明文件、报价文件、商务和技术文件三部分组成。</w:t>
      </w:r>
    </w:p>
    <w:p w14:paraId="2EF11E8D">
      <w:pPr>
        <w:spacing w:line="360" w:lineRule="auto"/>
        <w:ind w:left="420" w:leftChars="200" w:firstLine="420" w:firstLineChars="200"/>
        <w:rPr>
          <w:rFonts w:ascii="宋体" w:hAnsi="宋体" w:cs="宋体"/>
          <w:color w:val="auto"/>
          <w:szCs w:val="21"/>
          <w:highlight w:val="none"/>
        </w:rPr>
      </w:pPr>
      <w:r>
        <w:rPr>
          <w:rFonts w:hint="eastAsia" w:ascii="宋体" w:hAnsi="宋体" w:cs="宋体"/>
          <w:color w:val="auto"/>
          <w:szCs w:val="21"/>
          <w:highlight w:val="none"/>
        </w:rPr>
        <w:t>12.1.1资格证明文件：详见须知前附表</w:t>
      </w:r>
    </w:p>
    <w:p w14:paraId="0AF1C8BC">
      <w:pPr>
        <w:spacing w:line="360" w:lineRule="auto"/>
        <w:ind w:left="420" w:leftChars="200" w:firstLine="420" w:firstLineChars="200"/>
        <w:rPr>
          <w:rFonts w:ascii="宋体" w:hAnsi="宋体" w:cs="宋体"/>
          <w:color w:val="auto"/>
          <w:szCs w:val="21"/>
          <w:highlight w:val="none"/>
        </w:rPr>
      </w:pPr>
      <w:r>
        <w:rPr>
          <w:rFonts w:hint="eastAsia" w:ascii="宋体" w:hAnsi="宋体" w:cs="宋体"/>
          <w:color w:val="auto"/>
          <w:szCs w:val="21"/>
          <w:highlight w:val="none"/>
        </w:rPr>
        <w:t>12.1.2商务技术文件：详见须知前附表</w:t>
      </w:r>
    </w:p>
    <w:p w14:paraId="1DE93B0C">
      <w:pPr>
        <w:spacing w:line="360" w:lineRule="auto"/>
        <w:ind w:left="420" w:leftChars="200" w:firstLine="420" w:firstLineChars="200"/>
        <w:rPr>
          <w:rFonts w:ascii="宋体" w:hAnsi="宋体" w:cs="宋体"/>
          <w:color w:val="auto"/>
          <w:szCs w:val="21"/>
          <w:highlight w:val="none"/>
        </w:rPr>
      </w:pPr>
      <w:r>
        <w:rPr>
          <w:rFonts w:hint="eastAsia" w:ascii="宋体" w:hAnsi="宋体" w:cs="宋体"/>
          <w:color w:val="auto"/>
          <w:szCs w:val="21"/>
          <w:highlight w:val="none"/>
        </w:rPr>
        <w:t>12.1.3报价文件：详见须知前附表</w:t>
      </w:r>
    </w:p>
    <w:p w14:paraId="41640BB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12.2响应文件电子版：详见须知前附表</w:t>
      </w:r>
    </w:p>
    <w:p w14:paraId="4C3D4B75">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13.计量单位</w:t>
      </w:r>
    </w:p>
    <w:p w14:paraId="71C21F7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磋商文件已有明确规定的，使用磋商文件规定的计量单位；磋商文件没有规定的，应采用中华人民共和国法定计量单位，货币种类为人民币，否则视同未响应。</w:t>
      </w:r>
    </w:p>
    <w:p w14:paraId="35D80C51">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14.竞标的风险</w:t>
      </w:r>
    </w:p>
    <w:p w14:paraId="63FF706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供应商没有按照磋商文件要求提供全部资料，或者供应商没有对磋商文件在各方面作出实质性响应可能导致其响应无效，是供应商应当考虑的风险。</w:t>
      </w:r>
    </w:p>
    <w:p w14:paraId="28C1CA36">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15.响应报价要求和构成</w:t>
      </w:r>
    </w:p>
    <w:p w14:paraId="553D53E1">
      <w:pPr>
        <w:tabs>
          <w:tab w:val="left" w:pos="2492"/>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15.1响应报价应按“第五章 响应文件格式”中“响应报价表”格式填写。</w:t>
      </w:r>
    </w:p>
    <w:p w14:paraId="430D808E">
      <w:pPr>
        <w:tabs>
          <w:tab w:val="left" w:pos="2492"/>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15.2响应报价的价格构成见“供应商须知前附表”。</w:t>
      </w:r>
    </w:p>
    <w:p w14:paraId="703A0B4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15.3响应报价要求</w:t>
      </w:r>
    </w:p>
    <w:p w14:paraId="2266E26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15.3.1供应商的响应报价应符合以下要求，否则响应文件按无效响应处理：</w:t>
      </w:r>
    </w:p>
    <w:p w14:paraId="407EB57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（1）供应商必须就“采购需求”中所竞标的每个标项的全部内容分别作完整唯一总价报价，不得存在漏项报价；</w:t>
      </w:r>
    </w:p>
    <w:p w14:paraId="7E30D74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（2）供应商必须就所竞标的标项的单项内容作唯一报价。</w:t>
      </w:r>
    </w:p>
    <w:p w14:paraId="74FDD48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15.3.2响应报价（包含首次报价、最后报价）超过所竞标标项规定的采购预算金额或者最高限价的，其响应文件将作无效处理。</w:t>
      </w:r>
    </w:p>
    <w:p w14:paraId="4843657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15.3.3</w:t>
      </w:r>
      <w:bookmarkStart w:id="48" w:name="_Hlk42592874"/>
      <w:r>
        <w:rPr>
          <w:rFonts w:hint="eastAsia" w:ascii="宋体" w:hAnsi="宋体" w:cs="宋体"/>
          <w:color w:val="auto"/>
          <w:szCs w:val="21"/>
          <w:highlight w:val="none"/>
        </w:rPr>
        <w:t>响应报价（包含首次报价、最后报价）超过分项采购预算金额或者最高限价的，其响应文件将作无效处理。</w:t>
      </w:r>
    </w:p>
    <w:bookmarkEnd w:id="48"/>
    <w:p w14:paraId="41FC5B11">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16.竞标有效期</w:t>
      </w:r>
    </w:p>
    <w:p w14:paraId="563B2F7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16.1竞标有效期是指为保证采购人有足够的时间在提交响应文件后完成评审、确定成交供应商、合同签订等工作而要求供应商提交的响应文件在一定时间内保持有效的期限。</w:t>
      </w:r>
    </w:p>
    <w:p w14:paraId="1DF9BEF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16.2 竞标有效期应由供应商按“供应商须知前附表”规定的期限作出响应。</w:t>
      </w:r>
    </w:p>
    <w:p w14:paraId="295CB5C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16.3供应商的响应文件在竞标有效期内均保持有效。</w:t>
      </w:r>
    </w:p>
    <w:p w14:paraId="74EE729A">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17.磋商保证金</w:t>
      </w:r>
    </w:p>
    <w:p w14:paraId="32D1939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详见“供应商须知前附表”。</w:t>
      </w:r>
    </w:p>
    <w:p w14:paraId="55359AF3">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18.响应文件编制的要求</w:t>
      </w:r>
    </w:p>
    <w:p w14:paraId="5590530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18.1各供应商在编制响应文件时请按照磋商文件“第五章 响应文件格式”规定的格式进行，混乱的编排导致响应文件被误读或磋商小组查找不到有效文件是供应商的风险。不完整、编排混乱导致响应文件被误读、漏读或者查找不到相关内容的，</w:t>
      </w:r>
      <w:r>
        <w:rPr>
          <w:rFonts w:hint="eastAsia" w:ascii="宋体" w:hAnsi="宋体" w:cs="宋体"/>
          <w:color w:val="auto"/>
          <w:highlight w:val="none"/>
        </w:rPr>
        <w:t>由此引发的</w:t>
      </w:r>
      <w:r>
        <w:rPr>
          <w:rFonts w:hint="eastAsia" w:ascii="宋体" w:hAnsi="宋体" w:cs="宋体"/>
          <w:color w:val="auto"/>
          <w:szCs w:val="21"/>
          <w:highlight w:val="none"/>
        </w:rPr>
        <w:t>后果由供应商承担。</w:t>
      </w:r>
    </w:p>
    <w:p w14:paraId="1167CEB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18.2响应文件应按资格证明、报价分别编制，商务技术文件合并编制，本磋商只接受电子版响应文件，要求见本章“12.2响应文件电子版要求”。</w:t>
      </w:r>
    </w:p>
    <w:p w14:paraId="17B05C6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w:t>
      </w:r>
      <w:bookmarkStart w:id="49" w:name="_Hlk65832699"/>
      <w:r>
        <w:rPr>
          <w:rFonts w:hint="eastAsia" w:ascii="宋体" w:hAnsi="宋体" w:cs="宋体"/>
          <w:color w:val="auto"/>
          <w:szCs w:val="21"/>
          <w:highlight w:val="none"/>
        </w:rPr>
        <w:t>3</w:t>
      </w:r>
      <w:r>
        <w:rPr>
          <w:rFonts w:hint="eastAsia" w:ascii="宋体" w:hAnsi="宋体"/>
          <w:color w:val="auto"/>
          <w:szCs w:val="21"/>
          <w:highlight w:val="none"/>
        </w:rPr>
        <w:t>响应文件须由供应商在</w:t>
      </w:r>
      <w:r>
        <w:rPr>
          <w:rFonts w:hint="eastAsia" w:ascii="宋体" w:hAnsi="宋体" w:cs="仿宋_GB2312"/>
          <w:color w:val="auto"/>
          <w:kern w:val="0"/>
          <w:szCs w:val="21"/>
          <w:highlight w:val="none"/>
          <w:lang w:val="zh-CN"/>
        </w:rPr>
        <w:t>“</w:t>
      </w:r>
      <w:r>
        <w:rPr>
          <w:rFonts w:hint="eastAsia" w:ascii="宋体" w:hAnsi="宋体"/>
          <w:color w:val="auto"/>
          <w:szCs w:val="21"/>
          <w:highlight w:val="none"/>
        </w:rPr>
        <w:t>第五章 响应文件格式</w:t>
      </w:r>
      <w:r>
        <w:rPr>
          <w:rFonts w:hint="eastAsia" w:ascii="宋体" w:hAnsi="宋体" w:cs="仿宋_GB2312"/>
          <w:color w:val="auto"/>
          <w:kern w:val="0"/>
          <w:szCs w:val="21"/>
          <w:highlight w:val="none"/>
          <w:lang w:val="zh-CN"/>
        </w:rPr>
        <w:t>”</w:t>
      </w:r>
      <w:r>
        <w:rPr>
          <w:rFonts w:hint="eastAsia" w:ascii="宋体" w:hAnsi="宋体"/>
          <w:color w:val="auto"/>
          <w:szCs w:val="21"/>
          <w:highlight w:val="none"/>
        </w:rPr>
        <w:t>规定位置</w:t>
      </w:r>
      <w:r>
        <w:rPr>
          <w:rFonts w:hint="eastAsia" w:ascii="宋体" w:hAnsi="宋体" w:cs="仿宋_GB2312"/>
          <w:color w:val="auto"/>
          <w:szCs w:val="21"/>
          <w:highlight w:val="none"/>
        </w:rPr>
        <w:t>进行签署、盖章</w:t>
      </w:r>
      <w:bookmarkEnd w:id="49"/>
      <w:r>
        <w:rPr>
          <w:rFonts w:hint="eastAsia" w:ascii="宋体" w:hAnsi="宋体" w:cs="宋体"/>
          <w:color w:val="auto"/>
          <w:szCs w:val="21"/>
          <w:highlight w:val="none"/>
        </w:rPr>
        <w:t>，否则其响应文件按无效响应处理。骑缝盖公章不视为在规定位置盖章。</w:t>
      </w:r>
    </w:p>
    <w:p w14:paraId="4588E37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18.4响应文件中标注的供应商名称应与营业执照（事业单位法人证书、执业许可证、自然人身份证）及电子公章一致，否则其响应文件按无效响应处理。</w:t>
      </w:r>
    </w:p>
    <w:p w14:paraId="4E70037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18.5响应文件应避免涂改、行间插字或者删除，否则其响应文件按无效响应处理。</w:t>
      </w:r>
    </w:p>
    <w:p w14:paraId="47FC8D66">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19.响应文件的密封和标记</w:t>
      </w:r>
    </w:p>
    <w:p w14:paraId="2EFDBE67">
      <w:pPr>
        <w:spacing w:line="360" w:lineRule="auto"/>
        <w:ind w:firstLine="420" w:firstLineChars="200"/>
        <w:rPr>
          <w:rFonts w:ascii="宋体" w:hAnsi="宋体" w:cs="仿宋_GB2312"/>
          <w:color w:val="auto"/>
          <w:kern w:val="0"/>
          <w:szCs w:val="21"/>
          <w:highlight w:val="none"/>
          <w:lang w:val="zh-CN"/>
        </w:rPr>
      </w:pPr>
      <w:r>
        <w:rPr>
          <w:rFonts w:hint="eastAsia" w:ascii="宋体" w:hAnsi="宋体" w:cs="仿宋_GB2312"/>
          <w:color w:val="auto"/>
          <w:kern w:val="0"/>
          <w:szCs w:val="21"/>
          <w:highlight w:val="none"/>
          <w:lang w:val="zh-CN"/>
        </w:rPr>
        <w:t>19.1供应商进行电子交易应安装客户端软件—“政采云电子交易客户端”，并按照磋商文件和电子交易平台的要求编制并加密响应文件。供应商未按规定加密的响应文件，电子交易平台将拒收并提示。</w:t>
      </w:r>
    </w:p>
    <w:p w14:paraId="0E0D5058">
      <w:pPr>
        <w:spacing w:line="360" w:lineRule="auto"/>
        <w:ind w:firstLine="420" w:firstLineChars="200"/>
        <w:rPr>
          <w:rFonts w:ascii="宋体" w:hAnsi="宋体" w:cs="仿宋_GB2312"/>
          <w:color w:val="auto"/>
          <w:kern w:val="0"/>
          <w:szCs w:val="21"/>
          <w:highlight w:val="none"/>
          <w:lang w:val="zh-CN"/>
        </w:rPr>
      </w:pPr>
      <w:r>
        <w:rPr>
          <w:rFonts w:hint="eastAsia" w:ascii="宋体" w:hAnsi="宋体" w:cs="仿宋_GB2312"/>
          <w:color w:val="auto"/>
          <w:kern w:val="0"/>
          <w:szCs w:val="21"/>
          <w:highlight w:val="none"/>
          <w:lang w:val="zh-CN"/>
        </w:rPr>
        <w:t>19.2使用“政采云电子交易客户端”需要提前申领CA数字证书，申领流程见该项目采购公告附件。</w:t>
      </w:r>
    </w:p>
    <w:p w14:paraId="180ECBCD">
      <w:pPr>
        <w:pStyle w:val="12"/>
        <w:spacing w:line="360" w:lineRule="auto"/>
        <w:ind w:left="0" w:leftChars="0" w:firstLine="420" w:firstLineChars="200"/>
        <w:rPr>
          <w:rFonts w:hAnsi="宋体" w:cs="仿宋_GB2312"/>
          <w:color w:val="auto"/>
          <w:highlight w:val="none"/>
        </w:rPr>
      </w:pPr>
      <w:r>
        <w:rPr>
          <w:rFonts w:hint="eastAsia" w:hAnsi="宋体" w:cs="仿宋_GB2312"/>
          <w:color w:val="auto"/>
          <w:highlight w:val="none"/>
        </w:rPr>
        <w:t>19.3为确保网上操作合法、有效和安全，供应商应当在响应文件提交截止时间前完成在“广西政府采购云平台”的身份认证，确保在电子交易过程中能够对相关数据电文进行加密和使用电子签名。</w:t>
      </w:r>
    </w:p>
    <w:p w14:paraId="3F870F6D">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20.响应文件的提交</w:t>
      </w:r>
    </w:p>
    <w:p w14:paraId="4BAF977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20.1供应商必须在“供应商须知前附表”规定的时间和地点提交响应文件。</w:t>
      </w:r>
    </w:p>
    <w:p w14:paraId="5FD1AB64">
      <w:pPr>
        <w:spacing w:line="360" w:lineRule="auto"/>
        <w:ind w:firstLine="420" w:firstLineChars="200"/>
        <w:rPr>
          <w:rFonts w:ascii="宋体" w:hAnsi="宋体"/>
          <w:color w:val="auto"/>
          <w:szCs w:val="21"/>
          <w:highlight w:val="none"/>
        </w:rPr>
      </w:pPr>
      <w:r>
        <w:rPr>
          <w:rFonts w:hint="eastAsia" w:ascii="宋体" w:hAnsi="宋体" w:cs="宋体"/>
          <w:color w:val="auto"/>
          <w:szCs w:val="21"/>
          <w:highlight w:val="none"/>
        </w:rPr>
        <w:t>20</w:t>
      </w:r>
      <w:r>
        <w:rPr>
          <w:rFonts w:hint="eastAsia" w:ascii="宋体" w:hAnsi="宋体"/>
          <w:color w:val="auto"/>
          <w:szCs w:val="21"/>
          <w:highlight w:val="none"/>
        </w:rPr>
        <w:t>.2 在响应文件提交截止时间以后，不能补充、修改响应文件。</w:t>
      </w:r>
    </w:p>
    <w:p w14:paraId="2D96D06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20.3 在提交“最后报价”后，供应商不能退出谈判。</w:t>
      </w:r>
    </w:p>
    <w:p w14:paraId="3AF20626">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20.4 电子交易平台收到响应文件，将妥善保存并即时向供应商发出确认回执通知。在响应文件提交截止时间前，除供应商补充、修改或者撤回响应文件外，任何单位和个人不得解密或提取响应文件。</w:t>
      </w:r>
    </w:p>
    <w:p w14:paraId="3D2A2867">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20.5 采购机构不可视情况延长提交响应文件的截止时间。</w:t>
      </w:r>
    </w:p>
    <w:p w14:paraId="5D404FA3">
      <w:pPr>
        <w:spacing w:line="360" w:lineRule="auto"/>
        <w:ind w:firstLine="420" w:firstLineChars="200"/>
        <w:rPr>
          <w:rFonts w:ascii="黑体" w:hAnsi="黑体" w:eastAsia="黑体"/>
          <w:color w:val="auto"/>
          <w:sz w:val="24"/>
          <w:highlight w:val="none"/>
        </w:rPr>
      </w:pPr>
      <w:r>
        <w:rPr>
          <w:rFonts w:hint="eastAsia" w:ascii="宋体" w:hAnsi="宋体"/>
          <w:color w:val="auto"/>
          <w:szCs w:val="21"/>
          <w:highlight w:val="none"/>
        </w:rPr>
        <w:t>20.6备份响应文件。</w:t>
      </w:r>
      <w:r>
        <w:rPr>
          <w:rFonts w:hint="eastAsia" w:hAnsi="宋体"/>
          <w:bCs/>
          <w:color w:val="auto"/>
          <w:szCs w:val="21"/>
          <w:highlight w:val="none"/>
        </w:rPr>
        <w:t>详见在“供应商须知前附表”。</w:t>
      </w:r>
    </w:p>
    <w:p w14:paraId="7843ED2A">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21.首次响应文件的补充、修改与撤回</w:t>
      </w:r>
    </w:p>
    <w:p w14:paraId="10209CA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详见“供应商须知前附表”。</w:t>
      </w:r>
    </w:p>
    <w:p w14:paraId="2A2C4F2B">
      <w:pPr>
        <w:spacing w:line="360" w:lineRule="auto"/>
        <w:ind w:firstLine="482" w:firstLineChars="200"/>
        <w:rPr>
          <w:rFonts w:ascii="黑体" w:hAnsi="黑体" w:eastAsia="黑体" w:cs="宋体"/>
          <w:b/>
          <w:bCs/>
          <w:color w:val="auto"/>
          <w:sz w:val="24"/>
          <w:highlight w:val="none"/>
        </w:rPr>
      </w:pPr>
      <w:bookmarkStart w:id="50" w:name="_Hlk45702405"/>
      <w:r>
        <w:rPr>
          <w:rFonts w:hint="eastAsia" w:ascii="黑体" w:hAnsi="黑体" w:eastAsia="黑体" w:cs="宋体"/>
          <w:b/>
          <w:bCs/>
          <w:color w:val="auto"/>
          <w:sz w:val="24"/>
          <w:highlight w:val="none"/>
        </w:rPr>
        <w:t>22. 首次响应文件的退回</w:t>
      </w:r>
    </w:p>
    <w:p w14:paraId="11D0C78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在首次响应文件提交截止时间止提交响应文件的供应商不足3家时电子响应文件由代理机构在“广西政府采购云平台”操作退回，除此之外采购人和采购代理机构对已提交的电子响应文件概不退回。</w:t>
      </w:r>
    </w:p>
    <w:p w14:paraId="3D64D130">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23. 截止时间后的撤回</w:t>
      </w:r>
    </w:p>
    <w:p w14:paraId="2DDD2458">
      <w:pPr>
        <w:spacing w:line="360" w:lineRule="auto"/>
        <w:ind w:firstLine="420" w:firstLineChars="200"/>
        <w:rPr>
          <w:rFonts w:ascii="宋体" w:hAnsi="宋体"/>
          <w:color w:val="auto"/>
          <w:szCs w:val="21"/>
          <w:highlight w:val="none"/>
        </w:rPr>
      </w:pPr>
      <w:r>
        <w:rPr>
          <w:rFonts w:hint="eastAsia" w:ascii="宋体" w:hAnsi="宋体" w:cs="宋体"/>
          <w:color w:val="auto"/>
          <w:szCs w:val="21"/>
          <w:highlight w:val="none"/>
        </w:rPr>
        <w:t>本项目不收取磋商保证金，供应商在首次响应文件提交截止时间后可向采购人、采购代理机构书面申请撤回电子响应文件。</w:t>
      </w:r>
      <w:bookmarkEnd w:id="50"/>
    </w:p>
    <w:p w14:paraId="15841D05">
      <w:pPr>
        <w:pStyle w:val="4"/>
        <w:spacing w:before="0" w:after="0" w:line="360" w:lineRule="auto"/>
        <w:ind w:firstLine="640" w:firstLineChars="200"/>
        <w:rPr>
          <w:rFonts w:ascii="宋体" w:hAnsi="宋体"/>
          <w:b w:val="0"/>
          <w:bCs w:val="0"/>
          <w:color w:val="auto"/>
          <w:highlight w:val="none"/>
        </w:rPr>
      </w:pPr>
      <w:bookmarkStart w:id="51" w:name="_Toc12248"/>
      <w:r>
        <w:rPr>
          <w:rFonts w:hint="eastAsia" w:ascii="宋体" w:hAnsi="宋体"/>
          <w:b w:val="0"/>
          <w:bCs w:val="0"/>
          <w:color w:val="auto"/>
          <w:highlight w:val="none"/>
        </w:rPr>
        <w:t>四、评审及磋商</w:t>
      </w:r>
      <w:bookmarkEnd w:id="51"/>
    </w:p>
    <w:p w14:paraId="7B8F68CC">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24.磋商小组成立</w:t>
      </w:r>
    </w:p>
    <w:p w14:paraId="3EDB47B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24.1磋商小组由采购人代表和评审专家共3人以上单数组成，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14:paraId="21AB2F4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23B125FD">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25.首次响应文件的开启</w:t>
      </w:r>
    </w:p>
    <w:p w14:paraId="36CC27D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25.1首次响应文件由磋商小组或者采购代理机构在“供应商须知前附表”规定的时间开启。</w:t>
      </w:r>
    </w:p>
    <w:p w14:paraId="0E7580AD">
      <w:pPr>
        <w:pStyle w:val="12"/>
        <w:spacing w:line="360" w:lineRule="auto"/>
        <w:ind w:left="0" w:leftChars="0" w:firstLine="420" w:firstLineChars="200"/>
        <w:rPr>
          <w:rFonts w:hAnsi="宋体"/>
          <w:bCs/>
          <w:color w:val="auto"/>
          <w:highlight w:val="none"/>
        </w:rPr>
      </w:pPr>
      <w:r>
        <w:rPr>
          <w:rFonts w:hint="eastAsia" w:hAnsi="宋体" w:cs="宋体"/>
          <w:color w:val="auto"/>
          <w:highlight w:val="none"/>
        </w:rPr>
        <w:t xml:space="preserve">25.2 </w:t>
      </w:r>
      <w:r>
        <w:rPr>
          <w:rFonts w:hint="eastAsia" w:hAnsi="宋体"/>
          <w:bCs/>
          <w:color w:val="auto"/>
          <w:highlight w:val="none"/>
        </w:rPr>
        <w:t>响应文件解密</w:t>
      </w:r>
    </w:p>
    <w:p w14:paraId="4657C99C">
      <w:pPr>
        <w:pStyle w:val="12"/>
        <w:snapToGrid w:val="0"/>
        <w:spacing w:line="360" w:lineRule="auto"/>
        <w:ind w:left="0" w:leftChars="0" w:firstLine="420" w:firstLineChars="200"/>
        <w:rPr>
          <w:rFonts w:hAnsi="宋体"/>
          <w:color w:val="auto"/>
          <w:highlight w:val="none"/>
        </w:rPr>
      </w:pPr>
      <w:r>
        <w:rPr>
          <w:rFonts w:hint="eastAsia" w:hAnsi="宋体"/>
          <w:bCs/>
          <w:color w:val="auto"/>
          <w:highlight w:val="none"/>
        </w:rPr>
        <w:t>采购代理机构将在“供应商须知前附表”规定的时</w:t>
      </w:r>
      <w:r>
        <w:rPr>
          <w:rFonts w:hint="eastAsia" w:hAnsi="宋体"/>
          <w:color w:val="auto"/>
          <w:highlight w:val="none"/>
        </w:rPr>
        <w:t>间通过电子交易平台组织响应文件开启，采购机构依托电子交易平台发起开始解密指令，供应商的法定代表人或其委托代理人</w:t>
      </w:r>
      <w:r>
        <w:rPr>
          <w:rFonts w:hint="eastAsia" w:hAnsi="宋体"/>
          <w:b/>
          <w:color w:val="auto"/>
          <w:highlight w:val="none"/>
        </w:rPr>
        <w:t>须携带加密时所用的CA锁按平台提示和采购文件的规定登录到“广西政府采购云平台”电子开标大厅签到并在发起解密指令之时起30分钟内完成对电子响应文件在线解密</w:t>
      </w:r>
      <w:r>
        <w:rPr>
          <w:rFonts w:hint="eastAsia" w:hAnsi="宋体"/>
          <w:color w:val="auto"/>
          <w:highlight w:val="none"/>
        </w:rPr>
        <w:t>。发起解密指令之时起5分钟内供应商还未进行解密的，代理机构要通知供应商，供应商没预留联系方式或预留联系方式无效，导致代理机构无法联系到供应商进行解密的，</w:t>
      </w:r>
      <w:r>
        <w:rPr>
          <w:rFonts w:hint="eastAsia" w:hAnsi="宋体"/>
          <w:b/>
          <w:color w:val="auto"/>
          <w:highlight w:val="none"/>
        </w:rPr>
        <w:t>视为响应文件无效。</w:t>
      </w:r>
      <w:r>
        <w:rPr>
          <w:rFonts w:hint="eastAsia" w:hAnsi="宋体"/>
          <w:color w:val="auto"/>
          <w:highlight w:val="none"/>
        </w:rPr>
        <w:t>（解密</w:t>
      </w:r>
      <w:r>
        <w:rPr>
          <w:rFonts w:hint="eastAsia" w:hAnsi="宋体"/>
          <w:bCs/>
          <w:color w:val="auto"/>
          <w:highlight w:val="none"/>
        </w:rPr>
        <w:t>异常情况处理：详见本章</w:t>
      </w:r>
      <w:r>
        <w:rPr>
          <w:rFonts w:hint="eastAsia" w:hAnsi="宋体"/>
          <w:color w:val="auto"/>
          <w:highlight w:val="none"/>
        </w:rPr>
        <w:t>26.3 电子交易活动的中止。）</w:t>
      </w:r>
    </w:p>
    <w:p w14:paraId="18773066">
      <w:pPr>
        <w:pStyle w:val="12"/>
        <w:spacing w:line="360" w:lineRule="auto"/>
        <w:ind w:left="0" w:leftChars="0" w:firstLine="420" w:firstLineChars="200"/>
        <w:rPr>
          <w:color w:val="auto"/>
          <w:highlight w:val="none"/>
        </w:rPr>
      </w:pPr>
      <w:r>
        <w:rPr>
          <w:rFonts w:hint="eastAsia" w:hAnsi="宋体"/>
          <w:color w:val="auto"/>
          <w:highlight w:val="none"/>
        </w:rPr>
        <w:t>如</w:t>
      </w:r>
      <w:r>
        <w:rPr>
          <w:rFonts w:hint="eastAsia" w:hAnsi="宋体"/>
          <w:bCs/>
          <w:color w:val="auto"/>
          <w:highlight w:val="none"/>
        </w:rPr>
        <w:t>供应商成功解密响应文件，但未在“广西政府采购云平台”电子开标大厅参加谈判的，视同认可谈判过程和结果，</w:t>
      </w:r>
      <w:r>
        <w:rPr>
          <w:rFonts w:hint="eastAsia" w:hAnsi="宋体"/>
          <w:color w:val="auto"/>
          <w:highlight w:val="none"/>
        </w:rPr>
        <w:t>由此产生的后果由供应商自行负责。 参与谈判的供应商</w:t>
      </w:r>
      <w:r>
        <w:rPr>
          <w:rFonts w:hint="eastAsia"/>
          <w:color w:val="auto"/>
          <w:highlight w:val="none"/>
        </w:rPr>
        <w:t>不足3家的，不得谈判。</w:t>
      </w:r>
    </w:p>
    <w:p w14:paraId="11A0505E">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26.评审程序、评审方法和评审标准</w:t>
      </w:r>
    </w:p>
    <w:p w14:paraId="4EB3C0C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26.1磋商小组按照“第四章 评审程序、评审方法和评审标准”规定的方法、评审因素、标准和程序对响应文件进行评审。</w:t>
      </w:r>
    </w:p>
    <w:p w14:paraId="10E930C8">
      <w:pPr>
        <w:spacing w:line="360" w:lineRule="auto"/>
        <w:ind w:firstLine="420" w:firstLineChars="200"/>
        <w:rPr>
          <w:rFonts w:ascii="宋体" w:hAnsi="宋体" w:cs="宋体"/>
          <w:color w:val="auto"/>
          <w:szCs w:val="21"/>
          <w:highlight w:val="none"/>
        </w:rPr>
      </w:pPr>
      <w:r>
        <w:rPr>
          <w:rFonts w:hint="eastAsia" w:ascii="宋体" w:hAnsi="宋体"/>
          <w:color w:val="auto"/>
          <w:szCs w:val="21"/>
          <w:highlight w:val="none"/>
        </w:rPr>
        <w:t xml:space="preserve">26.2 </w:t>
      </w:r>
      <w:r>
        <w:rPr>
          <w:rFonts w:hint="eastAsia" w:ascii="宋体" w:hAnsi="宋体" w:cs="宋体"/>
          <w:color w:val="auto"/>
          <w:szCs w:val="21"/>
          <w:highlight w:val="none"/>
        </w:rPr>
        <w:t>磋商文件内容违反国家有关强制性规定的，磋商小组应当停止评审并向采购人或者采购代理机构说明情况，并在评审报告中书面体现。</w:t>
      </w:r>
    </w:p>
    <w:p w14:paraId="1E0F233D">
      <w:pPr>
        <w:spacing w:line="360" w:lineRule="auto"/>
        <w:ind w:firstLine="420" w:firstLineChars="200"/>
        <w:rPr>
          <w:rFonts w:ascii="宋体" w:hAnsi="宋体"/>
          <w:color w:val="auto"/>
          <w:szCs w:val="21"/>
          <w:highlight w:val="none"/>
        </w:rPr>
      </w:pPr>
      <w:r>
        <w:rPr>
          <w:rFonts w:hint="eastAsia" w:ascii="宋体" w:hAnsi="宋体" w:cs="宋体"/>
          <w:color w:val="auto"/>
          <w:szCs w:val="21"/>
          <w:highlight w:val="none"/>
        </w:rPr>
        <w:t xml:space="preserve">26.3 </w:t>
      </w:r>
      <w:r>
        <w:rPr>
          <w:rFonts w:hint="eastAsia" w:ascii="宋体" w:hAnsi="宋体"/>
          <w:color w:val="auto"/>
          <w:szCs w:val="21"/>
          <w:highlight w:val="none"/>
        </w:rPr>
        <w:t>采购需求负偏离要求及磋商顺序详见 “ 供应商须知前附表”。</w:t>
      </w:r>
    </w:p>
    <w:p w14:paraId="09417EB4">
      <w:pPr>
        <w:spacing w:line="360" w:lineRule="auto"/>
        <w:ind w:firstLine="420" w:firstLineChars="200"/>
        <w:rPr>
          <w:rFonts w:ascii="宋体" w:hAnsi="宋体"/>
          <w:color w:val="auto"/>
          <w:highlight w:val="none"/>
        </w:rPr>
      </w:pPr>
      <w:r>
        <w:rPr>
          <w:rFonts w:hint="eastAsia" w:ascii="宋体" w:hAnsi="宋体"/>
          <w:color w:val="auto"/>
          <w:highlight w:val="none"/>
        </w:rPr>
        <w:t>26.4电子交易活动的中止。采购过程中出现以下情形，导致电子交易平台无法正常运行，或者无法保证电子交易的公平、公正和安全时，采购机构可中止电子交易活动：</w:t>
      </w:r>
    </w:p>
    <w:p w14:paraId="4F665852">
      <w:pPr>
        <w:spacing w:line="360" w:lineRule="auto"/>
        <w:ind w:firstLine="420" w:firstLineChars="200"/>
        <w:rPr>
          <w:rFonts w:ascii="宋体" w:hAnsi="宋体"/>
          <w:color w:val="auto"/>
          <w:highlight w:val="none"/>
        </w:rPr>
      </w:pPr>
      <w:r>
        <w:rPr>
          <w:rFonts w:hint="eastAsia" w:ascii="宋体" w:hAnsi="宋体"/>
          <w:color w:val="auto"/>
          <w:highlight w:val="none"/>
        </w:rPr>
        <w:t xml:space="preserve">（1）电子交易平台发生故障而无法登录访问的； </w:t>
      </w:r>
    </w:p>
    <w:p w14:paraId="1F44A02C">
      <w:pPr>
        <w:spacing w:line="360" w:lineRule="auto"/>
        <w:ind w:firstLine="420" w:firstLineChars="200"/>
        <w:rPr>
          <w:rFonts w:ascii="宋体" w:hAnsi="宋体"/>
          <w:color w:val="auto"/>
          <w:highlight w:val="none"/>
        </w:rPr>
      </w:pPr>
      <w:r>
        <w:rPr>
          <w:rFonts w:hint="eastAsia" w:ascii="宋体" w:hAnsi="宋体"/>
          <w:color w:val="auto"/>
          <w:highlight w:val="none"/>
        </w:rPr>
        <w:t>（2）电子交易平台应用或数据库出现错误，不能进行正常操作的；</w:t>
      </w:r>
    </w:p>
    <w:p w14:paraId="22E2D7CA">
      <w:pPr>
        <w:spacing w:line="360" w:lineRule="auto"/>
        <w:ind w:firstLine="420" w:firstLineChars="200"/>
        <w:rPr>
          <w:rFonts w:ascii="宋体" w:hAnsi="宋体"/>
          <w:color w:val="auto"/>
          <w:highlight w:val="none"/>
        </w:rPr>
      </w:pPr>
      <w:r>
        <w:rPr>
          <w:rFonts w:hint="eastAsia" w:ascii="宋体" w:hAnsi="宋体"/>
          <w:color w:val="auto"/>
          <w:highlight w:val="none"/>
        </w:rPr>
        <w:t>（3）电子交易平台发现严重安全漏洞，有潜在泄密危险的；</w:t>
      </w:r>
    </w:p>
    <w:p w14:paraId="733F7BA8">
      <w:pPr>
        <w:spacing w:line="360" w:lineRule="auto"/>
        <w:ind w:firstLine="420" w:firstLineChars="200"/>
        <w:rPr>
          <w:rFonts w:ascii="宋体" w:hAnsi="宋体"/>
          <w:color w:val="auto"/>
          <w:highlight w:val="none"/>
        </w:rPr>
      </w:pPr>
      <w:r>
        <w:rPr>
          <w:rFonts w:hint="eastAsia" w:ascii="宋体" w:hAnsi="宋体"/>
          <w:color w:val="auto"/>
          <w:highlight w:val="none"/>
        </w:rPr>
        <w:t xml:space="preserve">（4）病毒发作导致不能进行正常操作的； </w:t>
      </w:r>
    </w:p>
    <w:p w14:paraId="1CB0B22B">
      <w:pPr>
        <w:spacing w:line="360" w:lineRule="auto"/>
        <w:ind w:firstLine="420" w:firstLineChars="200"/>
        <w:rPr>
          <w:rFonts w:ascii="宋体" w:hAnsi="宋体"/>
          <w:color w:val="auto"/>
          <w:highlight w:val="none"/>
        </w:rPr>
      </w:pPr>
      <w:r>
        <w:rPr>
          <w:rFonts w:hint="eastAsia" w:ascii="宋体" w:hAnsi="宋体"/>
          <w:color w:val="auto"/>
          <w:highlight w:val="none"/>
        </w:rPr>
        <w:t>（5）其他无法保证电子交易的公平、公正和安全的情况。</w:t>
      </w:r>
    </w:p>
    <w:p w14:paraId="0959EE6C">
      <w:pPr>
        <w:spacing w:line="360" w:lineRule="auto"/>
        <w:ind w:firstLine="420" w:firstLineChars="200"/>
        <w:rPr>
          <w:rFonts w:ascii="宋体" w:hAnsi="宋体"/>
          <w:color w:val="auto"/>
          <w:highlight w:val="none"/>
        </w:rPr>
      </w:pPr>
      <w:r>
        <w:rPr>
          <w:rFonts w:hint="eastAsia" w:ascii="宋体" w:hAnsi="宋体"/>
          <w:color w:val="auto"/>
          <w:highlight w:val="none"/>
        </w:rPr>
        <w:t>26.5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7D7D5E53">
      <w:pPr>
        <w:pStyle w:val="4"/>
        <w:spacing w:before="0" w:after="0" w:line="360" w:lineRule="auto"/>
        <w:ind w:firstLine="480" w:firstLineChars="150"/>
        <w:rPr>
          <w:rFonts w:ascii="宋体" w:hAnsi="宋体"/>
          <w:b w:val="0"/>
          <w:bCs w:val="0"/>
          <w:color w:val="auto"/>
          <w:highlight w:val="none"/>
        </w:rPr>
      </w:pPr>
      <w:bookmarkStart w:id="52" w:name="_Toc31092"/>
      <w:r>
        <w:rPr>
          <w:rFonts w:hint="eastAsia" w:ascii="宋体" w:hAnsi="宋体"/>
          <w:b w:val="0"/>
          <w:bCs w:val="0"/>
          <w:color w:val="auto"/>
          <w:highlight w:val="none"/>
        </w:rPr>
        <w:t>五、成交及合同</w:t>
      </w:r>
      <w:bookmarkEnd w:id="52"/>
    </w:p>
    <w:p w14:paraId="3CE91075">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27.确定成交供应商及结果公告</w:t>
      </w:r>
    </w:p>
    <w:p w14:paraId="5CD7944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27.1确定成交供应商。</w:t>
      </w:r>
      <w:r>
        <w:rPr>
          <w:rFonts w:hint="eastAsia" w:ascii="宋体" w:hAnsi="宋体" w:cs="宋体"/>
          <w:color w:val="auto"/>
          <w:kern w:val="0"/>
          <w:szCs w:val="21"/>
          <w:highlight w:val="none"/>
          <w:u w:val="single"/>
        </w:rPr>
        <w:t xml:space="preserve"> 由采购人直接委托评审专家确定</w:t>
      </w:r>
      <w:r>
        <w:rPr>
          <w:rFonts w:hint="eastAsia" w:ascii="宋体" w:hAnsi="宋体" w:cs="宋体"/>
          <w:color w:val="auto"/>
          <w:szCs w:val="21"/>
          <w:highlight w:val="none"/>
          <w:u w:val="single"/>
        </w:rPr>
        <w:t>，评审报告提出的排序第一的供应商为成交供应商。</w:t>
      </w:r>
    </w:p>
    <w:p w14:paraId="71D11D6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27.2成交通知及成交结果公告。</w:t>
      </w:r>
      <w:r>
        <w:rPr>
          <w:rFonts w:hint="eastAsia" w:ascii="宋体" w:hAnsi="宋体" w:cs="宋体"/>
          <w:color w:val="auto"/>
          <w:kern w:val="0"/>
          <w:szCs w:val="21"/>
          <w:highlight w:val="none"/>
        </w:rPr>
        <w:t>成交</w:t>
      </w:r>
      <w:r>
        <w:rPr>
          <w:rFonts w:hint="eastAsia" w:ascii="宋体" w:hAnsi="宋体" w:cs="宋体"/>
          <w:color w:val="auto"/>
          <w:szCs w:val="21"/>
          <w:highlight w:val="none"/>
        </w:rPr>
        <w:t>供应商确定后2个工作日内，在省级以上财政部门指定的媒体上公</w:t>
      </w:r>
      <w:r>
        <w:rPr>
          <w:rFonts w:hint="eastAsia" w:ascii="宋体" w:hAnsi="宋体" w:cs="宋体"/>
          <w:color w:val="auto"/>
          <w:kern w:val="0"/>
          <w:szCs w:val="21"/>
          <w:highlight w:val="none"/>
        </w:rPr>
        <w:t>告成交结果（成交通知及成交结果公告应使用南宁市模板进行公告，公告内容除包含《政府采购公告和公示信息格式规范（2020年版）》要求内容外，还应包含采购人专门面向中小企业预留份额情况及成交供应商评审价格、优惠率等内容），</w:t>
      </w:r>
      <w:r>
        <w:rPr>
          <w:rFonts w:hint="eastAsia" w:ascii="宋体" w:hAnsi="宋体" w:cs="宋体"/>
          <w:color w:val="auto"/>
          <w:szCs w:val="21"/>
          <w:highlight w:val="none"/>
        </w:rPr>
        <w:t>同时向成交供应商发出成交通知书，成交通知书规定签订合同的时间不得超过25日。</w:t>
      </w:r>
    </w:p>
    <w:p w14:paraId="0685CEDD">
      <w:pPr>
        <w:spacing w:line="360" w:lineRule="auto"/>
        <w:ind w:firstLine="420" w:firstLineChars="200"/>
        <w:rPr>
          <w:rFonts w:ascii="宋体" w:hAnsi="宋体" w:cs="Courier New"/>
          <w:color w:val="auto"/>
          <w:szCs w:val="21"/>
          <w:highlight w:val="none"/>
        </w:rPr>
      </w:pPr>
      <w:r>
        <w:rPr>
          <w:rFonts w:hint="eastAsia" w:ascii="宋体" w:hAnsi="宋体" w:cs="宋体"/>
          <w:color w:val="auto"/>
          <w:szCs w:val="21"/>
          <w:highlight w:val="none"/>
        </w:rPr>
        <w:t>27.3采购人或者采购代理机构发出成交通知书前，应当对成交供应商信用进行查询核实，对列入失信被执行人、重大税收违法失信主体、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竞磋文件一并保存。</w:t>
      </w:r>
      <w:r>
        <w:rPr>
          <w:rFonts w:hint="eastAsia" w:ascii="宋体" w:hAnsi="宋体" w:cs="Courier New"/>
          <w:color w:val="auto"/>
          <w:szCs w:val="21"/>
          <w:highlight w:val="none"/>
        </w:rPr>
        <w:t>成交供应商享受</w:t>
      </w:r>
      <w:r>
        <w:rPr>
          <w:rFonts w:hint="eastAsia" w:ascii="宋体" w:hAnsi="宋体"/>
          <w:color w:val="auto"/>
          <w:szCs w:val="21"/>
          <w:highlight w:val="none"/>
        </w:rPr>
        <w:t>《政府采购促进中小企业发展管理办法》（财库〔2020〕46号）规定的中小企业扶持</w:t>
      </w:r>
      <w:r>
        <w:rPr>
          <w:rFonts w:hint="eastAsia" w:ascii="宋体" w:hAnsi="宋体" w:cs="Courier New"/>
          <w:color w:val="auto"/>
          <w:szCs w:val="21"/>
          <w:highlight w:val="none"/>
        </w:rPr>
        <w:t>政策的，采购人、采购代理机构应当随成交结果公开成交供应商的《中小企业声明函》。</w:t>
      </w:r>
    </w:p>
    <w:p w14:paraId="7BC2F24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27.4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14:paraId="54FA6653">
      <w:pPr>
        <w:spacing w:line="360" w:lineRule="auto"/>
        <w:ind w:firstLine="420" w:firstLineChars="200"/>
        <w:rPr>
          <w:rFonts w:ascii="宋体" w:hAnsi="宋体" w:cs="宋体"/>
          <w:color w:val="auto"/>
          <w:szCs w:val="21"/>
          <w:highlight w:val="none"/>
        </w:rPr>
      </w:pPr>
      <w:r>
        <w:rPr>
          <w:rFonts w:hint="eastAsia" w:ascii="宋体" w:hAnsi="宋体"/>
          <w:bCs/>
          <w:color w:val="auto"/>
          <w:szCs w:val="21"/>
          <w:highlight w:val="none"/>
        </w:rPr>
        <w:t>27.5</w:t>
      </w:r>
      <w:r>
        <w:rPr>
          <w:rFonts w:hint="eastAsia" w:ascii="宋体" w:hAnsi="宋体" w:cs="宋体"/>
          <w:color w:val="auto"/>
          <w:szCs w:val="21"/>
          <w:highlight w:val="none"/>
        </w:rPr>
        <w:t>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w:t>
      </w:r>
    </w:p>
    <w:p w14:paraId="1D77D9AC">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28.履约保证金</w:t>
      </w:r>
    </w:p>
    <w:p w14:paraId="696270D1">
      <w:pPr>
        <w:spacing w:line="360" w:lineRule="auto"/>
        <w:ind w:firstLine="420" w:firstLineChars="200"/>
        <w:rPr>
          <w:rFonts w:ascii="黑体" w:hAnsi="黑体" w:eastAsia="黑体" w:cs="宋体"/>
          <w:b/>
          <w:bCs/>
          <w:color w:val="auto"/>
          <w:sz w:val="24"/>
          <w:highlight w:val="none"/>
        </w:rPr>
      </w:pPr>
      <w:r>
        <w:rPr>
          <w:rFonts w:hint="eastAsia" w:ascii="宋体" w:hAnsi="宋体" w:cs="宋体"/>
          <w:color w:val="auto"/>
          <w:szCs w:val="21"/>
          <w:highlight w:val="none"/>
        </w:rPr>
        <w:t>详见 “供应商须知前附表”</w:t>
      </w:r>
    </w:p>
    <w:p w14:paraId="218CB34E">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29.签订合同</w:t>
      </w:r>
    </w:p>
    <w:p w14:paraId="37F8B1D3">
      <w:pPr>
        <w:snapToGrid w:val="0"/>
        <w:ind w:firstLine="420"/>
        <w:rPr>
          <w:rFonts w:ascii="宋体" w:hAnsi="宋体"/>
          <w:color w:val="auto"/>
          <w:szCs w:val="21"/>
          <w:highlight w:val="none"/>
          <w:lang w:val="zh-CN"/>
        </w:rPr>
      </w:pPr>
      <w:r>
        <w:rPr>
          <w:rFonts w:hint="eastAsia" w:ascii="宋体" w:hAnsi="宋体" w:cs="宋体"/>
          <w:color w:val="auto"/>
          <w:szCs w:val="21"/>
          <w:highlight w:val="none"/>
        </w:rPr>
        <w:t>29.1</w:t>
      </w:r>
      <w:r>
        <w:rPr>
          <w:rFonts w:hint="eastAsia" w:ascii="宋体" w:hAnsi="宋体"/>
          <w:color w:val="auto"/>
          <w:szCs w:val="21"/>
          <w:highlight w:val="none"/>
        </w:rPr>
        <w:t>采购人与成交供应商应当在</w:t>
      </w:r>
      <w:r>
        <w:rPr>
          <w:rFonts w:hint="eastAsia" w:ascii="宋体" w:hAnsi="宋体" w:cs="宋体"/>
          <w:color w:val="auto"/>
          <w:szCs w:val="21"/>
          <w:highlight w:val="none"/>
        </w:rPr>
        <w:t>成交通知书规定的时间内</w:t>
      </w:r>
      <w:r>
        <w:rPr>
          <w:rFonts w:hint="eastAsia" w:ascii="宋体" w:hAnsi="宋体"/>
          <w:color w:val="auto"/>
          <w:szCs w:val="21"/>
          <w:highlight w:val="none"/>
        </w:rPr>
        <w:t>，按照磋商文件确定的合同文本以及采购标的、服务技术、采购金额、采购数量、技术和服务要求等事项签订政府采购合同。</w:t>
      </w:r>
      <w:r>
        <w:rPr>
          <w:rFonts w:hint="eastAsia" w:ascii="宋体" w:hAnsi="宋体"/>
          <w:color w:val="auto"/>
          <w:szCs w:val="21"/>
          <w:highlight w:val="none"/>
          <w:lang w:val="zh-CN"/>
        </w:rPr>
        <w:t>如成交供应商为联合体的，由联合体成员各方法定代表人或其授权代表与采购人代表签订合同。</w:t>
      </w:r>
    </w:p>
    <w:p w14:paraId="73E4BB46">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29.2采购人不得向成交供应商提出超出磋商文件以外的任何要求作为签订合同的条件，不得与成交供应商订立背离磋商文件确定的合同文本以及采购标的、服务技术、采购金额、采购数量、技术和服务要求等实质性内容的协议。</w:t>
      </w:r>
    </w:p>
    <w:p w14:paraId="3253D0D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29.3成交供应商拒绝签订政府采购合同的，采购人可以按照评审报告推荐的成交候选人名单排序，确定下一候选人为成交供应商，也可以重新开展采购活动。拒绝签订政府采购合同的成交供应商不得参加对该项目重新开展的采购活动。</w:t>
      </w:r>
    </w:p>
    <w:p w14:paraId="2F1491FB">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29.4如签订合同并生效后，供应商无故拒绝或延期，除按照合同条款处理外，列入不良行为记录，并给予通报。</w:t>
      </w:r>
    </w:p>
    <w:p w14:paraId="5A3F56B0">
      <w:pPr>
        <w:ind w:firstLine="420"/>
        <w:rPr>
          <w:rFonts w:ascii="宋体" w:hAnsi="宋体" w:cs="宋体"/>
          <w:color w:val="auto"/>
          <w:szCs w:val="21"/>
          <w:highlight w:val="none"/>
        </w:rPr>
      </w:pPr>
      <w:r>
        <w:rPr>
          <w:rFonts w:hint="eastAsia" w:ascii="宋体" w:hAnsi="宋体" w:cs="仿宋_GB2312"/>
          <w:color w:val="auto"/>
          <w:szCs w:val="21"/>
          <w:highlight w:val="none"/>
        </w:rPr>
        <w:t>29.5采购合同由采购人与成交供应商根据</w:t>
      </w:r>
      <w:r>
        <w:rPr>
          <w:rFonts w:hint="eastAsia" w:ascii="宋体" w:hAnsi="宋体"/>
          <w:color w:val="auto"/>
          <w:szCs w:val="21"/>
          <w:highlight w:val="none"/>
        </w:rPr>
        <w:t>磋商文件</w:t>
      </w:r>
      <w:r>
        <w:rPr>
          <w:rFonts w:hint="eastAsia" w:ascii="宋体" w:hAnsi="宋体" w:cs="仿宋_GB2312"/>
          <w:color w:val="auto"/>
          <w:szCs w:val="21"/>
          <w:highlight w:val="none"/>
        </w:rPr>
        <w:t>、响应文件等内容通过政府采购电子交易平台在线签订，自动备案，在线签订须携带的材料见“</w:t>
      </w:r>
      <w:r>
        <w:rPr>
          <w:color w:val="auto"/>
          <w:highlight w:val="none"/>
        </w:rPr>
        <w:t xml:space="preserve"> </w:t>
      </w:r>
      <w:r>
        <w:rPr>
          <w:rFonts w:hint="eastAsia" w:ascii="宋体" w:hAnsi="宋体" w:cs="仿宋_GB2312"/>
          <w:color w:val="auto"/>
          <w:szCs w:val="21"/>
          <w:highlight w:val="none"/>
        </w:rPr>
        <w:t>供应商须</w:t>
      </w:r>
      <w:r>
        <w:rPr>
          <w:rFonts w:hint="eastAsia" w:ascii="宋体" w:hAnsi="宋体"/>
          <w:color w:val="auto"/>
          <w:szCs w:val="21"/>
          <w:highlight w:val="none"/>
        </w:rPr>
        <w:t>知前附表</w:t>
      </w:r>
      <w:r>
        <w:rPr>
          <w:rFonts w:hint="eastAsia" w:ascii="宋体" w:hAnsi="宋体" w:cs="仿宋_GB2312"/>
          <w:color w:val="auto"/>
          <w:szCs w:val="21"/>
          <w:highlight w:val="none"/>
        </w:rPr>
        <w:t>”。</w:t>
      </w:r>
    </w:p>
    <w:p w14:paraId="76A1BC32">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30.政府采购合同公告</w:t>
      </w:r>
    </w:p>
    <w:p w14:paraId="2379BDFF">
      <w:pPr>
        <w:spacing w:line="360" w:lineRule="auto"/>
        <w:ind w:firstLine="420" w:firstLineChars="200"/>
        <w:rPr>
          <w:rFonts w:hAnsi="宋体"/>
          <w:color w:val="auto"/>
          <w:highlight w:val="none"/>
        </w:rPr>
      </w:pPr>
      <w:r>
        <w:rPr>
          <w:rFonts w:hint="eastAsia" w:hAnsi="宋体"/>
          <w:color w:val="auto"/>
          <w:highlight w:val="none"/>
        </w:rPr>
        <w:t>采购人或者受托采购代理机构应当自政府采购合同签订之日起</w:t>
      </w:r>
      <w:r>
        <w:rPr>
          <w:rFonts w:hAnsi="宋体"/>
          <w:color w:val="auto"/>
          <w:highlight w:val="none"/>
        </w:rPr>
        <w:t>2</w:t>
      </w:r>
      <w:r>
        <w:rPr>
          <w:rFonts w:hint="eastAsia" w:hAnsi="宋体"/>
          <w:color w:val="auto"/>
          <w:highlight w:val="none"/>
        </w:rPr>
        <w:t>个工作日内，将政府采购合同</w:t>
      </w:r>
      <w:r>
        <w:rPr>
          <w:rFonts w:hint="eastAsia" w:ascii="宋体" w:hAnsi="宋体"/>
          <w:bCs/>
          <w:color w:val="auto"/>
          <w:highlight w:val="none"/>
        </w:rPr>
        <w:t>在以下媒体上发布</w:t>
      </w:r>
      <w:r>
        <w:rPr>
          <w:rFonts w:hint="eastAsia" w:ascii="宋体" w:hAnsi="宋体" w:cs="宋体"/>
          <w:color w:val="auto"/>
          <w:kern w:val="0"/>
          <w:szCs w:val="21"/>
          <w:highlight w:val="none"/>
        </w:rPr>
        <w:t xml:space="preserve"> “广西政府采购网”（http://zfcg.gxzf.gov.cn）</w:t>
      </w:r>
      <w:r>
        <w:rPr>
          <w:rFonts w:hint="eastAsia" w:hAnsi="宋体"/>
          <w:color w:val="auto"/>
          <w:highlight w:val="none"/>
        </w:rPr>
        <w:t>上公告，但政府采购合同中涉及国家秘密、商业秘密的内容除外。</w:t>
      </w:r>
    </w:p>
    <w:p w14:paraId="309FB9B3">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31. 询问、质疑和投诉</w:t>
      </w:r>
    </w:p>
    <w:p w14:paraId="407CABCE">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31.1供应商对政府采购活动事项有疑问的，可以向采购人、采购代理机构提出询问，采购人或者采购代理机构应当在3个工作日内对供应商依法提出的询问作出答复。</w:t>
      </w:r>
    </w:p>
    <w:p w14:paraId="45887961">
      <w:pPr>
        <w:spacing w:line="360" w:lineRule="auto"/>
        <w:ind w:firstLine="420" w:firstLineChars="200"/>
        <w:rPr>
          <w:rFonts w:ascii="宋体" w:hAnsi="宋体"/>
          <w:b/>
          <w:color w:val="auto"/>
          <w:szCs w:val="21"/>
          <w:highlight w:val="none"/>
        </w:rPr>
      </w:pPr>
      <w:r>
        <w:rPr>
          <w:rFonts w:hint="eastAsia" w:ascii="宋体" w:hAnsi="宋体" w:cs="宋体"/>
          <w:color w:val="auto"/>
          <w:highlight w:val="none"/>
        </w:rPr>
        <w:t>31.2供应商认为磋商文件、采购过程或者成交结果使自己的合法权益受到损害的，应当在知道或者应知其权益受到损害之日起7个工作日内，以书面形式向采购人、采购代理机构提出质疑，</w:t>
      </w:r>
      <w:r>
        <w:rPr>
          <w:rFonts w:hint="eastAsia" w:ascii="宋体" w:hAnsi="宋体" w:cs="Arial"/>
          <w:color w:val="auto"/>
          <w:highlight w:val="none"/>
          <w:shd w:val="clear" w:color="auto" w:fill="FFFFFF"/>
        </w:rPr>
        <w:t>接收质疑函的方式、联系部门、联系电话和通讯地址等信息详见</w:t>
      </w:r>
      <w:r>
        <w:rPr>
          <w:rFonts w:hint="eastAsia" w:ascii="宋体" w:hAnsi="宋体" w:cs="宋体"/>
          <w:color w:val="auto"/>
          <w:szCs w:val="21"/>
          <w:highlight w:val="none"/>
        </w:rPr>
        <w:t>“供应商须知前附表”</w:t>
      </w:r>
      <w:r>
        <w:rPr>
          <w:rFonts w:hint="eastAsia" w:ascii="宋体" w:hAnsi="宋体" w:cs="宋体"/>
          <w:color w:val="auto"/>
          <w:highlight w:val="none"/>
        </w:rPr>
        <w:t>。</w:t>
      </w:r>
      <w:r>
        <w:rPr>
          <w:rFonts w:hint="eastAsia" w:ascii="宋体" w:hAnsi="宋体"/>
          <w:b/>
          <w:color w:val="auto"/>
          <w:szCs w:val="21"/>
          <w:highlight w:val="none"/>
        </w:rPr>
        <w:t xml:space="preserve">具体质疑起算时间及处理方式如下： </w:t>
      </w:r>
    </w:p>
    <w:p w14:paraId="7CF79A8E">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1</w:t>
      </w:r>
      <w:r>
        <w:rPr>
          <w:rFonts w:hint="eastAsia" w:hAnsi="宋体"/>
          <w:bCs/>
          <w:color w:val="auto"/>
          <w:highlight w:val="none"/>
        </w:rPr>
        <w:t>）潜在供应商依法获取采购文件后，认为采购文件使自己的权益受到损害的，应当在竞争性磋商采购文件公告期限届满之日起</w:t>
      </w:r>
      <w:r>
        <w:rPr>
          <w:rFonts w:hAnsi="宋体"/>
          <w:bCs/>
          <w:color w:val="auto"/>
          <w:highlight w:val="none"/>
        </w:rPr>
        <w:t>7</w:t>
      </w:r>
      <w:r>
        <w:rPr>
          <w:rFonts w:hint="eastAsia" w:hAnsi="宋体"/>
          <w:bCs/>
          <w:color w:val="auto"/>
          <w:highlight w:val="none"/>
        </w:rPr>
        <w:t>个工作日内提出质疑。</w:t>
      </w:r>
      <w:r>
        <w:rPr>
          <w:rFonts w:hint="eastAsia"/>
          <w:color w:val="auto"/>
          <w:highlight w:val="none"/>
        </w:rPr>
        <w:t>委托代理协议无特殊约定的，</w:t>
      </w:r>
      <w:r>
        <w:rPr>
          <w:rFonts w:hint="eastAsia" w:hAnsi="宋体"/>
          <w:bCs/>
          <w:color w:val="auto"/>
          <w:highlight w:val="none"/>
        </w:rPr>
        <w:t>对竞争性磋商文件中采购需求（含资格要求、采购预算和评分办法）的质疑由采购人受理并负责答复；对竞争性磋商文件中的采购执行程序的质疑由采购代理机构受理并负责答复。</w:t>
      </w:r>
    </w:p>
    <w:p w14:paraId="1A02EB0F">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2</w:t>
      </w:r>
      <w:r>
        <w:rPr>
          <w:rFonts w:hint="eastAsia" w:hAnsi="宋体"/>
          <w:bCs/>
          <w:color w:val="auto"/>
          <w:highlight w:val="none"/>
        </w:rPr>
        <w:t>）供应商认为采购过程使自己的权益受到损害的，应当在各采购程序环节结束之日起</w:t>
      </w:r>
      <w:r>
        <w:rPr>
          <w:rFonts w:hAnsi="宋体"/>
          <w:bCs/>
          <w:color w:val="auto"/>
          <w:highlight w:val="none"/>
        </w:rPr>
        <w:t>7</w:t>
      </w:r>
      <w:r>
        <w:rPr>
          <w:rFonts w:hint="eastAsia" w:hAnsi="宋体"/>
          <w:bCs/>
          <w:color w:val="auto"/>
          <w:highlight w:val="none"/>
        </w:rPr>
        <w:t>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11D07450">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3</w:t>
      </w:r>
      <w:r>
        <w:rPr>
          <w:rFonts w:hint="eastAsia" w:hAnsi="宋体"/>
          <w:bCs/>
          <w:color w:val="auto"/>
          <w:highlight w:val="none"/>
        </w:rPr>
        <w:t>）供应商认为成交结果使自己的权益受到损害的，应当在成交结果公告期限届满之日起</w:t>
      </w:r>
      <w:r>
        <w:rPr>
          <w:rFonts w:hAnsi="宋体"/>
          <w:bCs/>
          <w:color w:val="auto"/>
          <w:highlight w:val="none"/>
        </w:rPr>
        <w:t>7</w:t>
      </w:r>
      <w:r>
        <w:rPr>
          <w:rFonts w:hint="eastAsia" w:hAnsi="宋体"/>
          <w:bCs/>
          <w:color w:val="auto"/>
          <w:highlight w:val="none"/>
        </w:rPr>
        <w:t>个工作日内提出质疑，由采购人受理并负责答复。</w:t>
      </w:r>
    </w:p>
    <w:p w14:paraId="5A1928E6">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31.3供应商提出的询问或者质疑超出采购人对采购代理机构委托授权范围的，采购代理机构应当告知供应商向采购人提出。政府采购评审专家应当配合采购人或者采购代理机构答复供应商的询问和质疑。</w:t>
      </w:r>
    </w:p>
    <w:p w14:paraId="666968A7">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31.4 供应商提出质疑应当提交质疑函和必要的证明材料，针对同一采购程序环节的质疑必须在法定质疑期内一次性提出。质疑函应当包括下列内容</w:t>
      </w:r>
      <w:r>
        <w:rPr>
          <w:rFonts w:hint="eastAsia" w:hAnsi="宋体"/>
          <w:bCs/>
          <w:color w:val="auto"/>
          <w:highlight w:val="none"/>
        </w:rPr>
        <w:t>（质疑函格式后附）</w:t>
      </w:r>
      <w:r>
        <w:rPr>
          <w:rFonts w:hint="eastAsia" w:ascii="宋体" w:hAnsi="宋体" w:cs="宋体"/>
          <w:color w:val="auto"/>
          <w:highlight w:val="none"/>
        </w:rPr>
        <w:t>：</w:t>
      </w:r>
    </w:p>
    <w:p w14:paraId="2C50C92F">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（1）供应商的姓名或者名称、地址、邮编、联系人及联系电话；</w:t>
      </w:r>
    </w:p>
    <w:p w14:paraId="56A262E6">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（2）质疑项目的名称、编号；</w:t>
      </w:r>
    </w:p>
    <w:p w14:paraId="52C23DB0">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（3）具体、明确的质疑事项和与质疑事项相关的请求；</w:t>
      </w:r>
    </w:p>
    <w:p w14:paraId="08274D8B">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（4）事实依据；</w:t>
      </w:r>
    </w:p>
    <w:p w14:paraId="64841893">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（5）必要的法律依据；</w:t>
      </w:r>
    </w:p>
    <w:p w14:paraId="34486C13">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（6）提出质疑的日期。</w:t>
      </w:r>
    </w:p>
    <w:p w14:paraId="4A2C6355">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供应商为自然人的，应当由本人签字；供应商为法人或者其他组织的，应当由法定代表人、主要负责人，或者其委托代理人签字或者盖章，并加盖公章。</w:t>
      </w:r>
    </w:p>
    <w:p w14:paraId="6F095D36">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31.5采购人、采购代理机构认为供应商质疑不成立，或者成立但未对成交结果构成影响的，继续开展采购活动；认为供应商质疑成立且影响或者可能影响成交结果的，按照下列情况处理：</w:t>
      </w:r>
    </w:p>
    <w:p w14:paraId="6C1D16C1">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（一）对采购文件提出的质疑，依法通过澄清或者修改可以继续开展采购活动的，澄清或者修改采购文件后继续开展采购活动；否则应当修改采购文件后重新开展采购活动。</w:t>
      </w:r>
    </w:p>
    <w:p w14:paraId="17BFA73D">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（二）对采购过程或者成交结果提出的质疑，合格供应商符合法定数量时，可以从合格的成交候选人中另行确定成交供应商的，应当依法另行确定成交供应商；否则应当重新开展采购活动。</w:t>
      </w:r>
    </w:p>
    <w:p w14:paraId="04FD5E34">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质疑答复导致成交结果改变的，采购人或者采购代理机构应当将有关情况书面报告本级财政部门。</w:t>
      </w:r>
    </w:p>
    <w:p w14:paraId="7ACBAC6D">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31.6投诉的权利。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受理投诉方式见“供应商须知前附表”。</w:t>
      </w:r>
      <w:bookmarkStart w:id="53" w:name="_Toc80205930"/>
    </w:p>
    <w:p w14:paraId="424B4C18">
      <w:pPr>
        <w:pStyle w:val="4"/>
        <w:spacing w:before="0" w:after="0" w:line="360" w:lineRule="auto"/>
        <w:ind w:firstLine="315" w:firstLineChars="98"/>
        <w:rPr>
          <w:rFonts w:ascii="宋体" w:hAnsi="宋体"/>
          <w:b w:val="0"/>
          <w:color w:val="auto"/>
          <w:highlight w:val="none"/>
        </w:rPr>
      </w:pPr>
      <w:bookmarkStart w:id="54" w:name="_Toc536"/>
      <w:r>
        <w:rPr>
          <w:rFonts w:hint="eastAsia" w:ascii="宋体" w:hAnsi="宋体"/>
          <w:color w:val="auto"/>
          <w:highlight w:val="none"/>
        </w:rPr>
        <w:t>六</w:t>
      </w:r>
      <w:r>
        <w:rPr>
          <w:rFonts w:hint="eastAsia" w:ascii="宋体" w:hAnsi="宋体"/>
          <w:b w:val="0"/>
          <w:color w:val="auto"/>
          <w:highlight w:val="none"/>
        </w:rPr>
        <w:t>、验收</w:t>
      </w:r>
      <w:bookmarkEnd w:id="53"/>
      <w:bookmarkEnd w:id="54"/>
    </w:p>
    <w:p w14:paraId="764A5CE3">
      <w:pPr>
        <w:tabs>
          <w:tab w:val="left" w:pos="0"/>
        </w:tabs>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32.验收</w:t>
      </w:r>
    </w:p>
    <w:p w14:paraId="5173369E">
      <w:pPr>
        <w:tabs>
          <w:tab w:val="left" w:pos="0"/>
        </w:tabs>
        <w:spacing w:line="360" w:lineRule="auto"/>
        <w:ind w:firstLine="420" w:firstLineChars="200"/>
        <w:rPr>
          <w:rFonts w:ascii="宋体" w:hAnsi="宋体" w:cs="Helvetica"/>
          <w:color w:val="auto"/>
          <w:kern w:val="0"/>
          <w:szCs w:val="21"/>
          <w:highlight w:val="none"/>
        </w:rPr>
      </w:pPr>
      <w:r>
        <w:rPr>
          <w:rFonts w:hint="eastAsia" w:ascii="宋体" w:hAnsi="宋体" w:cs="Helvetica"/>
          <w:color w:val="auto"/>
          <w:kern w:val="0"/>
          <w:szCs w:val="21"/>
          <w:highlight w:val="none"/>
        </w:rPr>
        <w:t>32.1采购人会同实际使用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3848F224">
      <w:pPr>
        <w:tabs>
          <w:tab w:val="left" w:pos="0"/>
        </w:tabs>
        <w:spacing w:line="360" w:lineRule="auto"/>
        <w:ind w:firstLine="420" w:firstLineChars="200"/>
        <w:rPr>
          <w:rFonts w:ascii="宋体" w:hAnsi="宋体" w:cs="Helvetica"/>
          <w:color w:val="auto"/>
          <w:kern w:val="0"/>
          <w:szCs w:val="21"/>
          <w:highlight w:val="none"/>
        </w:rPr>
      </w:pPr>
      <w:r>
        <w:rPr>
          <w:rFonts w:hint="eastAsia" w:ascii="宋体" w:hAnsi="宋体" w:cs="Helvetica"/>
          <w:color w:val="auto"/>
          <w:kern w:val="0"/>
          <w:szCs w:val="21"/>
          <w:highlight w:val="none"/>
        </w:rPr>
        <w:t>32.2采购人可以邀请参加本项目的其他供应商或者第三方机构参与验收。参与验收的供应商或者第三方机构的意见作为验收书的参考资料一并存档。</w:t>
      </w:r>
    </w:p>
    <w:p w14:paraId="0EEACD4E">
      <w:pPr>
        <w:tabs>
          <w:tab w:val="left" w:pos="0"/>
        </w:tabs>
        <w:spacing w:line="360" w:lineRule="auto"/>
        <w:ind w:firstLine="420" w:firstLineChars="200"/>
        <w:rPr>
          <w:rFonts w:ascii="宋体" w:hAnsi="宋体" w:cs="Helvetica"/>
          <w:color w:val="auto"/>
          <w:kern w:val="0"/>
          <w:szCs w:val="21"/>
          <w:highlight w:val="none"/>
        </w:rPr>
      </w:pPr>
      <w:r>
        <w:rPr>
          <w:rFonts w:hint="eastAsia" w:ascii="宋体" w:hAnsi="宋体" w:cs="Helvetica"/>
          <w:color w:val="auto"/>
          <w:kern w:val="0"/>
          <w:szCs w:val="21"/>
          <w:highlight w:val="none"/>
        </w:rPr>
        <w:t>32.3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67247EC2">
      <w:pPr>
        <w:tabs>
          <w:tab w:val="left" w:pos="0"/>
        </w:tabs>
        <w:spacing w:line="360" w:lineRule="auto"/>
        <w:ind w:firstLine="420" w:firstLineChars="200"/>
        <w:rPr>
          <w:rFonts w:ascii="宋体" w:hAnsi="宋体" w:cs="宋体"/>
          <w:color w:val="auto"/>
          <w:szCs w:val="21"/>
          <w:highlight w:val="none"/>
        </w:rPr>
      </w:pPr>
      <w:r>
        <w:rPr>
          <w:rFonts w:hint="eastAsia" w:ascii="宋体" w:hAnsi="宋体" w:cs="Helvetica"/>
          <w:color w:val="auto"/>
          <w:kern w:val="0"/>
          <w:szCs w:val="21"/>
          <w:highlight w:val="none"/>
        </w:rPr>
        <w:t>32.4验收合格的项目，实际使用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001BE833">
      <w:pPr>
        <w:pStyle w:val="4"/>
        <w:spacing w:before="0" w:after="0" w:line="360" w:lineRule="auto"/>
        <w:ind w:firstLine="320" w:firstLineChars="100"/>
        <w:rPr>
          <w:rFonts w:ascii="宋体" w:hAnsi="宋体"/>
          <w:b w:val="0"/>
          <w:bCs w:val="0"/>
          <w:color w:val="auto"/>
          <w:highlight w:val="none"/>
        </w:rPr>
      </w:pPr>
      <w:bookmarkStart w:id="55" w:name="_Toc30836"/>
      <w:r>
        <w:rPr>
          <w:rFonts w:hint="eastAsia" w:ascii="宋体" w:hAnsi="宋体"/>
          <w:b w:val="0"/>
          <w:bCs w:val="0"/>
          <w:color w:val="auto"/>
          <w:highlight w:val="none"/>
        </w:rPr>
        <w:t>七、其他事项</w:t>
      </w:r>
      <w:bookmarkEnd w:id="55"/>
    </w:p>
    <w:p w14:paraId="7C097D28">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33.代理服务费</w:t>
      </w:r>
    </w:p>
    <w:p w14:paraId="612C95B8">
      <w:pPr>
        <w:tabs>
          <w:tab w:val="left" w:pos="2835"/>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代理服务收费标准及缴费账户详见“供应商须知前附表”，供应商为联合体的，可以由联合体中的一方或者多方共同交纳代理服务费。</w:t>
      </w:r>
    </w:p>
    <w:p w14:paraId="1544A47D">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34.需要补充的其他内容</w:t>
      </w:r>
    </w:p>
    <w:p w14:paraId="34EB572F">
      <w:pPr>
        <w:pStyle w:val="12"/>
        <w:spacing w:line="360" w:lineRule="auto"/>
        <w:ind w:left="0" w:leftChars="0" w:firstLine="420" w:firstLineChars="200"/>
        <w:textAlignment w:val="center"/>
        <w:rPr>
          <w:rFonts w:hAnsi="宋体" w:cs="宋体"/>
          <w:color w:val="auto"/>
          <w:highlight w:val="none"/>
        </w:rPr>
      </w:pPr>
      <w:r>
        <w:rPr>
          <w:rFonts w:hint="eastAsia" w:hAnsi="宋体" w:cs="宋体"/>
          <w:color w:val="auto"/>
          <w:highlight w:val="none"/>
        </w:rPr>
        <w:t>34.1本磋商文件解释规则详见“供应商须知前附表”。</w:t>
      </w:r>
    </w:p>
    <w:p w14:paraId="3ECD30C4">
      <w:pPr>
        <w:pStyle w:val="12"/>
        <w:spacing w:line="360" w:lineRule="auto"/>
        <w:ind w:left="0" w:leftChars="0" w:firstLine="420" w:firstLineChars="200"/>
        <w:textAlignment w:val="center"/>
        <w:rPr>
          <w:rFonts w:hAnsi="宋体" w:cs="宋体"/>
          <w:color w:val="auto"/>
          <w:highlight w:val="none"/>
        </w:rPr>
      </w:pPr>
      <w:r>
        <w:rPr>
          <w:rFonts w:hint="eastAsia" w:hAnsi="宋体" w:cs="宋体"/>
          <w:color w:val="auto"/>
          <w:highlight w:val="none"/>
        </w:rPr>
        <w:t>34.2 其他事项详见“供应商须知前附表”。</w:t>
      </w:r>
    </w:p>
    <w:p w14:paraId="1C71A76A">
      <w:pPr>
        <w:pStyle w:val="12"/>
        <w:spacing w:line="360" w:lineRule="auto"/>
        <w:ind w:left="0" w:leftChars="0" w:firstLine="420" w:firstLineChars="200"/>
        <w:textAlignment w:val="center"/>
        <w:rPr>
          <w:rFonts w:hAnsi="宋体" w:cs="宋体"/>
          <w:color w:val="auto"/>
          <w:highlight w:val="none"/>
        </w:rPr>
      </w:pPr>
      <w:r>
        <w:rPr>
          <w:rFonts w:hint="eastAsia" w:hAnsi="宋体" w:cs="宋体"/>
          <w:color w:val="auto"/>
          <w:highlight w:val="none"/>
        </w:rPr>
        <w:t>34.3本文件所称中小企业，是指在中华人民共和国境内依法设立，依据国务院批准的中小企业划标项准确定的中型企业、小型企业和微型企业，但与大企业的负责人为同一人，或者与大企业存在直接控股、管理关系的除外。符合中小企业划标项准的个体工商户，在政府采购活动中视同中小企业。在政府采购活动中，供应商提供的</w:t>
      </w:r>
      <w:r>
        <w:rPr>
          <w:rFonts w:hint="eastAsia" w:hAnsi="宋体"/>
          <w:color w:val="auto"/>
          <w:highlight w:val="none"/>
        </w:rPr>
        <w:t>服务由中小企业承接，即提供服务的人员为中小企业依照《中华人民共和国劳动合同法》订立劳动合同的从业人员，不对其中涉及的货物的制造商和工程承建商作出要求的</w:t>
      </w:r>
      <w:r>
        <w:rPr>
          <w:rFonts w:hint="eastAsia" w:hAnsi="宋体" w:cs="宋体"/>
          <w:color w:val="auto"/>
          <w:highlight w:val="none"/>
        </w:rPr>
        <w:t>，享受本文件规定的中小企业扶持政策。</w:t>
      </w:r>
    </w:p>
    <w:p w14:paraId="1322DCBB">
      <w:pPr>
        <w:pStyle w:val="12"/>
        <w:spacing w:line="360" w:lineRule="auto"/>
        <w:ind w:left="0" w:leftChars="0" w:firstLine="420" w:firstLineChars="200"/>
        <w:textAlignment w:val="center"/>
        <w:rPr>
          <w:rFonts w:hAnsi="宋体" w:cs="宋体"/>
          <w:color w:val="auto"/>
          <w:highlight w:val="none"/>
        </w:rPr>
      </w:pPr>
      <w:r>
        <w:rPr>
          <w:rFonts w:hint="eastAsia" w:hAnsi="宋体" w:cs="宋体"/>
          <w:color w:val="auto"/>
          <w:highlight w:val="none"/>
        </w:rPr>
        <w:t>以联合体形式参加政府采购活动，联合体各方均为中小企业的，联合体视同中小企业。其中，联合体各方均为小微企业的，联合体视同小微企业。</w:t>
      </w:r>
    </w:p>
    <w:p w14:paraId="6A3080D8">
      <w:pPr>
        <w:pStyle w:val="12"/>
        <w:spacing w:line="360" w:lineRule="auto"/>
        <w:ind w:left="0" w:leftChars="0" w:firstLine="420" w:firstLineChars="200"/>
        <w:textAlignment w:val="center"/>
        <w:rPr>
          <w:rFonts w:hAnsi="宋体" w:cs="宋体"/>
          <w:color w:val="auto"/>
          <w:highlight w:val="none"/>
        </w:rPr>
      </w:pPr>
      <w:r>
        <w:rPr>
          <w:rFonts w:hint="eastAsia" w:hAnsi="宋体" w:cs="宋体"/>
          <w:color w:val="auto"/>
          <w:highlight w:val="none"/>
        </w:rPr>
        <w:t>依据本文件规定享受扶持政策获得政府采购合同的，小微企业不得将合同分包给大中型企业，中型企业不得将合同分包给大型企业。</w:t>
      </w:r>
    </w:p>
    <w:p w14:paraId="0AB9BEBF">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35. 政采贷相关说明</w:t>
      </w:r>
    </w:p>
    <w:p w14:paraId="07EBAC7B">
      <w:pPr>
        <w:pStyle w:val="12"/>
        <w:spacing w:line="360" w:lineRule="auto"/>
        <w:ind w:left="0" w:leftChars="0" w:firstLine="420" w:firstLineChars="200"/>
        <w:textAlignment w:val="center"/>
        <w:rPr>
          <w:color w:val="auto"/>
          <w:highlight w:val="none"/>
        </w:rPr>
      </w:pPr>
      <w:r>
        <w:rPr>
          <w:rFonts w:hint="eastAsia" w:hAnsi="宋体"/>
          <w:color w:val="auto"/>
          <w:highlight w:val="none"/>
        </w:rPr>
        <w:t>为优化政府采购营商环境，缓解供应商资金难题，南宁市政府采购试行政府采购信用融资制度，中标供应商如有融资需求，可凭政府采购合同通过以下方式申请政府采购信用融资贷款：</w:t>
      </w:r>
    </w:p>
    <w:p w14:paraId="2D69411A">
      <w:pPr>
        <w:pStyle w:val="12"/>
        <w:spacing w:line="360" w:lineRule="auto"/>
        <w:ind w:left="0" w:leftChars="0" w:firstLine="420" w:firstLineChars="200"/>
        <w:textAlignment w:val="center"/>
        <w:rPr>
          <w:rStyle w:val="27"/>
          <w:rFonts w:hint="eastAsia" w:hAnsi="宋体"/>
          <w:color w:val="auto"/>
          <w:highlight w:val="none"/>
        </w:rPr>
      </w:pPr>
      <w:r>
        <w:rPr>
          <w:rFonts w:hint="eastAsia" w:hAnsi="宋体"/>
          <w:color w:val="auto"/>
          <w:highlight w:val="none"/>
        </w:rPr>
        <w:t>（1）线下渠道：在“南宁市公共资源交易中心”官网（网址：</w:t>
      </w:r>
      <w:r>
        <w:rPr>
          <w:color w:val="auto"/>
          <w:highlight w:val="none"/>
        </w:rPr>
        <w:fldChar w:fldCharType="begin"/>
      </w:r>
      <w:r>
        <w:rPr>
          <w:color w:val="auto"/>
          <w:highlight w:val="none"/>
        </w:rPr>
        <w:instrText xml:space="preserve"> HYPERLINK "http://www.nnggzy.org.cn）" </w:instrText>
      </w:r>
      <w:r>
        <w:rPr>
          <w:color w:val="auto"/>
          <w:highlight w:val="none"/>
        </w:rPr>
        <w:fldChar w:fldCharType="separate"/>
      </w:r>
      <w:r>
        <w:rPr>
          <w:rStyle w:val="27"/>
          <w:rFonts w:hint="eastAsia" w:hAnsi="宋体"/>
          <w:color w:val="auto"/>
          <w:highlight w:val="none"/>
        </w:rPr>
        <w:t>http://www.nnggzy.org.cn）“交易信息-政府采购-政府采购信用融资”中融资银行和南宁市企业融资服务中心专栏信息申请政府采购信用融资。</w:t>
      </w:r>
      <w:r>
        <w:rPr>
          <w:rStyle w:val="27"/>
          <w:rFonts w:hint="eastAsia" w:hAnsi="宋体"/>
          <w:color w:val="auto"/>
          <w:highlight w:val="none"/>
        </w:rPr>
        <w:fldChar w:fldCharType="end"/>
      </w:r>
    </w:p>
    <w:p w14:paraId="7121C7E4">
      <w:pPr>
        <w:pStyle w:val="12"/>
        <w:spacing w:line="360" w:lineRule="auto"/>
        <w:ind w:left="0" w:leftChars="0" w:firstLine="420" w:firstLineChars="200"/>
        <w:textAlignment w:val="center"/>
        <w:rPr>
          <w:color w:val="auto"/>
          <w:highlight w:val="none"/>
        </w:rPr>
      </w:pPr>
      <w:r>
        <w:rPr>
          <w:color w:val="auto"/>
          <w:highlight w:val="none"/>
        </w:rPr>
        <w:t>（2）</w:t>
      </w:r>
      <w:r>
        <w:rPr>
          <w:rFonts w:hint="eastAsia" w:hAnsi="宋体"/>
          <w:b/>
          <w:color w:val="auto"/>
          <w:highlight w:val="none"/>
        </w:rPr>
        <w:t>线上渠道：登录中征营应收账款融资服务平台（网址：https://www.crcrfsp.com，客服电话：400-009-0001），选择相关金融产品和银行业金融机构金融融资贷款。具体操作方式见《中国人民银行南宁中心支行广西壮族自治区财政厅关于推广线上“政采贷”融资模式的通知》（南宁银发〔2021〕258号）文（文件公开网址详情见：“广西政府采购网”—http://www.ccgp-guangxi.gov.cn/AdministrativeRegulations/AutonomousRegion/9830442.html）</w:t>
      </w:r>
      <w:r>
        <w:rPr>
          <w:rFonts w:hint="eastAsia" w:hAnsi="宋体"/>
          <w:b/>
          <w:color w:val="auto"/>
          <w:highlight w:val="none"/>
        </w:rPr>
        <w:br w:type="page"/>
      </w:r>
    </w:p>
    <w:p w14:paraId="50EF2CF1">
      <w:pPr>
        <w:pStyle w:val="2"/>
        <w:spacing w:before="120" w:after="120" w:line="500" w:lineRule="exact"/>
        <w:jc w:val="center"/>
        <w:rPr>
          <w:color w:val="auto"/>
          <w:highlight w:val="none"/>
        </w:rPr>
      </w:pPr>
      <w:bookmarkStart w:id="56" w:name="_Toc25211"/>
      <w:r>
        <w:rPr>
          <w:rFonts w:hint="eastAsia"/>
          <w:color w:val="auto"/>
          <w:highlight w:val="none"/>
        </w:rPr>
        <w:t>第四章</w:t>
      </w:r>
      <w:r>
        <w:rPr>
          <w:color w:val="auto"/>
          <w:highlight w:val="none"/>
        </w:rPr>
        <w:t xml:space="preserve">  </w:t>
      </w:r>
      <w:r>
        <w:rPr>
          <w:rFonts w:hint="eastAsia"/>
          <w:color w:val="auto"/>
          <w:highlight w:val="none"/>
        </w:rPr>
        <w:t>评审程序、评审方法和评审标准</w:t>
      </w:r>
      <w:bookmarkEnd w:id="56"/>
    </w:p>
    <w:p w14:paraId="44E6FF77">
      <w:pPr>
        <w:pStyle w:val="3"/>
        <w:jc w:val="center"/>
        <w:rPr>
          <w:rFonts w:ascii="宋体" w:hAnsi="宋体"/>
          <w:b w:val="0"/>
          <w:color w:val="auto"/>
          <w:highlight w:val="none"/>
        </w:rPr>
      </w:pPr>
      <w:bookmarkStart w:id="57" w:name="_Toc833"/>
      <w:r>
        <w:rPr>
          <w:rFonts w:hint="eastAsia" w:ascii="宋体" w:hAnsi="宋体"/>
          <w:b w:val="0"/>
          <w:color w:val="auto"/>
          <w:highlight w:val="none"/>
        </w:rPr>
        <w:t>第一节 评审程序和评审方法</w:t>
      </w:r>
      <w:bookmarkEnd w:id="57"/>
    </w:p>
    <w:p w14:paraId="5CA65644">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1.确认磋商文件</w:t>
      </w:r>
    </w:p>
    <w:p w14:paraId="4BCA8DD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由磋商小组确认磋商文件。</w:t>
      </w:r>
    </w:p>
    <w:p w14:paraId="5922B82E">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2.资格审查</w:t>
      </w:r>
    </w:p>
    <w:p w14:paraId="730C3A81">
      <w:pPr>
        <w:snapToGrid w:val="0"/>
        <w:spacing w:line="360" w:lineRule="auto"/>
        <w:ind w:firstLine="420" w:firstLineChars="200"/>
        <w:rPr>
          <w:rFonts w:ascii="宋体" w:hAnsi="宋体"/>
          <w:color w:val="auto"/>
          <w:szCs w:val="21"/>
          <w:highlight w:val="none"/>
        </w:rPr>
      </w:pPr>
      <w:r>
        <w:rPr>
          <w:rFonts w:hint="eastAsia" w:ascii="宋体" w:hAnsi="宋体" w:cs="宋体"/>
          <w:color w:val="auto"/>
          <w:szCs w:val="21"/>
          <w:highlight w:val="none"/>
        </w:rPr>
        <w:t>2.1</w:t>
      </w:r>
      <w:r>
        <w:rPr>
          <w:rFonts w:hint="eastAsia" w:ascii="宋体" w:hAnsi="宋体"/>
          <w:color w:val="auto"/>
          <w:szCs w:val="21"/>
          <w:highlight w:val="none"/>
        </w:rPr>
        <w:t>响应文件开启后，磋商小组依法对供应商的资格证明文件进行审查。</w:t>
      </w:r>
    </w:p>
    <w:p w14:paraId="55673009">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注：采购人代表或者采购代理机构在资格审查结束前，对供应商进行信用查询。</w:t>
      </w:r>
    </w:p>
    <w:p w14:paraId="008B93ED">
      <w:pPr>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（1）查询渠道：“广西政府采购云平台”“信用中国”网站(</w:t>
      </w:r>
      <w:r>
        <w:rPr>
          <w:color w:val="auto"/>
          <w:highlight w:val="none"/>
        </w:rPr>
        <w:fldChar w:fldCharType="begin"/>
      </w:r>
      <w:r>
        <w:rPr>
          <w:color w:val="auto"/>
          <w:highlight w:val="none"/>
        </w:rPr>
        <w:instrText xml:space="preserve"> HYPERLINK "http://www.creditchina.gov.cn" </w:instrText>
      </w:r>
      <w:r>
        <w:rPr>
          <w:color w:val="auto"/>
          <w:highlight w:val="none"/>
        </w:rPr>
        <w:fldChar w:fldCharType="separate"/>
      </w:r>
      <w:r>
        <w:rPr>
          <w:rStyle w:val="27"/>
          <w:rFonts w:hAnsi="宋体" w:cs="宋体"/>
          <w:color w:val="auto"/>
          <w:highlight w:val="none"/>
        </w:rPr>
        <w:t>www.creditchina.gov.cn</w:t>
      </w:r>
      <w:r>
        <w:rPr>
          <w:rStyle w:val="27"/>
          <w:rFonts w:hAnsi="宋体" w:cs="宋体"/>
          <w:color w:val="auto"/>
          <w:highlight w:val="none"/>
        </w:rPr>
        <w:fldChar w:fldCharType="end"/>
      </w:r>
      <w:r>
        <w:rPr>
          <w:rFonts w:hint="eastAsia" w:ascii="宋体" w:hAnsi="宋体" w:cs="宋体"/>
          <w:color w:val="auto"/>
          <w:szCs w:val="21"/>
          <w:highlight w:val="none"/>
        </w:rPr>
        <w:t>)、中国政府采购网(</w:t>
      </w:r>
      <w:r>
        <w:rPr>
          <w:color w:val="auto"/>
          <w:highlight w:val="none"/>
        </w:rPr>
        <w:fldChar w:fldCharType="begin"/>
      </w:r>
      <w:r>
        <w:rPr>
          <w:color w:val="auto"/>
          <w:highlight w:val="none"/>
        </w:rPr>
        <w:instrText xml:space="preserve"> HYPERLINK "http://www.ccgp.gov.cn" </w:instrText>
      </w:r>
      <w:r>
        <w:rPr>
          <w:color w:val="auto"/>
          <w:highlight w:val="none"/>
        </w:rPr>
        <w:fldChar w:fldCharType="separate"/>
      </w:r>
      <w:r>
        <w:rPr>
          <w:rStyle w:val="27"/>
          <w:rFonts w:hAnsi="宋体" w:cs="宋体"/>
          <w:color w:val="auto"/>
          <w:highlight w:val="none"/>
        </w:rPr>
        <w:t>www.ccgp.gov.cn</w:t>
      </w:r>
      <w:r>
        <w:rPr>
          <w:rStyle w:val="27"/>
          <w:rFonts w:hAnsi="宋体" w:cs="宋体"/>
          <w:color w:val="auto"/>
          <w:highlight w:val="none"/>
        </w:rPr>
        <w:fldChar w:fldCharType="end"/>
      </w:r>
      <w:r>
        <w:rPr>
          <w:rFonts w:hint="eastAsia" w:ascii="宋体" w:hAnsi="宋体" w:cs="宋体"/>
          <w:color w:val="auto"/>
          <w:szCs w:val="21"/>
          <w:highlight w:val="none"/>
        </w:rPr>
        <w:t>)链接入口。</w:t>
      </w:r>
    </w:p>
    <w:p w14:paraId="3F8C3EE9">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（2）信用查询截止时点：资格审查结束前。</w:t>
      </w:r>
    </w:p>
    <w:p w14:paraId="09DE383D">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查询记录和证据留存方式：在查询网站中直接打印查询记录，截图另存为电子文档作为评审资料保存。</w:t>
      </w:r>
    </w:p>
    <w:p w14:paraId="2255321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（3）信用信息使用规则：对在“信用中国”网站(www.creditchina.gov.cn) 、中国政府采购网(www.ccgp.gov.cn)被列入失信被执行人、重大税收违法失信主体、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6E503C7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2.2资格审查标准为本磋商文件中载明对供应商资格要求的条件。资格审查采用合格制，凡符合磋商文件规定的供应商资格要求的响应文件均通过资格审查。</w:t>
      </w:r>
    </w:p>
    <w:p w14:paraId="4AC6B91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2.3供应商有下列情形之一的，资格审查不通过，其响应文件按无效响应处理：</w:t>
      </w:r>
    </w:p>
    <w:p w14:paraId="5D99583D">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（1）不具备磋商文件中规定的资格要求的；</w:t>
      </w:r>
    </w:p>
    <w:p w14:paraId="143DB5F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（2）响应文件未提供任一项“供应商须知前附表”资格证明文件规定的“必须提供”的文件资料的；</w:t>
      </w:r>
    </w:p>
    <w:p w14:paraId="1E8684F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（3）响应文件提供的资格证明文件出现任一项不符合“供应商须知前附表”资格证明文件规定的“必须提供”的文件资料要求或者无效的。</w:t>
      </w:r>
    </w:p>
    <w:p w14:paraId="72F0564A">
      <w:pPr>
        <w:spacing w:line="360" w:lineRule="auto"/>
        <w:ind w:firstLine="420" w:firstLineChars="200"/>
        <w:rPr>
          <w:rFonts w:ascii="宋体" w:hAnsi="宋体" w:cs="宋体"/>
          <w:color w:val="auto"/>
          <w:szCs w:val="21"/>
          <w:highlight w:val="none"/>
        </w:rPr>
      </w:pPr>
      <w:bookmarkStart w:id="58" w:name="_Hlk68601553"/>
      <w:r>
        <w:rPr>
          <w:rFonts w:hint="eastAsia" w:ascii="宋体" w:hAnsi="宋体" w:cs="宋体"/>
          <w:color w:val="auto"/>
          <w:szCs w:val="21"/>
          <w:highlight w:val="none"/>
        </w:rPr>
        <w:t>（4）同一合同项下的不同供应商，单位负责人为同一人或者存在直接控股、管理关系的；为本项目提供过整体设计、规范编制或者项目管理、监理、检测等服务的。</w:t>
      </w:r>
      <w:bookmarkEnd w:id="58"/>
    </w:p>
    <w:p w14:paraId="3EB1CC6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2.4通过资格审查的合格供应商不足3家的，不得进入符合性审查环节，</w:t>
      </w:r>
      <w:r>
        <w:rPr>
          <w:rFonts w:hint="eastAsia" w:ascii="宋体" w:hAnsi="宋体"/>
          <w:color w:val="auto"/>
          <w:szCs w:val="21"/>
          <w:highlight w:val="none"/>
        </w:rPr>
        <w:t>采购人或者采购代理机构应当重新开展采购活动。</w:t>
      </w:r>
    </w:p>
    <w:p w14:paraId="6E057CA8">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3.符合性审查</w:t>
      </w:r>
    </w:p>
    <w:p w14:paraId="4EDB165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3.1由磋商小组对</w:t>
      </w:r>
      <w:r>
        <w:rPr>
          <w:rFonts w:hint="eastAsia" w:ascii="宋体" w:hAnsi="宋体"/>
          <w:color w:val="auto"/>
          <w:szCs w:val="21"/>
          <w:highlight w:val="none"/>
        </w:rPr>
        <w:t>通过资格审查的合格供应商</w:t>
      </w:r>
      <w:r>
        <w:rPr>
          <w:rFonts w:hint="eastAsia" w:ascii="宋体" w:hAnsi="宋体" w:cs="宋体"/>
          <w:color w:val="auto"/>
          <w:szCs w:val="21"/>
          <w:highlight w:val="none"/>
        </w:rPr>
        <w:t>的响应文件的响应报价、商务、技术等实质性要求进行符合性审查，以确定其是否满足磋商文件的实质性要求。</w:t>
      </w:r>
    </w:p>
    <w:p w14:paraId="1757475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3.2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3E083688">
      <w:pPr>
        <w:spacing w:line="360" w:lineRule="auto"/>
        <w:ind w:firstLine="420" w:firstLineChars="200"/>
        <w:rPr>
          <w:rFonts w:ascii="宋体" w:hAnsi="宋体" w:cs="宋体"/>
          <w:color w:val="auto"/>
          <w:spacing w:val="-6"/>
          <w:szCs w:val="21"/>
          <w:highlight w:val="none"/>
        </w:rPr>
      </w:pPr>
      <w:r>
        <w:rPr>
          <w:rFonts w:hint="eastAsia" w:ascii="宋体" w:hAnsi="宋体" w:cs="宋体"/>
          <w:color w:val="auto"/>
          <w:szCs w:val="21"/>
          <w:highlight w:val="none"/>
        </w:rPr>
        <w:t>3.3磋商小组要求供应商澄清、说明或者更正响应文件应当以电子澄清函形式作出。供应商的澄清、说明或者更正应当已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电子公章</w:t>
      </w:r>
      <w:r>
        <w:rPr>
          <w:rFonts w:hint="eastAsia" w:ascii="宋体" w:hAnsi="宋体" w:cs="宋体"/>
          <w:color w:val="auto"/>
          <w:spacing w:val="-6"/>
          <w:szCs w:val="21"/>
          <w:highlight w:val="none"/>
        </w:rPr>
        <w:t>。供应商为自然人的，必须由本人签字并附身份证明。</w:t>
      </w:r>
    </w:p>
    <w:p w14:paraId="36426DC6">
      <w:pPr>
        <w:spacing w:line="360" w:lineRule="auto"/>
        <w:ind w:firstLine="396" w:firstLineChars="200"/>
        <w:rPr>
          <w:rFonts w:ascii="宋体" w:hAnsi="宋体" w:cs="宋体"/>
          <w:color w:val="auto"/>
          <w:szCs w:val="21"/>
          <w:highlight w:val="none"/>
        </w:rPr>
      </w:pPr>
      <w:r>
        <w:rPr>
          <w:rFonts w:hint="eastAsia" w:ascii="宋体" w:hAnsi="宋体" w:cs="宋体"/>
          <w:color w:val="auto"/>
          <w:spacing w:val="-6"/>
          <w:szCs w:val="21"/>
          <w:highlight w:val="none"/>
        </w:rPr>
        <w:t>3.4</w:t>
      </w:r>
      <w:r>
        <w:rPr>
          <w:rFonts w:hint="eastAsia" w:ascii="宋体" w:hAnsi="宋体" w:cs="宋体"/>
          <w:color w:val="auto"/>
          <w:szCs w:val="21"/>
          <w:highlight w:val="none"/>
        </w:rPr>
        <w:t xml:space="preserve">首次响应文件报价出现前后不一致的，按照下列规定修正： </w:t>
      </w:r>
    </w:p>
    <w:p w14:paraId="0A0E5B5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（1）响应文件中报价表内容与响应文件中相应内容不一致的，以报价表为准；</w:t>
      </w:r>
    </w:p>
    <w:p w14:paraId="27BF2D7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（2）大写金额和小写金额不一致的，以大写金额为准；</w:t>
      </w:r>
    </w:p>
    <w:p w14:paraId="368D5E6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（3）单价金额小数点或者百分比有明显错位的，以报价表的总价为准，并修改单价；</w:t>
      </w:r>
    </w:p>
    <w:p w14:paraId="2DB624D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（4）总价金额与按单价汇总金额不一致的，以单价金额计算结果为准。</w:t>
      </w:r>
    </w:p>
    <w:p w14:paraId="5866DC4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同时出现两种以上不一致的，按照以上（1）-（4）规定的顺序逐条进行修正。修正后的报价经供应商确认后产生约束力，供应商不确认的，其响应文件按无效响应处理。</w:t>
      </w:r>
    </w:p>
    <w:p w14:paraId="7061A89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3.5商务技术、报价评审</w:t>
      </w:r>
    </w:p>
    <w:p w14:paraId="5573919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在评审时，如发现下列情形之一的，将被视为响应文件无效处理：</w:t>
      </w:r>
    </w:p>
    <w:p w14:paraId="48C6F69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（1）商务技术评审</w:t>
      </w:r>
    </w:p>
    <w:p w14:paraId="17A8DD8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1）响应文件未按磋商文件要求签署、盖章；</w:t>
      </w:r>
    </w:p>
    <w:p w14:paraId="12D9456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2）委托代理人未能出具有效身份证明或者出具的身份证明与授权委托书中的信息不符； </w:t>
      </w:r>
    </w:p>
    <w:p w14:paraId="55BF707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3）响应文件未提供任一项“供应商须知前附表” 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14:paraId="08D2490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4）商务条款中标“</w:t>
      </w:r>
      <w:bookmarkStart w:id="59" w:name="OLE_LINK15"/>
      <w:r>
        <w:rPr>
          <w:rFonts w:hint="eastAsia" w:ascii="宋体" w:hAnsi="宋体" w:cs="宋体"/>
          <w:color w:val="auto"/>
          <w:szCs w:val="21"/>
          <w:highlight w:val="none"/>
        </w:rPr>
        <w:t>▲</w:t>
      </w:r>
      <w:bookmarkEnd w:id="59"/>
      <w:r>
        <w:rPr>
          <w:rFonts w:hint="eastAsia" w:ascii="宋体" w:hAnsi="宋体" w:cs="宋体"/>
          <w:color w:val="auto"/>
          <w:szCs w:val="21"/>
          <w:highlight w:val="none"/>
        </w:rPr>
        <w:t>”的条款发生负偏离的或者允许负偏离的条款数超过“供应商须知前附表”规定项数的或者标明实质性的要求发生负偏离；</w:t>
      </w:r>
    </w:p>
    <w:p w14:paraId="66CCF31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5）未对竞标有效期作出响应或者响应文件承诺的竞标有效期不满足磋商文件要求；</w:t>
      </w:r>
    </w:p>
    <w:p w14:paraId="473E78B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6）响应文件的实质性内容未使用中文表述、使用计量单位不符合磋商文件要求；</w:t>
      </w:r>
    </w:p>
    <w:p w14:paraId="28FEB76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7）响应文件中的文件资料因填写不齐全或者内容虚假或者出现其他情形而导致被磋商小组认定无效；</w:t>
      </w:r>
    </w:p>
    <w:p w14:paraId="726C6AE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8）响应文件含有采购人不能接受的附加条件；</w:t>
      </w:r>
    </w:p>
    <w:p w14:paraId="1DD500D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9）属于“供应商须知正文”第7.5条情形；</w:t>
      </w:r>
    </w:p>
    <w:p w14:paraId="312584A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10）技术需求允许负偏离的条款数超过“供应商须知前附表”规定项数；</w:t>
      </w:r>
    </w:p>
    <w:p w14:paraId="435FD9F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11）虚假竞标，或者出现其他情形而导致被磋商小组认定无效；</w:t>
      </w:r>
    </w:p>
    <w:p w14:paraId="3D06303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12）竞标技术方案不明确，磋商文件未允许</w:t>
      </w:r>
      <w:r>
        <w:rPr>
          <w:rFonts w:hint="eastAsia" w:ascii="宋体" w:hAnsi="宋体"/>
          <w:color w:val="auto"/>
          <w:szCs w:val="21"/>
          <w:highlight w:val="none"/>
        </w:rPr>
        <w:t>但响应文件中</w:t>
      </w:r>
      <w:r>
        <w:rPr>
          <w:rFonts w:hint="eastAsia" w:ascii="宋体" w:hAnsi="宋体" w:cs="宋体"/>
          <w:color w:val="auto"/>
          <w:szCs w:val="21"/>
          <w:highlight w:val="none"/>
        </w:rPr>
        <w:t>存在一个或者一个以上备选（替代）竞标方案；</w:t>
      </w:r>
    </w:p>
    <w:p w14:paraId="4D92692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13）响应文件标注的项目名称或者项目编号与竞争性磋商文件标注的项目名称或者项目编号不一致的；</w:t>
      </w:r>
    </w:p>
    <w:p w14:paraId="6BDC7A3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14）未响应磋商文件实质性要求；</w:t>
      </w:r>
    </w:p>
    <w:p w14:paraId="4548B95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15）法律、法规和磋商文件规定的其他无效情形。</w:t>
      </w:r>
    </w:p>
    <w:p w14:paraId="2E7C0DC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（2）报价评审</w:t>
      </w:r>
    </w:p>
    <w:p w14:paraId="090972D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 响应文件未提供“供应商须知前附表” 报价文件中规定的“响应报价表”；</w:t>
      </w:r>
    </w:p>
    <w:p w14:paraId="6174A9E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2）未采用人民币报价或者未按照磋商文件标明的币种报价；</w:t>
      </w:r>
    </w:p>
    <w:p w14:paraId="5E9F702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供应商未就所竞标标项进行报价或者存在漏项报价；供应商未就所竞标标项的单项内容作唯一报价；供应商未就所竞标标项的全部内容作唯一总价报价；供应商响应文件中存在有选择、有条件报价的（磋商文件允许有备选方案或者其他约定的除外）；</w:t>
      </w:r>
    </w:p>
    <w:p w14:paraId="196CCF1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响应报价（包含首次报价、最后报价）超过所竞标标项规定的采购预算金额或者最高限价的（如本项目公布了最高限价）；响应报价（包含首次报价、最后报价）超过磋商文件分项采购预算金额或者最高限价的（如本项目公布了最高限价）；</w:t>
      </w:r>
    </w:p>
    <w:p w14:paraId="38D1C49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修正后的报价，供应商不确认的；或者经供应商确认修正后的响应报价（包含首次报价、最后报价）超过所竞标标项规定的采购预算金额或者最高限价（如本项目公布了最高限价）；或者经供应商确认修正后响应报价（包含首次报价、最后报价）超过磋商文件分项采购预算金额或者最高限价的（如本项目公布了最高限价）。</w:t>
      </w:r>
    </w:p>
    <w:p w14:paraId="2A1B5E3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w:t>
      </w:r>
      <w:r>
        <w:rPr>
          <w:rFonts w:hint="eastAsia" w:ascii="宋体" w:hAnsi="宋体"/>
          <w:color w:val="auto"/>
          <w:szCs w:val="21"/>
          <w:highlight w:val="none"/>
        </w:rPr>
        <w:t>响应文件响应的标的数量及单位与竞争性磋商采购文件要求实质性不一致的。</w:t>
      </w:r>
    </w:p>
    <w:p w14:paraId="69A7862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3.6磋商小组对响应文件进行评审，未实质性响应磋商文件的响应文件按无效处理，磋商小组应当将资格和符合性不通过的情况告知有关供应商。磋商小组从符合磋商文件规定的相应资格条件的供应商名单中确定不少于3家的供应商参加磋商。</w:t>
      </w:r>
    </w:p>
    <w:p w14:paraId="32E291A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3.7非</w:t>
      </w:r>
      <w:r>
        <w:rPr>
          <w:rFonts w:hint="eastAsia" w:ascii="宋体" w:hAnsi="宋体"/>
          <w:color w:val="auto"/>
          <w:szCs w:val="21"/>
          <w:highlight w:val="none"/>
        </w:rPr>
        <w:t>政府购买服务项目，通过符合性审查的合格供应商不足3家的，不得进入磋商环节，采购人或者采购代理机构应当重新开展采购活动。政府购买服务项目，按《财政部关于政府采购竞争性磋商采购方式管理暂行办法有关问题的补充通知》（财库〔2015〕124号）规定，采购过程中通过符合性审查的供应商（社会资本）只有2家的，磋商采购活动可以继续进行。</w:t>
      </w:r>
    </w:p>
    <w:p w14:paraId="24F36DAA">
      <w:pPr>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4.磋商程序</w:t>
      </w:r>
    </w:p>
    <w:p w14:paraId="2F1AA0E4">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4.1磋商小组按照“供应商须知前附表”</w:t>
      </w:r>
      <w:r>
        <w:rPr>
          <w:rFonts w:hint="eastAsia" w:ascii="宋体" w:hAnsi="宋体" w:cs="宋体"/>
          <w:color w:val="auto"/>
          <w:szCs w:val="21"/>
          <w:highlight w:val="none"/>
        </w:rPr>
        <w:t xml:space="preserve"> </w:t>
      </w:r>
      <w:r>
        <w:rPr>
          <w:rFonts w:hint="eastAsia" w:ascii="宋体" w:hAnsi="宋体" w:cs="宋体"/>
          <w:color w:val="auto"/>
          <w:kern w:val="0"/>
          <w:szCs w:val="21"/>
          <w:highlight w:val="none"/>
        </w:rPr>
        <w:t>确定的</w:t>
      </w:r>
      <w:r>
        <w:rPr>
          <w:rFonts w:hint="eastAsia" w:ascii="宋体" w:hAnsi="宋体" w:cs="宋体"/>
          <w:color w:val="auto"/>
          <w:szCs w:val="21"/>
          <w:highlight w:val="none"/>
        </w:rPr>
        <w:t>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14:paraId="2A25F6A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4.2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6677E17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4.3对磋商文件作出的实质性变动是磋商文件的有效组成部分，由磋商小组及时以电子澄清函形式同时通知所有参加磋商的供应商。</w:t>
      </w:r>
    </w:p>
    <w:p w14:paraId="30B54D1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4.4供应商必须按照磋商文件的变动情况和磋商小组的要求以回函的形式重新提交响应文件，并加盖电子公章。供应商为自然人的，必须由本人签字并附身份证明。参加磋商的供应商未在规定时间内重新提交响应文件的，视同退出磋商。</w:t>
      </w:r>
    </w:p>
    <w:p w14:paraId="59D1505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4.5磋商中，</w:t>
      </w:r>
      <w:r>
        <w:rPr>
          <w:rFonts w:hint="eastAsia" w:ascii="宋体" w:hAnsi="宋体" w:cs="宋体"/>
          <w:color w:val="auto"/>
          <w:spacing w:val="-6"/>
          <w:szCs w:val="21"/>
          <w:highlight w:val="none"/>
        </w:rPr>
        <w:t>磋商的任何一方不得透露与磋商有关的其他供应商的技术资料、价格和其他信息。</w:t>
      </w:r>
    </w:p>
    <w:p w14:paraId="46002C54">
      <w:pPr>
        <w:widowControl/>
        <w:tabs>
          <w:tab w:val="left" w:pos="540"/>
        </w:tabs>
        <w:spacing w:line="360" w:lineRule="auto"/>
        <w:ind w:firstLine="420" w:firstLineChars="200"/>
        <w:jc w:val="left"/>
        <w:rPr>
          <w:rFonts w:ascii="仿宋" w:hAnsi="仿宋" w:eastAsia="仿宋" w:cs="仿宋_GB2312"/>
          <w:b/>
          <w:color w:val="auto"/>
          <w:highlight w:val="none"/>
        </w:rPr>
      </w:pPr>
      <w:r>
        <w:rPr>
          <w:rFonts w:hint="eastAsia" w:ascii="宋体" w:hAnsi="宋体" w:cs="宋体"/>
          <w:color w:val="auto"/>
          <w:szCs w:val="21"/>
          <w:highlight w:val="none"/>
        </w:rPr>
        <w:t>4.6磋商小组应对磋商过程和重要磋商内容进行记录，作为评标报告一部分，磋商小组在记录上签字确认。</w:t>
      </w:r>
      <w:r>
        <w:rPr>
          <w:rFonts w:hint="eastAsia" w:ascii="仿宋" w:hAnsi="仿宋" w:eastAsia="仿宋" w:cs="仿宋_GB2312"/>
          <w:b/>
          <w:color w:val="auto"/>
          <w:highlight w:val="none"/>
        </w:rPr>
        <w:t>主要内容包括：</w:t>
      </w:r>
    </w:p>
    <w:p w14:paraId="17BE03F4">
      <w:pPr>
        <w:ind w:firstLine="396"/>
        <w:rPr>
          <w:rFonts w:ascii="宋体" w:hAnsi="宋体" w:cs="宋体"/>
          <w:color w:val="auto"/>
          <w:spacing w:val="-6"/>
          <w:szCs w:val="21"/>
          <w:highlight w:val="none"/>
        </w:rPr>
      </w:pPr>
      <w:r>
        <w:rPr>
          <w:rFonts w:hint="eastAsia" w:ascii="宋体" w:hAnsi="宋体" w:cs="宋体"/>
          <w:color w:val="auto"/>
          <w:spacing w:val="-6"/>
          <w:szCs w:val="21"/>
          <w:highlight w:val="none"/>
        </w:rPr>
        <w:t>（1）按照相关规定进行公示的，公示情况说明；</w:t>
      </w:r>
    </w:p>
    <w:p w14:paraId="5BF9495E">
      <w:pPr>
        <w:ind w:firstLine="396"/>
        <w:rPr>
          <w:rFonts w:ascii="宋体" w:hAnsi="宋体" w:cs="宋体"/>
          <w:color w:val="auto"/>
          <w:spacing w:val="-6"/>
          <w:szCs w:val="21"/>
          <w:highlight w:val="none"/>
        </w:rPr>
      </w:pPr>
      <w:r>
        <w:rPr>
          <w:rFonts w:hint="eastAsia" w:ascii="宋体" w:hAnsi="宋体" w:cs="宋体"/>
          <w:color w:val="auto"/>
          <w:spacing w:val="-6"/>
          <w:szCs w:val="21"/>
          <w:highlight w:val="none"/>
        </w:rPr>
        <w:t>（2）磋商日期和地点，磋商人员名单；</w:t>
      </w:r>
    </w:p>
    <w:p w14:paraId="3AEAF064">
      <w:pPr>
        <w:ind w:firstLine="396"/>
        <w:rPr>
          <w:rFonts w:ascii="宋体" w:hAnsi="宋体" w:cs="宋体"/>
          <w:color w:val="auto"/>
          <w:spacing w:val="-6"/>
          <w:szCs w:val="21"/>
          <w:highlight w:val="none"/>
        </w:rPr>
      </w:pPr>
      <w:r>
        <w:rPr>
          <w:rFonts w:hint="eastAsia" w:ascii="宋体" w:hAnsi="宋体" w:cs="宋体"/>
          <w:color w:val="auto"/>
          <w:spacing w:val="-6"/>
          <w:szCs w:val="21"/>
          <w:highlight w:val="none"/>
        </w:rPr>
        <w:t>（3）合同主要条款及价格商定情况。</w:t>
      </w:r>
    </w:p>
    <w:p w14:paraId="0959CA06">
      <w:pPr>
        <w:widowControl/>
        <w:tabs>
          <w:tab w:val="left" w:pos="540"/>
        </w:tabs>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4.7磋商过程中重新提交的响应文件，供应商可以在开启前补充、修改。</w:t>
      </w:r>
    </w:p>
    <w:p w14:paraId="652CC158">
      <w:pPr>
        <w:tabs>
          <w:tab w:val="left" w:pos="2835"/>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4.8</w:t>
      </w:r>
      <w:r>
        <w:rPr>
          <w:rFonts w:hint="eastAsia" w:ascii="宋体" w:hAnsi="宋体"/>
          <w:color w:val="auto"/>
          <w:szCs w:val="21"/>
          <w:highlight w:val="none"/>
        </w:rPr>
        <w:t>对磋商过程提交的响应文件进行有效性、完整性和响应程度审查，通过审查的合格供应商不足3家的，采购人或者采购代理机构应当重新开展采购活动。</w:t>
      </w:r>
    </w:p>
    <w:p w14:paraId="3E3D1710">
      <w:pPr>
        <w:ind w:firstLine="200"/>
        <w:rPr>
          <w:rFonts w:ascii="宋体" w:hAnsi="宋体" w:cs="宋体"/>
          <w:color w:val="auto"/>
          <w:szCs w:val="21"/>
          <w:highlight w:val="none"/>
        </w:rPr>
      </w:pPr>
      <w:r>
        <w:rPr>
          <w:rFonts w:hint="eastAsia" w:ascii="黑体" w:hAnsi="黑体" w:eastAsia="黑体" w:cs="宋体"/>
          <w:b/>
          <w:bCs/>
          <w:color w:val="auto"/>
          <w:sz w:val="24"/>
          <w:highlight w:val="none"/>
        </w:rPr>
        <w:t>5. 最后报价</w:t>
      </w:r>
    </w:p>
    <w:p w14:paraId="24BF951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5.1磋商文件能够详细列明采购标的的技术、服务要求的，磋商结束后，由磋商小组要求所有继续参加磋商的供应商在规定时间内密封提交最后报价，除本章第5.3条外，提交最后报价的供应商不得少于3家，否则必须重新采购。</w:t>
      </w:r>
    </w:p>
    <w:p w14:paraId="59CF387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5.2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密封提交最后报价。</w:t>
      </w:r>
    </w:p>
    <w:p w14:paraId="367FBDD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5.3 最后报价是供应商响应文件的有效组成部分。符合《政府采购竞争性磋商采购方式管理暂行办法》（财库〔2014〕214号）第三条第四项“市场竞争不充分的科研项目，以及需要扶持的科技成果转化项目”的，提交最后报价的供应商可以为2家。</w:t>
      </w:r>
    </w:p>
    <w:p w14:paraId="002910E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5.4已经提交响应文件的供应商，在提交最后报价之前，可以根据磋商情况退出磋商，退出磋商的供应商的响应文件按无效响应处理。</w:t>
      </w:r>
    </w:p>
    <w:p w14:paraId="4D6AF53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5.5供应商未在规定时间内提交最后报价的，视同退出磋商。</w:t>
      </w:r>
    </w:p>
    <w:p w14:paraId="254A911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5.6磋商小组收齐某一标项最后报价后统一开启，磋商小组对最后报价进行有效性、完整性和响应程度的审查。</w:t>
      </w:r>
    </w:p>
    <w:p w14:paraId="79A73AF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5.7最终响应文件的报价出现前后不一致的，按照本章第3.4条的规定修正。 </w:t>
      </w:r>
    </w:p>
    <w:p w14:paraId="774D096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5.8修正后的最终报价出现下列情形的，按无效响应处理：</w:t>
      </w:r>
    </w:p>
    <w:p w14:paraId="599586A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（1）供应商不确认的（全流程电子化评标采取在线确认）；</w:t>
      </w:r>
    </w:p>
    <w:p w14:paraId="66D8EF7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（2）经供应商确认修正后的响应报价（包含首次报价、最后报价）超过所竞标标项规定的采购预算金额或者最高限价的（如本项目公布了最高限价）；</w:t>
      </w:r>
    </w:p>
    <w:p w14:paraId="1D21AD0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（3）经供应商确认修正后的响应报价（包含首次报价、最后报价）超过分项采购预算金额或者最高限价的（如本项目公布了最高限价）。</w:t>
      </w:r>
    </w:p>
    <w:p w14:paraId="7945B8F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5.9经供应商确认修正后的最后报价作为评审及签订合同的依据。</w:t>
      </w:r>
    </w:p>
    <w:p w14:paraId="69E1F64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5.10供应商出现最后报价按无效响应处理或者响应文件按无效处理时</w:t>
      </w:r>
      <w:r>
        <w:rPr>
          <w:rFonts w:hint="eastAsia" w:ascii="宋体" w:hAnsi="宋体"/>
          <w:color w:val="auto"/>
          <w:sz w:val="22"/>
          <w:szCs w:val="22"/>
          <w:highlight w:val="none"/>
        </w:rPr>
        <w:t>，磋商小组应当告知有关供应商</w:t>
      </w:r>
      <w:r>
        <w:rPr>
          <w:rFonts w:hint="eastAsia" w:ascii="宋体" w:hAnsi="宋体" w:cs="宋体"/>
          <w:color w:val="auto"/>
          <w:szCs w:val="21"/>
          <w:highlight w:val="none"/>
        </w:rPr>
        <w:t>。</w:t>
      </w:r>
    </w:p>
    <w:p w14:paraId="1F4149A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5.11最后报价结束后，磋商小组不得再与供应商进行任何形式的商谈。</w:t>
      </w:r>
    </w:p>
    <w:p w14:paraId="52207131">
      <w:pPr>
        <w:ind w:firstLine="200"/>
        <w:rPr>
          <w:rFonts w:ascii="黑体" w:hAnsi="黑体" w:eastAsia="黑体" w:cs="宋体"/>
          <w:b/>
          <w:bCs/>
          <w:color w:val="auto"/>
          <w:sz w:val="24"/>
          <w:highlight w:val="none"/>
        </w:rPr>
      </w:pPr>
      <w:r>
        <w:rPr>
          <w:rFonts w:hint="eastAsia" w:ascii="黑体" w:hAnsi="黑体" w:eastAsia="黑体" w:cs="宋体"/>
          <w:b/>
          <w:bCs/>
          <w:color w:val="auto"/>
          <w:sz w:val="24"/>
          <w:highlight w:val="none"/>
        </w:rPr>
        <w:t>6.比较与评价</w:t>
      </w:r>
    </w:p>
    <w:p w14:paraId="62B9FAB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6.1评审方法：综合评分法。</w:t>
      </w:r>
    </w:p>
    <w:p w14:paraId="59F8CB3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6.2经磋商确定最终采购需求和提交最后报价的供应商后，由磋商小组采用综合评分法对提交最后报价的供应商的响应文件和最后报价进行综合评分。</w:t>
      </w:r>
    </w:p>
    <w:p w14:paraId="3603377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6.3评审时，磋商小组各成员应当独立对每个有效响应的文件进行评价、打分，然后汇总每个供应商每项评分因素的得分。</w:t>
      </w:r>
    </w:p>
    <w:p w14:paraId="41CBB64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评审委员会成员要根据政府采购法律法规和采购文件所载明的评审方法、标准进行评审。对供应商的价格分等客观评分项的评分应当一致，对其他需要借助专业知识评判的主观评分项，应当严格按照评分细则公正评分。</w:t>
      </w:r>
    </w:p>
    <w:p w14:paraId="061FA00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（2）磋商小组按照磋商文件中规定的评审标准计算各供应商的报价得分。项目评审过程中，不得去掉最后报价中的最高报价和最低报价。</w:t>
      </w:r>
    </w:p>
    <w:p w14:paraId="238ADE3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（3）各供应商的得分为磋商小组所有成员的有效评分的算术平均数。</w:t>
      </w:r>
    </w:p>
    <w:p w14:paraId="7395A16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6.4评审价为供应商的最后报价进行政策性扣除后的价格，评审价只是作为评审时使用。最终成交供应商的成交金额等于最后报价（如有修正，以确认修正后的最后报价为准）。</w:t>
      </w:r>
    </w:p>
    <w:p w14:paraId="0C80428A">
      <w:pPr>
        <w:spacing w:line="360" w:lineRule="auto"/>
        <w:ind w:firstLine="420" w:firstLineChars="200"/>
        <w:rPr>
          <w:rFonts w:ascii="宋体" w:hAnsi="宋体"/>
          <w:color w:val="auto"/>
          <w:kern w:val="0"/>
          <w:szCs w:val="21"/>
          <w:highlight w:val="none"/>
        </w:rPr>
      </w:pPr>
      <w:r>
        <w:rPr>
          <w:rFonts w:hint="eastAsia" w:ascii="宋体" w:hAnsi="宋体" w:cs="宋体"/>
          <w:color w:val="auto"/>
          <w:szCs w:val="21"/>
          <w:highlight w:val="none"/>
        </w:rPr>
        <w:t>6.5由磋商小组根据综合评分情况，按照评审得分由高到低顺序推荐3名以上成交候选供应商，并编写评</w:t>
      </w:r>
      <w:r>
        <w:rPr>
          <w:rFonts w:hint="eastAsia" w:ascii="宋体" w:hAnsi="宋体"/>
          <w:color w:val="auto"/>
          <w:kern w:val="0"/>
          <w:szCs w:val="21"/>
          <w:highlight w:val="none"/>
        </w:rPr>
        <w:t>审报告。符合本章第4.3条情形的，可以推荐2家成交候选供应商。评审得分相同的，按照最后报价由低到高的顺序推荐。评审得分且最后报价相同的，按照技术指标优劣顺序推荐。</w:t>
      </w:r>
    </w:p>
    <w:p w14:paraId="07816021">
      <w:pPr>
        <w:spacing w:line="360" w:lineRule="auto"/>
        <w:ind w:firstLine="420" w:firstLineChars="200"/>
        <w:rPr>
          <w:rFonts w:ascii="宋体" w:hAnsi="宋体"/>
          <w:color w:val="auto"/>
          <w:kern w:val="0"/>
          <w:szCs w:val="21"/>
          <w:highlight w:val="none"/>
        </w:rPr>
      </w:pPr>
      <w:r>
        <w:rPr>
          <w:rFonts w:hint="eastAsia" w:ascii="宋体" w:hAnsi="宋体"/>
          <w:color w:val="auto"/>
          <w:kern w:val="0"/>
          <w:szCs w:val="21"/>
          <w:highlight w:val="none"/>
        </w:rPr>
        <w:t>6.6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3A74BB7C">
      <w:pPr>
        <w:spacing w:line="360" w:lineRule="auto"/>
        <w:ind w:firstLine="200"/>
        <w:rPr>
          <w:rFonts w:ascii="黑体" w:hAnsi="黑体" w:eastAsia="黑体" w:cs="宋体"/>
          <w:b/>
          <w:bCs/>
          <w:color w:val="auto"/>
          <w:sz w:val="24"/>
          <w:highlight w:val="none"/>
        </w:rPr>
      </w:pPr>
      <w:r>
        <w:rPr>
          <w:rFonts w:hint="eastAsia" w:ascii="黑体" w:hAnsi="黑体" w:eastAsia="黑体" w:cs="宋体"/>
          <w:b/>
          <w:bCs/>
          <w:color w:val="auto"/>
          <w:sz w:val="24"/>
          <w:highlight w:val="none"/>
        </w:rPr>
        <w:t>7.评审复核</w:t>
      </w:r>
    </w:p>
    <w:p w14:paraId="115984E6">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7.1评审报告签署前，评审委员会要对评审结果进行复核，复核意见要体现在评审报告中。</w:t>
      </w:r>
    </w:p>
    <w:p w14:paraId="2F22B4DA">
      <w:pPr>
        <w:widowControl/>
        <w:spacing w:line="360" w:lineRule="auto"/>
        <w:ind w:firstLine="420" w:firstLineChars="200"/>
        <w:jc w:val="left"/>
        <w:rPr>
          <w:rFonts w:ascii="宋体" w:hAnsi="宋体"/>
          <w:color w:val="auto"/>
          <w:kern w:val="0"/>
          <w:szCs w:val="21"/>
          <w:highlight w:val="none"/>
        </w:rPr>
      </w:pPr>
      <w:r>
        <w:rPr>
          <w:rFonts w:hint="eastAsia" w:ascii="宋体" w:hAnsi="宋体" w:cs="宋体"/>
          <w:color w:val="auto"/>
          <w:kern w:val="0"/>
          <w:szCs w:val="21"/>
          <w:highlight w:val="none"/>
        </w:rPr>
        <w:t>7.2评审结果汇总完成后，采购人、采购代理机构和评审委员会均不得修改评审结果或者要求重新评审，但资格性检查认定错误、分值汇总计算错误、分项评分超出评标项准范围、客观分评分不一致、经评审委员会一致认定评分畸高、畸低的情形除外。出现上述除外情形的，评审委员会应当现场修改评审结果，并在评审报告中明确记载。</w:t>
      </w:r>
    </w:p>
    <w:p w14:paraId="253640F3">
      <w:pPr>
        <w:ind w:firstLine="200"/>
        <w:rPr>
          <w:rFonts w:ascii="黑体" w:hAnsi="黑体" w:eastAsia="黑体" w:cs="宋体"/>
          <w:b/>
          <w:bCs/>
          <w:color w:val="auto"/>
          <w:sz w:val="24"/>
          <w:highlight w:val="none"/>
        </w:rPr>
      </w:pPr>
      <w:r>
        <w:rPr>
          <w:rFonts w:hint="eastAsia" w:ascii="黑体" w:hAnsi="黑体" w:eastAsia="黑体" w:cs="宋体"/>
          <w:b/>
          <w:bCs/>
          <w:color w:val="auto"/>
          <w:sz w:val="24"/>
          <w:highlight w:val="none"/>
        </w:rPr>
        <w:t>8.评审标准</w:t>
      </w:r>
    </w:p>
    <w:p w14:paraId="2561BF2A">
      <w:pPr>
        <w:spacing w:line="360" w:lineRule="auto"/>
        <w:ind w:firstLine="420" w:firstLineChars="200"/>
        <w:rPr>
          <w:rFonts w:ascii="仿宋" w:hAnsi="仿宋" w:eastAsia="仿宋" w:cs="仿宋"/>
          <w:color w:val="auto"/>
          <w:highlight w:val="none"/>
        </w:rPr>
      </w:pPr>
      <w:r>
        <w:rPr>
          <w:rFonts w:hint="eastAsia" w:ascii="宋体" w:hAnsi="宋体"/>
          <w:bCs/>
          <w:color w:val="auto"/>
          <w:szCs w:val="21"/>
          <w:highlight w:val="none"/>
        </w:rPr>
        <w:t>8.1评审依据：磋商小组将以磋商响应文件为评审依据，对供应商的报价、技术、商务等方面内容按百分制打分。（计分方法按四舍五入取至百分位）</w:t>
      </w:r>
    </w:p>
    <w:tbl>
      <w:tblPr>
        <w:tblStyle w:val="23"/>
        <w:tblpPr w:leftFromText="180" w:rightFromText="180" w:vertAnchor="text" w:horzAnchor="page" w:tblpX="856" w:tblpY="461"/>
        <w:tblOverlap w:val="never"/>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4"/>
        <w:gridCol w:w="1559"/>
        <w:gridCol w:w="6221"/>
        <w:gridCol w:w="1260"/>
      </w:tblGrid>
      <w:tr w14:paraId="68FBA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14" w:type="dxa"/>
            <w:noWrap w:val="0"/>
            <w:vAlign w:val="center"/>
          </w:tcPr>
          <w:p w14:paraId="5A931607">
            <w:pPr>
              <w:spacing w:line="360" w:lineRule="exact"/>
              <w:jc w:val="center"/>
              <w:rPr>
                <w:rFonts w:hint="eastAsia" w:ascii="宋体" w:hAnsi="宋体" w:eastAsia="宋体" w:cs="宋体"/>
                <w:b/>
                <w:szCs w:val="21"/>
              </w:rPr>
            </w:pPr>
            <w:bookmarkStart w:id="60" w:name="_Hlk198297900"/>
            <w:r>
              <w:rPr>
                <w:rFonts w:hint="eastAsia" w:ascii="宋体" w:hAnsi="宋体" w:eastAsia="宋体" w:cs="宋体"/>
                <w:b/>
                <w:szCs w:val="21"/>
              </w:rPr>
              <w:t>序号</w:t>
            </w:r>
          </w:p>
        </w:tc>
        <w:tc>
          <w:tcPr>
            <w:tcW w:w="1559" w:type="dxa"/>
            <w:noWrap w:val="0"/>
            <w:vAlign w:val="center"/>
          </w:tcPr>
          <w:p w14:paraId="766B02A3">
            <w:pPr>
              <w:spacing w:line="360" w:lineRule="exact"/>
              <w:jc w:val="center"/>
              <w:rPr>
                <w:rFonts w:hint="eastAsia" w:ascii="宋体" w:hAnsi="宋体" w:eastAsia="宋体" w:cs="宋体"/>
                <w:b/>
                <w:szCs w:val="21"/>
              </w:rPr>
            </w:pPr>
            <w:r>
              <w:rPr>
                <w:rFonts w:hint="eastAsia" w:ascii="宋体" w:hAnsi="宋体" w:eastAsia="宋体" w:cs="宋体"/>
                <w:b/>
                <w:kern w:val="0"/>
                <w:szCs w:val="21"/>
              </w:rPr>
              <w:t>评审因素</w:t>
            </w:r>
          </w:p>
        </w:tc>
        <w:tc>
          <w:tcPr>
            <w:tcW w:w="6221" w:type="dxa"/>
            <w:noWrap w:val="0"/>
            <w:vAlign w:val="top"/>
          </w:tcPr>
          <w:p w14:paraId="52DE101D">
            <w:pPr>
              <w:spacing w:line="360" w:lineRule="exact"/>
              <w:jc w:val="center"/>
              <w:rPr>
                <w:rFonts w:hint="eastAsia" w:ascii="宋体" w:hAnsi="宋体" w:eastAsia="宋体" w:cs="宋体"/>
                <w:b/>
                <w:szCs w:val="21"/>
              </w:rPr>
            </w:pPr>
            <w:r>
              <w:rPr>
                <w:rFonts w:hint="eastAsia" w:ascii="宋体" w:hAnsi="宋体" w:eastAsia="宋体" w:cs="宋体"/>
                <w:b/>
                <w:kern w:val="0"/>
                <w:szCs w:val="21"/>
              </w:rPr>
              <w:t>具体内容</w:t>
            </w:r>
          </w:p>
        </w:tc>
        <w:tc>
          <w:tcPr>
            <w:tcW w:w="1260" w:type="dxa"/>
            <w:noWrap w:val="0"/>
            <w:vAlign w:val="center"/>
          </w:tcPr>
          <w:p w14:paraId="59D9867F">
            <w:pPr>
              <w:spacing w:line="360" w:lineRule="exact"/>
              <w:jc w:val="center"/>
              <w:rPr>
                <w:rFonts w:hint="eastAsia" w:ascii="宋体" w:hAnsi="宋体" w:eastAsia="宋体" w:cs="宋体"/>
                <w:b/>
                <w:szCs w:val="21"/>
              </w:rPr>
            </w:pPr>
            <w:r>
              <w:rPr>
                <w:rFonts w:hint="eastAsia" w:ascii="宋体" w:hAnsi="宋体" w:eastAsia="宋体" w:cs="宋体"/>
                <w:b/>
                <w:szCs w:val="21"/>
              </w:rPr>
              <w:t>分值</w:t>
            </w:r>
          </w:p>
        </w:tc>
      </w:tr>
      <w:tr w14:paraId="7CDDB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center"/>
          </w:tcPr>
          <w:p w14:paraId="582557E0">
            <w:pPr>
              <w:spacing w:line="360" w:lineRule="exact"/>
              <w:jc w:val="center"/>
              <w:rPr>
                <w:rFonts w:hint="eastAsia" w:ascii="宋体" w:hAnsi="宋体" w:eastAsia="宋体" w:cs="宋体"/>
                <w:bCs/>
                <w:szCs w:val="21"/>
              </w:rPr>
            </w:pPr>
            <w:r>
              <w:rPr>
                <w:rFonts w:hint="eastAsia" w:ascii="宋体" w:hAnsi="宋体" w:eastAsia="宋体" w:cs="宋体"/>
                <w:bCs/>
                <w:szCs w:val="21"/>
              </w:rPr>
              <w:t>1</w:t>
            </w:r>
          </w:p>
        </w:tc>
        <w:tc>
          <w:tcPr>
            <w:tcW w:w="1559" w:type="dxa"/>
            <w:noWrap w:val="0"/>
            <w:vAlign w:val="center"/>
          </w:tcPr>
          <w:p w14:paraId="4651D57C">
            <w:pPr>
              <w:spacing w:line="360" w:lineRule="auto"/>
              <w:jc w:val="center"/>
              <w:rPr>
                <w:rFonts w:hint="eastAsia" w:ascii="宋体" w:hAnsi="宋体" w:eastAsia="宋体" w:cs="宋体"/>
                <w:bCs/>
                <w:szCs w:val="21"/>
              </w:rPr>
            </w:pPr>
            <w:r>
              <w:rPr>
                <w:rFonts w:hint="eastAsia" w:ascii="宋体" w:hAnsi="宋体" w:eastAsia="宋体" w:cs="宋体"/>
                <w:b/>
                <w:bCs w:val="0"/>
                <w:szCs w:val="21"/>
              </w:rPr>
              <w:t>报价分</w:t>
            </w:r>
          </w:p>
        </w:tc>
        <w:tc>
          <w:tcPr>
            <w:tcW w:w="6221" w:type="dxa"/>
            <w:noWrap w:val="0"/>
            <w:vAlign w:val="top"/>
          </w:tcPr>
          <w:p w14:paraId="24EC81EC">
            <w:pPr>
              <w:spacing w:line="360" w:lineRule="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（1）评审价为供应商的最后报价，最终成交供应商的成交金额等于最后报价（如有修正，以确认修正后的最后报价为准）。</w:t>
            </w:r>
          </w:p>
          <w:p w14:paraId="09BDBA87">
            <w:pPr>
              <w:spacing w:line="360" w:lineRule="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（2）本项目为专门面向中小企业采购的项目，参加本项目磋商的供应商必须为中小微企业，或监狱企业，或残疾人福利性单位，否则</w:t>
            </w:r>
            <w:r>
              <w:rPr>
                <w:rFonts w:hint="eastAsia" w:ascii="宋体" w:hAnsi="宋体" w:cs="宋体"/>
                <w:bCs/>
                <w:color w:val="auto"/>
                <w:kern w:val="2"/>
                <w:sz w:val="21"/>
                <w:szCs w:val="21"/>
                <w:highlight w:val="none"/>
                <w:lang w:val="en-US" w:eastAsia="zh-CN" w:bidi="ar-SA"/>
              </w:rPr>
              <w:t>响应</w:t>
            </w:r>
            <w:r>
              <w:rPr>
                <w:rFonts w:hint="eastAsia" w:ascii="宋体" w:hAnsi="宋体" w:eastAsia="宋体" w:cs="宋体"/>
                <w:bCs/>
                <w:color w:val="auto"/>
                <w:kern w:val="2"/>
                <w:sz w:val="21"/>
                <w:szCs w:val="21"/>
                <w:highlight w:val="none"/>
                <w:lang w:val="en-US" w:eastAsia="zh-CN" w:bidi="ar-SA"/>
              </w:rPr>
              <w:t>无效。价格评审时，参加本次项目</w:t>
            </w:r>
            <w:r>
              <w:rPr>
                <w:rFonts w:hint="eastAsia" w:ascii="宋体" w:hAnsi="宋体" w:cs="宋体"/>
                <w:bCs/>
                <w:color w:val="auto"/>
                <w:kern w:val="2"/>
                <w:sz w:val="21"/>
                <w:szCs w:val="21"/>
                <w:highlight w:val="none"/>
                <w:lang w:val="en-US" w:eastAsia="zh-CN" w:bidi="ar-SA"/>
              </w:rPr>
              <w:t>响应</w:t>
            </w:r>
            <w:r>
              <w:rPr>
                <w:rFonts w:hint="eastAsia" w:ascii="宋体" w:hAnsi="宋体" w:eastAsia="宋体" w:cs="宋体"/>
                <w:bCs/>
                <w:color w:val="auto"/>
                <w:kern w:val="2"/>
                <w:sz w:val="21"/>
                <w:szCs w:val="21"/>
                <w:highlight w:val="none"/>
                <w:lang w:val="en-US" w:eastAsia="zh-CN" w:bidi="ar-SA"/>
              </w:rPr>
              <w:t>的供应商不重复享受政策，其评审价=最后报价。</w:t>
            </w:r>
          </w:p>
          <w:p w14:paraId="6AA1F620">
            <w:pPr>
              <w:spacing w:line="360" w:lineRule="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（3）以进入比较与评价环节的最低的评审价为基准价，基准价得分为</w:t>
            </w:r>
            <w:r>
              <w:rPr>
                <w:rFonts w:hint="eastAsia" w:ascii="宋体" w:hAnsi="宋体" w:cs="宋体"/>
                <w:bCs/>
                <w:color w:val="auto"/>
                <w:kern w:val="2"/>
                <w:sz w:val="21"/>
                <w:szCs w:val="21"/>
                <w:highlight w:val="none"/>
                <w:lang w:val="en-US" w:eastAsia="zh-CN" w:bidi="ar-SA"/>
              </w:rPr>
              <w:t>10</w:t>
            </w:r>
            <w:r>
              <w:rPr>
                <w:rFonts w:hint="eastAsia" w:ascii="宋体" w:hAnsi="宋体" w:eastAsia="宋体" w:cs="宋体"/>
                <w:bCs/>
                <w:color w:val="auto"/>
                <w:kern w:val="2"/>
                <w:sz w:val="21"/>
                <w:szCs w:val="21"/>
                <w:highlight w:val="none"/>
                <w:lang w:val="en-US" w:eastAsia="zh-CN" w:bidi="ar-SA"/>
              </w:rPr>
              <w:t>分。</w:t>
            </w:r>
          </w:p>
          <w:p w14:paraId="7C22122F">
            <w:pPr>
              <w:spacing w:line="360" w:lineRule="auto"/>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1"/>
                <w:szCs w:val="21"/>
                <w:highlight w:val="none"/>
                <w:lang w:val="en-US" w:eastAsia="zh-CN" w:bidi="ar-SA"/>
              </w:rPr>
              <w:t>（4）价格分计算公式：报价得分=（基准价/最后报价）×</w:t>
            </w:r>
            <w:r>
              <w:rPr>
                <w:rFonts w:hint="eastAsia" w:ascii="宋体" w:hAnsi="宋体" w:cs="宋体"/>
                <w:bCs/>
                <w:color w:val="auto"/>
                <w:kern w:val="2"/>
                <w:sz w:val="21"/>
                <w:szCs w:val="21"/>
                <w:highlight w:val="none"/>
                <w:lang w:val="en-US" w:eastAsia="zh-CN" w:bidi="ar-SA"/>
              </w:rPr>
              <w:t>10</w:t>
            </w:r>
            <w:r>
              <w:rPr>
                <w:rFonts w:hint="eastAsia" w:ascii="宋体" w:hAnsi="宋体" w:eastAsia="宋体" w:cs="宋体"/>
                <w:bCs/>
                <w:color w:val="auto"/>
                <w:kern w:val="2"/>
                <w:sz w:val="21"/>
                <w:szCs w:val="21"/>
                <w:highlight w:val="none"/>
                <w:lang w:val="en-US" w:eastAsia="zh-CN" w:bidi="ar-SA"/>
              </w:rPr>
              <w:t>分</w:t>
            </w:r>
          </w:p>
        </w:tc>
        <w:tc>
          <w:tcPr>
            <w:tcW w:w="1260" w:type="dxa"/>
            <w:noWrap w:val="0"/>
            <w:vAlign w:val="center"/>
          </w:tcPr>
          <w:p w14:paraId="5BC0F575">
            <w:pPr>
              <w:spacing w:line="360" w:lineRule="exact"/>
              <w:jc w:val="center"/>
              <w:rPr>
                <w:rFonts w:hint="eastAsia" w:ascii="宋体" w:hAnsi="宋体" w:eastAsia="宋体" w:cs="宋体"/>
                <w:bCs/>
                <w:color w:val="auto"/>
                <w:kern w:val="2"/>
                <w:sz w:val="24"/>
                <w:szCs w:val="24"/>
                <w:highlight w:val="none"/>
                <w:lang w:val="en-US" w:eastAsia="zh-CN" w:bidi="ar-SA"/>
              </w:rPr>
            </w:pPr>
            <w:r>
              <w:rPr>
                <w:rFonts w:hint="eastAsia" w:ascii="宋体" w:hAnsi="宋体"/>
                <w:szCs w:val="21"/>
                <w:lang w:val="en-US" w:eastAsia="zh-CN"/>
              </w:rPr>
              <w:t>10分</w:t>
            </w:r>
          </w:p>
        </w:tc>
      </w:tr>
      <w:tr w14:paraId="21FD2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814" w:type="dxa"/>
            <w:noWrap w:val="0"/>
            <w:vAlign w:val="center"/>
          </w:tcPr>
          <w:p w14:paraId="177EAC4B">
            <w:pPr>
              <w:spacing w:line="360" w:lineRule="exact"/>
              <w:jc w:val="center"/>
              <w:rPr>
                <w:rFonts w:hint="eastAsia" w:ascii="宋体" w:hAnsi="宋体" w:eastAsia="宋体" w:cs="宋体"/>
                <w:b/>
                <w:szCs w:val="21"/>
              </w:rPr>
            </w:pPr>
            <w:r>
              <w:rPr>
                <w:rFonts w:hint="eastAsia" w:ascii="宋体" w:hAnsi="宋体" w:eastAsia="宋体" w:cs="宋体"/>
                <w:b/>
                <w:szCs w:val="21"/>
              </w:rPr>
              <w:t>2</w:t>
            </w:r>
          </w:p>
        </w:tc>
        <w:tc>
          <w:tcPr>
            <w:tcW w:w="1559" w:type="dxa"/>
            <w:noWrap w:val="0"/>
            <w:vAlign w:val="center"/>
          </w:tcPr>
          <w:p w14:paraId="1B9329A6">
            <w:pPr>
              <w:spacing w:line="360" w:lineRule="exact"/>
              <w:jc w:val="center"/>
              <w:rPr>
                <w:rFonts w:hint="eastAsia" w:ascii="宋体" w:hAnsi="宋体" w:eastAsia="宋体" w:cs="宋体"/>
                <w:b/>
                <w:szCs w:val="21"/>
              </w:rPr>
            </w:pPr>
            <w:r>
              <w:rPr>
                <w:rFonts w:hint="eastAsia" w:ascii="宋体" w:hAnsi="宋体" w:eastAsia="宋体" w:cs="宋体"/>
                <w:b/>
                <w:szCs w:val="21"/>
              </w:rPr>
              <w:t>技术分</w:t>
            </w:r>
          </w:p>
        </w:tc>
        <w:tc>
          <w:tcPr>
            <w:tcW w:w="6221" w:type="dxa"/>
            <w:noWrap w:val="0"/>
            <w:vAlign w:val="center"/>
          </w:tcPr>
          <w:p w14:paraId="4682C57D">
            <w:pPr>
              <w:widowControl/>
              <w:spacing w:line="360" w:lineRule="exact"/>
              <w:jc w:val="center"/>
              <w:rPr>
                <w:rFonts w:hint="eastAsia" w:ascii="宋体" w:hAnsi="宋体" w:eastAsia="宋体" w:cs="宋体"/>
                <w:b/>
                <w:color w:val="auto"/>
                <w:szCs w:val="21"/>
              </w:rPr>
            </w:pPr>
            <w:r>
              <w:rPr>
                <w:rFonts w:hint="eastAsia" w:ascii="宋体" w:hAnsi="宋体" w:eastAsia="宋体" w:cs="宋体"/>
                <w:b/>
                <w:color w:val="auto"/>
                <w:kern w:val="0"/>
                <w:szCs w:val="21"/>
              </w:rPr>
              <w:t>具体内容</w:t>
            </w:r>
          </w:p>
        </w:tc>
        <w:tc>
          <w:tcPr>
            <w:tcW w:w="1260" w:type="dxa"/>
            <w:noWrap w:val="0"/>
            <w:vAlign w:val="center"/>
          </w:tcPr>
          <w:p w14:paraId="2659EA91">
            <w:pPr>
              <w:widowControl/>
              <w:spacing w:line="360" w:lineRule="exact"/>
              <w:jc w:val="center"/>
              <w:rPr>
                <w:rFonts w:hint="eastAsia" w:ascii="宋体" w:hAnsi="宋体" w:eastAsia="宋体" w:cs="Tahoma"/>
                <w:b/>
                <w:kern w:val="0"/>
                <w:szCs w:val="21"/>
              </w:rPr>
            </w:pPr>
            <w:r>
              <w:rPr>
                <w:rFonts w:hint="eastAsia" w:ascii="宋体" w:hAnsi="宋体" w:eastAsia="宋体" w:cs="Tahoma"/>
                <w:b/>
                <w:kern w:val="0"/>
                <w:szCs w:val="21"/>
              </w:rPr>
              <w:t>满分</w:t>
            </w:r>
            <w:r>
              <w:rPr>
                <w:rFonts w:hint="eastAsia" w:ascii="宋体" w:hAnsi="宋体" w:cs="Tahoma"/>
                <w:b/>
                <w:kern w:val="0"/>
                <w:szCs w:val="21"/>
                <w:lang w:val="en-US" w:eastAsia="zh-CN"/>
              </w:rPr>
              <w:t>60</w:t>
            </w:r>
            <w:r>
              <w:rPr>
                <w:rFonts w:hint="eastAsia" w:ascii="宋体" w:hAnsi="宋体" w:eastAsia="宋体" w:cs="Tahoma"/>
                <w:b/>
                <w:kern w:val="0"/>
                <w:szCs w:val="21"/>
              </w:rPr>
              <w:t>分</w:t>
            </w:r>
          </w:p>
        </w:tc>
      </w:tr>
      <w:tr w14:paraId="30C6A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center"/>
          </w:tcPr>
          <w:p w14:paraId="31B67588">
            <w:pPr>
              <w:adjustRightInd w:val="0"/>
              <w:spacing w:line="360" w:lineRule="exact"/>
              <w:jc w:val="center"/>
              <w:textAlignment w:val="baseline"/>
              <w:rPr>
                <w:rFonts w:hint="eastAsia" w:ascii="宋体" w:hAnsi="宋体" w:eastAsia="宋体" w:cs="宋体"/>
                <w:bCs/>
                <w:kern w:val="0"/>
                <w:szCs w:val="21"/>
                <w:lang w:eastAsia="zh-CN"/>
              </w:rPr>
            </w:pPr>
            <w:r>
              <w:rPr>
                <w:rFonts w:hint="eastAsia" w:ascii="宋体" w:hAnsi="宋体" w:eastAsia="宋体" w:cs="宋体"/>
                <w:bCs/>
                <w:kern w:val="0"/>
                <w:szCs w:val="21"/>
              </w:rPr>
              <w:t>2.</w:t>
            </w:r>
            <w:r>
              <w:rPr>
                <w:rFonts w:hint="eastAsia" w:ascii="宋体" w:hAnsi="宋体" w:cs="宋体"/>
                <w:bCs/>
                <w:kern w:val="0"/>
                <w:szCs w:val="21"/>
                <w:lang w:val="en-US" w:eastAsia="zh-CN"/>
              </w:rPr>
              <w:t>1</w:t>
            </w:r>
          </w:p>
        </w:tc>
        <w:tc>
          <w:tcPr>
            <w:tcW w:w="1559" w:type="dxa"/>
            <w:noWrap w:val="0"/>
            <w:vAlign w:val="center"/>
          </w:tcPr>
          <w:p w14:paraId="03C0A3ED">
            <w:pPr>
              <w:adjustRightInd w:val="0"/>
              <w:spacing w:line="360" w:lineRule="exact"/>
              <w:jc w:val="center"/>
              <w:textAlignment w:val="baseline"/>
              <w:rPr>
                <w:rFonts w:hint="default" w:ascii="宋体" w:hAnsi="宋体" w:eastAsia="宋体"/>
                <w:kern w:val="0"/>
                <w:szCs w:val="21"/>
                <w:lang w:val="en-US" w:eastAsia="zh-CN"/>
              </w:rPr>
            </w:pPr>
            <w:r>
              <w:rPr>
                <w:rFonts w:hint="eastAsia" w:ascii="宋体" w:hAnsi="宋体" w:eastAsia="宋体"/>
                <w:b/>
                <w:szCs w:val="21"/>
              </w:rPr>
              <w:t>项目服务实施方案</w:t>
            </w:r>
          </w:p>
        </w:tc>
        <w:tc>
          <w:tcPr>
            <w:tcW w:w="6221" w:type="dxa"/>
            <w:noWrap w:val="0"/>
            <w:vAlign w:val="center"/>
          </w:tcPr>
          <w:p w14:paraId="4C794DC8">
            <w:pPr>
              <w:autoSpaceDE w:val="0"/>
              <w:autoSpaceDN w:val="0"/>
              <w:adjustRightInd w:val="0"/>
              <w:spacing w:line="360" w:lineRule="auto"/>
              <w:ind w:firstLine="420" w:firstLineChars="200"/>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一档（</w:t>
            </w:r>
            <w:r>
              <w:rPr>
                <w:rFonts w:hint="eastAsia" w:ascii="宋体" w:hAnsi="宋体" w:cs="宋体"/>
                <w:color w:val="auto"/>
                <w:kern w:val="0"/>
                <w:sz w:val="21"/>
                <w:szCs w:val="21"/>
                <w:lang w:val="en-US" w:eastAsia="zh-CN"/>
              </w:rPr>
              <w:t>10</w:t>
            </w:r>
            <w:r>
              <w:rPr>
                <w:rFonts w:hint="eastAsia" w:ascii="宋体" w:hAnsi="宋体" w:eastAsia="宋体" w:cs="宋体"/>
                <w:color w:val="auto"/>
                <w:kern w:val="0"/>
                <w:sz w:val="21"/>
                <w:szCs w:val="21"/>
              </w:rPr>
              <w:t>分）：</w:t>
            </w:r>
            <w:r>
              <w:rPr>
                <w:rFonts w:hint="eastAsia" w:ascii="宋体" w:hAnsi="宋体" w:cs="宋体"/>
                <w:color w:val="auto"/>
                <w:sz w:val="21"/>
                <w:szCs w:val="21"/>
                <w:lang w:val="en-US" w:eastAsia="zh-CN"/>
              </w:rPr>
              <w:t>提供有项目服务实施方案，包含对本项目的服务内容及要求的理解，</w:t>
            </w:r>
            <w:r>
              <w:rPr>
                <w:rFonts w:hint="eastAsia" w:hAnsi="宋体"/>
                <w:color w:val="auto"/>
                <w:sz w:val="21"/>
                <w:szCs w:val="21"/>
                <w:highlight w:val="none"/>
                <w:u w:val="none"/>
                <w:lang w:val="en-US" w:eastAsia="zh-CN"/>
              </w:rPr>
              <w:t>能满足采购文件要求</w:t>
            </w:r>
            <w:r>
              <w:rPr>
                <w:rFonts w:hint="eastAsia" w:ascii="宋体" w:hAnsi="宋体" w:cs="宋体"/>
                <w:color w:val="auto"/>
                <w:sz w:val="21"/>
                <w:szCs w:val="21"/>
                <w:lang w:eastAsia="zh-CN"/>
              </w:rPr>
              <w:t>。</w:t>
            </w:r>
          </w:p>
          <w:p w14:paraId="7C6AC0AF">
            <w:pPr>
              <w:autoSpaceDE w:val="0"/>
              <w:autoSpaceDN w:val="0"/>
              <w:adjustRightInd w:val="0"/>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kern w:val="0"/>
                <w:sz w:val="21"/>
                <w:szCs w:val="21"/>
              </w:rPr>
              <w:t>二档（</w:t>
            </w:r>
            <w:r>
              <w:rPr>
                <w:rFonts w:hint="eastAsia" w:ascii="宋体" w:hAnsi="宋体" w:cs="宋体"/>
                <w:color w:val="auto"/>
                <w:kern w:val="0"/>
                <w:sz w:val="21"/>
                <w:szCs w:val="21"/>
                <w:lang w:val="en-US" w:eastAsia="zh-CN"/>
              </w:rPr>
              <w:t>15</w:t>
            </w:r>
            <w:r>
              <w:rPr>
                <w:rFonts w:hint="eastAsia" w:ascii="宋体" w:hAnsi="宋体" w:eastAsia="宋体" w:cs="宋体"/>
                <w:color w:val="auto"/>
                <w:kern w:val="0"/>
                <w:sz w:val="21"/>
                <w:szCs w:val="21"/>
              </w:rPr>
              <w:t>分）：</w:t>
            </w:r>
            <w:r>
              <w:rPr>
                <w:rFonts w:hint="eastAsia" w:ascii="宋体" w:hAnsi="宋体" w:cs="宋体"/>
                <w:color w:val="auto"/>
                <w:sz w:val="21"/>
                <w:szCs w:val="21"/>
                <w:lang w:val="en-US" w:eastAsia="zh-CN"/>
              </w:rPr>
              <w:t>在满足一档的基础上</w:t>
            </w:r>
            <w:r>
              <w:rPr>
                <w:rFonts w:hint="eastAsia" w:ascii="宋体" w:hAnsi="宋体" w:cs="宋体"/>
                <w:color w:val="auto"/>
                <w:sz w:val="21"/>
                <w:szCs w:val="21"/>
                <w:lang w:eastAsia="zh-CN"/>
              </w:rPr>
              <w:t>，</w:t>
            </w:r>
            <w:r>
              <w:rPr>
                <w:rFonts w:hint="eastAsia" w:ascii="宋体" w:hAnsi="宋体" w:cs="宋体"/>
                <w:color w:val="auto"/>
                <w:kern w:val="0"/>
                <w:sz w:val="21"/>
                <w:szCs w:val="21"/>
                <w:lang w:val="en-US" w:eastAsia="zh-CN"/>
              </w:rPr>
              <w:t>供应商</w:t>
            </w:r>
            <w:r>
              <w:rPr>
                <w:rFonts w:hint="eastAsia" w:ascii="宋体" w:hAnsi="宋体" w:eastAsia="宋体" w:cs="宋体"/>
                <w:color w:val="auto"/>
                <w:kern w:val="0"/>
                <w:sz w:val="21"/>
                <w:szCs w:val="21"/>
              </w:rPr>
              <w:t>针对本项目提供人员配置方案和组织管理方案</w:t>
            </w:r>
            <w:r>
              <w:rPr>
                <w:rFonts w:hint="eastAsia" w:ascii="宋体" w:hAnsi="宋体" w:eastAsia="宋体" w:cs="宋体"/>
                <w:color w:val="auto"/>
                <w:kern w:val="0"/>
                <w:sz w:val="21"/>
                <w:szCs w:val="21"/>
                <w:lang w:eastAsia="zh-CN"/>
              </w:rPr>
              <w:t>，</w:t>
            </w:r>
            <w:r>
              <w:rPr>
                <w:rFonts w:hint="eastAsia" w:ascii="宋体" w:hAnsi="宋体" w:eastAsia="宋体" w:cs="宋体"/>
                <w:color w:val="auto"/>
                <w:kern w:val="0"/>
                <w:sz w:val="21"/>
                <w:szCs w:val="21"/>
              </w:rPr>
              <w:t>内容</w:t>
            </w:r>
            <w:r>
              <w:rPr>
                <w:rFonts w:hint="eastAsia" w:ascii="宋体" w:hAnsi="宋体" w:eastAsia="宋体" w:cs="宋体"/>
                <w:color w:val="auto"/>
                <w:kern w:val="0"/>
                <w:sz w:val="21"/>
                <w:szCs w:val="21"/>
                <w:lang w:val="en-US" w:eastAsia="zh-CN"/>
              </w:rPr>
              <w:t>包含</w:t>
            </w:r>
            <w:r>
              <w:rPr>
                <w:rFonts w:hint="eastAsia" w:ascii="宋体" w:hAnsi="宋体" w:eastAsia="宋体" w:cs="宋体"/>
                <w:color w:val="auto"/>
                <w:kern w:val="0"/>
                <w:sz w:val="21"/>
                <w:szCs w:val="21"/>
              </w:rPr>
              <w:t>对</w:t>
            </w:r>
            <w:r>
              <w:rPr>
                <w:rFonts w:hint="eastAsia" w:ascii="宋体" w:hAnsi="宋体" w:eastAsia="宋体" w:cs="宋体"/>
                <w:color w:val="auto"/>
                <w:kern w:val="0"/>
                <w:sz w:val="21"/>
                <w:szCs w:val="21"/>
                <w:lang w:val="en-US" w:eastAsia="zh-CN"/>
              </w:rPr>
              <w:t>项目的</w:t>
            </w:r>
            <w:r>
              <w:rPr>
                <w:rFonts w:hint="eastAsia" w:ascii="宋体" w:hAnsi="宋体" w:eastAsia="宋体" w:cs="宋体"/>
                <w:color w:val="auto"/>
                <w:kern w:val="0"/>
                <w:sz w:val="21"/>
                <w:szCs w:val="21"/>
              </w:rPr>
              <w:t>目标设计，服务理念和方法</w:t>
            </w:r>
            <w:r>
              <w:rPr>
                <w:rFonts w:hint="eastAsia" w:ascii="宋体" w:hAnsi="宋体" w:eastAsia="宋体" w:cs="宋体"/>
                <w:color w:val="auto"/>
                <w:kern w:val="0"/>
                <w:sz w:val="21"/>
                <w:szCs w:val="21"/>
                <w:lang w:val="en-US" w:eastAsia="zh-CN"/>
              </w:rPr>
              <w:t>，</w:t>
            </w:r>
            <w:r>
              <w:rPr>
                <w:rFonts w:hint="eastAsia" w:ascii="宋体" w:hAnsi="宋体" w:eastAsia="宋体" w:cs="宋体"/>
                <w:color w:val="auto"/>
                <w:kern w:val="0"/>
                <w:sz w:val="21"/>
                <w:szCs w:val="21"/>
              </w:rPr>
              <w:t>人员配置、组织架构</w:t>
            </w:r>
            <w:r>
              <w:rPr>
                <w:rFonts w:hint="eastAsia" w:ascii="宋体" w:hAnsi="宋体" w:eastAsia="宋体" w:cs="宋体"/>
                <w:color w:val="auto"/>
                <w:kern w:val="0"/>
                <w:sz w:val="21"/>
                <w:szCs w:val="21"/>
                <w:lang w:eastAsia="zh-CN"/>
              </w:rPr>
              <w:t>、</w:t>
            </w:r>
            <w:r>
              <w:rPr>
                <w:rFonts w:hint="eastAsia" w:ascii="宋体" w:hAnsi="宋体" w:eastAsia="宋体" w:cs="宋体"/>
                <w:color w:val="auto"/>
                <w:kern w:val="0"/>
                <w:sz w:val="21"/>
                <w:szCs w:val="21"/>
              </w:rPr>
              <w:t>规章制度</w:t>
            </w:r>
            <w:r>
              <w:rPr>
                <w:rFonts w:hint="eastAsia" w:ascii="宋体" w:hAnsi="宋体" w:eastAsia="宋体" w:cs="宋体"/>
                <w:color w:val="auto"/>
                <w:kern w:val="0"/>
                <w:sz w:val="21"/>
                <w:szCs w:val="21"/>
                <w:lang w:val="en-US" w:eastAsia="zh-CN"/>
              </w:rPr>
              <w:t>等</w:t>
            </w:r>
            <w:r>
              <w:rPr>
                <w:rFonts w:hint="eastAsia" w:ascii="宋体" w:hAnsi="宋体" w:eastAsia="宋体" w:cs="宋体"/>
                <w:color w:val="auto"/>
                <w:kern w:val="0"/>
                <w:sz w:val="21"/>
                <w:szCs w:val="21"/>
                <w:lang w:eastAsia="zh-CN"/>
              </w:rPr>
              <w:t>。</w:t>
            </w:r>
          </w:p>
          <w:p w14:paraId="2448BE60">
            <w:pPr>
              <w:pStyle w:val="7"/>
              <w:spacing w:line="360" w:lineRule="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三档（20分）：在满足二档的基础上，</w:t>
            </w:r>
            <w:r>
              <w:rPr>
                <w:rFonts w:hint="eastAsia" w:ascii="宋体" w:hAnsi="宋体" w:cs="宋体"/>
                <w:color w:val="auto"/>
                <w:kern w:val="0"/>
                <w:sz w:val="21"/>
                <w:szCs w:val="21"/>
                <w:lang w:val="en-US" w:eastAsia="zh-CN"/>
              </w:rPr>
              <w:t>供应商</w:t>
            </w:r>
            <w:r>
              <w:rPr>
                <w:rFonts w:hint="eastAsia" w:ascii="宋体" w:hAnsi="宋体" w:eastAsia="宋体" w:cs="宋体"/>
                <w:color w:val="auto"/>
                <w:kern w:val="0"/>
                <w:sz w:val="21"/>
                <w:szCs w:val="21"/>
              </w:rPr>
              <w:t>针对本项目提供</w:t>
            </w:r>
            <w:r>
              <w:rPr>
                <w:rFonts w:hint="eastAsia" w:ascii="宋体" w:hAnsi="宋体" w:cs="宋体"/>
                <w:color w:val="auto"/>
                <w:sz w:val="21"/>
                <w:szCs w:val="21"/>
                <w:highlight w:val="none"/>
                <w:lang w:val="ru-RU"/>
              </w:rPr>
              <w:t>运行</w:t>
            </w:r>
            <w:r>
              <w:rPr>
                <w:rFonts w:hint="eastAsia" w:ascii="宋体" w:hAnsi="宋体" w:cs="宋体"/>
                <w:color w:val="auto"/>
                <w:kern w:val="0"/>
                <w:sz w:val="21"/>
                <w:szCs w:val="21"/>
                <w:highlight w:val="none"/>
              </w:rPr>
              <w:t>管理措施、项目实施流程</w:t>
            </w:r>
            <w:r>
              <w:rPr>
                <w:rFonts w:hint="eastAsia" w:ascii="宋体" w:hAnsi="宋体" w:eastAsia="宋体" w:cs="宋体"/>
                <w:color w:val="auto"/>
                <w:kern w:val="2"/>
                <w:sz w:val="21"/>
                <w:szCs w:val="21"/>
                <w:lang w:val="en-US" w:eastAsia="zh-CN" w:bidi="ar-SA"/>
              </w:rPr>
              <w:t>，建立有项目人力资源管理、财务管理、应急突发事件管理等运营管理制度；项目实施保障措施有工作衔接措施、工作进度计划内容；提供的项目执行计划包含启动筹备、实施推进、过程管控、后期运维等内容，承诺有宣传渠道</w:t>
            </w:r>
            <w:r>
              <w:rPr>
                <w:rFonts w:hint="eastAsia" w:ascii="宋体" w:hAnsi="宋体" w:eastAsia="宋体" w:cs="宋体"/>
                <w:color w:val="auto"/>
                <w:kern w:val="0"/>
                <w:sz w:val="21"/>
                <w:szCs w:val="21"/>
              </w:rPr>
              <w:t>能完全覆盖全区高校毕业生</w:t>
            </w:r>
            <w:r>
              <w:rPr>
                <w:rFonts w:hint="eastAsia" w:ascii="宋体" w:hAnsi="宋体" w:eastAsia="宋体" w:cs="宋体"/>
                <w:color w:val="auto"/>
                <w:kern w:val="2"/>
                <w:sz w:val="21"/>
                <w:szCs w:val="21"/>
                <w:lang w:val="en-US" w:eastAsia="zh-CN" w:bidi="ar-SA"/>
              </w:rPr>
              <w:t>。</w:t>
            </w:r>
          </w:p>
          <w:p w14:paraId="299DBF21">
            <w:pPr>
              <w:autoSpaceDE w:val="0"/>
              <w:autoSpaceDN w:val="0"/>
              <w:adjustRightInd w:val="0"/>
              <w:spacing w:line="360" w:lineRule="auto"/>
              <w:ind w:firstLine="420" w:firstLineChars="200"/>
              <w:rPr>
                <w:rFonts w:hint="eastAsia" w:ascii="宋体" w:hAnsi="宋体" w:eastAsia="宋体" w:cs="宋体"/>
                <w:color w:val="auto"/>
                <w:kern w:val="0"/>
                <w:sz w:val="21"/>
                <w:szCs w:val="21"/>
              </w:rPr>
            </w:pPr>
            <w:r>
              <w:rPr>
                <w:rFonts w:hint="eastAsia" w:ascii="宋体" w:hAnsi="宋体" w:cs="宋体"/>
                <w:color w:val="auto"/>
                <w:sz w:val="21"/>
                <w:szCs w:val="21"/>
                <w:lang w:val="en-US" w:eastAsia="zh-CN"/>
              </w:rPr>
              <w:t>项目服务实施方案</w:t>
            </w:r>
            <w:r>
              <w:rPr>
                <w:rFonts w:hint="eastAsia" w:ascii="宋体" w:hAnsi="宋体" w:cs="宋体"/>
                <w:color w:val="auto"/>
                <w:sz w:val="21"/>
                <w:szCs w:val="21"/>
              </w:rPr>
              <w:t>内容严重缺失、与本项目需求不符，无法满足基本实施要求的，得0分。</w:t>
            </w:r>
          </w:p>
        </w:tc>
        <w:tc>
          <w:tcPr>
            <w:tcW w:w="1260" w:type="dxa"/>
            <w:noWrap w:val="0"/>
            <w:vAlign w:val="center"/>
          </w:tcPr>
          <w:p w14:paraId="5A335AE6">
            <w:pPr>
              <w:spacing w:line="360" w:lineRule="exact"/>
              <w:jc w:val="center"/>
              <w:rPr>
                <w:rFonts w:hint="eastAsia" w:ascii="宋体" w:hAnsi="宋体" w:eastAsia="宋体"/>
                <w:szCs w:val="21"/>
              </w:rPr>
            </w:pPr>
            <w:r>
              <w:rPr>
                <w:rFonts w:hint="eastAsia" w:ascii="宋体" w:hAnsi="宋体"/>
                <w:szCs w:val="21"/>
                <w:lang w:val="en-US" w:eastAsia="zh-CN"/>
              </w:rPr>
              <w:t>20</w:t>
            </w:r>
            <w:r>
              <w:rPr>
                <w:rFonts w:hint="eastAsia" w:ascii="宋体" w:hAnsi="宋体" w:eastAsia="宋体"/>
                <w:szCs w:val="21"/>
              </w:rPr>
              <w:t>分</w:t>
            </w:r>
          </w:p>
        </w:tc>
      </w:tr>
      <w:tr w14:paraId="4DBF1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center"/>
          </w:tcPr>
          <w:p w14:paraId="49DE3118">
            <w:pPr>
              <w:adjustRightInd w:val="0"/>
              <w:spacing w:line="360" w:lineRule="exact"/>
              <w:jc w:val="center"/>
              <w:textAlignment w:val="baseline"/>
              <w:rPr>
                <w:rFonts w:hint="default" w:ascii="宋体" w:hAnsi="宋体" w:eastAsia="宋体" w:cs="宋体"/>
                <w:bCs/>
                <w:kern w:val="0"/>
                <w:szCs w:val="21"/>
                <w:lang w:val="en-US" w:eastAsia="zh-CN"/>
              </w:rPr>
            </w:pPr>
            <w:r>
              <w:rPr>
                <w:rFonts w:hint="eastAsia" w:ascii="宋体" w:hAnsi="宋体" w:eastAsia="宋体" w:cs="宋体"/>
                <w:bCs/>
                <w:kern w:val="0"/>
                <w:szCs w:val="21"/>
                <w:lang w:val="en-US" w:eastAsia="zh-CN"/>
              </w:rPr>
              <w:t>2.</w:t>
            </w:r>
            <w:r>
              <w:rPr>
                <w:rFonts w:hint="eastAsia" w:ascii="宋体" w:hAnsi="宋体" w:cs="宋体"/>
                <w:bCs/>
                <w:kern w:val="0"/>
                <w:szCs w:val="21"/>
                <w:lang w:val="en-US" w:eastAsia="zh-CN"/>
              </w:rPr>
              <w:t>2</w:t>
            </w:r>
          </w:p>
        </w:tc>
        <w:tc>
          <w:tcPr>
            <w:tcW w:w="1559" w:type="dxa"/>
            <w:noWrap w:val="0"/>
            <w:vAlign w:val="center"/>
          </w:tcPr>
          <w:p w14:paraId="74015714">
            <w:pPr>
              <w:adjustRightInd w:val="0"/>
              <w:spacing w:line="360" w:lineRule="exact"/>
              <w:jc w:val="center"/>
              <w:textAlignment w:val="baseline"/>
              <w:rPr>
                <w:rFonts w:hint="eastAsia" w:ascii="宋体" w:hAnsi="宋体"/>
                <w:b/>
                <w:bCs w:val="0"/>
                <w:sz w:val="21"/>
                <w:szCs w:val="21"/>
              </w:rPr>
            </w:pPr>
            <w:r>
              <w:rPr>
                <w:rFonts w:hint="eastAsia" w:hAnsi="宋体"/>
                <w:b/>
                <w:color w:val="auto"/>
                <w:highlight w:val="none"/>
              </w:rPr>
              <w:t>应急预案</w:t>
            </w:r>
          </w:p>
        </w:tc>
        <w:tc>
          <w:tcPr>
            <w:tcW w:w="6221" w:type="dxa"/>
            <w:noWrap w:val="0"/>
            <w:vAlign w:val="center"/>
          </w:tcPr>
          <w:p w14:paraId="0E632CE9">
            <w:pPr>
              <w:pStyle w:val="13"/>
              <w:widowControl/>
              <w:adjustRightInd w:val="0"/>
              <w:snapToGrid w:val="0"/>
              <w:spacing w:line="360" w:lineRule="auto"/>
              <w:ind w:firstLine="210" w:firstLineChars="100"/>
              <w:rPr>
                <w:rFonts w:hAnsi="宋体" w:cs="宋体"/>
                <w:color w:val="auto"/>
                <w:sz w:val="21"/>
                <w:szCs w:val="21"/>
                <w:highlight w:val="none"/>
              </w:rPr>
            </w:pPr>
            <w:r>
              <w:rPr>
                <w:rFonts w:hint="eastAsia" w:hAnsi="宋体" w:cs="宋体"/>
                <w:bCs/>
                <w:color w:val="auto"/>
                <w:sz w:val="21"/>
                <w:szCs w:val="21"/>
                <w:highlight w:val="none"/>
                <w:lang w:val="en-US" w:eastAsia="zh-CN"/>
              </w:rPr>
              <w:t>一</w:t>
            </w:r>
            <w:r>
              <w:rPr>
                <w:rFonts w:hint="eastAsia" w:hAnsi="宋体" w:cs="宋体"/>
                <w:bCs/>
                <w:color w:val="auto"/>
                <w:sz w:val="21"/>
                <w:szCs w:val="21"/>
                <w:highlight w:val="none"/>
              </w:rPr>
              <w:t>档（</w:t>
            </w:r>
            <w:r>
              <w:rPr>
                <w:rFonts w:hint="eastAsia" w:hAnsi="宋体" w:cs="宋体"/>
                <w:bCs w:val="0"/>
                <w:color w:val="auto"/>
                <w:kern w:val="0"/>
                <w:sz w:val="21"/>
                <w:szCs w:val="21"/>
                <w:lang w:val="en-US" w:eastAsia="zh-CN"/>
              </w:rPr>
              <w:t>10</w:t>
            </w:r>
            <w:r>
              <w:rPr>
                <w:rFonts w:hint="eastAsia" w:hAnsi="宋体" w:cs="宋体"/>
                <w:bCs w:val="0"/>
                <w:color w:val="auto"/>
                <w:kern w:val="0"/>
                <w:sz w:val="21"/>
                <w:szCs w:val="21"/>
              </w:rPr>
              <w:t>分</w:t>
            </w:r>
            <w:r>
              <w:rPr>
                <w:rFonts w:hint="eastAsia" w:hAnsi="宋体" w:cs="宋体"/>
                <w:bCs/>
                <w:color w:val="auto"/>
                <w:sz w:val="21"/>
                <w:szCs w:val="21"/>
                <w:highlight w:val="none"/>
              </w:rPr>
              <w:t>）：</w:t>
            </w:r>
            <w:r>
              <w:rPr>
                <w:rFonts w:hint="eastAsia" w:hAnsi="宋体" w:cs="宋体"/>
                <w:color w:val="auto"/>
                <w:sz w:val="21"/>
                <w:szCs w:val="21"/>
                <w:highlight w:val="none"/>
                <w:lang w:val="en-US" w:eastAsia="zh-CN"/>
              </w:rPr>
              <w:t>提供有应急预案</w:t>
            </w:r>
            <w:r>
              <w:rPr>
                <w:rFonts w:hint="eastAsia" w:hAnsi="宋体" w:cs="宋体"/>
                <w:color w:val="auto"/>
                <w:sz w:val="21"/>
                <w:szCs w:val="21"/>
                <w:highlight w:val="none"/>
              </w:rPr>
              <w:t>，</w:t>
            </w:r>
            <w:r>
              <w:rPr>
                <w:rFonts w:hint="eastAsia" w:hAnsi="宋体" w:cs="宋体"/>
                <w:color w:val="auto"/>
                <w:sz w:val="21"/>
                <w:szCs w:val="21"/>
                <w:highlight w:val="none"/>
                <w:lang w:val="en-US" w:eastAsia="zh-CN"/>
              </w:rPr>
              <w:t>内容包含</w:t>
            </w:r>
            <w:r>
              <w:rPr>
                <w:rFonts w:hint="eastAsia" w:hAnsi="宋体" w:cs="宋体"/>
                <w:color w:val="auto"/>
                <w:sz w:val="21"/>
                <w:szCs w:val="21"/>
                <w:highlight w:val="none"/>
              </w:rPr>
              <w:t>应急处理实施计划</w:t>
            </w:r>
            <w:r>
              <w:rPr>
                <w:rFonts w:hint="eastAsia" w:hAnsi="宋体" w:cs="宋体"/>
                <w:color w:val="auto"/>
                <w:sz w:val="21"/>
                <w:szCs w:val="21"/>
                <w:highlight w:val="none"/>
                <w:lang w:eastAsia="zh-CN"/>
              </w:rPr>
              <w:t>，</w:t>
            </w:r>
            <w:r>
              <w:rPr>
                <w:rFonts w:hint="eastAsia" w:hAnsi="宋体" w:cs="宋体"/>
                <w:color w:val="auto"/>
                <w:sz w:val="21"/>
                <w:szCs w:val="21"/>
                <w:highlight w:val="none"/>
                <w:lang w:val="en-US" w:eastAsia="zh-CN"/>
              </w:rPr>
              <w:t>能满足采购文件要求</w:t>
            </w:r>
            <w:r>
              <w:rPr>
                <w:rFonts w:hint="eastAsia" w:hAnsi="宋体" w:cs="宋体"/>
                <w:color w:val="auto"/>
                <w:sz w:val="21"/>
                <w:szCs w:val="21"/>
                <w:highlight w:val="none"/>
              </w:rPr>
              <w:t>。</w:t>
            </w:r>
          </w:p>
          <w:p w14:paraId="03C10AD1">
            <w:pPr>
              <w:pStyle w:val="13"/>
              <w:widowControl/>
              <w:adjustRightInd w:val="0"/>
              <w:snapToGrid w:val="0"/>
              <w:spacing w:line="360" w:lineRule="auto"/>
              <w:ind w:firstLine="210" w:firstLineChars="100"/>
              <w:rPr>
                <w:rFonts w:hAnsi="宋体" w:cs="宋体"/>
                <w:color w:val="auto"/>
                <w:sz w:val="21"/>
                <w:szCs w:val="21"/>
                <w:highlight w:val="none"/>
              </w:rPr>
            </w:pPr>
            <w:r>
              <w:rPr>
                <w:rFonts w:hint="eastAsia" w:hAnsi="宋体" w:cs="宋体"/>
                <w:bCs/>
                <w:color w:val="auto"/>
                <w:sz w:val="21"/>
                <w:szCs w:val="21"/>
                <w:highlight w:val="none"/>
                <w:lang w:val="en-US" w:eastAsia="zh-CN"/>
              </w:rPr>
              <w:t>二</w:t>
            </w:r>
            <w:r>
              <w:rPr>
                <w:rFonts w:hint="eastAsia" w:hAnsi="宋体" w:cs="宋体"/>
                <w:bCs/>
                <w:color w:val="auto"/>
                <w:sz w:val="21"/>
                <w:szCs w:val="21"/>
                <w:highlight w:val="none"/>
              </w:rPr>
              <w:t>档（</w:t>
            </w:r>
            <w:r>
              <w:rPr>
                <w:rFonts w:hint="eastAsia" w:hAnsi="宋体" w:cs="宋体"/>
                <w:bCs w:val="0"/>
                <w:color w:val="auto"/>
                <w:kern w:val="0"/>
                <w:sz w:val="21"/>
                <w:szCs w:val="21"/>
                <w:lang w:val="en-US" w:eastAsia="zh-CN"/>
              </w:rPr>
              <w:t>15</w:t>
            </w:r>
            <w:r>
              <w:rPr>
                <w:rFonts w:hint="eastAsia" w:hAnsi="宋体" w:cs="宋体"/>
                <w:bCs w:val="0"/>
                <w:color w:val="auto"/>
                <w:kern w:val="0"/>
                <w:sz w:val="21"/>
                <w:szCs w:val="21"/>
              </w:rPr>
              <w:t>分）</w:t>
            </w:r>
            <w:r>
              <w:rPr>
                <w:rFonts w:hint="eastAsia" w:hAnsi="宋体" w:cs="宋体"/>
                <w:bCs/>
                <w:color w:val="auto"/>
                <w:sz w:val="21"/>
                <w:szCs w:val="21"/>
                <w:highlight w:val="none"/>
              </w:rPr>
              <w:t>：</w:t>
            </w:r>
            <w:r>
              <w:rPr>
                <w:rFonts w:hint="eastAsia" w:hAnsi="宋体" w:cs="宋体"/>
                <w:bCs/>
                <w:color w:val="auto"/>
                <w:sz w:val="21"/>
                <w:szCs w:val="21"/>
                <w:highlight w:val="none"/>
                <w:lang w:val="en-US" w:eastAsia="zh-CN"/>
              </w:rPr>
              <w:t>在满足一档的基础上，</w:t>
            </w:r>
            <w:r>
              <w:rPr>
                <w:rFonts w:hint="eastAsia" w:hAnsi="宋体" w:cs="宋体"/>
                <w:color w:val="auto"/>
                <w:sz w:val="21"/>
                <w:szCs w:val="21"/>
                <w:highlight w:val="none"/>
              </w:rPr>
              <w:t>对可能发生的</w:t>
            </w:r>
            <w:r>
              <w:rPr>
                <w:rFonts w:hint="eastAsia" w:hAnsi="宋体"/>
                <w:color w:val="auto"/>
                <w:sz w:val="21"/>
                <w:szCs w:val="21"/>
                <w:highlight w:val="none"/>
              </w:rPr>
              <w:t>突发事件有</w:t>
            </w:r>
            <w:r>
              <w:rPr>
                <w:rFonts w:hint="eastAsia" w:hAnsi="宋体" w:cs="宋体"/>
                <w:color w:val="auto"/>
                <w:sz w:val="21"/>
                <w:szCs w:val="21"/>
                <w:highlight w:val="none"/>
              </w:rPr>
              <w:t>基本的预测，能进行危险性分析、事故特征分析；应急处理实施计划中制订有应急组织机构与职责、风险防控措施、应急处置程序和应急保障措施。</w:t>
            </w:r>
          </w:p>
          <w:p w14:paraId="43BD9899">
            <w:pPr>
              <w:pStyle w:val="13"/>
              <w:kinsoku w:val="0"/>
              <w:overflowPunct w:val="0"/>
              <w:spacing w:line="360" w:lineRule="auto"/>
              <w:ind w:firstLine="210" w:firstLineChars="100"/>
              <w:rPr>
                <w:rFonts w:hint="eastAsia" w:hAnsi="宋体" w:cs="宋体"/>
                <w:color w:val="auto"/>
                <w:sz w:val="21"/>
                <w:szCs w:val="21"/>
                <w:highlight w:val="none"/>
              </w:rPr>
            </w:pPr>
            <w:r>
              <w:rPr>
                <w:rFonts w:hint="eastAsia" w:hAnsi="宋体" w:cs="宋体"/>
                <w:bCs/>
                <w:color w:val="auto"/>
                <w:sz w:val="21"/>
                <w:szCs w:val="21"/>
                <w:highlight w:val="none"/>
                <w:lang w:val="en-US" w:eastAsia="zh-CN"/>
              </w:rPr>
              <w:t>三</w:t>
            </w:r>
            <w:r>
              <w:rPr>
                <w:rFonts w:hint="eastAsia" w:hAnsi="宋体" w:cs="宋体"/>
                <w:bCs/>
                <w:color w:val="auto"/>
                <w:sz w:val="21"/>
                <w:szCs w:val="21"/>
                <w:highlight w:val="none"/>
              </w:rPr>
              <w:t>档（</w:t>
            </w:r>
            <w:r>
              <w:rPr>
                <w:rFonts w:hint="eastAsia" w:hAnsi="宋体" w:cs="宋体"/>
                <w:bCs/>
                <w:color w:val="auto"/>
                <w:sz w:val="21"/>
                <w:szCs w:val="21"/>
                <w:highlight w:val="none"/>
                <w:lang w:val="en-US" w:eastAsia="zh-CN"/>
              </w:rPr>
              <w:t>20</w:t>
            </w:r>
            <w:r>
              <w:rPr>
                <w:rFonts w:hint="eastAsia" w:hAnsi="宋体" w:cs="宋体"/>
                <w:bCs/>
                <w:color w:val="auto"/>
                <w:sz w:val="21"/>
                <w:szCs w:val="21"/>
                <w:highlight w:val="none"/>
              </w:rPr>
              <w:t>分）：</w:t>
            </w:r>
            <w:r>
              <w:rPr>
                <w:rFonts w:hint="eastAsia" w:hAnsi="宋体" w:cs="宋体"/>
                <w:color w:val="auto"/>
                <w:kern w:val="0"/>
                <w:sz w:val="21"/>
                <w:szCs w:val="21"/>
                <w:highlight w:val="none"/>
              </w:rPr>
              <w:t>在</w:t>
            </w:r>
            <w:r>
              <w:rPr>
                <w:rFonts w:hint="eastAsia" w:hAnsi="宋体" w:cs="宋体"/>
                <w:color w:val="auto"/>
                <w:sz w:val="21"/>
                <w:szCs w:val="21"/>
                <w:highlight w:val="none"/>
              </w:rPr>
              <w:t>满足</w:t>
            </w:r>
            <w:r>
              <w:rPr>
                <w:rFonts w:hint="eastAsia" w:hAnsi="宋体" w:cs="宋体"/>
                <w:color w:val="auto"/>
                <w:kern w:val="0"/>
                <w:sz w:val="21"/>
                <w:szCs w:val="21"/>
                <w:highlight w:val="none"/>
                <w:lang w:val="en-US" w:eastAsia="zh-CN"/>
              </w:rPr>
              <w:t>二</w:t>
            </w:r>
            <w:r>
              <w:rPr>
                <w:rFonts w:hint="eastAsia" w:hAnsi="宋体" w:cs="宋体"/>
                <w:color w:val="auto"/>
                <w:kern w:val="0"/>
                <w:sz w:val="21"/>
                <w:szCs w:val="21"/>
                <w:highlight w:val="none"/>
              </w:rPr>
              <w:t>档的基础上，</w:t>
            </w:r>
            <w:r>
              <w:rPr>
                <w:rFonts w:hint="eastAsia" w:hAnsi="宋体" w:cs="宋体"/>
                <w:color w:val="auto"/>
                <w:sz w:val="21"/>
                <w:szCs w:val="21"/>
                <w:highlight w:val="none"/>
              </w:rPr>
              <w:t>能为本项目设置应急团队，配置有具体的机动人员用于对紧急事件处理，有</w:t>
            </w:r>
            <w:r>
              <w:rPr>
                <w:rFonts w:hint="eastAsia" w:hAnsi="宋体" w:cs="宋体"/>
                <w:bCs/>
                <w:color w:val="auto"/>
                <w:sz w:val="21"/>
                <w:szCs w:val="21"/>
                <w:highlight w:val="none"/>
              </w:rPr>
              <w:t>调配方案及相应的条件和流程等，</w:t>
            </w:r>
            <w:r>
              <w:rPr>
                <w:rFonts w:hint="eastAsia" w:hAnsi="宋体"/>
                <w:color w:val="auto"/>
                <w:sz w:val="21"/>
                <w:szCs w:val="21"/>
                <w:highlight w:val="none"/>
              </w:rPr>
              <w:t>能够针对</w:t>
            </w:r>
            <w:r>
              <w:rPr>
                <w:rFonts w:hint="eastAsia" w:hAnsi="宋体" w:cs="宋体"/>
                <w:color w:val="auto"/>
                <w:sz w:val="21"/>
                <w:szCs w:val="21"/>
                <w:highlight w:val="none"/>
              </w:rPr>
              <w:t>可能发生的</w:t>
            </w:r>
            <w:r>
              <w:rPr>
                <w:rFonts w:hint="eastAsia" w:hAnsi="宋体"/>
                <w:color w:val="auto"/>
                <w:sz w:val="21"/>
                <w:szCs w:val="21"/>
                <w:highlight w:val="none"/>
              </w:rPr>
              <w:t>不同事故危害程度、影响范围和控制事态的能力进行响应分级，</w:t>
            </w:r>
            <w:r>
              <w:rPr>
                <w:rFonts w:hint="eastAsia" w:hAnsi="宋体"/>
                <w:bCs/>
                <w:color w:val="auto"/>
                <w:sz w:val="21"/>
                <w:szCs w:val="21"/>
                <w:highlight w:val="none"/>
              </w:rPr>
              <w:t>应急预案中的</w:t>
            </w:r>
            <w:r>
              <w:rPr>
                <w:rFonts w:hint="eastAsia" w:hAnsi="宋体"/>
                <w:color w:val="auto"/>
                <w:sz w:val="21"/>
                <w:szCs w:val="21"/>
                <w:highlight w:val="none"/>
              </w:rPr>
              <w:t>应急指挥、应急行动、资源调配、应急避险等</w:t>
            </w:r>
            <w:r>
              <w:rPr>
                <w:rFonts w:hint="eastAsia" w:hAnsi="宋体"/>
                <w:color w:val="auto"/>
                <w:sz w:val="21"/>
                <w:szCs w:val="21"/>
                <w:highlight w:val="none"/>
                <w:lang w:val="en-US" w:eastAsia="zh-CN"/>
              </w:rPr>
              <w:t>内容</w:t>
            </w:r>
            <w:r>
              <w:rPr>
                <w:rFonts w:hint="eastAsia" w:hAnsi="宋体" w:cs="宋体"/>
                <w:color w:val="auto"/>
                <w:sz w:val="21"/>
                <w:szCs w:val="21"/>
                <w:highlight w:val="none"/>
              </w:rPr>
              <w:t>符合本项目要求与特点。</w:t>
            </w:r>
          </w:p>
          <w:p w14:paraId="275B07A9">
            <w:pPr>
              <w:pStyle w:val="5"/>
              <w:ind w:left="0" w:leftChars="0" w:firstLine="420" w:firstLineChars="200"/>
            </w:pPr>
            <w:r>
              <w:rPr>
                <w:rFonts w:hint="eastAsia" w:ascii="宋体" w:hAnsi="宋体" w:eastAsia="宋体" w:cs="Times New Roman"/>
                <w:color w:val="auto"/>
                <w:kern w:val="2"/>
                <w:sz w:val="21"/>
                <w:szCs w:val="21"/>
                <w:highlight w:val="none"/>
                <w:lang w:val="en-US" w:eastAsia="zh-CN" w:bidi="ar-SA"/>
              </w:rPr>
              <w:t>应急预案内容严重缺失、与本项目需求不符，无法满足基本实施要求的，得0分。</w:t>
            </w:r>
          </w:p>
        </w:tc>
        <w:tc>
          <w:tcPr>
            <w:tcW w:w="1260" w:type="dxa"/>
            <w:noWrap w:val="0"/>
            <w:vAlign w:val="center"/>
          </w:tcPr>
          <w:p w14:paraId="6F3E6347">
            <w:pPr>
              <w:spacing w:line="360" w:lineRule="exact"/>
              <w:jc w:val="center"/>
              <w:rPr>
                <w:rFonts w:hint="default" w:ascii="宋体" w:hAnsi="宋体"/>
                <w:szCs w:val="21"/>
                <w:lang w:val="en-US" w:eastAsia="zh-CN"/>
              </w:rPr>
            </w:pPr>
            <w:r>
              <w:rPr>
                <w:rFonts w:hint="eastAsia" w:ascii="宋体" w:hAnsi="宋体"/>
                <w:szCs w:val="21"/>
                <w:lang w:val="en-US" w:eastAsia="zh-CN"/>
              </w:rPr>
              <w:t>20分</w:t>
            </w:r>
          </w:p>
        </w:tc>
      </w:tr>
      <w:tr w14:paraId="1E833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center"/>
          </w:tcPr>
          <w:p w14:paraId="1B7E9204">
            <w:pPr>
              <w:adjustRightInd w:val="0"/>
              <w:spacing w:line="360" w:lineRule="exact"/>
              <w:jc w:val="center"/>
              <w:textAlignment w:val="baseline"/>
              <w:rPr>
                <w:rFonts w:hint="eastAsia" w:ascii="宋体" w:hAnsi="宋体" w:eastAsia="宋体" w:cs="宋体"/>
                <w:bCs/>
                <w:kern w:val="0"/>
                <w:szCs w:val="21"/>
                <w:lang w:eastAsia="zh-CN"/>
              </w:rPr>
            </w:pPr>
            <w:r>
              <w:rPr>
                <w:rFonts w:hint="eastAsia" w:ascii="宋体" w:hAnsi="宋体" w:eastAsia="宋体" w:cs="宋体"/>
                <w:bCs/>
                <w:kern w:val="0"/>
                <w:szCs w:val="21"/>
              </w:rPr>
              <w:t>2.</w:t>
            </w:r>
            <w:r>
              <w:rPr>
                <w:rFonts w:hint="eastAsia" w:ascii="宋体" w:hAnsi="宋体" w:cs="宋体"/>
                <w:bCs/>
                <w:kern w:val="0"/>
                <w:szCs w:val="21"/>
                <w:lang w:val="en-US" w:eastAsia="zh-CN"/>
              </w:rPr>
              <w:t>3</w:t>
            </w:r>
          </w:p>
        </w:tc>
        <w:tc>
          <w:tcPr>
            <w:tcW w:w="1559" w:type="dxa"/>
            <w:noWrap w:val="0"/>
            <w:vAlign w:val="center"/>
          </w:tcPr>
          <w:p w14:paraId="52B61F9E">
            <w:pPr>
              <w:adjustRightInd w:val="0"/>
              <w:spacing w:line="360" w:lineRule="exact"/>
              <w:jc w:val="center"/>
              <w:textAlignment w:val="baseline"/>
              <w:rPr>
                <w:rFonts w:hint="eastAsia" w:ascii="宋体" w:hAnsi="宋体" w:eastAsia="宋体"/>
                <w:kern w:val="0"/>
                <w:szCs w:val="21"/>
                <w:lang w:val="en-US" w:eastAsia="zh-CN"/>
              </w:rPr>
            </w:pPr>
            <w:r>
              <w:rPr>
                <w:rFonts w:hint="eastAsia" w:ascii="宋体" w:hAnsi="宋体"/>
                <w:b/>
                <w:bCs w:val="0"/>
                <w:sz w:val="21"/>
                <w:szCs w:val="21"/>
              </w:rPr>
              <w:t>售后及保密</w:t>
            </w:r>
            <w:r>
              <w:rPr>
                <w:rFonts w:hint="eastAsia" w:ascii="宋体" w:hAnsi="宋体"/>
                <w:b/>
                <w:bCs w:val="0"/>
                <w:sz w:val="21"/>
                <w:szCs w:val="21"/>
                <w:lang w:val="en-US" w:eastAsia="zh-CN"/>
              </w:rPr>
              <w:t>方案</w:t>
            </w:r>
          </w:p>
        </w:tc>
        <w:tc>
          <w:tcPr>
            <w:tcW w:w="6221" w:type="dxa"/>
            <w:noWrap w:val="0"/>
            <w:vAlign w:val="center"/>
          </w:tcPr>
          <w:p w14:paraId="54B44EE3">
            <w:pPr>
              <w:spacing w:line="360" w:lineRule="auto"/>
              <w:ind w:firstLine="420" w:firstLineChars="200"/>
              <w:jc w:val="left"/>
              <w:rPr>
                <w:rFonts w:hint="default" w:ascii="宋体" w:hAnsi="宋体" w:eastAsia="宋体" w:cs="宋体"/>
                <w:color w:val="auto"/>
                <w:sz w:val="21"/>
                <w:szCs w:val="21"/>
                <w:lang w:val="en-US" w:eastAsia="zh-CN"/>
              </w:rPr>
            </w:pPr>
            <w:r>
              <w:rPr>
                <w:rFonts w:hint="eastAsia" w:ascii="宋体" w:hAnsi="宋体" w:cs="宋体"/>
                <w:color w:val="auto"/>
                <w:sz w:val="21"/>
                <w:szCs w:val="21"/>
              </w:rPr>
              <w:t>一档</w:t>
            </w:r>
            <w:r>
              <w:rPr>
                <w:rFonts w:hint="eastAsia" w:ascii="宋体" w:hAnsi="宋体" w:cs="宋体"/>
                <w:color w:val="auto"/>
                <w:sz w:val="21"/>
                <w:szCs w:val="21"/>
                <w:lang w:eastAsia="zh-CN"/>
              </w:rPr>
              <w:t>（</w:t>
            </w:r>
            <w:r>
              <w:rPr>
                <w:rFonts w:hint="eastAsia" w:ascii="宋体" w:hAnsi="宋体" w:cs="宋体"/>
                <w:color w:val="auto"/>
                <w:kern w:val="0"/>
                <w:sz w:val="21"/>
                <w:szCs w:val="21"/>
                <w:lang w:val="en-US" w:eastAsia="zh-CN"/>
              </w:rPr>
              <w:t>10分</w:t>
            </w:r>
            <w:r>
              <w:rPr>
                <w:rFonts w:hint="eastAsia" w:ascii="宋体" w:hAnsi="宋体" w:cs="宋体"/>
                <w:color w:val="auto"/>
                <w:sz w:val="21"/>
                <w:szCs w:val="21"/>
                <w:lang w:val="en-US" w:eastAsia="zh-CN"/>
              </w:rPr>
              <w:t>）</w:t>
            </w:r>
            <w:r>
              <w:rPr>
                <w:rFonts w:hint="eastAsia" w:ascii="宋体" w:hAnsi="宋体" w:cs="宋体"/>
                <w:color w:val="auto"/>
                <w:sz w:val="21"/>
                <w:szCs w:val="21"/>
              </w:rPr>
              <w:t>：</w:t>
            </w:r>
            <w:r>
              <w:rPr>
                <w:rFonts w:hint="eastAsia" w:ascii="宋体" w:hAnsi="宋体" w:cs="宋体"/>
                <w:color w:val="auto"/>
                <w:sz w:val="21"/>
                <w:szCs w:val="21"/>
                <w:lang w:val="en-US" w:eastAsia="zh-CN"/>
              </w:rPr>
              <w:t>供应商提供的售后及保密方案包含有</w:t>
            </w:r>
            <w:r>
              <w:rPr>
                <w:rFonts w:hint="eastAsia" w:ascii="宋体" w:hAnsi="宋体" w:cs="宋体"/>
                <w:color w:val="auto"/>
                <w:sz w:val="21"/>
                <w:szCs w:val="21"/>
              </w:rPr>
              <w:t>质量保证制度</w:t>
            </w:r>
            <w:r>
              <w:rPr>
                <w:rFonts w:hint="eastAsia" w:ascii="宋体" w:hAnsi="宋体" w:cs="宋体"/>
                <w:color w:val="auto"/>
                <w:sz w:val="21"/>
                <w:szCs w:val="21"/>
                <w:lang w:eastAsia="zh-CN"/>
              </w:rPr>
              <w:t>、</w:t>
            </w:r>
            <w:r>
              <w:rPr>
                <w:rFonts w:hint="eastAsia" w:ascii="宋体" w:hAnsi="宋体" w:cs="宋体"/>
                <w:color w:val="auto"/>
                <w:sz w:val="21"/>
                <w:szCs w:val="21"/>
              </w:rPr>
              <w:t>服务</w:t>
            </w:r>
            <w:r>
              <w:rPr>
                <w:rFonts w:hint="eastAsia" w:ascii="宋体" w:hAnsi="宋体" w:cs="宋体"/>
                <w:color w:val="auto"/>
                <w:sz w:val="21"/>
                <w:szCs w:val="21"/>
                <w:lang w:val="en-US" w:eastAsia="zh-CN"/>
              </w:rPr>
              <w:t>承诺</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保密承诺书，能满足采购文件要求。</w:t>
            </w:r>
          </w:p>
          <w:p w14:paraId="5B29ACDC">
            <w:pPr>
              <w:spacing w:line="360" w:lineRule="auto"/>
              <w:ind w:firstLine="420" w:firstLineChars="200"/>
              <w:jc w:val="left"/>
              <w:rPr>
                <w:rFonts w:hint="eastAsia" w:ascii="宋体" w:hAnsi="宋体" w:eastAsia="宋体" w:cs="宋体"/>
                <w:color w:val="auto"/>
                <w:sz w:val="21"/>
                <w:szCs w:val="21"/>
                <w:lang w:eastAsia="zh-CN"/>
              </w:rPr>
            </w:pPr>
            <w:r>
              <w:rPr>
                <w:rFonts w:hint="eastAsia" w:ascii="宋体" w:hAnsi="宋体" w:cs="宋体"/>
                <w:color w:val="auto"/>
                <w:sz w:val="21"/>
                <w:szCs w:val="21"/>
              </w:rPr>
              <w:t>二档</w:t>
            </w:r>
            <w:r>
              <w:rPr>
                <w:rFonts w:hint="eastAsia" w:ascii="宋体" w:hAnsi="宋体" w:cs="宋体"/>
                <w:color w:val="auto"/>
                <w:sz w:val="21"/>
                <w:szCs w:val="21"/>
                <w:lang w:eastAsia="zh-CN"/>
              </w:rPr>
              <w:t>（</w:t>
            </w:r>
            <w:r>
              <w:rPr>
                <w:rFonts w:hint="eastAsia" w:ascii="宋体" w:hAnsi="宋体" w:cs="宋体"/>
                <w:color w:val="auto"/>
                <w:kern w:val="0"/>
                <w:sz w:val="21"/>
                <w:szCs w:val="21"/>
                <w:lang w:val="en-US" w:eastAsia="zh-CN"/>
              </w:rPr>
              <w:t>15</w:t>
            </w:r>
            <w:r>
              <w:rPr>
                <w:rFonts w:hint="eastAsia" w:ascii="宋体" w:hAnsi="宋体" w:cs="宋体"/>
                <w:color w:val="auto"/>
                <w:sz w:val="21"/>
                <w:szCs w:val="21"/>
                <w:lang w:val="en-US" w:eastAsia="zh-CN"/>
              </w:rPr>
              <w:t>分）</w:t>
            </w:r>
            <w:r>
              <w:rPr>
                <w:rFonts w:hint="eastAsia" w:ascii="宋体" w:hAnsi="宋体" w:cs="宋体"/>
                <w:color w:val="auto"/>
                <w:sz w:val="21"/>
                <w:szCs w:val="21"/>
              </w:rPr>
              <w:t>：</w:t>
            </w:r>
            <w:r>
              <w:rPr>
                <w:rFonts w:hint="eastAsia" w:hAnsi="宋体" w:cs="宋体"/>
                <w:bCs/>
                <w:color w:val="auto"/>
                <w:sz w:val="21"/>
                <w:szCs w:val="21"/>
                <w:highlight w:val="none"/>
                <w:lang w:val="en-US" w:eastAsia="zh-CN"/>
              </w:rPr>
              <w:t>在满足一档的基础上，</w:t>
            </w:r>
            <w:r>
              <w:rPr>
                <w:rFonts w:hint="eastAsia"/>
                <w:color w:val="auto"/>
                <w:sz w:val="21"/>
                <w:szCs w:val="21"/>
              </w:rPr>
              <w:t>制定</w:t>
            </w:r>
            <w:r>
              <w:rPr>
                <w:rFonts w:hint="eastAsia"/>
                <w:color w:val="auto"/>
                <w:sz w:val="21"/>
                <w:szCs w:val="21"/>
                <w:lang w:val="en-US" w:eastAsia="zh-CN"/>
              </w:rPr>
              <w:t>有</w:t>
            </w:r>
            <w:r>
              <w:rPr>
                <w:rFonts w:hint="eastAsia"/>
                <w:color w:val="auto"/>
                <w:sz w:val="21"/>
                <w:szCs w:val="21"/>
              </w:rPr>
              <w:t>服务质量保证措施和计划，</w:t>
            </w:r>
            <w:r>
              <w:rPr>
                <w:rFonts w:hint="eastAsia" w:ascii="宋体" w:hAnsi="宋体" w:cs="宋体"/>
                <w:color w:val="auto"/>
                <w:sz w:val="21"/>
                <w:szCs w:val="21"/>
              </w:rPr>
              <w:t>明确服务响应时间、</w:t>
            </w:r>
            <w:r>
              <w:rPr>
                <w:rFonts w:hint="eastAsia"/>
                <w:color w:val="auto"/>
                <w:sz w:val="21"/>
                <w:szCs w:val="21"/>
              </w:rPr>
              <w:t>突发状况</w:t>
            </w:r>
            <w:r>
              <w:rPr>
                <w:rFonts w:hint="eastAsia" w:ascii="宋体" w:hAnsi="宋体" w:cs="宋体"/>
                <w:color w:val="auto"/>
                <w:sz w:val="21"/>
                <w:szCs w:val="21"/>
              </w:rPr>
              <w:t>处理流程，提供有</w:t>
            </w:r>
            <w:r>
              <w:rPr>
                <w:rFonts w:hint="eastAsia" w:ascii="宋体" w:hAnsi="宋体" w:cs="宋体"/>
                <w:color w:val="auto"/>
                <w:sz w:val="21"/>
                <w:szCs w:val="21"/>
                <w:lang w:val="en-US" w:eastAsia="zh-CN"/>
              </w:rPr>
              <w:t>针对售后的</w:t>
            </w:r>
            <w:r>
              <w:rPr>
                <w:rFonts w:hint="eastAsia" w:ascii="宋体" w:hAnsi="宋体" w:cs="宋体"/>
                <w:color w:val="auto"/>
                <w:sz w:val="21"/>
                <w:szCs w:val="21"/>
              </w:rPr>
              <w:t>人员配置方案</w:t>
            </w:r>
            <w:r>
              <w:rPr>
                <w:rFonts w:hint="eastAsia" w:ascii="宋体" w:hAnsi="宋体" w:cs="宋体"/>
                <w:color w:val="auto"/>
                <w:sz w:val="21"/>
                <w:szCs w:val="21"/>
                <w:lang w:eastAsia="zh-CN"/>
              </w:rPr>
              <w:t>，</w:t>
            </w:r>
            <w:r>
              <w:rPr>
                <w:rFonts w:hint="eastAsia" w:hAnsi="宋体" w:cs="宋体"/>
                <w:bCs/>
                <w:color w:val="auto"/>
                <w:sz w:val="21"/>
                <w:szCs w:val="21"/>
              </w:rPr>
              <w:t>保密承诺书及方案，方案包含流程、制度、保密措施等内容</w:t>
            </w:r>
            <w:r>
              <w:rPr>
                <w:rFonts w:hint="eastAsia" w:ascii="宋体" w:hAnsi="宋体" w:cs="宋体"/>
                <w:color w:val="auto"/>
                <w:sz w:val="21"/>
                <w:szCs w:val="21"/>
                <w:lang w:eastAsia="zh-CN"/>
              </w:rPr>
              <w:t>。</w:t>
            </w:r>
          </w:p>
          <w:p w14:paraId="6A1969B9">
            <w:pPr>
              <w:pStyle w:val="13"/>
              <w:adjustRightInd w:val="0"/>
              <w:snapToGrid w:val="0"/>
              <w:spacing w:line="360" w:lineRule="auto"/>
              <w:ind w:firstLine="420" w:firstLineChars="200"/>
              <w:jc w:val="left"/>
              <w:rPr>
                <w:rFonts w:hint="eastAsia" w:ascii="宋体" w:hAnsi="宋体" w:eastAsia="宋体" w:cs="宋体"/>
                <w:color w:val="auto"/>
                <w:sz w:val="21"/>
                <w:szCs w:val="21"/>
                <w:lang w:eastAsia="zh-CN"/>
              </w:rPr>
            </w:pPr>
            <w:r>
              <w:rPr>
                <w:rFonts w:hint="eastAsia" w:ascii="宋体" w:hAnsi="宋体" w:cs="宋体"/>
                <w:color w:val="auto"/>
                <w:sz w:val="21"/>
                <w:szCs w:val="21"/>
              </w:rPr>
              <w:t>三档</w:t>
            </w:r>
            <w:r>
              <w:rPr>
                <w:rFonts w:hint="eastAsia" w:ascii="宋体" w:hAnsi="宋体" w:cs="宋体"/>
                <w:color w:val="auto"/>
                <w:sz w:val="21"/>
                <w:szCs w:val="21"/>
                <w:lang w:eastAsia="zh-CN"/>
              </w:rPr>
              <w:t>（</w:t>
            </w:r>
            <w:r>
              <w:rPr>
                <w:rFonts w:hint="eastAsia" w:hAnsi="宋体" w:cs="宋体"/>
                <w:color w:val="auto"/>
                <w:sz w:val="21"/>
                <w:szCs w:val="21"/>
                <w:lang w:val="en-US" w:eastAsia="zh-CN"/>
              </w:rPr>
              <w:t>20</w:t>
            </w:r>
            <w:r>
              <w:rPr>
                <w:rFonts w:hint="eastAsia" w:ascii="宋体" w:hAnsi="宋体" w:cs="宋体"/>
                <w:color w:val="auto"/>
                <w:sz w:val="21"/>
                <w:szCs w:val="21"/>
                <w:lang w:val="en-US" w:eastAsia="zh-CN"/>
              </w:rPr>
              <w:t>分）</w:t>
            </w:r>
            <w:r>
              <w:rPr>
                <w:rFonts w:hint="eastAsia" w:ascii="宋体" w:hAnsi="宋体" w:cs="宋体"/>
                <w:color w:val="auto"/>
                <w:sz w:val="21"/>
                <w:szCs w:val="21"/>
              </w:rPr>
              <w:t>：</w:t>
            </w:r>
            <w:r>
              <w:rPr>
                <w:rFonts w:hint="eastAsia" w:hAnsi="宋体" w:cs="宋体"/>
                <w:bCs/>
                <w:color w:val="auto"/>
                <w:sz w:val="21"/>
                <w:szCs w:val="21"/>
                <w:highlight w:val="none"/>
                <w:lang w:val="en-US" w:eastAsia="zh-CN"/>
              </w:rPr>
              <w:t>在满足二档的基础上，提供有</w:t>
            </w:r>
            <w:r>
              <w:rPr>
                <w:rFonts w:hint="eastAsia" w:hAnsi="宋体"/>
                <w:color w:val="auto"/>
                <w:sz w:val="21"/>
                <w:szCs w:val="21"/>
              </w:rPr>
              <w:t>在保证日常服务的基础上，</w:t>
            </w:r>
            <w:r>
              <w:rPr>
                <w:rFonts w:hint="eastAsia"/>
                <w:color w:val="auto"/>
                <w:sz w:val="21"/>
                <w:szCs w:val="21"/>
              </w:rPr>
              <w:t>特别针对特殊时期、突发状况作出</w:t>
            </w:r>
            <w:r>
              <w:rPr>
                <w:rFonts w:hint="eastAsia"/>
                <w:color w:val="auto"/>
                <w:sz w:val="21"/>
                <w:szCs w:val="21"/>
                <w:lang w:eastAsia="zh-CN"/>
              </w:rPr>
              <w:t>的</w:t>
            </w:r>
            <w:r>
              <w:rPr>
                <w:rFonts w:hint="eastAsia"/>
                <w:color w:val="auto"/>
                <w:sz w:val="21"/>
                <w:szCs w:val="21"/>
              </w:rPr>
              <w:t>服务承诺</w:t>
            </w:r>
            <w:r>
              <w:rPr>
                <w:rFonts w:hint="eastAsia"/>
                <w:color w:val="auto"/>
                <w:sz w:val="21"/>
                <w:szCs w:val="21"/>
                <w:lang w:eastAsia="zh-CN"/>
              </w:rPr>
              <w:t>，</w:t>
            </w:r>
            <w:r>
              <w:rPr>
                <w:rFonts w:hint="eastAsia" w:ascii="宋体" w:hAnsi="宋体" w:cs="宋体"/>
                <w:color w:val="auto"/>
                <w:sz w:val="21"/>
                <w:szCs w:val="21"/>
              </w:rPr>
              <w:t>售后服务保证措施包含人员保障、时效保障、质量保障、安全保障等内容</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售后</w:t>
            </w:r>
            <w:r>
              <w:rPr>
                <w:rFonts w:hint="eastAsia" w:ascii="宋体" w:hAnsi="宋体" w:cs="宋体"/>
                <w:color w:val="auto"/>
                <w:sz w:val="21"/>
                <w:szCs w:val="21"/>
              </w:rPr>
              <w:t>人员配置方案</w:t>
            </w:r>
            <w:r>
              <w:rPr>
                <w:rFonts w:hint="eastAsia" w:ascii="宋体" w:hAnsi="宋体" w:cs="宋体"/>
                <w:color w:val="auto"/>
                <w:sz w:val="21"/>
                <w:szCs w:val="21"/>
                <w:lang w:val="en-US" w:eastAsia="zh-CN"/>
              </w:rPr>
              <w:t>中</w:t>
            </w:r>
            <w:r>
              <w:rPr>
                <w:rFonts w:hint="eastAsia"/>
                <w:color w:val="auto"/>
                <w:sz w:val="21"/>
                <w:szCs w:val="21"/>
              </w:rPr>
              <w:t>明确了有关责任人及其职责</w:t>
            </w:r>
            <w:r>
              <w:rPr>
                <w:rFonts w:hint="eastAsia" w:ascii="宋体" w:hAnsi="宋体" w:cs="宋体"/>
                <w:color w:val="auto"/>
                <w:sz w:val="21"/>
                <w:szCs w:val="21"/>
                <w:lang w:eastAsia="zh-CN"/>
              </w:rPr>
              <w:t>，</w:t>
            </w:r>
            <w:r>
              <w:rPr>
                <w:rFonts w:hint="eastAsia" w:hAnsi="宋体" w:cs="宋体"/>
                <w:bCs/>
                <w:color w:val="auto"/>
                <w:sz w:val="21"/>
                <w:szCs w:val="21"/>
              </w:rPr>
              <w:t>通过设备、软件加强对档案的控制，且能保证文件原件及档案信息的安全性、保密性。</w:t>
            </w:r>
          </w:p>
          <w:p w14:paraId="67C25E07">
            <w:pPr>
              <w:autoSpaceDE w:val="0"/>
              <w:autoSpaceDN w:val="0"/>
              <w:adjustRightInd w:val="0"/>
              <w:spacing w:line="360" w:lineRule="auto"/>
              <w:ind w:firstLine="420" w:firstLineChars="200"/>
              <w:jc w:val="left"/>
              <w:rPr>
                <w:rFonts w:hint="eastAsia" w:ascii="宋体" w:hAnsi="宋体" w:eastAsia="宋体" w:cs="宋体"/>
                <w:color w:val="auto"/>
                <w:kern w:val="0"/>
                <w:sz w:val="21"/>
                <w:szCs w:val="21"/>
              </w:rPr>
            </w:pPr>
            <w:r>
              <w:rPr>
                <w:rFonts w:hint="eastAsia" w:ascii="宋体" w:hAnsi="宋体" w:cs="宋体"/>
                <w:color w:val="auto"/>
                <w:sz w:val="21"/>
                <w:szCs w:val="21"/>
              </w:rPr>
              <w:t>售后及保密</w:t>
            </w:r>
            <w:r>
              <w:rPr>
                <w:rFonts w:hint="eastAsia" w:ascii="宋体" w:hAnsi="宋体" w:cs="宋体"/>
                <w:color w:val="auto"/>
                <w:sz w:val="21"/>
                <w:szCs w:val="21"/>
                <w:lang w:val="en-US" w:eastAsia="zh-CN"/>
              </w:rPr>
              <w:t>方案</w:t>
            </w:r>
            <w:r>
              <w:rPr>
                <w:rFonts w:hint="eastAsia" w:ascii="宋体" w:hAnsi="宋体" w:cs="宋体"/>
                <w:color w:val="auto"/>
                <w:sz w:val="21"/>
                <w:szCs w:val="21"/>
              </w:rPr>
              <w:t>内容严重缺失、与本项目需求不符，无法满足基本实施要求的，得0分。</w:t>
            </w:r>
          </w:p>
        </w:tc>
        <w:tc>
          <w:tcPr>
            <w:tcW w:w="1260" w:type="dxa"/>
            <w:noWrap w:val="0"/>
            <w:vAlign w:val="center"/>
          </w:tcPr>
          <w:p w14:paraId="761849A2">
            <w:pPr>
              <w:spacing w:line="360" w:lineRule="exact"/>
              <w:jc w:val="center"/>
              <w:rPr>
                <w:rFonts w:hint="default" w:ascii="宋体" w:hAnsi="宋体" w:eastAsia="宋体"/>
                <w:szCs w:val="21"/>
                <w:lang w:val="en-US" w:eastAsia="zh-CN"/>
              </w:rPr>
            </w:pPr>
            <w:r>
              <w:rPr>
                <w:rFonts w:hint="eastAsia" w:ascii="宋体" w:hAnsi="宋体"/>
                <w:szCs w:val="21"/>
                <w:lang w:val="en-US" w:eastAsia="zh-CN"/>
              </w:rPr>
              <w:t>20分</w:t>
            </w:r>
          </w:p>
        </w:tc>
      </w:tr>
      <w:tr w14:paraId="1A149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814" w:type="dxa"/>
            <w:noWrap w:val="0"/>
            <w:vAlign w:val="center"/>
          </w:tcPr>
          <w:p w14:paraId="1AF524EC">
            <w:pPr>
              <w:widowControl/>
              <w:spacing w:line="360" w:lineRule="exact"/>
              <w:jc w:val="center"/>
              <w:rPr>
                <w:rFonts w:hint="eastAsia" w:ascii="宋体" w:hAnsi="宋体" w:eastAsia="宋体" w:cs="宋体"/>
                <w:b/>
                <w:bCs/>
                <w:szCs w:val="21"/>
              </w:rPr>
            </w:pPr>
            <w:r>
              <w:rPr>
                <w:rFonts w:hint="eastAsia" w:ascii="宋体" w:hAnsi="宋体" w:eastAsia="宋体" w:cs="宋体"/>
                <w:b/>
                <w:bCs/>
                <w:kern w:val="0"/>
                <w:szCs w:val="21"/>
              </w:rPr>
              <w:t>3</w:t>
            </w:r>
          </w:p>
        </w:tc>
        <w:tc>
          <w:tcPr>
            <w:tcW w:w="1559" w:type="dxa"/>
            <w:noWrap w:val="0"/>
            <w:vAlign w:val="center"/>
          </w:tcPr>
          <w:p w14:paraId="0B5AB68B">
            <w:pPr>
              <w:widowControl/>
              <w:spacing w:line="360" w:lineRule="exact"/>
              <w:jc w:val="center"/>
              <w:rPr>
                <w:rFonts w:hint="eastAsia" w:ascii="宋体" w:hAnsi="宋体" w:eastAsia="宋体" w:cs="宋体"/>
                <w:b/>
                <w:bCs/>
                <w:szCs w:val="21"/>
              </w:rPr>
            </w:pPr>
            <w:r>
              <w:rPr>
                <w:rFonts w:hint="eastAsia" w:ascii="宋体" w:hAnsi="宋体" w:eastAsia="宋体" w:cs="宋体"/>
                <w:b/>
                <w:bCs/>
                <w:szCs w:val="21"/>
              </w:rPr>
              <w:t>商务分</w:t>
            </w:r>
          </w:p>
        </w:tc>
        <w:tc>
          <w:tcPr>
            <w:tcW w:w="6221" w:type="dxa"/>
            <w:noWrap w:val="0"/>
            <w:vAlign w:val="center"/>
          </w:tcPr>
          <w:p w14:paraId="43725E8B">
            <w:pPr>
              <w:widowControl/>
              <w:spacing w:line="360" w:lineRule="exact"/>
              <w:jc w:val="center"/>
              <w:rPr>
                <w:rFonts w:hint="eastAsia" w:ascii="宋体" w:hAnsi="宋体" w:eastAsia="宋体" w:cs="宋体"/>
                <w:b/>
                <w:bCs/>
                <w:color w:val="auto"/>
                <w:szCs w:val="21"/>
              </w:rPr>
            </w:pPr>
            <w:r>
              <w:rPr>
                <w:rFonts w:hint="eastAsia" w:ascii="宋体" w:hAnsi="宋体" w:eastAsia="宋体" w:cs="宋体"/>
                <w:b/>
                <w:bCs/>
                <w:color w:val="auto"/>
                <w:kern w:val="0"/>
                <w:szCs w:val="21"/>
              </w:rPr>
              <w:t>具体内容</w:t>
            </w:r>
          </w:p>
        </w:tc>
        <w:tc>
          <w:tcPr>
            <w:tcW w:w="1260" w:type="dxa"/>
            <w:noWrap w:val="0"/>
            <w:vAlign w:val="center"/>
          </w:tcPr>
          <w:p w14:paraId="49CB826B">
            <w:pPr>
              <w:widowControl/>
              <w:spacing w:line="360" w:lineRule="exact"/>
              <w:jc w:val="center"/>
              <w:rPr>
                <w:rFonts w:hint="eastAsia" w:ascii="宋体" w:hAnsi="宋体" w:eastAsia="宋体" w:cs="宋体"/>
                <w:b/>
                <w:bCs/>
                <w:szCs w:val="21"/>
              </w:rPr>
            </w:pPr>
            <w:r>
              <w:rPr>
                <w:rFonts w:hint="eastAsia" w:ascii="宋体" w:hAnsi="宋体" w:eastAsia="宋体" w:cs="Tahoma"/>
                <w:b/>
                <w:bCs/>
                <w:kern w:val="0"/>
                <w:szCs w:val="21"/>
              </w:rPr>
              <w:t>满分</w:t>
            </w:r>
            <w:r>
              <w:rPr>
                <w:rFonts w:hint="eastAsia" w:ascii="宋体" w:hAnsi="宋体" w:eastAsia="宋体" w:cs="Tahoma"/>
                <w:b/>
                <w:bCs/>
                <w:kern w:val="0"/>
                <w:szCs w:val="21"/>
                <w:lang w:val="en-US" w:eastAsia="zh-CN"/>
              </w:rPr>
              <w:t>30</w:t>
            </w:r>
            <w:r>
              <w:rPr>
                <w:rFonts w:hint="eastAsia" w:ascii="宋体" w:hAnsi="宋体" w:eastAsia="宋体" w:cs="Tahoma"/>
                <w:b/>
                <w:bCs/>
                <w:kern w:val="0"/>
                <w:szCs w:val="21"/>
              </w:rPr>
              <w:t>分</w:t>
            </w:r>
          </w:p>
        </w:tc>
      </w:tr>
      <w:tr w14:paraId="27FD0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0" w:hRule="atLeast"/>
        </w:trPr>
        <w:tc>
          <w:tcPr>
            <w:tcW w:w="814" w:type="dxa"/>
            <w:noWrap w:val="0"/>
            <w:vAlign w:val="center"/>
          </w:tcPr>
          <w:p w14:paraId="743AB247">
            <w:pPr>
              <w:widowControl/>
              <w:spacing w:line="360" w:lineRule="exact"/>
              <w:jc w:val="center"/>
              <w:rPr>
                <w:rFonts w:hint="eastAsia" w:ascii="宋体" w:hAnsi="宋体" w:eastAsia="宋体" w:cs="宋体"/>
                <w:kern w:val="0"/>
                <w:szCs w:val="21"/>
              </w:rPr>
            </w:pPr>
            <w:r>
              <w:rPr>
                <w:rFonts w:hint="eastAsia" w:ascii="宋体" w:hAnsi="宋体" w:eastAsia="宋体" w:cs="宋体"/>
                <w:kern w:val="0"/>
                <w:szCs w:val="21"/>
              </w:rPr>
              <w:t>3.1</w:t>
            </w:r>
          </w:p>
        </w:tc>
        <w:tc>
          <w:tcPr>
            <w:tcW w:w="1559" w:type="dxa"/>
            <w:noWrap w:val="0"/>
            <w:vAlign w:val="center"/>
          </w:tcPr>
          <w:p w14:paraId="6882FA5F">
            <w:pPr>
              <w:adjustRightInd w:val="0"/>
              <w:spacing w:line="360" w:lineRule="auto"/>
              <w:jc w:val="center"/>
              <w:textAlignment w:val="baseline"/>
              <w:rPr>
                <w:rFonts w:hint="default" w:ascii="宋体" w:hAnsi="宋体" w:cs="宋体"/>
                <w:bCs/>
                <w:color w:val="auto"/>
                <w:szCs w:val="21"/>
                <w:lang w:val="en-US" w:eastAsia="zh-CN"/>
              </w:rPr>
            </w:pPr>
            <w:r>
              <w:rPr>
                <w:rFonts w:hint="eastAsia" w:ascii="宋体" w:hAnsi="宋体" w:cs="宋体"/>
                <w:b/>
                <w:bCs w:val="0"/>
                <w:color w:val="auto"/>
                <w:szCs w:val="21"/>
                <w:lang w:val="en-US" w:eastAsia="zh-CN"/>
              </w:rPr>
              <w:t>拟投入人员</w:t>
            </w:r>
          </w:p>
        </w:tc>
        <w:tc>
          <w:tcPr>
            <w:tcW w:w="6221" w:type="dxa"/>
            <w:noWrap w:val="0"/>
            <w:vAlign w:val="center"/>
          </w:tcPr>
          <w:p w14:paraId="4DF1F0C6">
            <w:pPr>
              <w:autoSpaceDE w:val="0"/>
              <w:autoSpaceDN w:val="0"/>
              <w:adjustRightInd w:val="0"/>
              <w:spacing w:line="360" w:lineRule="auto"/>
              <w:ind w:firstLine="420" w:firstLineChars="200"/>
              <w:jc w:val="left"/>
              <w:rPr>
                <w:rFonts w:hint="eastAsia" w:ascii="宋体" w:hAnsi="宋体" w:eastAsia="宋体" w:cs="宋体"/>
                <w:bCs w:val="0"/>
                <w:color w:val="auto"/>
                <w:kern w:val="0"/>
                <w:szCs w:val="21"/>
                <w:lang w:val="en-US" w:eastAsia="zh-CN"/>
              </w:rPr>
            </w:pPr>
            <w:r>
              <w:rPr>
                <w:rFonts w:hint="eastAsia" w:ascii="宋体" w:hAnsi="宋体" w:cs="宋体"/>
                <w:bCs w:val="0"/>
                <w:color w:val="auto"/>
                <w:kern w:val="0"/>
                <w:szCs w:val="21"/>
                <w:lang w:val="en-US" w:eastAsia="zh-CN"/>
              </w:rPr>
              <w:t>供应商</w:t>
            </w:r>
            <w:r>
              <w:rPr>
                <w:rFonts w:hint="eastAsia" w:ascii="宋体" w:hAnsi="宋体" w:eastAsia="宋体" w:cs="宋体"/>
                <w:bCs w:val="0"/>
                <w:color w:val="auto"/>
                <w:kern w:val="0"/>
                <w:szCs w:val="21"/>
                <w:lang w:val="en-US" w:eastAsia="zh-CN"/>
              </w:rPr>
              <w:t>拟投入本项目的相关专业技术人员有助理或初级资格证的每人得</w:t>
            </w:r>
            <w:r>
              <w:rPr>
                <w:rFonts w:hint="eastAsia" w:ascii="宋体" w:hAnsi="宋体" w:cs="宋体"/>
                <w:bCs w:val="0"/>
                <w:color w:val="auto"/>
                <w:kern w:val="0"/>
                <w:szCs w:val="21"/>
                <w:lang w:val="en-US" w:eastAsia="zh-CN"/>
              </w:rPr>
              <w:t>2</w:t>
            </w:r>
            <w:r>
              <w:rPr>
                <w:rFonts w:hint="eastAsia" w:ascii="宋体" w:hAnsi="宋体" w:eastAsia="宋体" w:cs="宋体"/>
                <w:bCs w:val="0"/>
                <w:color w:val="auto"/>
                <w:kern w:val="0"/>
                <w:szCs w:val="21"/>
                <w:lang w:val="en-US" w:eastAsia="zh-CN"/>
              </w:rPr>
              <w:t>分，有中级资格证及以上证书的每人得</w:t>
            </w:r>
            <w:r>
              <w:rPr>
                <w:rFonts w:hint="eastAsia" w:ascii="宋体" w:hAnsi="宋体" w:cs="宋体"/>
                <w:bCs w:val="0"/>
                <w:color w:val="auto"/>
                <w:kern w:val="0"/>
                <w:szCs w:val="21"/>
                <w:lang w:val="en-US" w:eastAsia="zh-CN"/>
              </w:rPr>
              <w:t>3</w:t>
            </w:r>
            <w:r>
              <w:rPr>
                <w:rFonts w:hint="eastAsia" w:ascii="宋体" w:hAnsi="宋体" w:eastAsia="宋体" w:cs="宋体"/>
                <w:bCs w:val="0"/>
                <w:color w:val="auto"/>
                <w:kern w:val="0"/>
                <w:szCs w:val="21"/>
                <w:lang w:val="en-US" w:eastAsia="zh-CN"/>
              </w:rPr>
              <w:t>分，满分</w:t>
            </w:r>
            <w:r>
              <w:rPr>
                <w:rFonts w:hint="eastAsia" w:ascii="宋体" w:hAnsi="宋体" w:cs="宋体"/>
                <w:bCs w:val="0"/>
                <w:color w:val="auto"/>
                <w:kern w:val="0"/>
                <w:szCs w:val="21"/>
                <w:lang w:val="en-US" w:eastAsia="zh-CN"/>
              </w:rPr>
              <w:t>20</w:t>
            </w:r>
            <w:r>
              <w:rPr>
                <w:rFonts w:hint="eastAsia" w:ascii="宋体" w:hAnsi="宋体" w:eastAsia="宋体" w:cs="宋体"/>
                <w:bCs w:val="0"/>
                <w:color w:val="auto"/>
                <w:kern w:val="0"/>
                <w:szCs w:val="21"/>
                <w:lang w:val="en-US" w:eastAsia="zh-CN"/>
              </w:rPr>
              <w:t>分。</w:t>
            </w:r>
          </w:p>
          <w:p w14:paraId="1A9816EF">
            <w:pPr>
              <w:autoSpaceDE w:val="0"/>
              <w:autoSpaceDN w:val="0"/>
              <w:adjustRightInd w:val="0"/>
              <w:spacing w:line="360" w:lineRule="auto"/>
              <w:ind w:firstLine="420" w:firstLineChars="200"/>
              <w:jc w:val="left"/>
              <w:rPr>
                <w:rFonts w:hint="eastAsia"/>
                <w:color w:val="auto"/>
                <w:lang w:eastAsia="zh-CN"/>
              </w:rPr>
            </w:pPr>
            <w:r>
              <w:rPr>
                <w:rFonts w:hint="eastAsia" w:ascii="宋体" w:hAnsi="宋体" w:eastAsia="宋体" w:cs="宋体"/>
                <w:bCs w:val="0"/>
                <w:color w:val="auto"/>
                <w:kern w:val="0"/>
                <w:szCs w:val="21"/>
                <w:lang w:val="en-US" w:eastAsia="zh-CN"/>
              </w:rPr>
              <w:t>注：以上人员必须提供有效相关证书和响应文件递交截止时间前近6个月以来任意一个月供应商为其拟投入人员所缴纳的社保证明</w:t>
            </w:r>
            <w:r>
              <w:rPr>
                <w:rFonts w:hint="eastAsia" w:ascii="宋体" w:hAnsi="宋体" w:cs="宋体"/>
                <w:bCs w:val="0"/>
                <w:color w:val="auto"/>
                <w:kern w:val="0"/>
                <w:szCs w:val="21"/>
                <w:lang w:val="en-US" w:eastAsia="zh-CN"/>
              </w:rPr>
              <w:t>或</w:t>
            </w:r>
            <w:r>
              <w:rPr>
                <w:rFonts w:hint="eastAsia" w:ascii="宋体" w:hAnsi="宋体" w:eastAsia="宋体" w:cs="宋体"/>
                <w:bCs w:val="0"/>
                <w:color w:val="auto"/>
                <w:kern w:val="0"/>
                <w:szCs w:val="21"/>
                <w:lang w:val="en-US" w:eastAsia="zh-CN"/>
              </w:rPr>
              <w:t>劳动合同，以上材料属于复印件的均需加盖供应商公章。</w:t>
            </w:r>
          </w:p>
        </w:tc>
        <w:tc>
          <w:tcPr>
            <w:tcW w:w="1260" w:type="dxa"/>
            <w:noWrap w:val="0"/>
            <w:vAlign w:val="center"/>
          </w:tcPr>
          <w:p w14:paraId="31D0D781">
            <w:pPr>
              <w:widowControl/>
              <w:autoSpaceDE w:val="0"/>
              <w:autoSpaceDN w:val="0"/>
              <w:adjustRightInd w:val="0"/>
              <w:spacing w:line="360" w:lineRule="auto"/>
              <w:ind w:firstLine="420" w:firstLineChars="200"/>
              <w:jc w:val="left"/>
              <w:rPr>
                <w:rFonts w:hint="eastAsia" w:ascii="宋体" w:hAnsi="宋体" w:cs="宋体"/>
                <w:color w:val="auto"/>
                <w:kern w:val="0"/>
                <w:szCs w:val="21"/>
                <w:lang w:val="en-US" w:eastAsia="zh-CN"/>
              </w:rPr>
            </w:pPr>
            <w:r>
              <w:rPr>
                <w:rFonts w:hint="eastAsia" w:ascii="宋体" w:hAnsi="宋体" w:cs="宋体"/>
                <w:color w:val="auto"/>
                <w:kern w:val="0"/>
                <w:szCs w:val="21"/>
                <w:lang w:val="en-US" w:eastAsia="zh-CN"/>
              </w:rPr>
              <w:t>20分</w:t>
            </w:r>
          </w:p>
        </w:tc>
      </w:tr>
      <w:tr w14:paraId="7B2CA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center"/>
          </w:tcPr>
          <w:p w14:paraId="6FB7625A">
            <w:pPr>
              <w:widowControl/>
              <w:spacing w:line="360" w:lineRule="exact"/>
              <w:jc w:val="center"/>
              <w:rPr>
                <w:rFonts w:hint="eastAsia" w:ascii="宋体" w:hAnsi="宋体" w:eastAsia="宋体" w:cs="宋体"/>
                <w:kern w:val="0"/>
                <w:szCs w:val="21"/>
                <w:lang w:eastAsia="zh-CN"/>
              </w:rPr>
            </w:pPr>
            <w:r>
              <w:rPr>
                <w:rFonts w:hint="eastAsia" w:ascii="宋体" w:hAnsi="宋体" w:eastAsia="宋体" w:cs="宋体"/>
                <w:color w:val="auto"/>
                <w:kern w:val="0"/>
                <w:szCs w:val="21"/>
              </w:rPr>
              <w:t>3.</w:t>
            </w:r>
            <w:r>
              <w:rPr>
                <w:rFonts w:hint="eastAsia" w:ascii="宋体" w:hAnsi="宋体" w:cs="宋体"/>
                <w:color w:val="auto"/>
                <w:kern w:val="0"/>
                <w:szCs w:val="21"/>
                <w:lang w:val="en-US" w:eastAsia="zh-CN"/>
              </w:rPr>
              <w:t>2</w:t>
            </w:r>
          </w:p>
        </w:tc>
        <w:tc>
          <w:tcPr>
            <w:tcW w:w="1559" w:type="dxa"/>
            <w:noWrap w:val="0"/>
            <w:vAlign w:val="center"/>
          </w:tcPr>
          <w:p w14:paraId="6D16D6FE">
            <w:pPr>
              <w:adjustRightInd w:val="0"/>
              <w:spacing w:line="360" w:lineRule="auto"/>
              <w:jc w:val="center"/>
              <w:textAlignment w:val="baseline"/>
              <w:rPr>
                <w:rFonts w:hint="default" w:ascii="宋体" w:hAnsi="宋体" w:eastAsia="宋体" w:cs="宋体"/>
                <w:b/>
                <w:bCs w:val="0"/>
                <w:color w:val="auto"/>
                <w:szCs w:val="21"/>
                <w:lang w:val="en-US" w:eastAsia="zh-CN"/>
              </w:rPr>
            </w:pPr>
            <w:r>
              <w:rPr>
                <w:rFonts w:hint="eastAsia" w:ascii="宋体" w:hAnsi="宋体" w:cs="宋体"/>
                <w:b/>
                <w:bCs w:val="0"/>
                <w:color w:val="auto"/>
                <w:szCs w:val="21"/>
                <w:lang w:val="en-US" w:eastAsia="zh-CN"/>
              </w:rPr>
              <w:t>企业业绩</w:t>
            </w:r>
          </w:p>
        </w:tc>
        <w:tc>
          <w:tcPr>
            <w:tcW w:w="6221" w:type="dxa"/>
            <w:noWrap w:val="0"/>
            <w:vAlign w:val="top"/>
          </w:tcPr>
          <w:p w14:paraId="6B194D67">
            <w:pPr>
              <w:spacing w:line="360" w:lineRule="auto"/>
              <w:ind w:firstLine="420" w:firstLineChars="200"/>
              <w:rPr>
                <w:rFonts w:hint="eastAsia" w:ascii="宋体" w:hAnsi="宋体" w:eastAsia="宋体" w:cs="宋体"/>
                <w:color w:val="auto"/>
                <w:szCs w:val="21"/>
              </w:rPr>
            </w:pPr>
            <w:r>
              <w:rPr>
                <w:rFonts w:hint="eastAsia" w:ascii="宋体" w:hAnsi="宋体" w:cs="宋体"/>
                <w:color w:val="auto"/>
                <w:szCs w:val="21"/>
                <w:lang w:val="en-US" w:eastAsia="zh-CN"/>
              </w:rPr>
              <w:t>供应商</w:t>
            </w:r>
            <w:r>
              <w:rPr>
                <w:rFonts w:hint="eastAsia" w:ascii="宋体" w:hAnsi="宋体" w:eastAsia="宋体" w:cs="宋体"/>
                <w:color w:val="auto"/>
                <w:szCs w:val="21"/>
              </w:rPr>
              <w:t>从2023年1月1日以来承担过本项项目服务要求类似的调查评估、项目评价或运营类项目，每个得2分，满分</w:t>
            </w:r>
            <w:r>
              <w:rPr>
                <w:rFonts w:hint="eastAsia" w:ascii="宋体" w:hAnsi="宋体" w:cs="宋体"/>
                <w:color w:val="auto"/>
                <w:szCs w:val="21"/>
                <w:lang w:val="en-US" w:eastAsia="zh-CN"/>
              </w:rPr>
              <w:t>10</w:t>
            </w:r>
            <w:r>
              <w:rPr>
                <w:rFonts w:hint="eastAsia" w:ascii="宋体" w:hAnsi="宋体" w:eastAsia="宋体" w:cs="宋体"/>
                <w:color w:val="auto"/>
                <w:szCs w:val="21"/>
              </w:rPr>
              <w:t>分（以中标（成交）通知书或合同证明材料为准）</w:t>
            </w:r>
            <w:r>
              <w:rPr>
                <w:rFonts w:hint="eastAsia" w:ascii="宋体" w:hAnsi="宋体" w:cs="宋体"/>
                <w:color w:val="auto"/>
                <w:szCs w:val="21"/>
                <w:lang w:eastAsia="zh-CN"/>
              </w:rPr>
              <w:t>。</w:t>
            </w:r>
          </w:p>
        </w:tc>
        <w:tc>
          <w:tcPr>
            <w:tcW w:w="1260" w:type="dxa"/>
            <w:noWrap w:val="0"/>
            <w:vAlign w:val="center"/>
          </w:tcPr>
          <w:p w14:paraId="5F8E23A9">
            <w:pPr>
              <w:widowControl/>
              <w:spacing w:line="360" w:lineRule="exact"/>
              <w:jc w:val="center"/>
              <w:rPr>
                <w:rFonts w:hint="eastAsia" w:ascii="宋体" w:hAnsi="宋体" w:eastAsia="宋体" w:cs="Tahoma"/>
                <w:color w:val="auto"/>
                <w:kern w:val="0"/>
                <w:szCs w:val="21"/>
              </w:rPr>
            </w:pPr>
            <w:r>
              <w:rPr>
                <w:rFonts w:hint="eastAsia" w:ascii="宋体" w:hAnsi="宋体" w:cs="Tahoma"/>
                <w:color w:val="auto"/>
                <w:kern w:val="0"/>
                <w:szCs w:val="21"/>
                <w:lang w:val="en-US" w:eastAsia="zh-CN"/>
              </w:rPr>
              <w:t>10</w:t>
            </w:r>
            <w:r>
              <w:rPr>
                <w:rFonts w:hint="eastAsia" w:ascii="宋体" w:hAnsi="宋体" w:eastAsia="宋体" w:cs="Tahoma"/>
                <w:color w:val="auto"/>
                <w:kern w:val="0"/>
                <w:szCs w:val="21"/>
              </w:rPr>
              <w:t>分</w:t>
            </w:r>
          </w:p>
        </w:tc>
      </w:tr>
      <w:tr w14:paraId="04F12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center"/>
          </w:tcPr>
          <w:p w14:paraId="5B9FD2C8">
            <w:pPr>
              <w:widowControl/>
              <w:spacing w:line="360" w:lineRule="exact"/>
              <w:jc w:val="center"/>
              <w:rPr>
                <w:rFonts w:hint="eastAsia" w:ascii="宋体" w:hAnsi="宋体" w:eastAsia="宋体" w:cs="宋体"/>
                <w:kern w:val="0"/>
                <w:szCs w:val="21"/>
              </w:rPr>
            </w:pPr>
            <w:r>
              <w:rPr>
                <w:rFonts w:hint="eastAsia" w:ascii="宋体" w:hAnsi="宋体" w:eastAsia="宋体" w:cs="宋体"/>
                <w:b/>
                <w:bCs/>
                <w:kern w:val="0"/>
                <w:szCs w:val="21"/>
              </w:rPr>
              <w:t>4</w:t>
            </w:r>
          </w:p>
        </w:tc>
        <w:tc>
          <w:tcPr>
            <w:tcW w:w="1559" w:type="dxa"/>
            <w:noWrap w:val="0"/>
            <w:vAlign w:val="center"/>
          </w:tcPr>
          <w:p w14:paraId="15B25E55">
            <w:pPr>
              <w:adjustRightInd w:val="0"/>
              <w:spacing w:line="360" w:lineRule="auto"/>
              <w:jc w:val="center"/>
              <w:textAlignment w:val="baseline"/>
              <w:rPr>
                <w:rFonts w:hint="eastAsia" w:ascii="宋体" w:hAnsi="宋体" w:eastAsia="宋体" w:cs="宋体"/>
                <w:b/>
                <w:bCs w:val="0"/>
                <w:kern w:val="0"/>
                <w:szCs w:val="21"/>
              </w:rPr>
            </w:pPr>
            <w:r>
              <w:rPr>
                <w:rFonts w:hint="eastAsia" w:ascii="宋体" w:hAnsi="宋体" w:eastAsia="宋体"/>
                <w:b/>
                <w:bCs w:val="0"/>
                <w:szCs w:val="21"/>
              </w:rPr>
              <w:t>诚信分</w:t>
            </w:r>
          </w:p>
        </w:tc>
        <w:tc>
          <w:tcPr>
            <w:tcW w:w="6221" w:type="dxa"/>
            <w:noWrap w:val="0"/>
            <w:vAlign w:val="top"/>
          </w:tcPr>
          <w:p w14:paraId="465687FB">
            <w:pPr>
              <w:spacing w:line="360" w:lineRule="auto"/>
              <w:ind w:firstLine="420" w:firstLineChars="200"/>
              <w:rPr>
                <w:rFonts w:hint="eastAsia" w:ascii="宋体" w:hAnsi="宋体" w:eastAsia="宋体" w:cs="宋体"/>
                <w:color w:val="auto"/>
                <w:szCs w:val="21"/>
              </w:rPr>
            </w:pPr>
            <w:r>
              <w:rPr>
                <w:rFonts w:hint="eastAsia" w:ascii="宋体" w:hAnsi="宋体"/>
                <w:color w:val="auto"/>
                <w:szCs w:val="21"/>
                <w:lang w:val="en-US" w:eastAsia="zh-CN"/>
              </w:rPr>
              <w:t>供应商</w:t>
            </w:r>
            <w:r>
              <w:rPr>
                <w:rFonts w:hint="eastAsia" w:ascii="宋体" w:hAnsi="宋体" w:eastAsia="宋体"/>
                <w:color w:val="auto"/>
                <w:szCs w:val="21"/>
              </w:rPr>
              <w:t>在截标日前1年内在政府采购活动中存在违约违规情形的（以财政部门出具的书面材料为评分依据），每次扣除3分，最高扣分6分。</w:t>
            </w:r>
          </w:p>
        </w:tc>
        <w:tc>
          <w:tcPr>
            <w:tcW w:w="1260" w:type="dxa"/>
            <w:noWrap w:val="0"/>
            <w:vAlign w:val="center"/>
          </w:tcPr>
          <w:p w14:paraId="27F43A92">
            <w:pPr>
              <w:widowControl/>
              <w:spacing w:line="360" w:lineRule="exact"/>
              <w:jc w:val="center"/>
              <w:rPr>
                <w:rFonts w:hint="eastAsia" w:ascii="宋体" w:hAnsi="宋体" w:eastAsia="宋体" w:cs="Tahoma"/>
                <w:kern w:val="0"/>
                <w:szCs w:val="21"/>
              </w:rPr>
            </w:pPr>
            <w:r>
              <w:rPr>
                <w:rFonts w:hint="eastAsia" w:ascii="宋体" w:hAnsi="宋体" w:cs="Tahoma"/>
                <w:kern w:val="0"/>
                <w:szCs w:val="21"/>
                <w:lang w:val="en-US" w:eastAsia="zh-CN"/>
              </w:rPr>
              <w:t>0</w:t>
            </w:r>
            <w:r>
              <w:rPr>
                <w:rFonts w:hint="eastAsia" w:ascii="宋体" w:hAnsi="宋体" w:eastAsia="宋体" w:cs="Tahoma"/>
                <w:kern w:val="0"/>
                <w:szCs w:val="21"/>
              </w:rPr>
              <w:t>分</w:t>
            </w:r>
          </w:p>
        </w:tc>
      </w:tr>
      <w:tr w14:paraId="01C7E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4" w:type="dxa"/>
            <w:gridSpan w:val="3"/>
            <w:noWrap w:val="0"/>
            <w:vAlign w:val="center"/>
          </w:tcPr>
          <w:p w14:paraId="1C5294C0">
            <w:pPr>
              <w:spacing w:line="360" w:lineRule="exact"/>
              <w:rPr>
                <w:rFonts w:hint="eastAsia" w:ascii="宋体" w:hAnsi="宋体" w:eastAsia="宋体" w:cs="宋体"/>
                <w:bCs/>
                <w:szCs w:val="21"/>
              </w:rPr>
            </w:pPr>
            <w:r>
              <w:rPr>
                <w:rFonts w:hint="eastAsia" w:ascii="宋体" w:hAnsi="宋体" w:eastAsia="宋体" w:cs="宋体"/>
                <w:bCs/>
                <w:szCs w:val="21"/>
              </w:rPr>
              <w:t>总得分＝1＋2＋3+4</w:t>
            </w:r>
            <w:bookmarkStart w:id="86" w:name="_GoBack"/>
            <w:bookmarkEnd w:id="86"/>
          </w:p>
        </w:tc>
        <w:tc>
          <w:tcPr>
            <w:tcW w:w="1260" w:type="dxa"/>
            <w:noWrap w:val="0"/>
            <w:vAlign w:val="center"/>
          </w:tcPr>
          <w:p w14:paraId="653D912C">
            <w:pPr>
              <w:spacing w:line="360" w:lineRule="exact"/>
              <w:jc w:val="center"/>
              <w:rPr>
                <w:rFonts w:hint="eastAsia" w:ascii="宋体" w:hAnsi="宋体" w:eastAsia="宋体" w:cs="宋体"/>
                <w:bCs/>
                <w:szCs w:val="21"/>
              </w:rPr>
            </w:pPr>
            <w:r>
              <w:rPr>
                <w:rFonts w:hint="eastAsia" w:ascii="宋体" w:hAnsi="宋体" w:eastAsia="宋体" w:cs="宋体"/>
                <w:bCs/>
                <w:szCs w:val="21"/>
              </w:rPr>
              <w:t>100</w:t>
            </w:r>
          </w:p>
        </w:tc>
      </w:tr>
      <w:bookmarkEnd w:id="60"/>
    </w:tbl>
    <w:p w14:paraId="7AD0908E">
      <w:pPr>
        <w:spacing w:line="360" w:lineRule="auto"/>
        <w:ind w:firstLine="420" w:firstLineChars="200"/>
        <w:rPr>
          <w:rFonts w:ascii="宋体" w:hAnsi="宋体"/>
          <w:bCs/>
          <w:color w:val="auto"/>
          <w:highlight w:val="none"/>
        </w:rPr>
      </w:pPr>
      <w:r>
        <w:rPr>
          <w:rFonts w:hint="eastAsia" w:ascii="宋体" w:hAnsi="宋体"/>
          <w:bCs/>
          <w:color w:val="auto"/>
          <w:highlight w:val="none"/>
        </w:rPr>
        <w:t>8.2商务技术评审因素为客观评分项的，应在评分项目或评标项准中予以标注为“客观分”。对供应商的客观评分项目，各评审专家评分应当一致。</w:t>
      </w:r>
    </w:p>
    <w:p w14:paraId="712FF2EA">
      <w:pPr>
        <w:spacing w:line="360" w:lineRule="auto"/>
        <w:ind w:firstLine="420" w:firstLineChars="200"/>
        <w:rPr>
          <w:rFonts w:ascii="宋体" w:hAnsi="宋体"/>
          <w:bCs/>
          <w:color w:val="auto"/>
          <w:highlight w:val="none"/>
        </w:rPr>
      </w:pPr>
      <w:r>
        <w:rPr>
          <w:rFonts w:hint="eastAsia" w:ascii="宋体" w:hAnsi="宋体"/>
          <w:bCs/>
          <w:color w:val="auto"/>
          <w:highlight w:val="none"/>
        </w:rPr>
        <w:t>8.3.终止竞争性磋商采购活动</w:t>
      </w:r>
    </w:p>
    <w:p w14:paraId="3EC91D12">
      <w:pPr>
        <w:spacing w:line="360" w:lineRule="auto"/>
        <w:ind w:firstLine="420" w:firstLineChars="200"/>
        <w:rPr>
          <w:rFonts w:ascii="宋体" w:hAnsi="宋体" w:cs="宋体"/>
          <w:b/>
          <w:color w:val="auto"/>
          <w:sz w:val="22"/>
          <w:szCs w:val="22"/>
          <w:highlight w:val="none"/>
        </w:rPr>
      </w:pPr>
      <w:r>
        <w:rPr>
          <w:rFonts w:hint="eastAsia" w:ascii="宋体" w:hAnsi="宋体" w:cs="宋体"/>
          <w:color w:val="auto"/>
          <w:highlight w:val="none"/>
        </w:rPr>
        <w:t>磋商小组发现竞争性磋商文件存在歧义、重大缺陷导致评审工作无法进行，或者竞争性磋商文件内容违反国家有关规定的，要停止评审工作并向采购人或采购代理机构书面说明情况，采购人或采购代理机构应当修改竞争性磋商文件后重新组织采购活动；发现供应商提供虚假材料、串通等违法违规行为的，要及时向采购人或采购代理机构报告。</w:t>
      </w:r>
      <w:bookmarkStart w:id="61" w:name="_Toc80205935"/>
      <w:bookmarkStart w:id="62" w:name="_Toc29129"/>
    </w:p>
    <w:p w14:paraId="6A836F4F">
      <w:pPr>
        <w:pStyle w:val="3"/>
        <w:spacing w:before="0" w:after="0" w:line="360" w:lineRule="auto"/>
        <w:ind w:firstLine="640" w:firstLineChars="200"/>
        <w:jc w:val="center"/>
        <w:rPr>
          <w:rFonts w:ascii="宋体" w:hAnsi="宋体"/>
          <w:b w:val="0"/>
          <w:color w:val="auto"/>
          <w:highlight w:val="none"/>
        </w:rPr>
      </w:pPr>
      <w:r>
        <w:rPr>
          <w:rFonts w:hint="eastAsia" w:ascii="宋体" w:hAnsi="宋体"/>
          <w:b w:val="0"/>
          <w:color w:val="auto"/>
          <w:highlight w:val="none"/>
        </w:rPr>
        <w:t>第二节 评审报告</w:t>
      </w:r>
      <w:bookmarkEnd w:id="61"/>
      <w:bookmarkEnd w:id="62"/>
    </w:p>
    <w:p w14:paraId="4D7C0738">
      <w:pPr>
        <w:spacing w:line="360" w:lineRule="auto"/>
        <w:ind w:firstLine="480" w:firstLineChars="200"/>
        <w:rPr>
          <w:rFonts w:ascii="黑体" w:hAnsi="黑体" w:eastAsia="黑体" w:cs="宋体"/>
          <w:color w:val="auto"/>
          <w:sz w:val="24"/>
          <w:szCs w:val="32"/>
          <w:highlight w:val="none"/>
        </w:rPr>
      </w:pPr>
      <w:r>
        <w:rPr>
          <w:rFonts w:hint="eastAsia" w:ascii="黑体" w:hAnsi="黑体" w:eastAsia="黑体" w:cs="宋体"/>
          <w:color w:val="auto"/>
          <w:sz w:val="24"/>
          <w:szCs w:val="32"/>
          <w:highlight w:val="none"/>
        </w:rPr>
        <w:t>1.成交标准</w:t>
      </w:r>
    </w:p>
    <w:p w14:paraId="44354405">
      <w:pPr>
        <w:spacing w:line="360" w:lineRule="auto"/>
        <w:ind w:firstLine="420" w:firstLineChars="200"/>
        <w:rPr>
          <w:rFonts w:ascii="宋体" w:hAnsi="宋体" w:cs="宋体"/>
          <w:color w:val="auto"/>
          <w:sz w:val="24"/>
          <w:highlight w:val="none"/>
        </w:rPr>
      </w:pPr>
      <w:r>
        <w:rPr>
          <w:rFonts w:hint="eastAsia" w:ascii="宋体" w:hAnsi="宋体"/>
          <w:bCs/>
          <w:color w:val="auto"/>
          <w:szCs w:val="21"/>
          <w:highlight w:val="none"/>
        </w:rPr>
        <w:t>由磋商小组根据综合评分情况，按照评审得分由高到低顺序推荐3名以上成交候选供应商</w:t>
      </w:r>
      <w:r>
        <w:rPr>
          <w:rFonts w:hint="eastAsia" w:ascii="宋体" w:hAnsi="宋体" w:cs="宋体"/>
          <w:color w:val="auto"/>
          <w:highlight w:val="none"/>
        </w:rPr>
        <w:t>,并在线编写电子评审报告</w:t>
      </w:r>
      <w:r>
        <w:rPr>
          <w:rFonts w:hint="eastAsia" w:ascii="宋体" w:hAnsi="宋体"/>
          <w:bCs/>
          <w:color w:val="auto"/>
          <w:szCs w:val="21"/>
          <w:highlight w:val="none"/>
        </w:rPr>
        <w:t>。符合本章第一节第5.3条情形的，可以推荐2家成交候选供应商。评审得分相同的，按照最后报价（不计算价格折扣）由低到高的顺序推荐。评审得分且最后报价（不计算价格折扣）相同的，按照技术指标优劣顺序推荐（按技术得分由高到低排序，技术得分相同的按照服务需求偏离分由高到低排序）。评审得分、最后报价（不计算价格折扣）、技术得分、服务需求偏离分均相同的，由磋商小组随机抽取推荐。</w:t>
      </w:r>
    </w:p>
    <w:p w14:paraId="77B92826">
      <w:pPr>
        <w:spacing w:line="360" w:lineRule="auto"/>
        <w:ind w:firstLine="480" w:firstLineChars="200"/>
        <w:rPr>
          <w:rFonts w:ascii="黑体" w:hAnsi="黑体" w:eastAsia="黑体" w:cs="宋体"/>
          <w:color w:val="auto"/>
          <w:sz w:val="24"/>
          <w:szCs w:val="32"/>
          <w:highlight w:val="none"/>
        </w:rPr>
      </w:pPr>
      <w:r>
        <w:rPr>
          <w:rFonts w:hint="eastAsia" w:ascii="黑体" w:hAnsi="黑体" w:eastAsia="黑体" w:cs="宋体"/>
          <w:color w:val="auto"/>
          <w:sz w:val="24"/>
          <w:szCs w:val="32"/>
          <w:highlight w:val="none"/>
        </w:rPr>
        <w:t>2.评标争议事项处理</w:t>
      </w:r>
    </w:p>
    <w:p w14:paraId="7621A5FD">
      <w:pPr>
        <w:ind w:firstLine="420"/>
        <w:rPr>
          <w:rFonts w:ascii="宋体" w:hAnsi="宋体" w:cs="宋体"/>
          <w:color w:val="auto"/>
          <w:highlight w:val="none"/>
        </w:rPr>
      </w:pPr>
      <w:r>
        <w:rPr>
          <w:rFonts w:hint="eastAsia" w:ascii="宋体" w:hAnsi="宋体" w:cs="宋体"/>
          <w:color w:val="auto"/>
          <w:highlight w:val="none"/>
        </w:rPr>
        <w:t>磋商小组成员对需要共同认定的事项存在争议的，应当按照少数服从多数的原则作出结论。持不同意见的磋商小组成员应当在评标报告上签署不同意见及理由，否则视为同意评标报告。</w:t>
      </w:r>
    </w:p>
    <w:p w14:paraId="4CE3FA0F">
      <w:pPr>
        <w:spacing w:before="0" w:after="0" w:line="360" w:lineRule="auto"/>
        <w:ind w:firstLine="420" w:firstLineChars="200"/>
        <w:jc w:val="center"/>
        <w:outlineLvl w:val="9"/>
        <w:rPr>
          <w:rFonts w:hint="eastAsia" w:ascii="宋体" w:hAnsi="宋体"/>
          <w:b w:val="0"/>
          <w:color w:val="auto"/>
          <w:highlight w:val="none"/>
        </w:rPr>
      </w:pPr>
      <w:bookmarkStart w:id="63" w:name="_Toc80205936"/>
      <w:bookmarkStart w:id="64" w:name="_Toc11092"/>
    </w:p>
    <w:p w14:paraId="01E53593">
      <w:pPr>
        <w:pStyle w:val="3"/>
        <w:spacing w:before="0" w:after="0" w:line="360" w:lineRule="auto"/>
        <w:ind w:firstLine="640" w:firstLineChars="200"/>
        <w:jc w:val="center"/>
        <w:rPr>
          <w:rFonts w:ascii="宋体" w:hAnsi="宋体" w:cs="宋体"/>
          <w:b w:val="0"/>
          <w:color w:val="auto"/>
          <w:highlight w:val="none"/>
        </w:rPr>
      </w:pPr>
      <w:r>
        <w:rPr>
          <w:rFonts w:hint="eastAsia" w:ascii="宋体" w:hAnsi="宋体"/>
          <w:b w:val="0"/>
          <w:color w:val="auto"/>
          <w:highlight w:val="none"/>
        </w:rPr>
        <w:t>第三节 评审过程的保密与录像</w:t>
      </w:r>
      <w:bookmarkEnd w:id="63"/>
      <w:bookmarkEnd w:id="64"/>
    </w:p>
    <w:p w14:paraId="73DB3025">
      <w:pPr>
        <w:spacing w:line="360" w:lineRule="auto"/>
        <w:ind w:firstLine="480" w:firstLineChars="200"/>
        <w:rPr>
          <w:rFonts w:ascii="黑体" w:hAnsi="黑体" w:eastAsia="黑体" w:cs="宋体"/>
          <w:color w:val="auto"/>
          <w:sz w:val="24"/>
          <w:szCs w:val="32"/>
          <w:highlight w:val="none"/>
        </w:rPr>
      </w:pPr>
      <w:r>
        <w:rPr>
          <w:rFonts w:hint="eastAsia" w:ascii="黑体" w:hAnsi="黑体" w:eastAsia="黑体" w:cs="宋体"/>
          <w:color w:val="auto"/>
          <w:sz w:val="24"/>
          <w:szCs w:val="32"/>
          <w:highlight w:val="none"/>
        </w:rPr>
        <w:t>1.保密。</w:t>
      </w:r>
    </w:p>
    <w:p w14:paraId="4C906C64">
      <w:pPr>
        <w:widowControl/>
        <w:spacing w:line="360" w:lineRule="auto"/>
        <w:ind w:firstLine="420" w:firstLineChars="200"/>
        <w:rPr>
          <w:rFonts w:ascii="宋体" w:hAnsi="宋体" w:cs="宋体"/>
          <w:color w:val="auto"/>
          <w:highlight w:val="none"/>
        </w:rPr>
      </w:pPr>
      <w:r>
        <w:rPr>
          <w:rFonts w:hint="eastAsia" w:ascii="宋体" w:hAnsi="宋体" w:cs="宋体"/>
          <w:color w:val="auto"/>
          <w:highlight w:val="none"/>
        </w:rPr>
        <w:t>评审活动在严格保密的情况下进行。评审过程中凡是与采购响应文件评审和比较、中标成交供应商推荐等评审有关的情况，以及涉及国家秘密和商业秘密等信息，评审委员会成员、采购人和采购机构工作人员、相关监督人员等与评审有关的人员应当予以保密。</w:t>
      </w:r>
    </w:p>
    <w:p w14:paraId="6462CE44">
      <w:pPr>
        <w:widowControl/>
        <w:spacing w:line="360" w:lineRule="auto"/>
        <w:ind w:firstLine="480" w:firstLineChars="200"/>
        <w:rPr>
          <w:rFonts w:ascii="黑体" w:hAnsi="黑体" w:eastAsia="黑体" w:cs="宋体"/>
          <w:color w:val="auto"/>
          <w:sz w:val="24"/>
          <w:szCs w:val="32"/>
          <w:highlight w:val="none"/>
        </w:rPr>
      </w:pPr>
      <w:r>
        <w:rPr>
          <w:rFonts w:hint="eastAsia" w:ascii="黑体" w:hAnsi="黑体" w:eastAsia="黑体" w:cs="宋体"/>
          <w:color w:val="auto"/>
          <w:sz w:val="24"/>
          <w:szCs w:val="32"/>
          <w:highlight w:val="none"/>
        </w:rPr>
        <w:t>2.录音录像。</w:t>
      </w:r>
    </w:p>
    <w:p w14:paraId="53BABDCB">
      <w:pPr>
        <w:spacing w:line="360" w:lineRule="auto"/>
        <w:ind w:firstLine="420" w:firstLineChars="200"/>
        <w:rPr>
          <w:rFonts w:cs="宋体"/>
          <w:color w:val="auto"/>
          <w:highlight w:val="none"/>
        </w:rPr>
      </w:pPr>
      <w:r>
        <w:rPr>
          <w:rFonts w:hint="eastAsia" w:ascii="宋体" w:hAnsi="宋体" w:cs="宋体"/>
          <w:color w:val="auto"/>
          <w:highlight w:val="none"/>
        </w:rPr>
        <w:t>采购代理机构对评审工作现场及操作屏幕进行全过程录音录像，录音录像资料作为采购项目文件随其他文件一并存档。</w:t>
      </w:r>
    </w:p>
    <w:p w14:paraId="7AC7D365">
      <w:pPr>
        <w:rPr>
          <w:color w:val="auto"/>
          <w:highlight w:val="none"/>
        </w:rPr>
      </w:pPr>
    </w:p>
    <w:p w14:paraId="5921574D">
      <w:pPr>
        <w:jc w:val="center"/>
        <w:rPr>
          <w:color w:val="auto"/>
          <w:highlight w:val="none"/>
        </w:rPr>
      </w:pPr>
    </w:p>
    <w:p w14:paraId="2843FEF5">
      <w:pPr>
        <w:jc w:val="center"/>
        <w:rPr>
          <w:color w:val="auto"/>
          <w:highlight w:val="none"/>
        </w:rPr>
      </w:pPr>
    </w:p>
    <w:p w14:paraId="7D4D45C1">
      <w:pPr>
        <w:jc w:val="center"/>
        <w:rPr>
          <w:color w:val="auto"/>
          <w:highlight w:val="none"/>
        </w:rPr>
      </w:pPr>
    </w:p>
    <w:p w14:paraId="16FEE28F">
      <w:pPr>
        <w:jc w:val="center"/>
        <w:rPr>
          <w:color w:val="auto"/>
          <w:highlight w:val="none"/>
        </w:rPr>
      </w:pPr>
      <w:r>
        <w:rPr>
          <w:color w:val="auto"/>
          <w:highlight w:val="none"/>
        </w:rPr>
        <w:br w:type="page"/>
      </w:r>
    </w:p>
    <w:p w14:paraId="469B0F0F">
      <w:pPr>
        <w:pStyle w:val="2"/>
        <w:jc w:val="center"/>
        <w:rPr>
          <w:color w:val="auto"/>
          <w:highlight w:val="none"/>
        </w:rPr>
      </w:pPr>
      <w:bookmarkStart w:id="65" w:name="_Toc18495"/>
      <w:r>
        <w:rPr>
          <w:rFonts w:hint="eastAsia"/>
          <w:color w:val="auto"/>
          <w:highlight w:val="none"/>
        </w:rPr>
        <w:t>第五章</w:t>
      </w:r>
      <w:r>
        <w:rPr>
          <w:color w:val="auto"/>
          <w:highlight w:val="none"/>
        </w:rPr>
        <w:t xml:space="preserve"> </w:t>
      </w:r>
      <w:r>
        <w:rPr>
          <w:rFonts w:hint="eastAsia"/>
          <w:color w:val="auto"/>
          <w:highlight w:val="none"/>
        </w:rPr>
        <w:t>响应文件格式</w:t>
      </w:r>
      <w:bookmarkEnd w:id="65"/>
    </w:p>
    <w:p w14:paraId="0B462A49">
      <w:pPr>
        <w:widowControl/>
        <w:spacing w:line="576" w:lineRule="auto"/>
        <w:jc w:val="left"/>
        <w:rPr>
          <w:b/>
          <w:bCs/>
          <w:color w:val="auto"/>
          <w:kern w:val="44"/>
          <w:sz w:val="44"/>
          <w:szCs w:val="44"/>
          <w:highlight w:val="none"/>
        </w:rPr>
        <w:sectPr>
          <w:footerReference r:id="rId8" w:type="default"/>
          <w:pgSz w:w="11911" w:h="16838"/>
          <w:pgMar w:top="1417" w:right="1417" w:bottom="1417" w:left="1417" w:header="720" w:footer="720" w:gutter="0"/>
          <w:cols w:space="0" w:num="1"/>
        </w:sectPr>
      </w:pPr>
    </w:p>
    <w:p w14:paraId="2D89BCDE">
      <w:pPr>
        <w:pStyle w:val="3"/>
        <w:jc w:val="center"/>
        <w:rPr>
          <w:rFonts w:ascii="宋体" w:hAnsi="宋体"/>
          <w:b w:val="0"/>
          <w:color w:val="auto"/>
          <w:highlight w:val="none"/>
        </w:rPr>
      </w:pPr>
      <w:bookmarkStart w:id="66" w:name="_Toc18956"/>
      <w:bookmarkStart w:id="67" w:name="_Toc80205938"/>
      <w:r>
        <w:rPr>
          <w:rFonts w:hint="eastAsia" w:ascii="宋体" w:hAnsi="宋体"/>
          <w:b w:val="0"/>
          <w:color w:val="auto"/>
          <w:highlight w:val="none"/>
        </w:rPr>
        <w:t>第一节 封面格式</w:t>
      </w:r>
      <w:bookmarkEnd w:id="66"/>
      <w:bookmarkEnd w:id="67"/>
    </w:p>
    <w:p w14:paraId="3110A9CC">
      <w:pPr>
        <w:snapToGrid w:val="0"/>
        <w:spacing w:before="120" w:beforeLines="50" w:after="50"/>
        <w:rPr>
          <w:rFonts w:ascii="宋体" w:hAnsi="宋体"/>
          <w:color w:val="auto"/>
          <w:sz w:val="24"/>
          <w:szCs w:val="20"/>
          <w:highlight w:val="none"/>
        </w:rPr>
      </w:pPr>
    </w:p>
    <w:p w14:paraId="1B51B6A6">
      <w:pPr>
        <w:snapToGrid w:val="0"/>
        <w:spacing w:before="120" w:beforeLines="50" w:after="50"/>
        <w:jc w:val="center"/>
        <w:rPr>
          <w:rFonts w:ascii="宋体" w:hAnsi="宋体"/>
          <w:bCs/>
          <w:color w:val="auto"/>
          <w:sz w:val="24"/>
          <w:szCs w:val="20"/>
          <w:highlight w:val="none"/>
        </w:rPr>
      </w:pPr>
    </w:p>
    <w:p w14:paraId="63E7642A">
      <w:pPr>
        <w:snapToGrid w:val="0"/>
        <w:spacing w:before="120" w:beforeLines="50" w:after="50"/>
        <w:jc w:val="center"/>
        <w:rPr>
          <w:rFonts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响  应  文  件</w:t>
      </w:r>
    </w:p>
    <w:p w14:paraId="44A71F91">
      <w:pPr>
        <w:snapToGrid w:val="0"/>
        <w:spacing w:before="120" w:beforeLines="50" w:after="50"/>
        <w:rPr>
          <w:rFonts w:ascii="宋体" w:hAnsi="宋体"/>
          <w:bCs/>
          <w:color w:val="auto"/>
          <w:sz w:val="24"/>
          <w:szCs w:val="20"/>
          <w:highlight w:val="none"/>
        </w:rPr>
      </w:pPr>
    </w:p>
    <w:p w14:paraId="4880B206">
      <w:pPr>
        <w:snapToGrid w:val="0"/>
        <w:spacing w:before="120" w:beforeLines="50" w:after="50"/>
        <w:rPr>
          <w:rFonts w:ascii="宋体" w:hAnsi="宋体"/>
          <w:bCs/>
          <w:color w:val="auto"/>
          <w:sz w:val="24"/>
          <w:szCs w:val="20"/>
          <w:highlight w:val="none"/>
        </w:rPr>
      </w:pPr>
    </w:p>
    <w:p w14:paraId="30AB0FE2">
      <w:pPr>
        <w:snapToGrid w:val="0"/>
        <w:spacing w:before="120" w:beforeLines="50" w:after="50"/>
        <w:rPr>
          <w:rFonts w:ascii="仿宋_GB2312" w:hAnsi="仿宋_GB2312" w:eastAsia="仿宋_GB2312" w:cs="仿宋_GB2312"/>
          <w:bCs/>
          <w:color w:val="auto"/>
          <w:sz w:val="32"/>
          <w:szCs w:val="32"/>
          <w:highlight w:val="none"/>
        </w:rPr>
      </w:pPr>
    </w:p>
    <w:p w14:paraId="3F45E933">
      <w:pPr>
        <w:snapToGrid w:val="0"/>
        <w:spacing w:before="120" w:beforeLines="50" w:after="50"/>
        <w:ind w:firstLine="640" w:firstLineChars="200"/>
        <w:rPr>
          <w:rFonts w:hint="eastAsia" w:ascii="宋体" w:hAnsi="宋体" w:eastAsia="宋体" w:cs="仿宋_GB2312"/>
          <w:bCs/>
          <w:color w:val="auto"/>
          <w:sz w:val="32"/>
          <w:szCs w:val="32"/>
          <w:highlight w:val="none"/>
          <w:lang w:eastAsia="zh-CN"/>
        </w:rPr>
      </w:pPr>
      <w:r>
        <w:rPr>
          <w:rFonts w:hint="eastAsia" w:ascii="宋体" w:hAnsi="宋体" w:cs="仿宋_GB2312"/>
          <w:bCs/>
          <w:color w:val="auto"/>
          <w:sz w:val="32"/>
          <w:szCs w:val="32"/>
          <w:highlight w:val="none"/>
        </w:rPr>
        <w:t>项目名称：</w:t>
      </w:r>
      <w:r>
        <w:rPr>
          <w:rFonts w:hint="eastAsia" w:ascii="宋体" w:hAnsi="宋体" w:cs="仿宋_GB2312"/>
          <w:bCs/>
          <w:color w:val="auto"/>
          <w:sz w:val="32"/>
          <w:szCs w:val="32"/>
          <w:highlight w:val="none"/>
          <w:lang w:eastAsia="zh-CN"/>
        </w:rPr>
        <w:t>南宁市青年人才驿站</w:t>
      </w:r>
    </w:p>
    <w:p w14:paraId="27B1D44A">
      <w:pPr>
        <w:snapToGrid w:val="0"/>
        <w:spacing w:before="120" w:beforeLines="50" w:after="50"/>
        <w:ind w:firstLine="480" w:firstLineChars="150"/>
        <w:rPr>
          <w:rFonts w:ascii="宋体" w:hAnsi="宋体" w:cs="仿宋_GB2312"/>
          <w:bCs/>
          <w:color w:val="auto"/>
          <w:sz w:val="32"/>
          <w:szCs w:val="32"/>
          <w:highlight w:val="none"/>
        </w:rPr>
      </w:pPr>
    </w:p>
    <w:p w14:paraId="0F10670A">
      <w:pPr>
        <w:snapToGrid w:val="0"/>
        <w:spacing w:before="120" w:beforeLines="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6E091816">
      <w:pPr>
        <w:snapToGrid w:val="0"/>
        <w:spacing w:before="120" w:beforeLines="50" w:after="50"/>
        <w:ind w:firstLine="480" w:firstLineChars="150"/>
        <w:rPr>
          <w:rFonts w:ascii="宋体" w:hAnsi="宋体" w:cs="仿宋_GB2312"/>
          <w:bCs/>
          <w:color w:val="auto"/>
          <w:sz w:val="32"/>
          <w:szCs w:val="32"/>
          <w:highlight w:val="none"/>
        </w:rPr>
      </w:pPr>
    </w:p>
    <w:p w14:paraId="4C49F011">
      <w:pPr>
        <w:snapToGrid w:val="0"/>
        <w:spacing w:before="120" w:beforeLines="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所竞标项（如有则填写，无标项时填写“无”或者留空）：</w:t>
      </w:r>
    </w:p>
    <w:p w14:paraId="284598E0">
      <w:pPr>
        <w:snapToGrid w:val="0"/>
        <w:spacing w:before="120" w:beforeLines="50" w:after="50"/>
        <w:rPr>
          <w:rFonts w:ascii="宋体" w:hAnsi="宋体" w:cs="仿宋_GB2312"/>
          <w:bCs/>
          <w:color w:val="auto"/>
          <w:sz w:val="32"/>
          <w:szCs w:val="32"/>
          <w:highlight w:val="none"/>
        </w:rPr>
      </w:pPr>
    </w:p>
    <w:p w14:paraId="69BDFEC4">
      <w:pPr>
        <w:snapToGrid w:val="0"/>
        <w:spacing w:before="120" w:beforeLines="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46B3B6E1">
      <w:pPr>
        <w:snapToGrid w:val="0"/>
        <w:spacing w:before="120" w:beforeLines="50" w:after="50"/>
        <w:rPr>
          <w:rFonts w:ascii="宋体" w:hAnsi="宋体" w:cs="仿宋_GB2312"/>
          <w:bCs/>
          <w:color w:val="auto"/>
          <w:sz w:val="32"/>
          <w:szCs w:val="32"/>
          <w:highlight w:val="none"/>
        </w:rPr>
      </w:pPr>
    </w:p>
    <w:p w14:paraId="20D654B6">
      <w:pPr>
        <w:snapToGrid w:val="0"/>
        <w:spacing w:before="120" w:beforeLines="50" w:after="50"/>
        <w:ind w:firstLine="480" w:firstLineChars="150"/>
        <w:jc w:val="center"/>
        <w:rPr>
          <w:rFonts w:ascii="宋体" w:hAnsi="宋体" w:cs="仿宋_GB2312"/>
          <w:bCs/>
          <w:color w:val="auto"/>
          <w:sz w:val="32"/>
          <w:szCs w:val="32"/>
          <w:highlight w:val="none"/>
        </w:rPr>
      </w:pPr>
      <w:r>
        <w:rPr>
          <w:rFonts w:hint="eastAsia" w:ascii="宋体" w:hAnsi="宋体" w:cs="仿宋_GB2312"/>
          <w:bCs/>
          <w:color w:val="auto"/>
          <w:sz w:val="32"/>
          <w:szCs w:val="32"/>
          <w:highlight w:val="none"/>
        </w:rPr>
        <w:t>首次响应文件提交截止时间前不得解密</w:t>
      </w:r>
    </w:p>
    <w:p w14:paraId="27DF6333">
      <w:pPr>
        <w:snapToGrid w:val="0"/>
        <w:spacing w:before="120" w:beforeLines="50" w:after="50"/>
        <w:ind w:firstLine="5440" w:firstLineChars="1700"/>
        <w:jc w:val="center"/>
        <w:rPr>
          <w:rFonts w:ascii="宋体" w:hAnsi="宋体" w:cs="仿宋_GB2312"/>
          <w:bCs/>
          <w:color w:val="auto"/>
          <w:sz w:val="32"/>
          <w:szCs w:val="32"/>
          <w:highlight w:val="none"/>
        </w:rPr>
      </w:pPr>
    </w:p>
    <w:p w14:paraId="1FE7FFEE">
      <w:pPr>
        <w:snapToGrid w:val="0"/>
        <w:spacing w:before="120" w:beforeLines="50" w:after="50"/>
        <w:ind w:firstLine="645"/>
        <w:jc w:val="center"/>
        <w:rPr>
          <w:rFonts w:ascii="宋体" w:hAnsi="宋体" w:cs="仿宋_GB2312"/>
          <w:bCs/>
          <w:color w:val="auto"/>
          <w:sz w:val="32"/>
          <w:szCs w:val="32"/>
          <w:highlight w:val="none"/>
        </w:rPr>
      </w:pPr>
      <w:r>
        <w:rPr>
          <w:rFonts w:hint="eastAsia" w:ascii="宋体" w:hAnsi="宋体" w:cs="仿宋_GB2312"/>
          <w:bCs/>
          <w:color w:val="auto"/>
          <w:sz w:val="32"/>
          <w:szCs w:val="32"/>
          <w:highlight w:val="none"/>
        </w:rPr>
        <w:t>年    月    日</w:t>
      </w:r>
    </w:p>
    <w:p w14:paraId="2C7DA0FF">
      <w:pPr>
        <w:widowControl/>
        <w:jc w:val="left"/>
        <w:rPr>
          <w:color w:val="auto"/>
          <w:highlight w:val="none"/>
        </w:rPr>
        <w:sectPr>
          <w:pgSz w:w="11911" w:h="16838"/>
          <w:pgMar w:top="1417" w:right="1417" w:bottom="1417" w:left="1417" w:header="720" w:footer="720" w:gutter="0"/>
          <w:cols w:space="0" w:num="1"/>
        </w:sectPr>
      </w:pPr>
    </w:p>
    <w:p w14:paraId="65169AE2">
      <w:pPr>
        <w:pStyle w:val="3"/>
        <w:jc w:val="center"/>
        <w:rPr>
          <w:rFonts w:ascii="宋体" w:hAnsi="宋体" w:cs="宋体"/>
          <w:bCs w:val="0"/>
          <w:color w:val="auto"/>
          <w:highlight w:val="none"/>
        </w:rPr>
      </w:pPr>
      <w:bookmarkStart w:id="68" w:name="_Toc80205939"/>
      <w:bookmarkStart w:id="69" w:name="_Toc23404"/>
      <w:r>
        <w:rPr>
          <w:rFonts w:hint="eastAsia" w:ascii="宋体" w:hAnsi="宋体"/>
          <w:bCs w:val="0"/>
          <w:color w:val="auto"/>
          <w:highlight w:val="none"/>
        </w:rPr>
        <w:t>第二节 资格证明文件格式</w:t>
      </w:r>
      <w:bookmarkEnd w:id="68"/>
      <w:bookmarkEnd w:id="69"/>
    </w:p>
    <w:p w14:paraId="5794A747">
      <w:pPr>
        <w:snapToGrid w:val="0"/>
        <w:spacing w:before="120" w:beforeLines="50" w:after="50"/>
        <w:rPr>
          <w:rFonts w:ascii="宋体" w:hAnsi="宋体"/>
          <w:bCs/>
          <w:color w:val="auto"/>
          <w:sz w:val="32"/>
          <w:szCs w:val="20"/>
          <w:highlight w:val="none"/>
        </w:rPr>
      </w:pPr>
      <w:r>
        <w:rPr>
          <w:rFonts w:hint="eastAsia" w:ascii="宋体" w:hAnsi="宋体"/>
          <w:color w:val="auto"/>
          <w:sz w:val="24"/>
          <w:highlight w:val="none"/>
        </w:rPr>
        <w:t xml:space="preserve">                                                    </w:t>
      </w:r>
      <w:r>
        <w:rPr>
          <w:rFonts w:hint="eastAsia" w:ascii="宋体" w:hAnsi="宋体"/>
          <w:bCs/>
          <w:color w:val="auto"/>
          <w:highlight w:val="none"/>
        </w:rPr>
        <w:t>全流程电子文件</w:t>
      </w:r>
    </w:p>
    <w:p w14:paraId="2FB2842D">
      <w:pPr>
        <w:snapToGrid w:val="0"/>
        <w:spacing w:before="120" w:beforeLines="50" w:after="50"/>
        <w:rPr>
          <w:rFonts w:ascii="宋体" w:hAnsi="宋体"/>
          <w:color w:val="auto"/>
          <w:sz w:val="24"/>
          <w:szCs w:val="20"/>
          <w:highlight w:val="none"/>
        </w:rPr>
      </w:pPr>
    </w:p>
    <w:p w14:paraId="4961169A">
      <w:pPr>
        <w:snapToGrid w:val="0"/>
        <w:spacing w:before="120" w:beforeLines="50" w:after="50"/>
        <w:rPr>
          <w:rFonts w:ascii="宋体" w:hAnsi="宋体"/>
          <w:color w:val="auto"/>
          <w:sz w:val="24"/>
          <w:szCs w:val="20"/>
          <w:highlight w:val="none"/>
        </w:rPr>
      </w:pPr>
    </w:p>
    <w:p w14:paraId="7C2B9992">
      <w:pPr>
        <w:snapToGrid w:val="0"/>
        <w:spacing w:before="120" w:beforeLines="50" w:after="50"/>
        <w:jc w:val="center"/>
        <w:rPr>
          <w:rFonts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资  格  证  明  文  件（封面）</w:t>
      </w:r>
    </w:p>
    <w:p w14:paraId="25C30A1A">
      <w:pPr>
        <w:snapToGrid w:val="0"/>
        <w:spacing w:before="120" w:beforeLines="50" w:after="50"/>
        <w:rPr>
          <w:rFonts w:ascii="宋体" w:hAnsi="宋体"/>
          <w:bCs/>
          <w:color w:val="auto"/>
          <w:sz w:val="24"/>
          <w:szCs w:val="20"/>
          <w:highlight w:val="none"/>
        </w:rPr>
      </w:pPr>
    </w:p>
    <w:p w14:paraId="5336ECD6">
      <w:pPr>
        <w:snapToGrid w:val="0"/>
        <w:spacing w:before="120" w:beforeLines="50" w:after="50"/>
        <w:rPr>
          <w:rFonts w:ascii="宋体" w:hAnsi="宋体"/>
          <w:bCs/>
          <w:color w:val="auto"/>
          <w:sz w:val="24"/>
          <w:szCs w:val="20"/>
          <w:highlight w:val="none"/>
        </w:rPr>
      </w:pPr>
    </w:p>
    <w:p w14:paraId="0C2B92AF">
      <w:pPr>
        <w:snapToGrid w:val="0"/>
        <w:spacing w:before="120" w:beforeLines="50" w:after="50"/>
        <w:rPr>
          <w:rFonts w:ascii="宋体" w:hAnsi="宋体"/>
          <w:bCs/>
          <w:color w:val="auto"/>
          <w:sz w:val="24"/>
          <w:szCs w:val="20"/>
          <w:highlight w:val="none"/>
        </w:rPr>
      </w:pPr>
    </w:p>
    <w:p w14:paraId="2B4F24AF">
      <w:pPr>
        <w:snapToGrid w:val="0"/>
        <w:spacing w:before="120" w:beforeLines="50" w:after="50"/>
        <w:rPr>
          <w:rFonts w:ascii="宋体" w:hAnsi="宋体"/>
          <w:bCs/>
          <w:color w:val="auto"/>
          <w:sz w:val="24"/>
          <w:szCs w:val="20"/>
          <w:highlight w:val="none"/>
        </w:rPr>
      </w:pPr>
    </w:p>
    <w:p w14:paraId="5CE0AC2B">
      <w:pPr>
        <w:snapToGrid w:val="0"/>
        <w:spacing w:before="120" w:beforeLines="50" w:after="50"/>
        <w:rPr>
          <w:rFonts w:ascii="宋体" w:hAnsi="宋体"/>
          <w:bCs/>
          <w:color w:val="auto"/>
          <w:sz w:val="24"/>
          <w:szCs w:val="20"/>
          <w:highlight w:val="none"/>
        </w:rPr>
      </w:pPr>
    </w:p>
    <w:p w14:paraId="21D08B18">
      <w:pPr>
        <w:snapToGrid w:val="0"/>
        <w:spacing w:before="120" w:beforeLines="50" w:after="50"/>
        <w:ind w:firstLine="640" w:firstLineChars="200"/>
        <w:rPr>
          <w:rFonts w:hint="eastAsia" w:ascii="宋体" w:hAnsi="宋体" w:eastAsia="宋体" w:cs="仿宋_GB2312"/>
          <w:bCs/>
          <w:color w:val="auto"/>
          <w:sz w:val="32"/>
          <w:szCs w:val="32"/>
          <w:highlight w:val="none"/>
          <w:lang w:eastAsia="zh-CN"/>
        </w:rPr>
      </w:pPr>
      <w:r>
        <w:rPr>
          <w:rFonts w:hint="eastAsia" w:ascii="宋体" w:hAnsi="宋体" w:cs="仿宋_GB2312"/>
          <w:bCs/>
          <w:color w:val="auto"/>
          <w:sz w:val="32"/>
          <w:szCs w:val="32"/>
          <w:highlight w:val="none"/>
        </w:rPr>
        <w:t>项目名称：</w:t>
      </w:r>
      <w:r>
        <w:rPr>
          <w:rFonts w:hint="eastAsia" w:ascii="宋体" w:hAnsi="宋体" w:cs="仿宋_GB2312"/>
          <w:bCs/>
          <w:color w:val="auto"/>
          <w:sz w:val="32"/>
          <w:szCs w:val="32"/>
          <w:highlight w:val="none"/>
          <w:lang w:eastAsia="zh-CN"/>
        </w:rPr>
        <w:t>南宁市青年人才驿站</w:t>
      </w:r>
    </w:p>
    <w:p w14:paraId="05655BB2">
      <w:pPr>
        <w:snapToGrid w:val="0"/>
        <w:spacing w:before="120" w:beforeLines="50" w:after="50"/>
        <w:ind w:firstLine="720" w:firstLineChars="225"/>
        <w:rPr>
          <w:rFonts w:ascii="宋体" w:hAnsi="宋体" w:cs="仿宋_GB2312"/>
          <w:bCs/>
          <w:color w:val="auto"/>
          <w:sz w:val="32"/>
          <w:szCs w:val="32"/>
          <w:highlight w:val="none"/>
        </w:rPr>
      </w:pPr>
    </w:p>
    <w:p w14:paraId="1D41FAB7">
      <w:pPr>
        <w:snapToGrid w:val="0"/>
        <w:spacing w:before="120" w:beforeLines="50" w:after="50"/>
        <w:ind w:firstLine="720" w:firstLineChars="225"/>
        <w:rPr>
          <w:rFonts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1B719173">
      <w:pPr>
        <w:snapToGrid w:val="0"/>
        <w:spacing w:before="120" w:beforeLines="50" w:after="50"/>
        <w:ind w:firstLine="720" w:firstLineChars="225"/>
        <w:rPr>
          <w:rFonts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 </w:t>
      </w:r>
    </w:p>
    <w:p w14:paraId="6F9A809E">
      <w:pPr>
        <w:snapToGrid w:val="0"/>
        <w:spacing w:before="120" w:beforeLines="50" w:after="50"/>
        <w:ind w:firstLine="720" w:firstLineChars="225"/>
        <w:rPr>
          <w:rFonts w:ascii="宋体" w:hAnsi="宋体" w:cs="仿宋_GB2312"/>
          <w:bCs/>
          <w:color w:val="auto"/>
          <w:sz w:val="32"/>
          <w:szCs w:val="32"/>
          <w:highlight w:val="none"/>
        </w:rPr>
      </w:pPr>
      <w:r>
        <w:rPr>
          <w:rFonts w:hint="eastAsia" w:ascii="宋体" w:hAnsi="宋体" w:cs="仿宋_GB2312"/>
          <w:bCs/>
          <w:color w:val="auto"/>
          <w:sz w:val="32"/>
          <w:szCs w:val="32"/>
          <w:highlight w:val="none"/>
        </w:rPr>
        <w:t>所竞标项（如有则填写，无标项时填写“无”或者留空）：</w:t>
      </w:r>
    </w:p>
    <w:p w14:paraId="01F05B3F">
      <w:pPr>
        <w:snapToGrid w:val="0"/>
        <w:spacing w:before="120" w:beforeLines="50" w:after="50"/>
        <w:ind w:firstLine="720" w:firstLineChars="225"/>
        <w:rPr>
          <w:rFonts w:ascii="宋体" w:hAnsi="宋体" w:cs="仿宋_GB2312"/>
          <w:bCs/>
          <w:color w:val="auto"/>
          <w:sz w:val="32"/>
          <w:szCs w:val="32"/>
          <w:highlight w:val="none"/>
        </w:rPr>
      </w:pPr>
    </w:p>
    <w:p w14:paraId="6F7E1FF8">
      <w:pPr>
        <w:pStyle w:val="7"/>
        <w:snapToGrid w:val="0"/>
        <w:spacing w:before="50" w:after="50"/>
        <w:ind w:firstLine="720" w:firstLineChars="225"/>
        <w:rPr>
          <w:rFonts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720B6656">
      <w:pPr>
        <w:pStyle w:val="7"/>
        <w:snapToGrid w:val="0"/>
        <w:spacing w:before="50" w:after="50"/>
        <w:ind w:firstLine="720" w:firstLineChars="225"/>
        <w:rPr>
          <w:rFonts w:ascii="宋体" w:hAnsi="宋体" w:cs="仿宋_GB2312"/>
          <w:bCs/>
          <w:color w:val="auto"/>
          <w:sz w:val="32"/>
          <w:szCs w:val="32"/>
          <w:highlight w:val="none"/>
        </w:rPr>
      </w:pPr>
    </w:p>
    <w:p w14:paraId="1BFFCA15">
      <w:pPr>
        <w:pStyle w:val="7"/>
        <w:snapToGrid w:val="0"/>
        <w:spacing w:before="50" w:after="50"/>
        <w:ind w:firstLine="720" w:firstLineChars="225"/>
        <w:rPr>
          <w:rFonts w:ascii="宋体" w:hAnsi="宋体" w:cs="仿宋_GB2312"/>
          <w:bCs/>
          <w:color w:val="auto"/>
          <w:sz w:val="32"/>
          <w:szCs w:val="32"/>
          <w:highlight w:val="none"/>
        </w:rPr>
      </w:pPr>
    </w:p>
    <w:p w14:paraId="6BBB57E5">
      <w:pPr>
        <w:pStyle w:val="7"/>
        <w:snapToGrid w:val="0"/>
        <w:spacing w:before="50" w:after="50"/>
        <w:ind w:firstLine="720" w:firstLineChars="225"/>
        <w:rPr>
          <w:rFonts w:ascii="宋体" w:hAnsi="宋体" w:cs="仿宋_GB2312"/>
          <w:bCs/>
          <w:color w:val="auto"/>
          <w:sz w:val="32"/>
          <w:szCs w:val="32"/>
          <w:highlight w:val="none"/>
        </w:rPr>
      </w:pPr>
    </w:p>
    <w:p w14:paraId="44B1E5D1">
      <w:pPr>
        <w:pStyle w:val="7"/>
        <w:snapToGrid w:val="0"/>
        <w:spacing w:before="50" w:after="50"/>
        <w:ind w:firstLine="1280" w:firstLineChars="400"/>
        <w:rPr>
          <w:rFonts w:ascii="宋体" w:hAnsi="宋体" w:cs="仿宋_GB2312"/>
          <w:bCs/>
          <w:color w:val="auto"/>
          <w:sz w:val="32"/>
          <w:szCs w:val="32"/>
          <w:highlight w:val="none"/>
        </w:rPr>
      </w:pPr>
    </w:p>
    <w:p w14:paraId="6A022CEB">
      <w:pPr>
        <w:snapToGrid w:val="0"/>
        <w:spacing w:before="120" w:beforeLines="50" w:after="50"/>
        <w:jc w:val="center"/>
        <w:rPr>
          <w:rFonts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6EC3184A">
      <w:pPr>
        <w:snapToGrid w:val="0"/>
        <w:spacing w:before="120" w:beforeLines="50" w:after="50" w:line="360" w:lineRule="auto"/>
        <w:jc w:val="left"/>
        <w:rPr>
          <w:rFonts w:ascii="宋体" w:hAnsi="宋体"/>
          <w:b/>
          <w:bCs/>
          <w:color w:val="auto"/>
          <w:sz w:val="32"/>
          <w:szCs w:val="32"/>
          <w:highlight w:val="none"/>
        </w:rPr>
      </w:pPr>
      <w:r>
        <w:rPr>
          <w:rFonts w:hint="eastAsia" w:ascii="宋体" w:hAnsi="宋体"/>
          <w:color w:val="auto"/>
          <w:sz w:val="24"/>
          <w:highlight w:val="none"/>
        </w:rPr>
        <w:br w:type="page"/>
      </w:r>
      <w:r>
        <w:rPr>
          <w:rFonts w:hint="eastAsia" w:ascii="宋体" w:hAnsi="宋体"/>
          <w:b/>
          <w:bCs/>
          <w:color w:val="auto"/>
          <w:sz w:val="32"/>
          <w:szCs w:val="32"/>
          <w:highlight w:val="none"/>
        </w:rPr>
        <w:t xml:space="preserve"> </w:t>
      </w:r>
    </w:p>
    <w:p w14:paraId="61194679">
      <w:pPr>
        <w:jc w:val="center"/>
        <w:rPr>
          <w:rFonts w:ascii="仿宋_GB2312" w:hAnsi="仿宋" w:eastAsia="仿宋_GB2312" w:cs="仿宋_GB2312"/>
          <w:b/>
          <w:color w:val="auto"/>
          <w:kern w:val="0"/>
          <w:sz w:val="36"/>
          <w:szCs w:val="36"/>
          <w:highlight w:val="none"/>
        </w:rPr>
      </w:pPr>
      <w:r>
        <w:rPr>
          <w:rFonts w:hint="eastAsia" w:ascii="仿宋_GB2312" w:hAnsi="仿宋" w:eastAsia="仿宋_GB2312" w:cs="仿宋_GB2312"/>
          <w:b/>
          <w:color w:val="auto"/>
          <w:kern w:val="0"/>
          <w:sz w:val="36"/>
          <w:szCs w:val="36"/>
          <w:highlight w:val="none"/>
        </w:rPr>
        <w:t>资格证明文件目录</w:t>
      </w:r>
    </w:p>
    <w:p w14:paraId="3AF05F55">
      <w:pPr>
        <w:snapToGrid w:val="0"/>
        <w:spacing w:line="360" w:lineRule="auto"/>
        <w:rPr>
          <w:rFonts w:ascii="仿宋_GB2312" w:hAnsi="仿宋" w:eastAsia="仿宋_GB2312" w:cs="仿宋_GB2312"/>
          <w:color w:val="auto"/>
          <w:kern w:val="0"/>
          <w:sz w:val="24"/>
          <w:highlight w:val="none"/>
        </w:rPr>
      </w:pPr>
    </w:p>
    <w:p w14:paraId="3AC24780">
      <w:pPr>
        <w:snapToGrid w:val="0"/>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一、</w:t>
      </w:r>
      <w:r>
        <w:rPr>
          <w:rFonts w:hint="eastAsia" w:ascii="仿宋_GB2312" w:hAnsi="仿宋" w:eastAsia="仿宋_GB2312"/>
          <w:color w:val="auto"/>
          <w:sz w:val="24"/>
          <w:highlight w:val="none"/>
        </w:rPr>
        <w:t>营业执照(或事业法人登记证或其他工商等登记证明材料)复印件（投标人为自然人的，须提供</w:t>
      </w:r>
      <w:r>
        <w:rPr>
          <w:rFonts w:hint="eastAsia" w:ascii="仿宋_GB2312" w:hAnsi="仿宋" w:eastAsia="仿宋_GB2312" w:cs="Helvetica"/>
          <w:color w:val="auto"/>
          <w:kern w:val="0"/>
          <w:sz w:val="24"/>
          <w:highlight w:val="none"/>
        </w:rPr>
        <w:t>自然人的身份证明</w:t>
      </w:r>
      <w:r>
        <w:rPr>
          <w:rFonts w:hint="eastAsia" w:ascii="仿宋_GB2312" w:hAnsi="仿宋" w:eastAsia="仿宋_GB2312"/>
          <w:color w:val="auto"/>
          <w:sz w:val="24"/>
          <w:highlight w:val="none"/>
        </w:rPr>
        <w:t>）</w:t>
      </w:r>
      <w:r>
        <w:rPr>
          <w:rFonts w:hint="eastAsia" w:ascii="仿宋_GB2312" w:hAnsi="仿宋" w:eastAsia="仿宋_GB2312" w:cs="仿宋_GB2312"/>
          <w:color w:val="auto"/>
          <w:kern w:val="0"/>
          <w:sz w:val="24"/>
          <w:highlight w:val="none"/>
        </w:rPr>
        <w:t>……………………………………………………………（页码）</w:t>
      </w:r>
    </w:p>
    <w:p w14:paraId="5DB8DA7D">
      <w:pPr>
        <w:snapToGrid w:val="0"/>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二、符合参与政府采购活动的资格条件依法缴纳税收、社会保障资金等方面的材料…………………………………………………………………………………………（页码）</w:t>
      </w:r>
    </w:p>
    <w:p w14:paraId="78CC53B3">
      <w:pPr>
        <w:snapToGrid w:val="0"/>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三、财务状况报告方面的材料…………………………………………………………（页码）</w:t>
      </w:r>
    </w:p>
    <w:p w14:paraId="4114AC53">
      <w:pPr>
        <w:snapToGrid w:val="0"/>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sz w:val="24"/>
          <w:highlight w:val="none"/>
        </w:rPr>
        <w:t>四、</w:t>
      </w:r>
      <w:r>
        <w:rPr>
          <w:rFonts w:hint="eastAsia" w:ascii="仿宋_GB2312" w:hAnsi="仿宋" w:eastAsia="仿宋_GB2312" w:cs="仿宋_GB2312"/>
          <w:color w:val="auto"/>
          <w:sz w:val="24"/>
          <w:highlight w:val="none"/>
          <w:lang w:val="en-US" w:eastAsia="zh-CN"/>
        </w:rPr>
        <w:t>供应商</w:t>
      </w:r>
      <w:r>
        <w:rPr>
          <w:rFonts w:hint="eastAsia" w:ascii="仿宋_GB2312" w:hAnsi="仿宋" w:eastAsia="仿宋_GB2312" w:cs="仿宋_GB2312"/>
          <w:color w:val="auto"/>
          <w:sz w:val="24"/>
          <w:highlight w:val="none"/>
        </w:rPr>
        <w:t>直接控股股东信息</w:t>
      </w:r>
      <w:r>
        <w:rPr>
          <w:rFonts w:hint="eastAsia" w:ascii="仿宋_GB2312" w:hAnsi="仿宋" w:eastAsia="仿宋_GB2312" w:cs="仿宋_GB2312"/>
          <w:color w:val="auto"/>
          <w:kern w:val="0"/>
          <w:sz w:val="24"/>
          <w:highlight w:val="none"/>
        </w:rPr>
        <w:t>…………………………………………………………（页码）</w:t>
      </w:r>
    </w:p>
    <w:p w14:paraId="324ED71F">
      <w:pPr>
        <w:snapToGrid w:val="0"/>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sz w:val="24"/>
          <w:highlight w:val="none"/>
        </w:rPr>
        <w:t>五、</w:t>
      </w:r>
      <w:r>
        <w:rPr>
          <w:rFonts w:hint="eastAsia" w:ascii="仿宋_GB2312" w:hAnsi="仿宋" w:eastAsia="仿宋_GB2312" w:cs="仿宋_GB2312"/>
          <w:color w:val="auto"/>
          <w:sz w:val="24"/>
          <w:highlight w:val="none"/>
          <w:lang w:val="en-US" w:eastAsia="zh-CN"/>
        </w:rPr>
        <w:t>供应商</w:t>
      </w:r>
      <w:r>
        <w:rPr>
          <w:rFonts w:hint="eastAsia" w:ascii="仿宋_GB2312" w:hAnsi="仿宋" w:eastAsia="仿宋_GB2312" w:cs="仿宋_GB2312"/>
          <w:color w:val="auto"/>
          <w:sz w:val="24"/>
          <w:highlight w:val="none"/>
        </w:rPr>
        <w:t>直接关联关系信息表</w:t>
      </w:r>
      <w:r>
        <w:rPr>
          <w:rFonts w:hint="eastAsia" w:ascii="仿宋_GB2312" w:hAnsi="仿宋" w:eastAsia="仿宋_GB2312" w:cs="仿宋_GB2312"/>
          <w:color w:val="auto"/>
          <w:kern w:val="0"/>
          <w:sz w:val="24"/>
          <w:highlight w:val="none"/>
        </w:rPr>
        <w:t>………………………………………………………（页码）</w:t>
      </w:r>
    </w:p>
    <w:p w14:paraId="33BDA32E">
      <w:pPr>
        <w:snapToGrid w:val="0"/>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六、资格声明函…………………………………………………………………………（页码）</w:t>
      </w:r>
    </w:p>
    <w:p w14:paraId="26858D26">
      <w:pPr>
        <w:snapToGrid w:val="0"/>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七、联合体协议书（</w:t>
      </w:r>
      <w:r>
        <w:rPr>
          <w:rFonts w:hint="eastAsia" w:ascii="仿宋_GB2312" w:hAnsi="仿宋" w:eastAsia="仿宋_GB2312" w:cs="仿宋_GB2312"/>
          <w:color w:val="auto"/>
          <w:sz w:val="24"/>
          <w:highlight w:val="none"/>
        </w:rPr>
        <w:t>以联合体形式投标的，提供联合体协议；本项目不接受联合体</w:t>
      </w:r>
      <w:r>
        <w:rPr>
          <w:rFonts w:hint="eastAsia" w:ascii="仿宋_GB2312" w:hAnsi="仿宋" w:eastAsia="仿宋_GB2312" w:cs="仿宋_GB2312"/>
          <w:color w:val="auto"/>
          <w:sz w:val="24"/>
          <w:highlight w:val="none"/>
          <w:lang w:val="en-US" w:eastAsia="zh-CN"/>
        </w:rPr>
        <w:t>响应</w:t>
      </w:r>
      <w:r>
        <w:rPr>
          <w:rFonts w:hint="eastAsia" w:ascii="仿宋_GB2312" w:hAnsi="仿宋" w:eastAsia="仿宋_GB2312" w:cs="仿宋_GB2312"/>
          <w:color w:val="auto"/>
          <w:sz w:val="24"/>
          <w:highlight w:val="none"/>
        </w:rPr>
        <w:t>或者</w:t>
      </w:r>
      <w:r>
        <w:rPr>
          <w:rFonts w:hint="eastAsia" w:ascii="仿宋_GB2312" w:hAnsi="仿宋" w:eastAsia="仿宋_GB2312" w:cs="仿宋_GB2312"/>
          <w:color w:val="auto"/>
          <w:sz w:val="24"/>
          <w:highlight w:val="none"/>
          <w:lang w:val="en-US" w:eastAsia="zh-CN"/>
        </w:rPr>
        <w:t>供应商</w:t>
      </w:r>
      <w:r>
        <w:rPr>
          <w:rFonts w:hint="eastAsia" w:ascii="仿宋_GB2312" w:hAnsi="仿宋" w:eastAsia="仿宋_GB2312" w:cs="仿宋_GB2312"/>
          <w:color w:val="auto"/>
          <w:sz w:val="24"/>
          <w:highlight w:val="none"/>
        </w:rPr>
        <w:t>不以联合体形式</w:t>
      </w:r>
      <w:r>
        <w:rPr>
          <w:rFonts w:hint="eastAsia" w:ascii="仿宋_GB2312" w:hAnsi="仿宋" w:eastAsia="仿宋_GB2312" w:cs="仿宋_GB2312"/>
          <w:color w:val="auto"/>
          <w:sz w:val="24"/>
          <w:highlight w:val="none"/>
          <w:lang w:val="en-US" w:eastAsia="zh-CN"/>
        </w:rPr>
        <w:t>响应</w:t>
      </w:r>
      <w:r>
        <w:rPr>
          <w:rFonts w:hint="eastAsia" w:ascii="仿宋_GB2312" w:hAnsi="仿宋" w:eastAsia="仿宋_GB2312" w:cs="仿宋_GB2312"/>
          <w:color w:val="auto"/>
          <w:sz w:val="24"/>
          <w:highlight w:val="none"/>
        </w:rPr>
        <w:t>的，则不需要提供</w:t>
      </w:r>
      <w:r>
        <w:rPr>
          <w:rFonts w:hint="eastAsia" w:ascii="仿宋_GB2312" w:hAnsi="仿宋" w:eastAsia="仿宋_GB2312" w:cs="仿宋_GB2312"/>
          <w:color w:val="auto"/>
          <w:kern w:val="0"/>
          <w:sz w:val="24"/>
          <w:highlight w:val="none"/>
        </w:rPr>
        <w:t>）……………………………………（页码）</w:t>
      </w:r>
    </w:p>
    <w:p w14:paraId="7577009A">
      <w:pPr>
        <w:snapToGrid w:val="0"/>
        <w:spacing w:line="360" w:lineRule="auto"/>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八、中小企业声明函。（必须提供，否则作无效</w:t>
      </w:r>
      <w:r>
        <w:rPr>
          <w:rFonts w:hint="eastAsia" w:ascii="仿宋_GB2312" w:hAnsi="仿宋" w:eastAsia="仿宋_GB2312" w:cs="仿宋_GB2312"/>
          <w:color w:val="auto"/>
          <w:sz w:val="24"/>
          <w:highlight w:val="none"/>
          <w:lang w:val="en-US" w:eastAsia="zh-CN"/>
        </w:rPr>
        <w:t>响应</w:t>
      </w:r>
      <w:r>
        <w:rPr>
          <w:rFonts w:hint="eastAsia" w:ascii="仿宋_GB2312" w:hAnsi="仿宋" w:eastAsia="仿宋_GB2312" w:cs="仿宋_GB2312"/>
          <w:color w:val="auto"/>
          <w:sz w:val="24"/>
          <w:highlight w:val="none"/>
        </w:rPr>
        <w:t>处理）</w:t>
      </w:r>
      <w:r>
        <w:rPr>
          <w:rFonts w:hint="eastAsia" w:ascii="仿宋_GB2312" w:hAnsi="仿宋" w:eastAsia="仿宋_GB2312" w:cs="仿宋_GB2312"/>
          <w:color w:val="auto"/>
          <w:kern w:val="0"/>
          <w:sz w:val="24"/>
          <w:highlight w:val="none"/>
        </w:rPr>
        <w:t>………………………（页码）</w:t>
      </w:r>
    </w:p>
    <w:p w14:paraId="23638E68">
      <w:pPr>
        <w:snapToGrid w:val="0"/>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sz w:val="24"/>
          <w:highlight w:val="none"/>
        </w:rPr>
        <w:t>九、符合特定资格条件（如有）的有关证明材料（复印件）</w:t>
      </w:r>
      <w:r>
        <w:rPr>
          <w:rFonts w:hint="eastAsia" w:ascii="仿宋_GB2312" w:hAnsi="仿宋" w:eastAsia="仿宋_GB2312" w:cs="仿宋_GB2312"/>
          <w:color w:val="auto"/>
          <w:kern w:val="0"/>
          <w:sz w:val="24"/>
          <w:highlight w:val="none"/>
        </w:rPr>
        <w:t>………………………（页码）</w:t>
      </w:r>
    </w:p>
    <w:p w14:paraId="6A87618B">
      <w:pPr>
        <w:spacing w:line="360" w:lineRule="auto"/>
        <w:rPr>
          <w:rFonts w:hint="eastAsia" w:ascii="仿宋_GB2312" w:hAnsi="仿宋" w:eastAsia="仿宋_GB2312" w:cs="仿宋_GB2312"/>
          <w:b/>
          <w:bCs/>
          <w:color w:val="auto"/>
          <w:sz w:val="24"/>
          <w:highlight w:val="none"/>
        </w:rPr>
      </w:pPr>
      <w:r>
        <w:rPr>
          <w:rFonts w:hint="eastAsia" w:ascii="仿宋_GB2312" w:hAnsi="仿宋" w:eastAsia="仿宋_GB2312" w:cs="仿宋_GB2312"/>
          <w:b/>
          <w:bCs/>
          <w:color w:val="auto"/>
          <w:sz w:val="24"/>
          <w:highlight w:val="none"/>
        </w:rPr>
        <w:t>注：以上目录是基本格式要求，各投标人可根据自身情况进一步向下增加内容或细化。</w:t>
      </w:r>
    </w:p>
    <w:p w14:paraId="4C598DD6">
      <w:pPr>
        <w:spacing w:line="360" w:lineRule="auto"/>
        <w:ind w:firstLine="420"/>
        <w:rPr>
          <w:rFonts w:ascii="宋体" w:hAnsi="宋体"/>
          <w:color w:val="auto"/>
          <w:sz w:val="30"/>
          <w:szCs w:val="20"/>
          <w:highlight w:val="none"/>
        </w:rPr>
        <w:sectPr>
          <w:pgSz w:w="11906" w:h="16838"/>
          <w:pgMar w:top="1134" w:right="1134" w:bottom="1134" w:left="1134" w:header="720" w:footer="720" w:gutter="0"/>
          <w:cols w:space="720" w:num="1"/>
          <w:docGrid w:type="lines" w:linePitch="331" w:charSpace="0"/>
        </w:sectPr>
      </w:pPr>
    </w:p>
    <w:p w14:paraId="79CB133F">
      <w:pPr>
        <w:spacing w:line="240" w:lineRule="auto"/>
        <w:rPr>
          <w:rFonts w:ascii="宋体" w:hAnsi="宋体"/>
          <w:color w:val="auto"/>
          <w:szCs w:val="21"/>
          <w:highlight w:val="none"/>
        </w:rPr>
      </w:pPr>
    </w:p>
    <w:p w14:paraId="782C7869">
      <w:pPr>
        <w:pStyle w:val="12"/>
        <w:spacing w:line="360" w:lineRule="auto"/>
        <w:ind w:left="0" w:leftChars="0" w:firstLine="602" w:firstLineChars="200"/>
        <w:rPr>
          <w:rFonts w:ascii="仿宋" w:hAnsi="仿宋" w:eastAsia="仿宋" w:cs="仿宋_GB2312"/>
          <w:b/>
          <w:color w:val="auto"/>
          <w:sz w:val="30"/>
          <w:szCs w:val="30"/>
          <w:highlight w:val="none"/>
        </w:rPr>
      </w:pPr>
      <w:r>
        <w:rPr>
          <w:rFonts w:hint="eastAsia" w:ascii="仿宋" w:hAnsi="仿宋" w:eastAsia="仿宋" w:cs="仿宋_GB2312"/>
          <w:b/>
          <w:color w:val="auto"/>
          <w:sz w:val="30"/>
          <w:szCs w:val="30"/>
          <w:highlight w:val="none"/>
        </w:rPr>
        <w:t>一、营业执照(或事业法人登记证或其他工商等登记证明材料)复印件（供应商为自然人的，提供自然人的身份证明）</w:t>
      </w:r>
    </w:p>
    <w:p w14:paraId="698B411D">
      <w:pPr>
        <w:pStyle w:val="12"/>
        <w:spacing w:line="360" w:lineRule="auto"/>
        <w:ind w:firstLine="602" w:firstLineChars="200"/>
        <w:rPr>
          <w:rFonts w:ascii="仿宋" w:hAnsi="仿宋" w:eastAsia="仿宋" w:cs="仿宋_GB2312"/>
          <w:b/>
          <w:color w:val="auto"/>
          <w:sz w:val="30"/>
          <w:szCs w:val="30"/>
          <w:highlight w:val="none"/>
        </w:rPr>
      </w:pPr>
    </w:p>
    <w:p w14:paraId="16CDC110">
      <w:pPr>
        <w:autoSpaceDE w:val="0"/>
        <w:autoSpaceDN w:val="0"/>
        <w:spacing w:line="360" w:lineRule="auto"/>
        <w:ind w:left="4365" w:leftChars="1850" w:hanging="480" w:hangingChars="20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07D3491F">
      <w:pPr>
        <w:autoSpaceDE w:val="0"/>
        <w:autoSpaceDN w:val="0"/>
        <w:spacing w:line="360" w:lineRule="auto"/>
        <w:ind w:firstLine="6120" w:firstLineChars="2550"/>
        <w:rPr>
          <w:rFonts w:ascii="仿宋_GB2312" w:hAnsi="仿宋" w:eastAsia="仿宋_GB2312" w:cs="仿宋_GB2312"/>
          <w:b/>
          <w:bCs/>
          <w:color w:val="auto"/>
          <w:sz w:val="24"/>
          <w:highlight w:val="none"/>
        </w:rPr>
      </w:pPr>
      <w:r>
        <w:rPr>
          <w:rFonts w:hint="eastAsia" w:ascii="仿宋_GB2312" w:hAnsi="仿宋" w:eastAsia="仿宋_GB2312" w:cs="仿宋_GB2312"/>
          <w:color w:val="auto"/>
          <w:kern w:val="0"/>
          <w:sz w:val="24"/>
          <w:highlight w:val="none"/>
          <w:lang w:val="zh-CN"/>
        </w:rPr>
        <w:t>日期：  年  月   日</w:t>
      </w:r>
    </w:p>
    <w:p w14:paraId="4D185EF5">
      <w:pPr>
        <w:snapToGrid w:val="0"/>
        <w:spacing w:before="120" w:beforeLines="50" w:after="50"/>
        <w:rPr>
          <w:rFonts w:ascii="宋体" w:hAnsi="宋体"/>
          <w:color w:val="auto"/>
          <w:sz w:val="24"/>
          <w:szCs w:val="20"/>
          <w:highlight w:val="none"/>
        </w:rPr>
      </w:pPr>
    </w:p>
    <w:p w14:paraId="28DEB605">
      <w:pPr>
        <w:pStyle w:val="12"/>
        <w:spacing w:line="360" w:lineRule="auto"/>
        <w:ind w:left="0" w:leftChars="0" w:firstLine="602" w:firstLineChars="200"/>
        <w:rPr>
          <w:rFonts w:ascii="仿宋" w:hAnsi="仿宋" w:eastAsia="仿宋" w:cs="仿宋_GB2312"/>
          <w:b/>
          <w:color w:val="auto"/>
          <w:sz w:val="30"/>
          <w:szCs w:val="30"/>
          <w:highlight w:val="none"/>
        </w:rPr>
      </w:pPr>
      <w:r>
        <w:rPr>
          <w:rFonts w:hint="eastAsia" w:ascii="仿宋" w:hAnsi="仿宋" w:eastAsia="仿宋" w:cs="仿宋_GB2312"/>
          <w:b/>
          <w:color w:val="auto"/>
          <w:sz w:val="30"/>
          <w:szCs w:val="30"/>
          <w:highlight w:val="none"/>
        </w:rPr>
        <w:t>二、符合参与政府采购活动的资格条件依法缴纳税收、社会保障资金等方面的材料</w:t>
      </w:r>
    </w:p>
    <w:p w14:paraId="776A8A54">
      <w:pPr>
        <w:spacing w:line="300" w:lineRule="auto"/>
        <w:rPr>
          <w:rFonts w:ascii="宋体" w:hAnsi="宋体"/>
          <w:color w:val="auto"/>
          <w:szCs w:val="21"/>
          <w:highlight w:val="none"/>
        </w:rPr>
      </w:pPr>
    </w:p>
    <w:p w14:paraId="28B30021">
      <w:pPr>
        <w:autoSpaceDE w:val="0"/>
        <w:autoSpaceDN w:val="0"/>
        <w:spacing w:line="360" w:lineRule="auto"/>
        <w:ind w:left="4365" w:leftChars="1850" w:hanging="480" w:hangingChars="20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42DA8CFD">
      <w:pPr>
        <w:autoSpaceDE w:val="0"/>
        <w:autoSpaceDN w:val="0"/>
        <w:spacing w:line="360" w:lineRule="auto"/>
        <w:ind w:firstLine="6120" w:firstLineChars="2550"/>
        <w:rPr>
          <w:rFonts w:ascii="仿宋_GB2312" w:hAnsi="仿宋" w:eastAsia="仿宋_GB2312" w:cs="仿宋_GB2312"/>
          <w:b/>
          <w:bCs/>
          <w:color w:val="auto"/>
          <w:sz w:val="24"/>
          <w:highlight w:val="none"/>
        </w:rPr>
      </w:pPr>
      <w:r>
        <w:rPr>
          <w:rFonts w:hint="eastAsia" w:ascii="仿宋_GB2312" w:hAnsi="仿宋" w:eastAsia="仿宋_GB2312" w:cs="仿宋_GB2312"/>
          <w:color w:val="auto"/>
          <w:kern w:val="0"/>
          <w:sz w:val="24"/>
          <w:highlight w:val="none"/>
          <w:lang w:val="zh-CN"/>
        </w:rPr>
        <w:t>日期：  年  月   日</w:t>
      </w:r>
    </w:p>
    <w:p w14:paraId="5C81FD43">
      <w:pPr>
        <w:spacing w:line="300" w:lineRule="auto"/>
        <w:rPr>
          <w:rFonts w:ascii="宋体" w:hAnsi="宋体"/>
          <w:color w:val="auto"/>
          <w:szCs w:val="21"/>
          <w:highlight w:val="none"/>
        </w:rPr>
      </w:pPr>
    </w:p>
    <w:p w14:paraId="481019F1">
      <w:pPr>
        <w:spacing w:line="300" w:lineRule="auto"/>
        <w:ind w:firstLine="596" w:firstLineChars="198"/>
        <w:rPr>
          <w:rFonts w:ascii="仿宋" w:hAnsi="仿宋" w:eastAsia="仿宋" w:cs="仿宋_GB2312"/>
          <w:b/>
          <w:color w:val="auto"/>
          <w:kern w:val="0"/>
          <w:sz w:val="30"/>
          <w:szCs w:val="30"/>
          <w:highlight w:val="none"/>
        </w:rPr>
      </w:pPr>
      <w:r>
        <w:rPr>
          <w:rFonts w:hint="eastAsia" w:ascii="仿宋" w:hAnsi="仿宋" w:eastAsia="仿宋" w:cs="仿宋_GB2312"/>
          <w:b/>
          <w:color w:val="auto"/>
          <w:kern w:val="0"/>
          <w:sz w:val="30"/>
          <w:szCs w:val="30"/>
          <w:highlight w:val="none"/>
        </w:rPr>
        <w:t>三、财务状况报告方面的材料</w:t>
      </w:r>
    </w:p>
    <w:p w14:paraId="2B624599">
      <w:pPr>
        <w:spacing w:line="300" w:lineRule="auto"/>
        <w:rPr>
          <w:rFonts w:ascii="宋体" w:hAnsi="宋体"/>
          <w:color w:val="auto"/>
          <w:szCs w:val="21"/>
          <w:highlight w:val="none"/>
        </w:rPr>
      </w:pPr>
    </w:p>
    <w:p w14:paraId="6EB705DE">
      <w:pPr>
        <w:autoSpaceDE w:val="0"/>
        <w:autoSpaceDN w:val="0"/>
        <w:spacing w:line="360" w:lineRule="auto"/>
        <w:ind w:left="4365" w:leftChars="1850" w:hanging="480" w:hangingChars="20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324C7ABC">
      <w:pPr>
        <w:autoSpaceDE w:val="0"/>
        <w:autoSpaceDN w:val="0"/>
        <w:spacing w:line="360" w:lineRule="auto"/>
        <w:ind w:firstLine="6120" w:firstLineChars="2550"/>
        <w:rPr>
          <w:rFonts w:ascii="仿宋_GB2312" w:hAnsi="仿宋" w:eastAsia="仿宋_GB2312" w:cs="仿宋_GB2312"/>
          <w:b/>
          <w:bCs/>
          <w:color w:val="auto"/>
          <w:sz w:val="24"/>
          <w:highlight w:val="none"/>
        </w:rPr>
      </w:pPr>
      <w:r>
        <w:rPr>
          <w:rFonts w:hint="eastAsia" w:ascii="仿宋_GB2312" w:hAnsi="仿宋" w:eastAsia="仿宋_GB2312" w:cs="仿宋_GB2312"/>
          <w:color w:val="auto"/>
          <w:kern w:val="0"/>
          <w:sz w:val="24"/>
          <w:highlight w:val="none"/>
          <w:lang w:val="zh-CN"/>
        </w:rPr>
        <w:t>日期：  年  月   日</w:t>
      </w:r>
    </w:p>
    <w:p w14:paraId="64634BE5">
      <w:pPr>
        <w:spacing w:line="320" w:lineRule="exact"/>
        <w:jc w:val="left"/>
        <w:rPr>
          <w:rFonts w:ascii="宋体" w:hAnsi="宋体"/>
          <w:color w:val="auto"/>
          <w:szCs w:val="21"/>
          <w:highlight w:val="none"/>
        </w:rPr>
      </w:pPr>
      <w:r>
        <w:rPr>
          <w:rFonts w:hint="eastAsia" w:ascii="宋体" w:hAnsi="宋体"/>
          <w:color w:val="auto"/>
          <w:szCs w:val="21"/>
          <w:highlight w:val="none"/>
        </w:rPr>
        <w:t xml:space="preserve"> </w:t>
      </w:r>
    </w:p>
    <w:p w14:paraId="00348291">
      <w:pPr>
        <w:rPr>
          <w:rFonts w:ascii="宋体" w:hAnsi="宋体"/>
          <w:b/>
          <w:color w:val="auto"/>
          <w:sz w:val="24"/>
          <w:highlight w:val="none"/>
        </w:rPr>
      </w:pPr>
      <w:r>
        <w:rPr>
          <w:rFonts w:ascii="宋体" w:hAnsi="宋体"/>
          <w:b/>
          <w:color w:val="auto"/>
          <w:sz w:val="24"/>
          <w:highlight w:val="none"/>
        </w:rPr>
        <w:br w:type="page"/>
      </w:r>
    </w:p>
    <w:p w14:paraId="0957127C">
      <w:pPr>
        <w:tabs>
          <w:tab w:val="left" w:pos="2155"/>
        </w:tabs>
        <w:outlineLvl w:val="9"/>
      </w:pPr>
    </w:p>
    <w:p w14:paraId="493F3AAB">
      <w:pPr>
        <w:spacing w:line="360" w:lineRule="auto"/>
        <w:ind w:firstLine="596" w:firstLineChars="198"/>
        <w:rPr>
          <w:rFonts w:ascii="仿宋" w:hAnsi="仿宋" w:eastAsia="仿宋" w:cs="仿宋_GB2312"/>
          <w:b/>
          <w:color w:val="auto"/>
          <w:kern w:val="0"/>
          <w:sz w:val="30"/>
          <w:szCs w:val="30"/>
          <w:highlight w:val="none"/>
        </w:rPr>
      </w:pPr>
      <w:r>
        <w:rPr>
          <w:rFonts w:hint="eastAsia" w:ascii="仿宋" w:hAnsi="仿宋" w:eastAsia="仿宋" w:cs="仿宋_GB2312"/>
          <w:b/>
          <w:color w:val="auto"/>
          <w:kern w:val="0"/>
          <w:sz w:val="30"/>
          <w:szCs w:val="30"/>
          <w:highlight w:val="none"/>
        </w:rPr>
        <w:t>四、供应商直接控股股东信息</w:t>
      </w:r>
    </w:p>
    <w:p w14:paraId="16EE14F4">
      <w:pPr>
        <w:spacing w:line="360" w:lineRule="auto"/>
        <w:jc w:val="center"/>
        <w:rPr>
          <w:rFonts w:ascii="宋体" w:hAnsi="宋体"/>
          <w:b/>
          <w:color w:val="auto"/>
          <w:sz w:val="24"/>
          <w:highlight w:val="none"/>
        </w:rPr>
      </w:pPr>
    </w:p>
    <w:tbl>
      <w:tblPr>
        <w:tblStyle w:val="23"/>
        <w:tblW w:w="4999" w:type="pct"/>
        <w:jc w:val="center"/>
        <w:shd w:val="clear" w:color="auto" w:fill="FBFBFB"/>
        <w:tblLayout w:type="autofit"/>
        <w:tblCellMar>
          <w:top w:w="0" w:type="dxa"/>
          <w:left w:w="0" w:type="dxa"/>
          <w:bottom w:w="0" w:type="dxa"/>
          <w:right w:w="0" w:type="dxa"/>
        </w:tblCellMar>
      </w:tblPr>
      <w:tblGrid>
        <w:gridCol w:w="807"/>
        <w:gridCol w:w="2438"/>
        <w:gridCol w:w="1336"/>
        <w:gridCol w:w="3936"/>
        <w:gridCol w:w="798"/>
      </w:tblGrid>
      <w:tr w14:paraId="20A3F1D7">
        <w:tblPrEx>
          <w:shd w:val="clear" w:color="auto" w:fill="FBFBFB"/>
          <w:tblCellMar>
            <w:top w:w="0" w:type="dxa"/>
            <w:left w:w="0" w:type="dxa"/>
            <w:bottom w:w="0" w:type="dxa"/>
            <w:right w:w="0" w:type="dxa"/>
          </w:tblCellMar>
        </w:tblPrEx>
        <w:trPr>
          <w:tblHeader/>
          <w:jc w:val="center"/>
        </w:trPr>
        <w:tc>
          <w:tcPr>
            <w:tcW w:w="433"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C168ECF">
            <w:pPr>
              <w:widowControl/>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1308"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E0D3AB9">
            <w:pPr>
              <w:widowControl/>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直接控股股东名称</w:t>
            </w:r>
          </w:p>
        </w:tc>
        <w:tc>
          <w:tcPr>
            <w:tcW w:w="717"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DD54294">
            <w:pPr>
              <w:widowControl/>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出资比例</w:t>
            </w:r>
          </w:p>
        </w:tc>
        <w:tc>
          <w:tcPr>
            <w:tcW w:w="2112"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CD3E23F">
            <w:pPr>
              <w:widowControl/>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身份证号码或者统一社会信用代码</w:t>
            </w:r>
          </w:p>
        </w:tc>
        <w:tc>
          <w:tcPr>
            <w:tcW w:w="428"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B7F1318">
            <w:pPr>
              <w:widowControl/>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14:paraId="74614303">
        <w:tblPrEx>
          <w:tblCellMar>
            <w:top w:w="0" w:type="dxa"/>
            <w:left w:w="0" w:type="dxa"/>
            <w:bottom w:w="0" w:type="dxa"/>
            <w:right w:w="0" w:type="dxa"/>
          </w:tblCellMar>
        </w:tblPrEx>
        <w:trPr>
          <w:jc w:val="center"/>
        </w:trPr>
        <w:tc>
          <w:tcPr>
            <w:tcW w:w="433"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F2B6FD5">
            <w:pPr>
              <w:widowControl/>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1308"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8C2F184">
            <w:pPr>
              <w:widowControl/>
              <w:spacing w:line="360" w:lineRule="auto"/>
              <w:jc w:val="center"/>
              <w:rPr>
                <w:rFonts w:ascii="宋体" w:hAnsi="宋体" w:cs="宋体"/>
                <w:color w:val="auto"/>
                <w:kern w:val="0"/>
                <w:sz w:val="24"/>
                <w:highlight w:val="none"/>
              </w:rPr>
            </w:pPr>
          </w:p>
        </w:tc>
        <w:tc>
          <w:tcPr>
            <w:tcW w:w="717"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AA5FF85">
            <w:pPr>
              <w:widowControl/>
              <w:spacing w:line="360" w:lineRule="auto"/>
              <w:jc w:val="center"/>
              <w:rPr>
                <w:rFonts w:ascii="宋体" w:hAnsi="宋体" w:cs="宋体"/>
                <w:color w:val="auto"/>
                <w:kern w:val="0"/>
                <w:sz w:val="24"/>
                <w:highlight w:val="none"/>
              </w:rPr>
            </w:pPr>
          </w:p>
        </w:tc>
        <w:tc>
          <w:tcPr>
            <w:tcW w:w="2112"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9EED560">
            <w:pPr>
              <w:widowControl/>
              <w:spacing w:line="360" w:lineRule="auto"/>
              <w:jc w:val="center"/>
              <w:rPr>
                <w:rFonts w:ascii="宋体" w:hAnsi="宋体" w:cs="宋体"/>
                <w:color w:val="auto"/>
                <w:kern w:val="0"/>
                <w:sz w:val="24"/>
                <w:highlight w:val="none"/>
              </w:rPr>
            </w:pPr>
          </w:p>
        </w:tc>
        <w:tc>
          <w:tcPr>
            <w:tcW w:w="428"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A76C2CE">
            <w:pPr>
              <w:widowControl/>
              <w:spacing w:line="360" w:lineRule="auto"/>
              <w:jc w:val="center"/>
              <w:rPr>
                <w:rFonts w:ascii="宋体" w:hAnsi="宋体" w:cs="宋体"/>
                <w:color w:val="auto"/>
                <w:kern w:val="0"/>
                <w:sz w:val="24"/>
                <w:highlight w:val="none"/>
              </w:rPr>
            </w:pPr>
          </w:p>
        </w:tc>
      </w:tr>
      <w:tr w14:paraId="73049A0D">
        <w:tblPrEx>
          <w:tblCellMar>
            <w:top w:w="0" w:type="dxa"/>
            <w:left w:w="0" w:type="dxa"/>
            <w:bottom w:w="0" w:type="dxa"/>
            <w:right w:w="0" w:type="dxa"/>
          </w:tblCellMar>
        </w:tblPrEx>
        <w:trPr>
          <w:jc w:val="center"/>
        </w:trPr>
        <w:tc>
          <w:tcPr>
            <w:tcW w:w="433"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A4319B7">
            <w:pPr>
              <w:widowControl/>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1308"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7147E03">
            <w:pPr>
              <w:widowControl/>
              <w:spacing w:line="360" w:lineRule="auto"/>
              <w:jc w:val="center"/>
              <w:rPr>
                <w:rFonts w:ascii="宋体" w:hAnsi="宋体" w:cs="宋体"/>
                <w:color w:val="auto"/>
                <w:kern w:val="0"/>
                <w:sz w:val="24"/>
                <w:highlight w:val="none"/>
              </w:rPr>
            </w:pPr>
          </w:p>
        </w:tc>
        <w:tc>
          <w:tcPr>
            <w:tcW w:w="717"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8C5C930">
            <w:pPr>
              <w:widowControl/>
              <w:spacing w:line="360" w:lineRule="auto"/>
              <w:jc w:val="center"/>
              <w:rPr>
                <w:rFonts w:ascii="宋体" w:hAnsi="宋体" w:cs="宋体"/>
                <w:color w:val="auto"/>
                <w:kern w:val="0"/>
                <w:sz w:val="24"/>
                <w:highlight w:val="none"/>
              </w:rPr>
            </w:pPr>
          </w:p>
        </w:tc>
        <w:tc>
          <w:tcPr>
            <w:tcW w:w="2112"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D03778D">
            <w:pPr>
              <w:widowControl/>
              <w:spacing w:line="360" w:lineRule="auto"/>
              <w:jc w:val="center"/>
              <w:rPr>
                <w:rFonts w:ascii="宋体" w:hAnsi="宋体" w:cs="宋体"/>
                <w:color w:val="auto"/>
                <w:kern w:val="0"/>
                <w:sz w:val="24"/>
                <w:highlight w:val="none"/>
              </w:rPr>
            </w:pPr>
          </w:p>
        </w:tc>
        <w:tc>
          <w:tcPr>
            <w:tcW w:w="428"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22ECC9F">
            <w:pPr>
              <w:widowControl/>
              <w:spacing w:line="360" w:lineRule="auto"/>
              <w:jc w:val="center"/>
              <w:rPr>
                <w:rFonts w:ascii="宋体" w:hAnsi="宋体" w:cs="宋体"/>
                <w:color w:val="auto"/>
                <w:kern w:val="0"/>
                <w:sz w:val="24"/>
                <w:highlight w:val="none"/>
              </w:rPr>
            </w:pPr>
          </w:p>
        </w:tc>
      </w:tr>
      <w:tr w14:paraId="59544FC1">
        <w:tblPrEx>
          <w:tblCellMar>
            <w:top w:w="0" w:type="dxa"/>
            <w:left w:w="0" w:type="dxa"/>
            <w:bottom w:w="0" w:type="dxa"/>
            <w:right w:w="0" w:type="dxa"/>
          </w:tblCellMar>
        </w:tblPrEx>
        <w:trPr>
          <w:jc w:val="center"/>
        </w:trPr>
        <w:tc>
          <w:tcPr>
            <w:tcW w:w="433"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EAEBAC9">
            <w:pPr>
              <w:widowControl/>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3</w:t>
            </w:r>
          </w:p>
        </w:tc>
        <w:tc>
          <w:tcPr>
            <w:tcW w:w="1308"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E884F16">
            <w:pPr>
              <w:widowControl/>
              <w:spacing w:line="360" w:lineRule="auto"/>
              <w:jc w:val="center"/>
              <w:rPr>
                <w:rFonts w:ascii="宋体" w:hAnsi="宋体" w:cs="宋体"/>
                <w:color w:val="auto"/>
                <w:kern w:val="0"/>
                <w:sz w:val="24"/>
                <w:highlight w:val="none"/>
              </w:rPr>
            </w:pPr>
          </w:p>
        </w:tc>
        <w:tc>
          <w:tcPr>
            <w:tcW w:w="717"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D06D57A">
            <w:pPr>
              <w:widowControl/>
              <w:spacing w:line="360" w:lineRule="auto"/>
              <w:jc w:val="center"/>
              <w:rPr>
                <w:rFonts w:ascii="宋体" w:hAnsi="宋体" w:cs="宋体"/>
                <w:color w:val="auto"/>
                <w:kern w:val="0"/>
                <w:sz w:val="24"/>
                <w:highlight w:val="none"/>
              </w:rPr>
            </w:pPr>
          </w:p>
        </w:tc>
        <w:tc>
          <w:tcPr>
            <w:tcW w:w="2112"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691E6B9">
            <w:pPr>
              <w:widowControl/>
              <w:spacing w:line="360" w:lineRule="auto"/>
              <w:jc w:val="center"/>
              <w:rPr>
                <w:rFonts w:ascii="宋体" w:hAnsi="宋体" w:cs="宋体"/>
                <w:color w:val="auto"/>
                <w:kern w:val="0"/>
                <w:sz w:val="24"/>
                <w:highlight w:val="none"/>
              </w:rPr>
            </w:pPr>
          </w:p>
        </w:tc>
        <w:tc>
          <w:tcPr>
            <w:tcW w:w="428"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2AFEBEA">
            <w:pPr>
              <w:widowControl/>
              <w:spacing w:line="360" w:lineRule="auto"/>
              <w:jc w:val="center"/>
              <w:rPr>
                <w:rFonts w:ascii="宋体" w:hAnsi="宋体" w:cs="宋体"/>
                <w:color w:val="auto"/>
                <w:kern w:val="0"/>
                <w:sz w:val="24"/>
                <w:highlight w:val="none"/>
              </w:rPr>
            </w:pPr>
          </w:p>
        </w:tc>
      </w:tr>
      <w:tr w14:paraId="591166A4">
        <w:tblPrEx>
          <w:tblCellMar>
            <w:top w:w="0" w:type="dxa"/>
            <w:left w:w="0" w:type="dxa"/>
            <w:bottom w:w="0" w:type="dxa"/>
            <w:right w:w="0" w:type="dxa"/>
          </w:tblCellMar>
        </w:tblPrEx>
        <w:trPr>
          <w:jc w:val="center"/>
        </w:trPr>
        <w:tc>
          <w:tcPr>
            <w:tcW w:w="433"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0CB936E">
            <w:pPr>
              <w:widowControl/>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1308"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3346DDC">
            <w:pPr>
              <w:widowControl/>
              <w:spacing w:line="360" w:lineRule="auto"/>
              <w:jc w:val="center"/>
              <w:rPr>
                <w:rFonts w:ascii="宋体" w:hAnsi="宋体" w:cs="宋体"/>
                <w:color w:val="auto"/>
                <w:kern w:val="0"/>
                <w:sz w:val="24"/>
                <w:highlight w:val="none"/>
              </w:rPr>
            </w:pPr>
          </w:p>
        </w:tc>
        <w:tc>
          <w:tcPr>
            <w:tcW w:w="717"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AA82DF2">
            <w:pPr>
              <w:widowControl/>
              <w:spacing w:line="360" w:lineRule="auto"/>
              <w:jc w:val="center"/>
              <w:rPr>
                <w:rFonts w:ascii="宋体" w:hAnsi="宋体" w:cs="宋体"/>
                <w:color w:val="auto"/>
                <w:kern w:val="0"/>
                <w:sz w:val="24"/>
                <w:highlight w:val="none"/>
              </w:rPr>
            </w:pPr>
          </w:p>
        </w:tc>
        <w:tc>
          <w:tcPr>
            <w:tcW w:w="2112"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77790AB">
            <w:pPr>
              <w:widowControl/>
              <w:spacing w:line="360" w:lineRule="auto"/>
              <w:jc w:val="center"/>
              <w:rPr>
                <w:rFonts w:ascii="宋体" w:hAnsi="宋体" w:cs="宋体"/>
                <w:color w:val="auto"/>
                <w:kern w:val="0"/>
                <w:sz w:val="24"/>
                <w:highlight w:val="none"/>
              </w:rPr>
            </w:pPr>
          </w:p>
        </w:tc>
        <w:tc>
          <w:tcPr>
            <w:tcW w:w="428"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459638A">
            <w:pPr>
              <w:widowControl/>
              <w:spacing w:line="360" w:lineRule="auto"/>
              <w:jc w:val="center"/>
              <w:rPr>
                <w:rFonts w:ascii="宋体" w:hAnsi="宋体" w:cs="宋体"/>
                <w:color w:val="auto"/>
                <w:kern w:val="0"/>
                <w:sz w:val="24"/>
                <w:highlight w:val="none"/>
              </w:rPr>
            </w:pPr>
          </w:p>
        </w:tc>
      </w:tr>
    </w:tbl>
    <w:p w14:paraId="2DE249F7">
      <w:pPr>
        <w:spacing w:line="360" w:lineRule="auto"/>
        <w:jc w:val="left"/>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注：</w:t>
      </w:r>
    </w:p>
    <w:p w14:paraId="03AEF541">
      <w:pPr>
        <w:spacing w:line="360" w:lineRule="auto"/>
        <w:ind w:firstLine="480" w:firstLineChars="200"/>
        <w:jc w:val="left"/>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1B1B9F18">
      <w:pPr>
        <w:spacing w:line="360" w:lineRule="auto"/>
        <w:ind w:firstLine="480" w:firstLineChars="200"/>
        <w:jc w:val="left"/>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2.本表所指的控股关系仅限于直接控股关系，不包括间接的控股关系。公司实际控制人与公司之间的关系不属于本表所指的直接控股关系。</w:t>
      </w:r>
    </w:p>
    <w:p w14:paraId="29736D3F">
      <w:pPr>
        <w:spacing w:line="360" w:lineRule="auto"/>
        <w:ind w:firstLine="480" w:firstLineChars="200"/>
        <w:jc w:val="left"/>
        <w:rPr>
          <w:rFonts w:ascii="宋体" w:hAnsi="宋体" w:cs="宋体"/>
          <w:color w:val="auto"/>
          <w:sz w:val="24"/>
          <w:highlight w:val="none"/>
        </w:rPr>
      </w:pPr>
      <w:r>
        <w:rPr>
          <w:rFonts w:hint="eastAsia" w:ascii="仿宋_GB2312" w:hAnsi="仿宋" w:eastAsia="仿宋_GB2312" w:cs="仿宋_GB2312"/>
          <w:color w:val="auto"/>
          <w:kern w:val="0"/>
          <w:sz w:val="24"/>
          <w:highlight w:val="none"/>
        </w:rPr>
        <w:t>3.供应商不存在直接控股股东的，则填“无”。</w:t>
      </w:r>
    </w:p>
    <w:p w14:paraId="34E60299">
      <w:pPr>
        <w:autoSpaceDE w:val="0"/>
        <w:autoSpaceDN w:val="0"/>
        <w:spacing w:line="360" w:lineRule="auto"/>
        <w:ind w:left="4365" w:leftChars="1850" w:hanging="480" w:hangingChars="20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7DDF7BCE">
      <w:pPr>
        <w:autoSpaceDE w:val="0"/>
        <w:autoSpaceDN w:val="0"/>
        <w:spacing w:line="360" w:lineRule="auto"/>
        <w:ind w:firstLine="6120" w:firstLineChars="2550"/>
        <w:rPr>
          <w:rFonts w:ascii="仿宋_GB2312" w:hAnsi="仿宋" w:eastAsia="仿宋_GB2312" w:cs="仿宋_GB2312"/>
          <w:b/>
          <w:bCs/>
          <w:color w:val="auto"/>
          <w:sz w:val="24"/>
          <w:highlight w:val="none"/>
        </w:rPr>
      </w:pPr>
      <w:r>
        <w:rPr>
          <w:rFonts w:hint="eastAsia" w:ascii="仿宋_GB2312" w:hAnsi="仿宋" w:eastAsia="仿宋_GB2312" w:cs="仿宋_GB2312"/>
          <w:color w:val="auto"/>
          <w:kern w:val="0"/>
          <w:sz w:val="24"/>
          <w:highlight w:val="none"/>
          <w:lang w:val="zh-CN"/>
        </w:rPr>
        <w:t>日期：  年  月   日</w:t>
      </w:r>
    </w:p>
    <w:p w14:paraId="23C2D1B4">
      <w:pPr>
        <w:rPr>
          <w:rFonts w:ascii="仿宋" w:hAnsi="仿宋" w:eastAsia="仿宋" w:cs="仿宋_GB2312"/>
          <w:b/>
          <w:color w:val="auto"/>
          <w:kern w:val="0"/>
          <w:sz w:val="30"/>
          <w:szCs w:val="30"/>
          <w:highlight w:val="none"/>
        </w:rPr>
      </w:pPr>
      <w:r>
        <w:rPr>
          <w:rFonts w:ascii="仿宋" w:hAnsi="仿宋" w:eastAsia="仿宋" w:cs="仿宋_GB2312"/>
          <w:b/>
          <w:color w:val="auto"/>
          <w:kern w:val="0"/>
          <w:sz w:val="30"/>
          <w:szCs w:val="30"/>
          <w:highlight w:val="none"/>
        </w:rPr>
        <w:br w:type="page"/>
      </w:r>
    </w:p>
    <w:p w14:paraId="1C4CD346">
      <w:pPr>
        <w:tabs>
          <w:tab w:val="left" w:pos="2155"/>
        </w:tabs>
        <w:outlineLvl w:val="9"/>
      </w:pPr>
    </w:p>
    <w:p w14:paraId="16DF1F0F">
      <w:pPr>
        <w:snapToGrid w:val="0"/>
        <w:rPr>
          <w:rFonts w:ascii="仿宋" w:hAnsi="仿宋" w:eastAsia="仿宋" w:cs="仿宋_GB2312"/>
          <w:b/>
          <w:color w:val="auto"/>
          <w:kern w:val="0"/>
          <w:sz w:val="30"/>
          <w:szCs w:val="30"/>
          <w:highlight w:val="none"/>
        </w:rPr>
      </w:pPr>
    </w:p>
    <w:p w14:paraId="1E49471E">
      <w:pPr>
        <w:snapToGrid w:val="0"/>
        <w:ind w:firstLine="596" w:firstLineChars="198"/>
        <w:rPr>
          <w:rFonts w:ascii="仿宋" w:hAnsi="仿宋" w:eastAsia="仿宋" w:cs="仿宋_GB2312"/>
          <w:b/>
          <w:color w:val="auto"/>
          <w:kern w:val="0"/>
          <w:sz w:val="30"/>
          <w:szCs w:val="30"/>
          <w:highlight w:val="none"/>
        </w:rPr>
      </w:pPr>
      <w:r>
        <w:rPr>
          <w:rFonts w:hint="eastAsia" w:ascii="仿宋" w:hAnsi="仿宋" w:eastAsia="仿宋" w:cs="仿宋_GB2312"/>
          <w:b/>
          <w:color w:val="auto"/>
          <w:kern w:val="0"/>
          <w:sz w:val="30"/>
          <w:szCs w:val="30"/>
          <w:highlight w:val="none"/>
        </w:rPr>
        <w:t>五、供应商直接管理关系信息表</w:t>
      </w:r>
    </w:p>
    <w:p w14:paraId="6921DEA3">
      <w:pPr>
        <w:snapToGrid w:val="0"/>
        <w:spacing w:line="360" w:lineRule="auto"/>
        <w:jc w:val="center"/>
        <w:rPr>
          <w:rFonts w:ascii="宋体" w:hAnsi="宋体"/>
          <w:b/>
          <w:color w:val="auto"/>
          <w:sz w:val="24"/>
          <w:highlight w:val="none"/>
        </w:rPr>
      </w:pPr>
    </w:p>
    <w:tbl>
      <w:tblPr>
        <w:tblStyle w:val="23"/>
        <w:tblW w:w="4998" w:type="pct"/>
        <w:jc w:val="center"/>
        <w:shd w:val="clear" w:color="auto" w:fill="FBFBFB"/>
        <w:tblLayout w:type="autofit"/>
        <w:tblCellMar>
          <w:top w:w="0" w:type="dxa"/>
          <w:left w:w="0" w:type="dxa"/>
          <w:bottom w:w="0" w:type="dxa"/>
          <w:right w:w="0" w:type="dxa"/>
        </w:tblCellMar>
      </w:tblPr>
      <w:tblGrid>
        <w:gridCol w:w="779"/>
        <w:gridCol w:w="3473"/>
        <w:gridCol w:w="3431"/>
        <w:gridCol w:w="1630"/>
      </w:tblGrid>
      <w:tr w14:paraId="5F991AA3">
        <w:tblPrEx>
          <w:tblCellMar>
            <w:top w:w="0" w:type="dxa"/>
            <w:left w:w="0" w:type="dxa"/>
            <w:bottom w:w="0" w:type="dxa"/>
            <w:right w:w="0" w:type="dxa"/>
          </w:tblCellMar>
        </w:tblPrEx>
        <w:trPr>
          <w:trHeight w:val="899" w:hRule="atLeast"/>
          <w:tblHeader/>
          <w:jc w:val="center"/>
        </w:trPr>
        <w:tc>
          <w:tcPr>
            <w:tcW w:w="418"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8A6806C">
            <w:pPr>
              <w:widowControl/>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1864"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1C3877E">
            <w:pPr>
              <w:widowControl/>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直接管理关系单位名称</w:t>
            </w:r>
          </w:p>
        </w:tc>
        <w:tc>
          <w:tcPr>
            <w:tcW w:w="1841"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FDCC938">
            <w:pPr>
              <w:widowControl/>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统一社会信用代码</w:t>
            </w:r>
          </w:p>
        </w:tc>
        <w:tc>
          <w:tcPr>
            <w:tcW w:w="875"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5AE46E9">
            <w:pPr>
              <w:widowControl/>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14:paraId="0AA2AF91">
        <w:tblPrEx>
          <w:tblCellMar>
            <w:top w:w="0" w:type="dxa"/>
            <w:left w:w="0" w:type="dxa"/>
            <w:bottom w:w="0" w:type="dxa"/>
            <w:right w:w="0" w:type="dxa"/>
          </w:tblCellMar>
        </w:tblPrEx>
        <w:trPr>
          <w:jc w:val="center"/>
        </w:trPr>
        <w:tc>
          <w:tcPr>
            <w:tcW w:w="418"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6942FAB">
            <w:pPr>
              <w:widowControl/>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1864"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BB23FF8">
            <w:pPr>
              <w:widowControl/>
              <w:spacing w:line="360" w:lineRule="auto"/>
              <w:jc w:val="center"/>
              <w:rPr>
                <w:rFonts w:ascii="宋体" w:hAnsi="宋体" w:cs="宋体"/>
                <w:color w:val="auto"/>
                <w:kern w:val="0"/>
                <w:sz w:val="24"/>
                <w:highlight w:val="none"/>
              </w:rPr>
            </w:pPr>
          </w:p>
        </w:tc>
        <w:tc>
          <w:tcPr>
            <w:tcW w:w="1841"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363B065">
            <w:pPr>
              <w:widowControl/>
              <w:spacing w:line="360" w:lineRule="auto"/>
              <w:jc w:val="center"/>
              <w:rPr>
                <w:rFonts w:ascii="宋体" w:hAnsi="宋体" w:cs="宋体"/>
                <w:color w:val="auto"/>
                <w:kern w:val="0"/>
                <w:sz w:val="24"/>
                <w:highlight w:val="none"/>
              </w:rPr>
            </w:pPr>
          </w:p>
        </w:tc>
        <w:tc>
          <w:tcPr>
            <w:tcW w:w="875"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193582A">
            <w:pPr>
              <w:widowControl/>
              <w:spacing w:line="360" w:lineRule="auto"/>
              <w:jc w:val="center"/>
              <w:rPr>
                <w:rFonts w:ascii="宋体" w:hAnsi="宋体" w:cs="宋体"/>
                <w:color w:val="auto"/>
                <w:kern w:val="0"/>
                <w:sz w:val="24"/>
                <w:highlight w:val="none"/>
              </w:rPr>
            </w:pPr>
          </w:p>
        </w:tc>
      </w:tr>
      <w:tr w14:paraId="7E32A889">
        <w:tblPrEx>
          <w:tblCellMar>
            <w:top w:w="0" w:type="dxa"/>
            <w:left w:w="0" w:type="dxa"/>
            <w:bottom w:w="0" w:type="dxa"/>
            <w:right w:w="0" w:type="dxa"/>
          </w:tblCellMar>
        </w:tblPrEx>
        <w:trPr>
          <w:jc w:val="center"/>
        </w:trPr>
        <w:tc>
          <w:tcPr>
            <w:tcW w:w="418"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87F123E">
            <w:pPr>
              <w:widowControl/>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1864"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A0CECDE">
            <w:pPr>
              <w:widowControl/>
              <w:spacing w:line="360" w:lineRule="auto"/>
              <w:jc w:val="center"/>
              <w:rPr>
                <w:rFonts w:ascii="宋体" w:hAnsi="宋体" w:cs="宋体"/>
                <w:color w:val="auto"/>
                <w:kern w:val="0"/>
                <w:sz w:val="24"/>
                <w:highlight w:val="none"/>
              </w:rPr>
            </w:pPr>
          </w:p>
        </w:tc>
        <w:tc>
          <w:tcPr>
            <w:tcW w:w="1841"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1F28747">
            <w:pPr>
              <w:widowControl/>
              <w:spacing w:line="360" w:lineRule="auto"/>
              <w:jc w:val="center"/>
              <w:rPr>
                <w:rFonts w:ascii="宋体" w:hAnsi="宋体" w:cs="宋体"/>
                <w:color w:val="auto"/>
                <w:kern w:val="0"/>
                <w:sz w:val="24"/>
                <w:highlight w:val="none"/>
              </w:rPr>
            </w:pPr>
          </w:p>
        </w:tc>
        <w:tc>
          <w:tcPr>
            <w:tcW w:w="875"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B2A75A9">
            <w:pPr>
              <w:widowControl/>
              <w:spacing w:line="360" w:lineRule="auto"/>
              <w:jc w:val="center"/>
              <w:rPr>
                <w:rFonts w:ascii="宋体" w:hAnsi="宋体" w:cs="宋体"/>
                <w:color w:val="auto"/>
                <w:kern w:val="0"/>
                <w:sz w:val="24"/>
                <w:highlight w:val="none"/>
              </w:rPr>
            </w:pPr>
          </w:p>
        </w:tc>
      </w:tr>
      <w:tr w14:paraId="6200FA14">
        <w:tblPrEx>
          <w:tblCellMar>
            <w:top w:w="0" w:type="dxa"/>
            <w:left w:w="0" w:type="dxa"/>
            <w:bottom w:w="0" w:type="dxa"/>
            <w:right w:w="0" w:type="dxa"/>
          </w:tblCellMar>
        </w:tblPrEx>
        <w:trPr>
          <w:jc w:val="center"/>
        </w:trPr>
        <w:tc>
          <w:tcPr>
            <w:tcW w:w="418"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B7FF025">
            <w:pPr>
              <w:widowControl/>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3</w:t>
            </w:r>
          </w:p>
        </w:tc>
        <w:tc>
          <w:tcPr>
            <w:tcW w:w="1864"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B8137D5">
            <w:pPr>
              <w:widowControl/>
              <w:spacing w:line="360" w:lineRule="auto"/>
              <w:jc w:val="center"/>
              <w:rPr>
                <w:rFonts w:ascii="宋体" w:hAnsi="宋体" w:cs="宋体"/>
                <w:color w:val="auto"/>
                <w:kern w:val="0"/>
                <w:sz w:val="24"/>
                <w:highlight w:val="none"/>
              </w:rPr>
            </w:pPr>
          </w:p>
        </w:tc>
        <w:tc>
          <w:tcPr>
            <w:tcW w:w="1841"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A8DB317">
            <w:pPr>
              <w:widowControl/>
              <w:spacing w:line="360" w:lineRule="auto"/>
              <w:jc w:val="center"/>
              <w:rPr>
                <w:rFonts w:ascii="宋体" w:hAnsi="宋体" w:cs="宋体"/>
                <w:color w:val="auto"/>
                <w:kern w:val="0"/>
                <w:sz w:val="24"/>
                <w:highlight w:val="none"/>
              </w:rPr>
            </w:pPr>
          </w:p>
        </w:tc>
        <w:tc>
          <w:tcPr>
            <w:tcW w:w="875"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6C88DD6">
            <w:pPr>
              <w:widowControl/>
              <w:spacing w:line="360" w:lineRule="auto"/>
              <w:jc w:val="center"/>
              <w:rPr>
                <w:rFonts w:ascii="宋体" w:hAnsi="宋体" w:cs="宋体"/>
                <w:color w:val="auto"/>
                <w:kern w:val="0"/>
                <w:sz w:val="24"/>
                <w:highlight w:val="none"/>
              </w:rPr>
            </w:pPr>
          </w:p>
        </w:tc>
      </w:tr>
      <w:tr w14:paraId="050D1FCC">
        <w:tblPrEx>
          <w:shd w:val="clear" w:color="auto" w:fill="FBFBFB"/>
          <w:tblCellMar>
            <w:top w:w="0" w:type="dxa"/>
            <w:left w:w="0" w:type="dxa"/>
            <w:bottom w:w="0" w:type="dxa"/>
            <w:right w:w="0" w:type="dxa"/>
          </w:tblCellMar>
        </w:tblPrEx>
        <w:trPr>
          <w:jc w:val="center"/>
        </w:trPr>
        <w:tc>
          <w:tcPr>
            <w:tcW w:w="418"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E36DDAB">
            <w:pPr>
              <w:widowControl/>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1864"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11D8461">
            <w:pPr>
              <w:widowControl/>
              <w:spacing w:line="360" w:lineRule="auto"/>
              <w:jc w:val="center"/>
              <w:rPr>
                <w:rFonts w:ascii="宋体" w:hAnsi="宋体" w:cs="宋体"/>
                <w:color w:val="auto"/>
                <w:kern w:val="0"/>
                <w:sz w:val="24"/>
                <w:highlight w:val="none"/>
              </w:rPr>
            </w:pPr>
          </w:p>
        </w:tc>
        <w:tc>
          <w:tcPr>
            <w:tcW w:w="1841"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A876ACF">
            <w:pPr>
              <w:widowControl/>
              <w:spacing w:line="360" w:lineRule="auto"/>
              <w:jc w:val="center"/>
              <w:rPr>
                <w:rFonts w:ascii="宋体" w:hAnsi="宋体" w:cs="宋体"/>
                <w:color w:val="auto"/>
                <w:kern w:val="0"/>
                <w:sz w:val="24"/>
                <w:highlight w:val="none"/>
              </w:rPr>
            </w:pPr>
          </w:p>
        </w:tc>
        <w:tc>
          <w:tcPr>
            <w:tcW w:w="875"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3FBDDA7">
            <w:pPr>
              <w:widowControl/>
              <w:spacing w:line="360" w:lineRule="auto"/>
              <w:jc w:val="center"/>
              <w:rPr>
                <w:rFonts w:ascii="宋体" w:hAnsi="宋体" w:cs="宋体"/>
                <w:color w:val="auto"/>
                <w:kern w:val="0"/>
                <w:sz w:val="24"/>
                <w:highlight w:val="none"/>
              </w:rPr>
            </w:pPr>
          </w:p>
        </w:tc>
      </w:tr>
    </w:tbl>
    <w:p w14:paraId="0FD780C5">
      <w:pPr>
        <w:spacing w:line="360" w:lineRule="auto"/>
        <w:ind w:firstLine="480" w:firstLineChars="200"/>
        <w:jc w:val="left"/>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注：</w:t>
      </w:r>
    </w:p>
    <w:p w14:paraId="7BE7A862">
      <w:pPr>
        <w:spacing w:line="360" w:lineRule="auto"/>
        <w:ind w:firstLine="480" w:firstLineChars="200"/>
        <w:jc w:val="left"/>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1.管理关系：是指不具有出资持股关系的其他单位之间存在的管理与被管理关系，如一些上下级关系的事业单位和团体组织。</w:t>
      </w:r>
    </w:p>
    <w:p w14:paraId="6CE12AB9">
      <w:pPr>
        <w:spacing w:line="360" w:lineRule="auto"/>
        <w:ind w:firstLine="480" w:firstLineChars="200"/>
        <w:jc w:val="left"/>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2.本表所指的管理关系仅限于直接管理关系，不包括间接的管理关系。</w:t>
      </w:r>
    </w:p>
    <w:p w14:paraId="4588EFC9">
      <w:pPr>
        <w:spacing w:line="360" w:lineRule="auto"/>
        <w:ind w:firstLine="480" w:firstLineChars="200"/>
        <w:jc w:val="left"/>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3.供应商不存在直接管理关系的，则填“无”。</w:t>
      </w:r>
    </w:p>
    <w:p w14:paraId="7634DE71">
      <w:pPr>
        <w:spacing w:line="360" w:lineRule="auto"/>
        <w:jc w:val="left"/>
        <w:rPr>
          <w:color w:val="auto"/>
          <w:sz w:val="24"/>
          <w:highlight w:val="none"/>
        </w:rPr>
      </w:pPr>
    </w:p>
    <w:p w14:paraId="7DEA1932">
      <w:pPr>
        <w:autoSpaceDE w:val="0"/>
        <w:autoSpaceDN w:val="0"/>
        <w:spacing w:line="360" w:lineRule="auto"/>
        <w:ind w:left="4365" w:leftChars="1850" w:hanging="480" w:hangingChars="20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12B81B40">
      <w:pPr>
        <w:autoSpaceDE w:val="0"/>
        <w:autoSpaceDN w:val="0"/>
        <w:spacing w:line="360" w:lineRule="auto"/>
        <w:ind w:firstLine="6120" w:firstLineChars="2550"/>
        <w:rPr>
          <w:rFonts w:ascii="仿宋_GB2312" w:hAnsi="仿宋" w:eastAsia="仿宋_GB2312" w:cs="仿宋_GB2312"/>
          <w:b/>
          <w:bCs/>
          <w:color w:val="auto"/>
          <w:sz w:val="24"/>
          <w:highlight w:val="none"/>
        </w:rPr>
      </w:pPr>
      <w:r>
        <w:rPr>
          <w:rFonts w:hint="eastAsia" w:ascii="仿宋_GB2312" w:hAnsi="仿宋" w:eastAsia="仿宋_GB2312" w:cs="仿宋_GB2312"/>
          <w:color w:val="auto"/>
          <w:kern w:val="0"/>
          <w:sz w:val="24"/>
          <w:highlight w:val="none"/>
          <w:lang w:val="zh-CN"/>
        </w:rPr>
        <w:t>日期：  年  月   日</w:t>
      </w:r>
    </w:p>
    <w:p w14:paraId="47B76452">
      <w:pPr>
        <w:rPr>
          <w:rFonts w:ascii="仿宋" w:hAnsi="仿宋" w:eastAsia="仿宋" w:cs="仿宋_GB2312"/>
          <w:b/>
          <w:color w:val="auto"/>
          <w:kern w:val="0"/>
          <w:sz w:val="30"/>
          <w:szCs w:val="30"/>
          <w:highlight w:val="none"/>
        </w:rPr>
      </w:pPr>
      <w:r>
        <w:rPr>
          <w:rFonts w:ascii="仿宋" w:hAnsi="仿宋" w:eastAsia="仿宋" w:cs="仿宋_GB2312"/>
          <w:b/>
          <w:color w:val="auto"/>
          <w:kern w:val="0"/>
          <w:sz w:val="30"/>
          <w:szCs w:val="30"/>
          <w:highlight w:val="none"/>
        </w:rPr>
        <w:br w:type="page"/>
      </w:r>
    </w:p>
    <w:p w14:paraId="7514CBF5">
      <w:pPr>
        <w:spacing w:line="360" w:lineRule="auto"/>
        <w:ind w:right="480"/>
        <w:contextualSpacing/>
        <w:rPr>
          <w:rFonts w:ascii="宋体" w:hAnsi="宋体"/>
          <w:color w:val="auto"/>
          <w:sz w:val="28"/>
          <w:szCs w:val="28"/>
          <w:highlight w:val="none"/>
        </w:rPr>
      </w:pPr>
      <w:r>
        <w:rPr>
          <w:rFonts w:hint="eastAsia" w:ascii="仿宋" w:hAnsi="仿宋" w:eastAsia="仿宋" w:cs="仿宋_GB2312"/>
          <w:b/>
          <w:color w:val="auto"/>
          <w:kern w:val="0"/>
          <w:sz w:val="30"/>
          <w:szCs w:val="30"/>
          <w:highlight w:val="none"/>
        </w:rPr>
        <w:t>六、资格声明函</w:t>
      </w:r>
    </w:p>
    <w:p w14:paraId="6B7FF7B4">
      <w:pPr>
        <w:spacing w:line="320" w:lineRule="exact"/>
        <w:jc w:val="center"/>
        <w:rPr>
          <w:rFonts w:ascii="宋体" w:hAnsi="宋体"/>
          <w:b/>
          <w:color w:val="auto"/>
          <w:sz w:val="32"/>
          <w:szCs w:val="32"/>
          <w:highlight w:val="none"/>
        </w:rPr>
      </w:pPr>
    </w:p>
    <w:p w14:paraId="69A7B714">
      <w:pPr>
        <w:spacing w:line="320" w:lineRule="exact"/>
        <w:jc w:val="center"/>
        <w:rPr>
          <w:rFonts w:ascii="宋体" w:hAnsi="宋体"/>
          <w:b/>
          <w:color w:val="auto"/>
          <w:sz w:val="32"/>
          <w:szCs w:val="32"/>
          <w:highlight w:val="none"/>
        </w:rPr>
      </w:pPr>
      <w:r>
        <w:rPr>
          <w:rFonts w:hint="eastAsia" w:ascii="宋体" w:hAnsi="宋体"/>
          <w:b/>
          <w:color w:val="auto"/>
          <w:sz w:val="32"/>
          <w:szCs w:val="32"/>
          <w:highlight w:val="none"/>
        </w:rPr>
        <w:t>资格声明函</w:t>
      </w:r>
    </w:p>
    <w:p w14:paraId="0959A576">
      <w:pPr>
        <w:spacing w:line="320" w:lineRule="exact"/>
        <w:jc w:val="center"/>
        <w:rPr>
          <w:rFonts w:ascii="宋体" w:hAnsi="宋体"/>
          <w:color w:val="auto"/>
          <w:sz w:val="24"/>
          <w:szCs w:val="20"/>
          <w:highlight w:val="none"/>
        </w:rPr>
      </w:pPr>
    </w:p>
    <w:p w14:paraId="554075A2">
      <w:pPr>
        <w:spacing w:line="360" w:lineRule="auto"/>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致：</w:t>
      </w:r>
      <w:r>
        <w:rPr>
          <w:rFonts w:hint="eastAsia" w:ascii="仿宋_GB2312" w:hAnsi="宋体" w:eastAsia="仿宋_GB2312" w:cs="宋体"/>
          <w:color w:val="auto"/>
          <w:sz w:val="24"/>
          <w:highlight w:val="none"/>
          <w:u w:val="single"/>
        </w:rPr>
        <w:t>广西机电设备招标有限公司</w:t>
      </w:r>
      <w:r>
        <w:rPr>
          <w:rFonts w:hint="eastAsia" w:ascii="仿宋_GB2312" w:hAnsi="宋体" w:eastAsia="仿宋_GB2312" w:cs="宋体"/>
          <w:color w:val="auto"/>
          <w:sz w:val="24"/>
          <w:highlight w:val="none"/>
        </w:rPr>
        <w:t>：</w:t>
      </w:r>
    </w:p>
    <w:p w14:paraId="3C2D75E3">
      <w:pPr>
        <w:spacing w:line="360" w:lineRule="auto"/>
        <w:ind w:firstLine="480" w:firstLineChars="200"/>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u w:val="single"/>
        </w:rPr>
        <w:t>（供应商名称）</w:t>
      </w:r>
      <w:r>
        <w:rPr>
          <w:rFonts w:hint="eastAsia" w:ascii="仿宋_GB2312" w:hAnsi="宋体" w:eastAsia="仿宋_GB2312" w:cs="宋体"/>
          <w:color w:val="auto"/>
          <w:sz w:val="24"/>
          <w:highlight w:val="none"/>
        </w:rPr>
        <w:t>系中华人民共和国合法供应商，经营地址</w:t>
      </w:r>
      <w:r>
        <w:rPr>
          <w:rFonts w:hint="eastAsia" w:ascii="仿宋_GB2312" w:hAnsi="宋体" w:eastAsia="仿宋_GB2312" w:cs="宋体"/>
          <w:color w:val="auto"/>
          <w:sz w:val="24"/>
          <w:highlight w:val="none"/>
          <w:u w:val="single"/>
        </w:rPr>
        <w:t xml:space="preserve">                              </w:t>
      </w:r>
      <w:r>
        <w:rPr>
          <w:rFonts w:hint="eastAsia" w:ascii="仿宋_GB2312" w:hAnsi="宋体" w:eastAsia="仿宋_GB2312" w:cs="宋体"/>
          <w:color w:val="auto"/>
          <w:sz w:val="24"/>
          <w:highlight w:val="none"/>
        </w:rPr>
        <w:t>。</w:t>
      </w:r>
    </w:p>
    <w:p w14:paraId="5584AB65">
      <w:pPr>
        <w:spacing w:line="360" w:lineRule="auto"/>
        <w:ind w:firstLine="480" w:firstLineChars="200"/>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我方愿意参加贵方组织的</w:t>
      </w:r>
      <w:r>
        <w:rPr>
          <w:rFonts w:hint="eastAsia" w:ascii="仿宋_GB2312" w:hAnsi="宋体" w:eastAsia="仿宋_GB2312" w:cs="宋体"/>
          <w:color w:val="auto"/>
          <w:sz w:val="24"/>
          <w:u w:val="single"/>
        </w:rPr>
        <w:t>（项目名称）</w:t>
      </w:r>
      <w:r>
        <w:rPr>
          <w:rFonts w:hint="eastAsia" w:ascii="仿宋_GB2312" w:hAnsi="宋体" w:eastAsia="仿宋_GB2312" w:cs="宋体"/>
          <w:color w:val="auto"/>
          <w:sz w:val="24"/>
        </w:rPr>
        <w:t>项目</w:t>
      </w:r>
      <w:r>
        <w:rPr>
          <w:rFonts w:hint="eastAsia" w:ascii="仿宋_GB2312" w:hAnsi="宋体" w:eastAsia="仿宋_GB2312" w:cs="宋体"/>
          <w:color w:val="auto"/>
          <w:sz w:val="24"/>
          <w:highlight w:val="none"/>
        </w:rPr>
        <w:t>的竞标，为便于贵方公正、择优地确定成交供应商及其竞标产品和服务，我方就本次竞标有关事项郑重声明如下：</w:t>
      </w:r>
    </w:p>
    <w:p w14:paraId="1194324A">
      <w:pPr>
        <w:spacing w:line="360" w:lineRule="auto"/>
        <w:ind w:firstLine="480" w:firstLineChars="200"/>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1.我方向贵方提交的所有响应文件、资料都是准确的和真实的。</w:t>
      </w:r>
    </w:p>
    <w:p w14:paraId="2B62090E">
      <w:pPr>
        <w:spacing w:line="360" w:lineRule="auto"/>
        <w:ind w:firstLine="480" w:firstLineChars="200"/>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2.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32577E74">
      <w:pPr>
        <w:spacing w:line="360" w:lineRule="auto"/>
        <w:ind w:firstLine="480" w:firstLineChars="200"/>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3.在此，我方宣布同意如下：</w:t>
      </w:r>
    </w:p>
    <w:p w14:paraId="5B431AA4">
      <w:pPr>
        <w:spacing w:line="360" w:lineRule="auto"/>
        <w:ind w:firstLine="480" w:firstLineChars="200"/>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（1）将按磋商文件的约定履行合同责任和义务；</w:t>
      </w:r>
    </w:p>
    <w:p w14:paraId="2B9DED76">
      <w:pPr>
        <w:spacing w:line="360" w:lineRule="auto"/>
        <w:ind w:firstLine="480" w:firstLineChars="200"/>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（2）已详细审查全部磋商文件，包括澄清或者更正公告（如有）；</w:t>
      </w:r>
    </w:p>
    <w:p w14:paraId="1E2ED138">
      <w:pPr>
        <w:spacing w:line="360" w:lineRule="auto"/>
        <w:ind w:firstLine="480" w:firstLineChars="200"/>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（3）同意提供按照贵方可能要求的与谈判有关的一切数据或者资料；</w:t>
      </w:r>
    </w:p>
    <w:p w14:paraId="38638565">
      <w:pPr>
        <w:spacing w:line="360" w:lineRule="auto"/>
        <w:ind w:firstLine="480" w:firstLineChars="200"/>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（4）响应磋商文件规定的竞标有效期。</w:t>
      </w:r>
    </w:p>
    <w:p w14:paraId="380353EF">
      <w:pPr>
        <w:spacing w:line="360" w:lineRule="auto"/>
        <w:ind w:firstLine="480" w:firstLineChars="200"/>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4.我方承诺已经具备《中华人民共和国政府采购法》第二十二条中规定的参加政府采购活动的供应商应当具备的条件并按本项目响应文件“第三章”“第二节供应商须知前附表”中“资格证明文件组成”完整提供证明材料。</w:t>
      </w:r>
    </w:p>
    <w:p w14:paraId="588E689A">
      <w:pPr>
        <w:spacing w:line="360" w:lineRule="auto"/>
        <w:ind w:firstLine="480" w:firstLineChars="200"/>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3E8D9B9D">
      <w:pPr>
        <w:spacing w:line="360" w:lineRule="auto"/>
        <w:ind w:firstLine="480" w:firstLineChars="200"/>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0FDEE61A">
      <w:pPr>
        <w:spacing w:line="360" w:lineRule="auto"/>
        <w:ind w:firstLine="480" w:firstLineChars="200"/>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□我方本次响应文件</w:t>
      </w:r>
      <w:r>
        <w:rPr>
          <w:rFonts w:hint="eastAsia" w:ascii="仿宋_GB2312" w:hAnsi="宋体" w:eastAsia="仿宋_GB2312" w:cs="宋体"/>
          <w:color w:val="auto"/>
          <w:kern w:val="0"/>
          <w:sz w:val="24"/>
          <w:highlight w:val="none"/>
        </w:rPr>
        <w:t>内容中</w:t>
      </w:r>
      <w:r>
        <w:rPr>
          <w:rFonts w:hint="eastAsia" w:ascii="仿宋_GB2312" w:hAnsi="宋体" w:eastAsia="仿宋_GB2312" w:cs="宋体"/>
          <w:color w:val="auto"/>
          <w:sz w:val="24"/>
          <w:highlight w:val="none"/>
        </w:rPr>
        <w:t>未</w:t>
      </w:r>
      <w:r>
        <w:rPr>
          <w:rFonts w:hint="eastAsia" w:ascii="仿宋_GB2312" w:hAnsi="宋体" w:eastAsia="仿宋_GB2312" w:cs="宋体"/>
          <w:color w:val="auto"/>
          <w:kern w:val="0"/>
          <w:sz w:val="24"/>
          <w:highlight w:val="none"/>
        </w:rPr>
        <w:t>涉及商业秘密；</w:t>
      </w:r>
    </w:p>
    <w:p w14:paraId="2CBB4359">
      <w:pPr>
        <w:spacing w:line="360" w:lineRule="auto"/>
        <w:ind w:firstLine="480" w:firstLineChars="200"/>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□我方本次响应文件</w:t>
      </w:r>
      <w:r>
        <w:rPr>
          <w:rFonts w:hint="eastAsia" w:ascii="仿宋_GB2312" w:hAnsi="宋体" w:eastAsia="仿宋_GB2312" w:cs="宋体"/>
          <w:color w:val="auto"/>
          <w:kern w:val="0"/>
          <w:sz w:val="24"/>
          <w:highlight w:val="none"/>
        </w:rPr>
        <w:t>涉及商业秘密的内容有：</w:t>
      </w:r>
      <w:r>
        <w:rPr>
          <w:rFonts w:hint="eastAsia" w:ascii="仿宋_GB2312" w:hAnsi="宋体" w:eastAsia="仿宋_GB2312" w:cs="宋体"/>
          <w:color w:val="auto"/>
          <w:kern w:val="0"/>
          <w:sz w:val="24"/>
          <w:highlight w:val="none"/>
          <w:u w:val="single"/>
        </w:rPr>
        <w:t xml:space="preserve">                         </w:t>
      </w:r>
      <w:r>
        <w:rPr>
          <w:rFonts w:hint="eastAsia" w:ascii="仿宋_GB2312" w:hAnsi="宋体" w:eastAsia="仿宋_GB2312" w:cs="宋体"/>
          <w:color w:val="auto"/>
          <w:kern w:val="0"/>
          <w:sz w:val="24"/>
          <w:highlight w:val="none"/>
        </w:rPr>
        <w:t>；</w:t>
      </w:r>
    </w:p>
    <w:p w14:paraId="368BF695">
      <w:pPr>
        <w:pStyle w:val="12"/>
        <w:spacing w:line="360" w:lineRule="auto"/>
        <w:ind w:left="0" w:leftChars="0" w:firstLine="480" w:firstLineChars="200"/>
        <w:rPr>
          <w:rFonts w:ascii="仿宋_GB2312" w:hAnsi="宋体" w:eastAsia="仿宋_GB2312" w:cs="宋体"/>
          <w:color w:val="auto"/>
          <w:sz w:val="24"/>
          <w:highlight w:val="none"/>
          <w:u w:val="single"/>
        </w:rPr>
      </w:pPr>
      <w:r>
        <w:rPr>
          <w:rFonts w:hint="eastAsia" w:ascii="仿宋_GB2312" w:hAnsi="宋体" w:eastAsia="仿宋_GB2312" w:cs="宋体"/>
          <w:color w:val="auto"/>
          <w:sz w:val="24"/>
          <w:highlight w:val="none"/>
        </w:rPr>
        <w:t>7.与本磋商有关的一切正式往来信函请寄：</w:t>
      </w:r>
      <w:r>
        <w:rPr>
          <w:rFonts w:hint="eastAsia" w:ascii="仿宋_GB2312" w:hAnsi="宋体" w:eastAsia="仿宋_GB2312" w:cs="宋体"/>
          <w:color w:val="auto"/>
          <w:sz w:val="24"/>
          <w:highlight w:val="none"/>
          <w:u w:val="single"/>
        </w:rPr>
        <w:t xml:space="preserve">                  </w:t>
      </w:r>
      <w:r>
        <w:rPr>
          <w:rFonts w:hint="eastAsia" w:ascii="仿宋_GB2312" w:hAnsi="宋体" w:eastAsia="仿宋_GB2312" w:cs="宋体"/>
          <w:color w:val="auto"/>
          <w:sz w:val="24"/>
          <w:highlight w:val="none"/>
        </w:rPr>
        <w:t>邮政编号：</w:t>
      </w:r>
      <w:r>
        <w:rPr>
          <w:rFonts w:hint="eastAsia" w:ascii="仿宋_GB2312" w:hAnsi="宋体" w:eastAsia="仿宋_GB2312" w:cs="宋体"/>
          <w:color w:val="auto"/>
          <w:sz w:val="24"/>
          <w:highlight w:val="none"/>
          <w:u w:val="single"/>
        </w:rPr>
        <w:t xml:space="preserve">        </w:t>
      </w:r>
    </w:p>
    <w:p w14:paraId="1767AB53">
      <w:pPr>
        <w:pStyle w:val="12"/>
        <w:spacing w:line="360" w:lineRule="auto"/>
        <w:ind w:left="0" w:leftChars="0" w:firstLine="480" w:firstLineChars="200"/>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电话/传真：</w:t>
      </w:r>
      <w:r>
        <w:rPr>
          <w:rFonts w:hint="eastAsia" w:ascii="仿宋_GB2312" w:hAnsi="宋体" w:eastAsia="仿宋_GB2312" w:cs="宋体"/>
          <w:color w:val="auto"/>
          <w:sz w:val="24"/>
          <w:highlight w:val="none"/>
          <w:u w:val="single"/>
        </w:rPr>
        <w:t xml:space="preserve">                        </w:t>
      </w:r>
      <w:r>
        <w:rPr>
          <w:rFonts w:hint="eastAsia" w:ascii="仿宋_GB2312" w:hAnsi="宋体" w:eastAsia="仿宋_GB2312" w:cs="宋体"/>
          <w:color w:val="auto"/>
          <w:sz w:val="24"/>
          <w:highlight w:val="none"/>
        </w:rPr>
        <w:t xml:space="preserve"> 电子函件：</w:t>
      </w:r>
      <w:r>
        <w:rPr>
          <w:rFonts w:hint="eastAsia" w:ascii="仿宋_GB2312" w:hAnsi="宋体" w:eastAsia="仿宋_GB2312" w:cs="宋体"/>
          <w:color w:val="auto"/>
          <w:sz w:val="24"/>
          <w:highlight w:val="none"/>
          <w:u w:val="single"/>
        </w:rPr>
        <w:t xml:space="preserve">                            </w:t>
      </w:r>
      <w:r>
        <w:rPr>
          <w:rFonts w:hint="eastAsia" w:ascii="仿宋_GB2312" w:hAnsi="宋体" w:eastAsia="仿宋_GB2312" w:cs="宋体"/>
          <w:color w:val="auto"/>
          <w:sz w:val="24"/>
          <w:highlight w:val="none"/>
        </w:rPr>
        <w:t xml:space="preserve">    </w:t>
      </w:r>
    </w:p>
    <w:p w14:paraId="6BCB8E4A">
      <w:pPr>
        <w:tabs>
          <w:tab w:val="left" w:pos="939"/>
        </w:tabs>
        <w:spacing w:line="360" w:lineRule="auto"/>
        <w:ind w:left="141" w:leftChars="67" w:firstLine="360" w:firstLineChars="150"/>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开户银行：</w:t>
      </w:r>
      <w:r>
        <w:rPr>
          <w:rFonts w:hint="eastAsia" w:ascii="仿宋_GB2312" w:hAnsi="宋体" w:eastAsia="仿宋_GB2312" w:cs="宋体"/>
          <w:color w:val="auto"/>
          <w:sz w:val="24"/>
          <w:highlight w:val="none"/>
          <w:u w:val="single"/>
        </w:rPr>
        <w:t xml:space="preserve">                         </w:t>
      </w:r>
      <w:r>
        <w:rPr>
          <w:rFonts w:hint="eastAsia" w:ascii="仿宋_GB2312" w:hAnsi="宋体" w:eastAsia="仿宋_GB2312" w:cs="宋体"/>
          <w:color w:val="auto"/>
          <w:sz w:val="24"/>
          <w:highlight w:val="none"/>
        </w:rPr>
        <w:t xml:space="preserve">  帐号：</w:t>
      </w:r>
      <w:r>
        <w:rPr>
          <w:rFonts w:hint="eastAsia" w:ascii="仿宋_GB2312" w:hAnsi="宋体" w:eastAsia="仿宋_GB2312" w:cs="宋体"/>
          <w:color w:val="auto"/>
          <w:sz w:val="24"/>
          <w:highlight w:val="none"/>
          <w:u w:val="single"/>
        </w:rPr>
        <w:t xml:space="preserve">                               </w:t>
      </w:r>
    </w:p>
    <w:p w14:paraId="084222CE">
      <w:pPr>
        <w:tabs>
          <w:tab w:val="left" w:pos="939"/>
        </w:tabs>
        <w:spacing w:line="360" w:lineRule="auto"/>
        <w:ind w:firstLine="480" w:firstLineChars="200"/>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8.以上事项如有虚假或者隐瞒，我方愿意承担一切后果，并不再寻求任何旨在减轻或者免除法律责任的辩解。</w:t>
      </w:r>
    </w:p>
    <w:p w14:paraId="4AD8AF77">
      <w:pPr>
        <w:tabs>
          <w:tab w:val="left" w:pos="939"/>
        </w:tabs>
        <w:spacing w:line="360" w:lineRule="auto"/>
        <w:ind w:left="141" w:leftChars="67" w:firstLine="360" w:firstLineChars="150"/>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特此承诺。</w:t>
      </w:r>
    </w:p>
    <w:p w14:paraId="3B7D2D5B">
      <w:pPr>
        <w:tabs>
          <w:tab w:val="left" w:pos="939"/>
        </w:tabs>
        <w:spacing w:line="360" w:lineRule="auto"/>
        <w:ind w:firstLine="480" w:firstLineChars="200"/>
        <w:rPr>
          <w:rFonts w:ascii="宋体" w:hAnsi="宋体" w:cs="宋体"/>
          <w:color w:val="auto"/>
          <w:sz w:val="24"/>
          <w:highlight w:val="none"/>
        </w:rPr>
      </w:pPr>
      <w:r>
        <w:rPr>
          <w:rFonts w:hint="eastAsia" w:ascii="仿宋_GB2312" w:hAnsi="宋体" w:eastAsia="仿宋_GB2312" w:cs="宋体"/>
          <w:color w:val="auto"/>
          <w:sz w:val="24"/>
          <w:highlight w:val="none"/>
        </w:rPr>
        <w:t>注：如为联合体竞标，盖章处须加盖联合体各方公章并由联合体各方法定代表人签署，否则其响应文件按无效响应处理。</w:t>
      </w:r>
    </w:p>
    <w:p w14:paraId="108CDF01">
      <w:pPr>
        <w:tabs>
          <w:tab w:val="left" w:pos="939"/>
        </w:tabs>
        <w:spacing w:line="360" w:lineRule="auto"/>
        <w:ind w:firstLine="480" w:firstLineChars="200"/>
        <w:rPr>
          <w:rFonts w:ascii="宋体" w:hAnsi="宋体" w:cs="宋体"/>
          <w:color w:val="auto"/>
          <w:sz w:val="24"/>
          <w:highlight w:val="none"/>
        </w:rPr>
      </w:pPr>
    </w:p>
    <w:p w14:paraId="37092C2F">
      <w:pPr>
        <w:autoSpaceDE w:val="0"/>
        <w:autoSpaceDN w:val="0"/>
        <w:spacing w:line="360" w:lineRule="auto"/>
        <w:ind w:left="4365" w:leftChars="1850" w:hanging="480" w:hangingChars="20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64AC87B6">
      <w:pPr>
        <w:autoSpaceDE w:val="0"/>
        <w:autoSpaceDN w:val="0"/>
        <w:spacing w:line="360" w:lineRule="auto"/>
        <w:ind w:firstLine="6120" w:firstLineChars="255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  年  月   日</w:t>
      </w:r>
    </w:p>
    <w:p w14:paraId="0AD5B72D">
      <w:pPr>
        <w:widowControl/>
        <w:spacing w:line="360" w:lineRule="auto"/>
        <w:jc w:val="left"/>
        <w:rPr>
          <w:rFonts w:ascii="仿宋_GB2312" w:hAnsi="仿宋" w:eastAsia="仿宋_GB2312" w:cs="仿宋_GB2312"/>
          <w:color w:val="auto"/>
          <w:kern w:val="0"/>
          <w:sz w:val="24"/>
          <w:highlight w:val="none"/>
          <w:lang w:val="zh-CN"/>
        </w:rPr>
        <w:sectPr>
          <w:pgSz w:w="11911" w:h="16838"/>
          <w:pgMar w:top="1417" w:right="1417" w:bottom="1417" w:left="1417" w:header="720" w:footer="720" w:gutter="0"/>
          <w:cols w:space="0" w:num="1"/>
        </w:sectPr>
      </w:pPr>
    </w:p>
    <w:p w14:paraId="6869B44D">
      <w:pPr>
        <w:pStyle w:val="7"/>
        <w:overflowPunct w:val="0"/>
        <w:spacing w:line="520" w:lineRule="exact"/>
        <w:ind w:firstLine="0"/>
        <w:rPr>
          <w:rFonts w:ascii="宋体" w:hAnsi="宋体"/>
          <w:b/>
          <w:bCs/>
          <w:color w:val="auto"/>
          <w:sz w:val="32"/>
          <w:szCs w:val="32"/>
          <w:highlight w:val="none"/>
        </w:rPr>
      </w:pPr>
      <w:r>
        <w:rPr>
          <w:rFonts w:hint="eastAsia" w:ascii="仿宋" w:hAnsi="仿宋" w:eastAsia="仿宋" w:cs="仿宋_GB2312"/>
          <w:b/>
          <w:color w:val="auto"/>
          <w:kern w:val="0"/>
          <w:sz w:val="30"/>
          <w:szCs w:val="30"/>
          <w:highlight w:val="none"/>
        </w:rPr>
        <w:t>七、联合体协议书（如有）</w:t>
      </w:r>
    </w:p>
    <w:p w14:paraId="1CEFD1D9">
      <w:pPr>
        <w:pStyle w:val="12"/>
        <w:spacing w:line="600" w:lineRule="exact"/>
        <w:jc w:val="center"/>
        <w:rPr>
          <w:rFonts w:ascii="方正小标宋简体" w:hAnsi="方正小标宋简体" w:eastAsia="方正小标宋简体" w:cs="方正小标宋简体"/>
          <w:color w:val="auto"/>
          <w:sz w:val="44"/>
          <w:szCs w:val="44"/>
          <w:highlight w:val="none"/>
        </w:rPr>
      </w:pPr>
    </w:p>
    <w:p w14:paraId="7A62B890">
      <w:pPr>
        <w:pStyle w:val="12"/>
        <w:spacing w:line="600" w:lineRule="exact"/>
        <w:jc w:val="center"/>
        <w:rPr>
          <w:rFonts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联合体竞标协议书（格式）</w:t>
      </w:r>
    </w:p>
    <w:p w14:paraId="5B0F0316">
      <w:pPr>
        <w:autoSpaceDE w:val="0"/>
        <w:autoSpaceDN w:val="0"/>
        <w:adjustRightInd w:val="0"/>
        <w:spacing w:line="360" w:lineRule="auto"/>
        <w:jc w:val="left"/>
        <w:rPr>
          <w:rFonts w:ascii="宋体" w:cs="宋体"/>
          <w:color w:val="auto"/>
          <w:kern w:val="0"/>
          <w:szCs w:val="21"/>
          <w:highlight w:val="none"/>
          <w:u w:val="single"/>
        </w:rPr>
      </w:pPr>
    </w:p>
    <w:p w14:paraId="7997B4EE">
      <w:pPr>
        <w:autoSpaceDE w:val="0"/>
        <w:autoSpaceDN w:val="0"/>
        <w:adjustRightInd w:val="0"/>
        <w:spacing w:line="360" w:lineRule="auto"/>
        <w:jc w:val="left"/>
        <w:rPr>
          <w:rFonts w:ascii="仿宋_GB2312" w:hAnsi="仿宋_GB2312" w:eastAsia="仿宋_GB2312" w:cs="宋体"/>
          <w:color w:val="auto"/>
          <w:kern w:val="0"/>
          <w:sz w:val="24"/>
          <w:highlight w:val="none"/>
        </w:rPr>
      </w:pPr>
      <w:r>
        <w:rPr>
          <w:rFonts w:hint="eastAsia" w:ascii="仿宋_GB2312" w:hAnsi="仿宋_GB2312" w:eastAsia="仿宋_GB2312" w:cs="宋体"/>
          <w:color w:val="auto"/>
          <w:kern w:val="0"/>
          <w:sz w:val="24"/>
          <w:highlight w:val="none"/>
          <w:u w:val="single"/>
        </w:rPr>
        <w:t xml:space="preserve">                                                  </w:t>
      </w:r>
      <w:r>
        <w:rPr>
          <w:rFonts w:hint="eastAsia" w:ascii="仿宋_GB2312" w:hAnsi="仿宋_GB2312" w:eastAsia="仿宋_GB2312" w:cs="宋体"/>
          <w:color w:val="auto"/>
          <w:kern w:val="0"/>
          <w:sz w:val="24"/>
          <w:highlight w:val="none"/>
        </w:rPr>
        <w:t>（所有成员单位名称）自愿组成联合体，共同参加</w:t>
      </w:r>
      <w:r>
        <w:rPr>
          <w:rFonts w:hint="eastAsia" w:ascii="仿宋_GB2312" w:hAnsi="仿宋_GB2312" w:eastAsia="仿宋_GB2312" w:cs="宋体"/>
          <w:color w:val="auto"/>
          <w:kern w:val="0"/>
          <w:sz w:val="24"/>
          <w:highlight w:val="none"/>
          <w:u w:val="single"/>
        </w:rPr>
        <w:t xml:space="preserve">    广西机电设备招标有限公司   </w:t>
      </w:r>
      <w:r>
        <w:rPr>
          <w:rFonts w:hint="eastAsia" w:ascii="仿宋_GB2312" w:hAnsi="仿宋_GB2312" w:eastAsia="仿宋_GB2312" w:cs="宋体"/>
          <w:color w:val="auto"/>
          <w:kern w:val="0"/>
          <w:sz w:val="24"/>
          <w:highlight w:val="none"/>
        </w:rPr>
        <w:t>组织的</w:t>
      </w:r>
      <w:r>
        <w:rPr>
          <w:rFonts w:hint="eastAsia" w:ascii="仿宋_GB2312" w:hAnsi="仿宋_GB2312" w:eastAsia="仿宋_GB2312" w:cs="宋体"/>
          <w:color w:val="auto"/>
          <w:kern w:val="0"/>
          <w:sz w:val="24"/>
          <w:highlight w:val="none"/>
          <w:u w:val="single"/>
          <w:lang w:eastAsia="zh-CN"/>
        </w:rPr>
        <w:t>（</w:t>
      </w:r>
      <w:r>
        <w:rPr>
          <w:rFonts w:hint="eastAsia" w:ascii="仿宋_GB2312" w:hAnsi="仿宋_GB2312" w:eastAsia="仿宋_GB2312" w:cs="宋体"/>
          <w:color w:val="auto"/>
          <w:kern w:val="0"/>
          <w:sz w:val="24"/>
          <w:highlight w:val="none"/>
          <w:u w:val="single"/>
          <w:lang w:val="en-US" w:eastAsia="zh-CN"/>
        </w:rPr>
        <w:t>项目名称</w:t>
      </w:r>
      <w:r>
        <w:rPr>
          <w:rFonts w:hint="eastAsia" w:ascii="仿宋_GB2312" w:hAnsi="仿宋_GB2312" w:eastAsia="仿宋_GB2312" w:cs="宋体"/>
          <w:color w:val="auto"/>
          <w:kern w:val="0"/>
          <w:sz w:val="24"/>
          <w:highlight w:val="none"/>
          <w:u w:val="single"/>
          <w:lang w:eastAsia="zh-CN"/>
        </w:rPr>
        <w:t>）</w:t>
      </w:r>
      <w:r>
        <w:rPr>
          <w:rFonts w:hint="eastAsia" w:ascii="仿宋_GB2312" w:hAnsi="仿宋_GB2312" w:eastAsia="仿宋_GB2312" w:cs="宋体"/>
          <w:color w:val="auto"/>
          <w:kern w:val="0"/>
          <w:sz w:val="24"/>
          <w:highlight w:val="none"/>
        </w:rPr>
        <w:t>（项目编号：</w:t>
      </w:r>
      <w:r>
        <w:rPr>
          <w:rFonts w:hint="eastAsia" w:ascii="仿宋_GB2312" w:hAnsi="仿宋_GB2312" w:eastAsia="仿宋_GB2312" w:cs="宋体"/>
          <w:color w:val="auto"/>
          <w:kern w:val="0"/>
          <w:sz w:val="24"/>
          <w:highlight w:val="none"/>
          <w:u w:val="single"/>
        </w:rPr>
        <w:t xml:space="preserve">   </w:t>
      </w:r>
      <w:r>
        <w:rPr>
          <w:rFonts w:hint="eastAsia" w:ascii="仿宋_GB2312" w:hAnsi="仿宋_GB2312" w:eastAsia="仿宋_GB2312" w:cs="宋体"/>
          <w:color w:val="auto"/>
          <w:kern w:val="0"/>
          <w:sz w:val="24"/>
          <w:highlight w:val="none"/>
        </w:rPr>
        <w:t>）竞争性磋商采购。现就联合体竞标事宜订立如下协议：</w:t>
      </w:r>
    </w:p>
    <w:p w14:paraId="2FCC2460">
      <w:pPr>
        <w:autoSpaceDE w:val="0"/>
        <w:autoSpaceDN w:val="0"/>
        <w:adjustRightInd w:val="0"/>
        <w:spacing w:line="360" w:lineRule="auto"/>
        <w:ind w:firstLine="420"/>
        <w:jc w:val="left"/>
        <w:rPr>
          <w:rFonts w:ascii="仿宋_GB2312" w:hAnsi="宋体" w:eastAsia="仿宋_GB2312" w:cs="宋体"/>
          <w:color w:val="auto"/>
          <w:kern w:val="0"/>
          <w:sz w:val="24"/>
          <w:highlight w:val="none"/>
        </w:rPr>
      </w:pPr>
      <w:r>
        <w:rPr>
          <w:rFonts w:hint="eastAsia" w:ascii="仿宋_GB2312" w:hAnsi="宋体" w:eastAsia="仿宋_GB2312" w:cs="TimesNewRomanPSMT"/>
          <w:color w:val="auto"/>
          <w:kern w:val="0"/>
          <w:sz w:val="24"/>
          <w:highlight w:val="none"/>
        </w:rPr>
        <w:t>1</w:t>
      </w:r>
      <w:r>
        <w:rPr>
          <w:rFonts w:hint="eastAsia" w:ascii="仿宋_GB2312" w:hAnsi="宋体" w:eastAsia="仿宋_GB2312" w:cs="宋体"/>
          <w:color w:val="auto"/>
          <w:kern w:val="0"/>
          <w:sz w:val="24"/>
          <w:highlight w:val="none"/>
        </w:rPr>
        <w:t>、</w:t>
      </w:r>
      <w:r>
        <w:rPr>
          <w:rFonts w:hint="eastAsia" w:ascii="仿宋_GB2312" w:hAnsi="仿宋_GB2312" w:eastAsia="仿宋_GB2312"/>
          <w:color w:val="auto"/>
          <w:sz w:val="24"/>
          <w:highlight w:val="none"/>
        </w:rPr>
        <w:t>________________________</w:t>
      </w:r>
      <w:r>
        <w:rPr>
          <w:rFonts w:hint="eastAsia" w:ascii="仿宋_GB2312" w:hAnsi="宋体" w:eastAsia="仿宋_GB2312" w:cs="宋体"/>
          <w:color w:val="auto"/>
          <w:kern w:val="0"/>
          <w:sz w:val="24"/>
          <w:highlight w:val="none"/>
        </w:rPr>
        <w:t>（某成员单位名称）为联合体名称牵头人。</w:t>
      </w:r>
    </w:p>
    <w:p w14:paraId="2A62939E">
      <w:pPr>
        <w:autoSpaceDE w:val="0"/>
        <w:autoSpaceDN w:val="0"/>
        <w:adjustRightInd w:val="0"/>
        <w:spacing w:line="360" w:lineRule="auto"/>
        <w:ind w:firstLine="420"/>
        <w:jc w:val="left"/>
        <w:rPr>
          <w:rFonts w:ascii="仿宋_GB2312" w:hAnsi="宋体" w:eastAsia="仿宋_GB2312" w:cs="宋体"/>
          <w:color w:val="auto"/>
          <w:kern w:val="0"/>
          <w:sz w:val="24"/>
          <w:highlight w:val="none"/>
        </w:rPr>
      </w:pPr>
      <w:r>
        <w:rPr>
          <w:rFonts w:hint="eastAsia" w:ascii="仿宋_GB2312" w:hAnsi="宋体" w:eastAsia="仿宋_GB2312" w:cs="TimesNewRomanPSMT"/>
          <w:color w:val="auto"/>
          <w:kern w:val="0"/>
          <w:sz w:val="24"/>
          <w:highlight w:val="none"/>
        </w:rPr>
        <w:t>2</w:t>
      </w:r>
      <w:r>
        <w:rPr>
          <w:rFonts w:hint="eastAsia" w:ascii="仿宋_GB2312" w:hAnsi="宋体" w:eastAsia="仿宋_GB2312" w:cs="宋体"/>
          <w:color w:val="auto"/>
          <w:kern w:val="0"/>
          <w:sz w:val="24"/>
          <w:highlight w:val="none"/>
        </w:rPr>
        <w:t>、联合体牵头人合法代表联合体各成员负责本磋商项目响应文件编制和合同谈判活动，并代表联合体提交和接收相关的资料、信息及指示，并处理与之有关的一切事务，负责合同实施阶段的主办、组织和协调工作。</w:t>
      </w:r>
    </w:p>
    <w:p w14:paraId="2AB149DD">
      <w:pPr>
        <w:autoSpaceDE w:val="0"/>
        <w:autoSpaceDN w:val="0"/>
        <w:adjustRightInd w:val="0"/>
        <w:spacing w:line="360" w:lineRule="auto"/>
        <w:ind w:firstLine="420"/>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3、联合体牵头人在本项目中签署和盖章的一切文件和处理的一切事宜，联合体各成员均予以承认。 联合体各成员将严格按照磋商文件、响应文件和合同的要求全面履行义务，并向采购人承担连带责任。</w:t>
      </w:r>
    </w:p>
    <w:p w14:paraId="2CAEF697">
      <w:pPr>
        <w:autoSpaceDE w:val="0"/>
        <w:autoSpaceDN w:val="0"/>
        <w:adjustRightInd w:val="0"/>
        <w:spacing w:line="360" w:lineRule="auto"/>
        <w:ind w:firstLine="420"/>
        <w:jc w:val="left"/>
        <w:rPr>
          <w:rFonts w:ascii="仿宋_GB2312" w:hAnsi="宋体" w:eastAsia="仿宋_GB2312" w:cs="宋体"/>
          <w:color w:val="auto"/>
          <w:kern w:val="0"/>
          <w:sz w:val="24"/>
          <w:highlight w:val="none"/>
        </w:rPr>
      </w:pPr>
      <w:r>
        <w:rPr>
          <w:rFonts w:hint="eastAsia" w:ascii="仿宋_GB2312" w:hAnsi="宋体" w:eastAsia="仿宋_GB2312" w:cs="TimesNewRomanPSMT"/>
          <w:color w:val="auto"/>
          <w:kern w:val="0"/>
          <w:sz w:val="24"/>
          <w:highlight w:val="none"/>
        </w:rPr>
        <w:t>4</w:t>
      </w:r>
      <w:r>
        <w:rPr>
          <w:rFonts w:hint="eastAsia" w:ascii="仿宋_GB2312" w:hAnsi="宋体" w:eastAsia="仿宋_GB2312" w:cs="宋体"/>
          <w:color w:val="auto"/>
          <w:kern w:val="0"/>
          <w:sz w:val="24"/>
          <w:highlight w:val="none"/>
        </w:rPr>
        <w:t>、联合体各成员单位内部的职责分工如下</w:t>
      </w:r>
      <w:r>
        <w:rPr>
          <w:rFonts w:hint="eastAsia" w:ascii="仿宋_GB2312" w:hAnsi="宋体" w:eastAsia="仿宋_GB2312" w:cs="宋体"/>
          <w:color w:val="auto"/>
          <w:kern w:val="0"/>
          <w:sz w:val="24"/>
          <w:highlight w:val="none"/>
          <w:u w:val="single"/>
        </w:rPr>
        <w:t>：</w:t>
      </w:r>
      <w:r>
        <w:rPr>
          <w:rFonts w:hint="eastAsia" w:ascii="仿宋_GB2312" w:hAnsi="仿宋_GB2312" w:eastAsia="仿宋_GB2312"/>
          <w:color w:val="auto"/>
          <w:sz w:val="24"/>
          <w:highlight w:val="none"/>
          <w:u w:val="single"/>
        </w:rPr>
        <w:t>________________________________________________</w:t>
      </w:r>
      <w:r>
        <w:rPr>
          <w:rFonts w:hint="eastAsia" w:ascii="仿宋_GB2312" w:hAnsi="宋体" w:eastAsia="仿宋_GB2312" w:cs="宋体"/>
          <w:color w:val="auto"/>
          <w:kern w:val="0"/>
          <w:sz w:val="24"/>
          <w:highlight w:val="none"/>
        </w:rPr>
        <w:t>。</w:t>
      </w:r>
    </w:p>
    <w:p w14:paraId="568E85E5">
      <w:pPr>
        <w:pStyle w:val="12"/>
        <w:spacing w:line="360" w:lineRule="auto"/>
        <w:ind w:left="0" w:leftChars="0" w:firstLine="480" w:firstLineChars="200"/>
        <w:rPr>
          <w:rFonts w:ascii="仿宋_GB2312" w:eastAsia="仿宋_GB2312"/>
          <w:color w:val="auto"/>
          <w:sz w:val="24"/>
          <w:highlight w:val="none"/>
        </w:rPr>
      </w:pPr>
      <w:r>
        <w:rPr>
          <w:rFonts w:hint="eastAsia" w:ascii="仿宋_GB2312" w:hAnsi="宋体" w:eastAsia="仿宋_GB2312" w:cs="宋体"/>
          <w:color w:val="auto"/>
          <w:sz w:val="24"/>
          <w:highlight w:val="none"/>
        </w:rPr>
        <w:t>5、本联合体中</w:t>
      </w:r>
      <w:r>
        <w:rPr>
          <w:rFonts w:hint="eastAsia" w:ascii="仿宋_GB2312" w:hAnsi="宋体" w:eastAsia="仿宋_GB2312" w:cs="宋体"/>
          <w:color w:val="auto"/>
          <w:sz w:val="24"/>
          <w:highlight w:val="none"/>
          <w:u w:val="single"/>
        </w:rPr>
        <w:t>，</w:t>
      </w:r>
      <w:r>
        <w:rPr>
          <w:rFonts w:hint="eastAsia" w:ascii="仿宋_GB2312" w:hAnsi="仿宋_GB2312" w:eastAsia="仿宋_GB2312"/>
          <w:color w:val="auto"/>
          <w:sz w:val="24"/>
          <w:highlight w:val="none"/>
          <w:u w:val="single"/>
        </w:rPr>
        <w:t>________________________</w:t>
      </w:r>
      <w:r>
        <w:rPr>
          <w:rFonts w:hint="eastAsia" w:ascii="仿宋_GB2312" w:hAnsi="宋体" w:eastAsia="仿宋_GB2312" w:cs="宋体"/>
          <w:color w:val="auto"/>
          <w:sz w:val="24"/>
          <w:highlight w:val="none"/>
          <w:u w:val="single"/>
        </w:rPr>
        <w:t>（某成员单位名称）为</w:t>
      </w:r>
      <w:r>
        <w:rPr>
          <w:rFonts w:hint="eastAsia" w:ascii="仿宋_GB2312" w:hAnsi="仿宋_GB2312" w:eastAsia="仿宋_GB2312"/>
          <w:color w:val="auto"/>
          <w:sz w:val="24"/>
          <w:highlight w:val="none"/>
          <w:u w:val="single"/>
        </w:rPr>
        <w:t>______</w:t>
      </w:r>
      <w:r>
        <w:rPr>
          <w:rFonts w:hint="eastAsia" w:ascii="仿宋_GB2312" w:hAnsi="仿宋_GB2312" w:eastAsia="仿宋_GB2312"/>
          <w:color w:val="auto"/>
          <w:sz w:val="24"/>
          <w:highlight w:val="none"/>
        </w:rPr>
        <w:t>（请填写：中型、小型、微型）企业，其协议合同金额占联合体协议合同总金额的</w:t>
      </w:r>
      <w:r>
        <w:rPr>
          <w:rFonts w:hint="eastAsia" w:ascii="仿宋_GB2312" w:hAnsi="仿宋_GB2312" w:eastAsia="仿宋_GB2312"/>
          <w:color w:val="auto"/>
          <w:sz w:val="24"/>
          <w:highlight w:val="none"/>
          <w:u w:val="single"/>
        </w:rPr>
        <w:t>______</w:t>
      </w:r>
      <w:r>
        <w:rPr>
          <w:rFonts w:hint="eastAsia" w:ascii="仿宋_GB2312" w:hAnsi="仿宋_GB2312" w:eastAsia="仿宋_GB2312"/>
          <w:color w:val="auto"/>
          <w:sz w:val="24"/>
          <w:highlight w:val="none"/>
        </w:rPr>
        <w:t>%。【如联合体成员中有小型、微型企业的，请填写此条，否则无需填写；如联合体成员中有多个小型、微型企业的，请逐一列出。】</w:t>
      </w:r>
    </w:p>
    <w:p w14:paraId="27385181">
      <w:pPr>
        <w:autoSpaceDE w:val="0"/>
        <w:autoSpaceDN w:val="0"/>
        <w:adjustRightInd w:val="0"/>
        <w:spacing w:line="360" w:lineRule="auto"/>
        <w:ind w:firstLine="420"/>
        <w:jc w:val="left"/>
        <w:rPr>
          <w:rFonts w:ascii="仿宋_GB2312" w:hAnsi="宋体" w:eastAsia="仿宋_GB2312" w:cs="宋体"/>
          <w:color w:val="auto"/>
          <w:kern w:val="0"/>
          <w:sz w:val="24"/>
          <w:highlight w:val="none"/>
        </w:rPr>
      </w:pPr>
      <w:r>
        <w:rPr>
          <w:rFonts w:hint="eastAsia" w:ascii="仿宋_GB2312" w:hAnsi="宋体" w:eastAsia="仿宋_GB2312" w:cs="TimesNewRomanPSMT"/>
          <w:color w:val="auto"/>
          <w:kern w:val="0"/>
          <w:sz w:val="24"/>
          <w:highlight w:val="none"/>
        </w:rPr>
        <w:t>6</w:t>
      </w:r>
      <w:r>
        <w:rPr>
          <w:rFonts w:hint="eastAsia" w:ascii="仿宋_GB2312" w:hAnsi="宋体" w:eastAsia="仿宋_GB2312" w:cs="宋体"/>
          <w:color w:val="auto"/>
          <w:kern w:val="0"/>
          <w:sz w:val="24"/>
          <w:highlight w:val="none"/>
        </w:rPr>
        <w:t>、本协议书自签署之日起生效，合同履行完毕后自动失效。</w:t>
      </w:r>
    </w:p>
    <w:p w14:paraId="4C5CF157">
      <w:pPr>
        <w:autoSpaceDE w:val="0"/>
        <w:autoSpaceDN w:val="0"/>
        <w:adjustRightInd w:val="0"/>
        <w:spacing w:line="360" w:lineRule="auto"/>
        <w:ind w:firstLine="420"/>
        <w:jc w:val="left"/>
        <w:rPr>
          <w:rFonts w:ascii="仿宋_GB2312" w:hAnsi="宋体" w:eastAsia="仿宋_GB2312" w:cs="宋体"/>
          <w:color w:val="auto"/>
          <w:kern w:val="0"/>
          <w:sz w:val="24"/>
          <w:highlight w:val="none"/>
        </w:rPr>
      </w:pPr>
      <w:r>
        <w:rPr>
          <w:rFonts w:hint="eastAsia" w:ascii="仿宋_GB2312" w:hAnsi="宋体" w:eastAsia="仿宋_GB2312" w:cs="TimesNewRomanPSMT"/>
          <w:color w:val="auto"/>
          <w:kern w:val="0"/>
          <w:sz w:val="24"/>
          <w:highlight w:val="none"/>
        </w:rPr>
        <w:t>7</w:t>
      </w:r>
      <w:r>
        <w:rPr>
          <w:rFonts w:hint="eastAsia" w:ascii="仿宋_GB2312" w:hAnsi="宋体" w:eastAsia="仿宋_GB2312" w:cs="宋体"/>
          <w:color w:val="auto"/>
          <w:kern w:val="0"/>
          <w:sz w:val="24"/>
          <w:highlight w:val="none"/>
        </w:rPr>
        <w:t>、本协议书一式</w:t>
      </w:r>
      <w:r>
        <w:rPr>
          <w:rFonts w:hint="eastAsia" w:ascii="仿宋_GB2312" w:hAnsi="宋体" w:eastAsia="仿宋_GB2312" w:cs="宋体"/>
          <w:color w:val="auto"/>
          <w:kern w:val="0"/>
          <w:sz w:val="24"/>
          <w:highlight w:val="none"/>
          <w:u w:val="single"/>
        </w:rPr>
        <w:t xml:space="preserve">    </w:t>
      </w:r>
      <w:r>
        <w:rPr>
          <w:rFonts w:hint="eastAsia" w:ascii="仿宋_GB2312" w:hAnsi="宋体" w:eastAsia="仿宋_GB2312" w:cs="宋体"/>
          <w:color w:val="auto"/>
          <w:kern w:val="0"/>
          <w:sz w:val="24"/>
          <w:highlight w:val="none"/>
        </w:rPr>
        <w:t>份，联合体成员和采购代理机构各执一份。</w:t>
      </w:r>
    </w:p>
    <w:p w14:paraId="560B46A1">
      <w:pPr>
        <w:autoSpaceDE w:val="0"/>
        <w:autoSpaceDN w:val="0"/>
        <w:adjustRightInd w:val="0"/>
        <w:spacing w:line="360" w:lineRule="auto"/>
        <w:ind w:firstLine="420"/>
        <w:jc w:val="left"/>
        <w:rPr>
          <w:rFonts w:ascii="仿宋_GB2312" w:hAnsi="仿宋_GB2312" w:eastAsia="仿宋_GB2312" w:cs="宋体"/>
          <w:color w:val="auto"/>
          <w:kern w:val="0"/>
          <w:sz w:val="24"/>
          <w:highlight w:val="none"/>
        </w:rPr>
      </w:pPr>
      <w:r>
        <w:rPr>
          <w:rFonts w:hint="eastAsia" w:ascii="仿宋_GB2312" w:hAnsi="仿宋_GB2312" w:eastAsia="仿宋_GB2312" w:cs="宋体"/>
          <w:color w:val="auto"/>
          <w:kern w:val="0"/>
          <w:sz w:val="24"/>
          <w:highlight w:val="none"/>
        </w:rPr>
        <w:t>注：本协议书由法定代表人签字的，应附法定代表人身份证明；本协议书由委托代理人签字的，应附法定代表人授权委托书。</w:t>
      </w:r>
    </w:p>
    <w:p w14:paraId="7479902F">
      <w:pPr>
        <w:autoSpaceDE w:val="0"/>
        <w:autoSpaceDN w:val="0"/>
        <w:adjustRightInd w:val="0"/>
        <w:spacing w:line="360" w:lineRule="auto"/>
        <w:jc w:val="left"/>
        <w:rPr>
          <w:rFonts w:ascii="仿宋_GB2312" w:hAnsi="仿宋_GB2312" w:eastAsia="仿宋_GB2312" w:cs="宋体"/>
          <w:color w:val="auto"/>
          <w:kern w:val="0"/>
          <w:sz w:val="24"/>
          <w:highlight w:val="none"/>
        </w:rPr>
      </w:pPr>
      <w:r>
        <w:rPr>
          <w:rFonts w:hint="eastAsia" w:ascii="仿宋_GB2312" w:hAnsi="仿宋_GB2312" w:eastAsia="仿宋_GB2312" w:cs="宋体"/>
          <w:color w:val="auto"/>
          <w:kern w:val="0"/>
          <w:sz w:val="24"/>
          <w:highlight w:val="none"/>
        </w:rPr>
        <w:t>牵头人名称：</w:t>
      </w:r>
      <w:r>
        <w:rPr>
          <w:rFonts w:hint="eastAsia" w:ascii="仿宋_GB2312" w:hAnsi="仿宋_GB2312" w:eastAsia="仿宋_GB2312" w:cs="宋体"/>
          <w:color w:val="auto"/>
          <w:kern w:val="0"/>
          <w:sz w:val="24"/>
          <w:highlight w:val="none"/>
          <w:u w:val="single"/>
        </w:rPr>
        <w:t xml:space="preserve">                                       </w:t>
      </w:r>
      <w:r>
        <w:rPr>
          <w:rFonts w:hint="eastAsia" w:ascii="仿宋_GB2312" w:hAnsi="仿宋_GB2312" w:eastAsia="仿宋_GB2312" w:cs="宋体"/>
          <w:color w:val="auto"/>
          <w:kern w:val="0"/>
          <w:sz w:val="24"/>
          <w:highlight w:val="none"/>
        </w:rPr>
        <w:t>（盖单位公章）</w:t>
      </w:r>
    </w:p>
    <w:p w14:paraId="3E89300D">
      <w:pPr>
        <w:autoSpaceDE w:val="0"/>
        <w:autoSpaceDN w:val="0"/>
        <w:adjustRightInd w:val="0"/>
        <w:spacing w:line="360" w:lineRule="auto"/>
        <w:jc w:val="left"/>
        <w:rPr>
          <w:rFonts w:ascii="仿宋_GB2312" w:hAnsi="仿宋_GB2312" w:eastAsia="仿宋_GB2312" w:cs="宋体"/>
          <w:color w:val="auto"/>
          <w:kern w:val="0"/>
          <w:sz w:val="24"/>
          <w:highlight w:val="none"/>
        </w:rPr>
      </w:pPr>
      <w:r>
        <w:rPr>
          <w:rFonts w:hint="eastAsia" w:ascii="仿宋_GB2312" w:hAnsi="仿宋_GB2312" w:eastAsia="仿宋_GB2312" w:cs="宋体"/>
          <w:color w:val="auto"/>
          <w:kern w:val="0"/>
          <w:sz w:val="24"/>
          <w:highlight w:val="none"/>
        </w:rPr>
        <w:t>法定代表人或其委托代理人：</w:t>
      </w:r>
      <w:r>
        <w:rPr>
          <w:rFonts w:hint="eastAsia" w:ascii="仿宋_GB2312" w:hAnsi="仿宋_GB2312" w:eastAsia="仿宋_GB2312" w:cs="宋体"/>
          <w:color w:val="auto"/>
          <w:kern w:val="0"/>
          <w:sz w:val="24"/>
          <w:highlight w:val="none"/>
          <w:u w:val="single"/>
        </w:rPr>
        <w:t xml:space="preserve">                         </w:t>
      </w:r>
      <w:r>
        <w:rPr>
          <w:rFonts w:hint="eastAsia" w:ascii="仿宋_GB2312" w:hAnsi="仿宋_GB2312" w:eastAsia="仿宋_GB2312" w:cs="宋体"/>
          <w:color w:val="auto"/>
          <w:kern w:val="0"/>
          <w:sz w:val="24"/>
          <w:highlight w:val="none"/>
        </w:rPr>
        <w:t>（签字或盖章）</w:t>
      </w:r>
    </w:p>
    <w:p w14:paraId="42723AC3">
      <w:pPr>
        <w:autoSpaceDE w:val="0"/>
        <w:autoSpaceDN w:val="0"/>
        <w:adjustRightInd w:val="0"/>
        <w:spacing w:line="360" w:lineRule="auto"/>
        <w:jc w:val="left"/>
        <w:rPr>
          <w:rFonts w:ascii="仿宋_GB2312" w:hAnsi="仿宋_GB2312" w:eastAsia="仿宋_GB2312" w:cs="宋体"/>
          <w:color w:val="auto"/>
          <w:kern w:val="0"/>
          <w:sz w:val="24"/>
          <w:highlight w:val="none"/>
        </w:rPr>
      </w:pPr>
    </w:p>
    <w:p w14:paraId="0876D5BB">
      <w:pPr>
        <w:autoSpaceDE w:val="0"/>
        <w:autoSpaceDN w:val="0"/>
        <w:adjustRightInd w:val="0"/>
        <w:spacing w:line="360" w:lineRule="auto"/>
        <w:jc w:val="left"/>
        <w:rPr>
          <w:rFonts w:ascii="仿宋_GB2312" w:hAnsi="仿宋_GB2312" w:eastAsia="仿宋_GB2312" w:cs="宋体"/>
          <w:color w:val="auto"/>
          <w:kern w:val="0"/>
          <w:sz w:val="24"/>
          <w:highlight w:val="none"/>
        </w:rPr>
      </w:pPr>
      <w:r>
        <w:rPr>
          <w:rFonts w:hint="eastAsia" w:ascii="仿宋_GB2312" w:hAnsi="仿宋_GB2312" w:eastAsia="仿宋_GB2312" w:cs="宋体"/>
          <w:color w:val="auto"/>
          <w:kern w:val="0"/>
          <w:sz w:val="24"/>
          <w:highlight w:val="none"/>
        </w:rPr>
        <w:t>成员一名称：</w:t>
      </w:r>
      <w:r>
        <w:rPr>
          <w:rFonts w:hint="eastAsia" w:ascii="仿宋_GB2312" w:hAnsi="仿宋_GB2312" w:eastAsia="仿宋_GB2312" w:cs="宋体"/>
          <w:color w:val="auto"/>
          <w:kern w:val="0"/>
          <w:sz w:val="24"/>
          <w:highlight w:val="none"/>
          <w:u w:val="single"/>
        </w:rPr>
        <w:t xml:space="preserve">                                       </w:t>
      </w:r>
      <w:r>
        <w:rPr>
          <w:rFonts w:hint="eastAsia" w:ascii="仿宋_GB2312" w:hAnsi="仿宋_GB2312" w:eastAsia="仿宋_GB2312" w:cs="宋体"/>
          <w:color w:val="auto"/>
          <w:kern w:val="0"/>
          <w:sz w:val="24"/>
          <w:highlight w:val="none"/>
        </w:rPr>
        <w:t>（盖单位公章）</w:t>
      </w:r>
    </w:p>
    <w:p w14:paraId="58190924">
      <w:pPr>
        <w:autoSpaceDE w:val="0"/>
        <w:autoSpaceDN w:val="0"/>
        <w:adjustRightInd w:val="0"/>
        <w:spacing w:line="360" w:lineRule="auto"/>
        <w:jc w:val="left"/>
        <w:rPr>
          <w:rFonts w:ascii="仿宋_GB2312" w:hAnsi="仿宋_GB2312" w:eastAsia="仿宋_GB2312" w:cs="宋体"/>
          <w:color w:val="auto"/>
          <w:kern w:val="0"/>
          <w:sz w:val="24"/>
          <w:highlight w:val="none"/>
        </w:rPr>
      </w:pPr>
      <w:r>
        <w:rPr>
          <w:rFonts w:hint="eastAsia" w:ascii="仿宋_GB2312" w:hAnsi="仿宋_GB2312" w:eastAsia="仿宋_GB2312" w:cs="宋体"/>
          <w:color w:val="auto"/>
          <w:kern w:val="0"/>
          <w:sz w:val="24"/>
          <w:highlight w:val="none"/>
        </w:rPr>
        <w:t>法定代表人或其委托代理人：</w:t>
      </w:r>
      <w:r>
        <w:rPr>
          <w:rFonts w:hint="eastAsia" w:ascii="仿宋_GB2312" w:hAnsi="仿宋_GB2312" w:eastAsia="仿宋_GB2312" w:cs="宋体"/>
          <w:color w:val="auto"/>
          <w:kern w:val="0"/>
          <w:sz w:val="24"/>
          <w:highlight w:val="none"/>
          <w:u w:val="single"/>
        </w:rPr>
        <w:t xml:space="preserve">                         </w:t>
      </w:r>
      <w:r>
        <w:rPr>
          <w:rFonts w:hint="eastAsia" w:ascii="仿宋_GB2312" w:hAnsi="仿宋_GB2312" w:eastAsia="仿宋_GB2312" w:cs="宋体"/>
          <w:color w:val="auto"/>
          <w:kern w:val="0"/>
          <w:sz w:val="24"/>
          <w:highlight w:val="none"/>
        </w:rPr>
        <w:t>（签字或盖章）</w:t>
      </w:r>
    </w:p>
    <w:p w14:paraId="19F63990">
      <w:pPr>
        <w:autoSpaceDE w:val="0"/>
        <w:autoSpaceDN w:val="0"/>
        <w:adjustRightInd w:val="0"/>
        <w:spacing w:line="360" w:lineRule="auto"/>
        <w:jc w:val="left"/>
        <w:rPr>
          <w:rFonts w:ascii="宋体" w:cs="宋体"/>
          <w:color w:val="auto"/>
          <w:kern w:val="0"/>
          <w:szCs w:val="21"/>
          <w:highlight w:val="none"/>
        </w:rPr>
      </w:pPr>
    </w:p>
    <w:p w14:paraId="55CEC166">
      <w:pPr>
        <w:autoSpaceDE w:val="0"/>
        <w:autoSpaceDN w:val="0"/>
        <w:adjustRightInd w:val="0"/>
        <w:spacing w:line="360" w:lineRule="auto"/>
        <w:jc w:val="left"/>
        <w:rPr>
          <w:rFonts w:ascii="仿宋_GB2312" w:hAnsi="仿宋_GB2312" w:eastAsia="仿宋_GB2312" w:cs="宋体"/>
          <w:color w:val="auto"/>
          <w:kern w:val="0"/>
          <w:sz w:val="24"/>
          <w:highlight w:val="none"/>
        </w:rPr>
      </w:pPr>
      <w:r>
        <w:rPr>
          <w:rFonts w:hint="eastAsia" w:ascii="仿宋_GB2312" w:hAnsi="仿宋_GB2312" w:eastAsia="仿宋_GB2312" w:cs="宋体"/>
          <w:color w:val="auto"/>
          <w:kern w:val="0"/>
          <w:sz w:val="24"/>
          <w:highlight w:val="none"/>
        </w:rPr>
        <w:t>成员二名称：</w:t>
      </w:r>
      <w:r>
        <w:rPr>
          <w:rFonts w:hint="eastAsia" w:ascii="仿宋_GB2312" w:hAnsi="仿宋_GB2312" w:eastAsia="仿宋_GB2312" w:cs="宋体"/>
          <w:color w:val="auto"/>
          <w:kern w:val="0"/>
          <w:sz w:val="24"/>
          <w:highlight w:val="none"/>
          <w:u w:val="single"/>
        </w:rPr>
        <w:t xml:space="preserve">                                       </w:t>
      </w:r>
      <w:r>
        <w:rPr>
          <w:rFonts w:hint="eastAsia" w:ascii="仿宋_GB2312" w:hAnsi="仿宋_GB2312" w:eastAsia="仿宋_GB2312" w:cs="宋体"/>
          <w:color w:val="auto"/>
          <w:kern w:val="0"/>
          <w:sz w:val="24"/>
          <w:highlight w:val="none"/>
        </w:rPr>
        <w:t>（盖单位公章）</w:t>
      </w:r>
    </w:p>
    <w:p w14:paraId="557B8EE2">
      <w:pPr>
        <w:autoSpaceDE w:val="0"/>
        <w:autoSpaceDN w:val="0"/>
        <w:adjustRightInd w:val="0"/>
        <w:spacing w:line="360" w:lineRule="auto"/>
        <w:jc w:val="left"/>
        <w:rPr>
          <w:rFonts w:ascii="仿宋_GB2312" w:hAnsi="仿宋_GB2312" w:eastAsia="仿宋_GB2312" w:cs="宋体"/>
          <w:color w:val="auto"/>
          <w:kern w:val="0"/>
          <w:sz w:val="24"/>
          <w:highlight w:val="none"/>
        </w:rPr>
      </w:pPr>
      <w:r>
        <w:rPr>
          <w:rFonts w:hint="eastAsia" w:ascii="仿宋_GB2312" w:hAnsi="仿宋_GB2312" w:eastAsia="仿宋_GB2312" w:cs="宋体"/>
          <w:color w:val="auto"/>
          <w:kern w:val="0"/>
          <w:sz w:val="24"/>
          <w:highlight w:val="none"/>
        </w:rPr>
        <w:t>法定代表人或其委托代理人：                         （签字或盖章）</w:t>
      </w:r>
    </w:p>
    <w:p w14:paraId="24CC844B">
      <w:pPr>
        <w:autoSpaceDE w:val="0"/>
        <w:autoSpaceDN w:val="0"/>
        <w:adjustRightInd w:val="0"/>
        <w:spacing w:line="360" w:lineRule="auto"/>
        <w:jc w:val="left"/>
        <w:rPr>
          <w:rFonts w:ascii="仿宋_GB2312" w:hAnsi="仿宋_GB2312" w:eastAsia="仿宋_GB2312" w:cs="宋体"/>
          <w:color w:val="auto"/>
          <w:kern w:val="0"/>
          <w:sz w:val="24"/>
          <w:highlight w:val="none"/>
        </w:rPr>
      </w:pPr>
    </w:p>
    <w:p w14:paraId="056AF60B">
      <w:pPr>
        <w:autoSpaceDE w:val="0"/>
        <w:autoSpaceDN w:val="0"/>
        <w:adjustRightInd w:val="0"/>
        <w:spacing w:line="360" w:lineRule="auto"/>
        <w:jc w:val="left"/>
        <w:rPr>
          <w:rFonts w:ascii="仿宋_GB2312" w:hAnsi="仿宋_GB2312" w:eastAsia="仿宋_GB2312" w:cs="宋体"/>
          <w:color w:val="auto"/>
          <w:kern w:val="0"/>
          <w:sz w:val="24"/>
          <w:highlight w:val="none"/>
        </w:rPr>
      </w:pPr>
    </w:p>
    <w:p w14:paraId="3727EE34">
      <w:pPr>
        <w:autoSpaceDE w:val="0"/>
        <w:autoSpaceDN w:val="0"/>
        <w:spacing w:line="360" w:lineRule="auto"/>
        <w:ind w:left="4365" w:leftChars="1850" w:hanging="480" w:hangingChars="20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07A56C02">
      <w:pPr>
        <w:autoSpaceDE w:val="0"/>
        <w:autoSpaceDN w:val="0"/>
        <w:spacing w:line="360" w:lineRule="auto"/>
        <w:ind w:firstLine="6120" w:firstLineChars="255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  年  月   日</w:t>
      </w:r>
    </w:p>
    <w:p w14:paraId="6CB5A6A9">
      <w:pPr>
        <w:autoSpaceDE w:val="0"/>
        <w:autoSpaceDN w:val="0"/>
        <w:spacing w:line="360" w:lineRule="auto"/>
        <w:ind w:firstLine="6120" w:firstLineChars="2550"/>
        <w:rPr>
          <w:rFonts w:ascii="仿宋_GB2312" w:hAnsi="仿宋" w:eastAsia="仿宋_GB2312" w:cs="仿宋_GB2312"/>
          <w:color w:val="auto"/>
          <w:kern w:val="0"/>
          <w:sz w:val="24"/>
          <w:highlight w:val="none"/>
          <w:lang w:val="zh-CN"/>
        </w:rPr>
      </w:pPr>
    </w:p>
    <w:p w14:paraId="68D55194">
      <w:pPr>
        <w:autoSpaceDE w:val="0"/>
        <w:autoSpaceDN w:val="0"/>
        <w:spacing w:line="360" w:lineRule="auto"/>
        <w:ind w:firstLine="6120" w:firstLineChars="2550"/>
        <w:rPr>
          <w:rFonts w:ascii="仿宋_GB2312" w:hAnsi="仿宋" w:eastAsia="仿宋_GB2312" w:cs="仿宋_GB2312"/>
          <w:color w:val="auto"/>
          <w:kern w:val="0"/>
          <w:sz w:val="24"/>
          <w:highlight w:val="none"/>
          <w:lang w:val="zh-CN"/>
        </w:rPr>
      </w:pPr>
    </w:p>
    <w:p w14:paraId="77FF38B7">
      <w:pPr>
        <w:autoSpaceDE w:val="0"/>
        <w:autoSpaceDN w:val="0"/>
        <w:spacing w:line="360" w:lineRule="auto"/>
        <w:ind w:firstLine="6120" w:firstLineChars="2550"/>
        <w:rPr>
          <w:rFonts w:ascii="仿宋_GB2312" w:hAnsi="仿宋" w:eastAsia="仿宋_GB2312" w:cs="仿宋_GB2312"/>
          <w:color w:val="auto"/>
          <w:kern w:val="0"/>
          <w:sz w:val="24"/>
          <w:highlight w:val="none"/>
          <w:lang w:val="zh-CN"/>
        </w:rPr>
      </w:pPr>
    </w:p>
    <w:p w14:paraId="1AB77A83">
      <w:pPr>
        <w:jc w:val="center"/>
        <w:rPr>
          <w:b/>
          <w:color w:val="auto"/>
          <w:sz w:val="30"/>
          <w:szCs w:val="30"/>
          <w:highlight w:val="none"/>
        </w:rPr>
      </w:pPr>
      <w:r>
        <w:rPr>
          <w:rFonts w:ascii="仿宋_GB2312" w:hAnsi="仿宋" w:eastAsia="仿宋_GB2312" w:cs="仿宋_GB2312"/>
          <w:color w:val="auto"/>
          <w:highlight w:val="none"/>
          <w:lang w:val="zh-CN"/>
        </w:rPr>
        <w:br w:type="page"/>
      </w:r>
      <w:r>
        <w:rPr>
          <w:rFonts w:hint="eastAsia"/>
          <w:b/>
          <w:color w:val="auto"/>
          <w:sz w:val="30"/>
          <w:szCs w:val="30"/>
          <w:highlight w:val="none"/>
        </w:rPr>
        <w:t>八、中小企业声明函</w:t>
      </w:r>
    </w:p>
    <w:p w14:paraId="699122D4">
      <w:pPr>
        <w:spacing w:line="440" w:lineRule="exact"/>
        <w:rPr>
          <w:rFonts w:hint="eastAsia" w:ascii="宋体" w:hAnsi="宋体" w:cs="宋体"/>
          <w:color w:val="auto"/>
          <w:spacing w:val="-4"/>
          <w:szCs w:val="21"/>
          <w:highlight w:val="none"/>
        </w:rPr>
      </w:pPr>
      <w:r>
        <w:rPr>
          <w:rFonts w:hint="eastAsia" w:ascii="宋体" w:hAnsi="宋体" w:cs="宋体"/>
          <w:color w:val="auto"/>
          <w:spacing w:val="-4"/>
          <w:szCs w:val="21"/>
          <w:highlight w:val="none"/>
        </w:rPr>
        <w:t>说明：</w:t>
      </w:r>
    </w:p>
    <w:p w14:paraId="25834646">
      <w:pPr>
        <w:spacing w:line="440" w:lineRule="exact"/>
        <w:ind w:firstLine="404" w:firstLineChars="200"/>
        <w:rPr>
          <w:rFonts w:hint="eastAsia" w:ascii="宋体" w:hAnsi="宋体" w:cs="宋体"/>
          <w:color w:val="auto"/>
          <w:spacing w:val="-4"/>
          <w:szCs w:val="21"/>
          <w:highlight w:val="none"/>
        </w:rPr>
      </w:pPr>
      <w:r>
        <w:rPr>
          <w:rFonts w:hint="eastAsia" w:ascii="宋体" w:hAnsi="宋体" w:cs="宋体"/>
          <w:color w:val="auto"/>
          <w:spacing w:val="-4"/>
          <w:szCs w:val="21"/>
          <w:highlight w:val="none"/>
        </w:rPr>
        <w:t>1、本声明函主要供参加政府采购活动的中小企业填写，非中小企业无需填写。</w:t>
      </w:r>
    </w:p>
    <w:p w14:paraId="6BEEB9E6">
      <w:pPr>
        <w:spacing w:line="440" w:lineRule="exact"/>
        <w:ind w:firstLine="404" w:firstLineChars="200"/>
        <w:rPr>
          <w:rFonts w:hint="eastAsia" w:ascii="宋体" w:hAnsi="宋体" w:cs="宋体"/>
          <w:color w:val="auto"/>
          <w:spacing w:val="-4"/>
          <w:szCs w:val="21"/>
          <w:highlight w:val="none"/>
        </w:rPr>
      </w:pPr>
      <w:r>
        <w:rPr>
          <w:rFonts w:hint="eastAsia" w:ascii="宋体" w:hAnsi="宋体" w:cs="宋体"/>
          <w:color w:val="auto"/>
          <w:spacing w:val="-4"/>
          <w:szCs w:val="21"/>
          <w:highlight w:val="none"/>
        </w:rPr>
        <w:t>2、小型、微型企业提供中型企业提供的服务的，视同为中型企业。</w:t>
      </w:r>
    </w:p>
    <w:p w14:paraId="22E93403">
      <w:pPr>
        <w:spacing w:line="440" w:lineRule="exact"/>
        <w:ind w:firstLine="404" w:firstLineChars="200"/>
        <w:rPr>
          <w:rFonts w:hint="eastAsia" w:ascii="宋体" w:hAnsi="宋体" w:cs="宋体"/>
          <w:color w:val="auto"/>
          <w:spacing w:val="-4"/>
          <w:szCs w:val="21"/>
          <w:highlight w:val="none"/>
        </w:rPr>
      </w:pPr>
    </w:p>
    <w:p w14:paraId="59615A2F">
      <w:pPr>
        <w:spacing w:after="120" w:line="440" w:lineRule="exact"/>
        <w:ind w:right="142" w:firstLine="420" w:firstLineChars="200"/>
        <w:rPr>
          <w:rFonts w:hint="eastAsia" w:ascii="宋体" w:hAnsi="宋体" w:cs="宋体"/>
          <w:color w:val="auto"/>
          <w:szCs w:val="21"/>
          <w:highlight w:val="none"/>
        </w:rPr>
      </w:pPr>
      <w:r>
        <w:rPr>
          <w:rFonts w:hint="eastAsia" w:ascii="宋体" w:hAnsi="宋体" w:cs="宋体"/>
          <w:color w:val="auto"/>
          <w:szCs w:val="21"/>
          <w:highlight w:val="none"/>
        </w:rPr>
        <w:t>本公司（联合体）郑重声明，根据《政府采购促进中小企业发展管理办法》（财库﹝2020﹞46号）的规定，本公司（联合体）参加</w:t>
      </w:r>
      <w:r>
        <w:rPr>
          <w:rFonts w:hint="eastAsia" w:ascii="宋体" w:hAnsi="宋体" w:cs="宋体"/>
          <w:color w:val="auto"/>
          <w:szCs w:val="21"/>
          <w:highlight w:val="none"/>
          <w:u w:val="single"/>
        </w:rPr>
        <w:t>（单位名称）</w:t>
      </w:r>
      <w:r>
        <w:rPr>
          <w:rFonts w:hint="eastAsia" w:ascii="宋体" w:hAnsi="宋体" w:cs="宋体"/>
          <w:color w:val="auto"/>
          <w:szCs w:val="21"/>
          <w:highlight w:val="none"/>
        </w:rPr>
        <w:t>的</w:t>
      </w:r>
      <w:r>
        <w:rPr>
          <w:rFonts w:hint="eastAsia" w:ascii="宋体" w:hAnsi="宋体" w:cs="宋体"/>
          <w:color w:val="auto"/>
          <w:szCs w:val="21"/>
          <w:highlight w:val="none"/>
          <w:u w:val="single"/>
        </w:rPr>
        <w:t>（项目名称）</w:t>
      </w:r>
      <w:r>
        <w:rPr>
          <w:rFonts w:hint="eastAsia" w:ascii="宋体" w:hAnsi="宋体" w:cs="宋体"/>
          <w:color w:val="auto"/>
          <w:szCs w:val="21"/>
          <w:highlight w:val="none"/>
        </w:rPr>
        <w:t>采购活动，服务全部由符合政策要求的中小企业承接。相关企业（含联合体中的中小企业、签订分包意向协议的中小企业）的具体情况如下：</w:t>
      </w:r>
    </w:p>
    <w:p w14:paraId="35BD6A85">
      <w:pPr>
        <w:tabs>
          <w:tab w:val="left" w:pos="1384"/>
          <w:tab w:val="left" w:pos="4562"/>
          <w:tab w:val="left" w:pos="6803"/>
        </w:tabs>
        <w:spacing w:before="13" w:line="440" w:lineRule="exact"/>
        <w:ind w:right="142" w:firstLine="600" w:firstLineChars="286"/>
        <w:rPr>
          <w:rFonts w:hint="eastAsia"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u w:val="single"/>
        </w:rPr>
        <w:t>（标的名称）</w:t>
      </w:r>
      <w:r>
        <w:rPr>
          <w:rFonts w:hint="eastAsia" w:ascii="宋体" w:hAnsi="宋体" w:cs="宋体"/>
          <w:color w:val="auto"/>
          <w:szCs w:val="21"/>
          <w:highlight w:val="none"/>
        </w:rPr>
        <w:t>，属于</w:t>
      </w:r>
      <w:r>
        <w:rPr>
          <w:rFonts w:hint="eastAsia" w:ascii="宋体" w:hAnsi="宋体" w:cs="宋体"/>
          <w:color w:val="auto"/>
          <w:szCs w:val="21"/>
          <w:highlight w:val="none"/>
          <w:u w:val="single"/>
        </w:rPr>
        <w:t>（采购文件中明确的所属行业）</w:t>
      </w:r>
      <w:r>
        <w:rPr>
          <w:rFonts w:hint="eastAsia" w:ascii="宋体" w:hAnsi="宋体" w:cs="宋体"/>
          <w:color w:val="auto"/>
          <w:szCs w:val="21"/>
          <w:highlight w:val="none"/>
        </w:rPr>
        <w:t>；承接企业为</w:t>
      </w:r>
      <w:r>
        <w:rPr>
          <w:rFonts w:hint="eastAsia" w:ascii="宋体" w:hAnsi="宋体" w:cs="宋体"/>
          <w:color w:val="auto"/>
          <w:szCs w:val="21"/>
          <w:highlight w:val="none"/>
          <w:u w:val="single"/>
        </w:rPr>
        <w:t>（企业名称）</w:t>
      </w:r>
      <w:r>
        <w:rPr>
          <w:rFonts w:hint="eastAsia" w:ascii="宋体" w:hAnsi="宋体" w:cs="宋体"/>
          <w:color w:val="auto"/>
          <w:szCs w:val="21"/>
          <w:highlight w:val="none"/>
        </w:rPr>
        <w:t>，从业人员人，营业收入为万元，资产总额为万元，属于</w:t>
      </w:r>
      <w:r>
        <w:rPr>
          <w:rFonts w:hint="eastAsia" w:ascii="宋体" w:hAnsi="宋体" w:cs="宋体"/>
          <w:color w:val="auto"/>
          <w:szCs w:val="21"/>
          <w:highlight w:val="none"/>
          <w:u w:val="single"/>
        </w:rPr>
        <w:t>（中型企业、小型企业、微型企业）</w:t>
      </w:r>
      <w:r>
        <w:rPr>
          <w:rFonts w:hint="eastAsia" w:ascii="宋体" w:hAnsi="宋体" w:cs="宋体"/>
          <w:color w:val="auto"/>
          <w:szCs w:val="21"/>
          <w:highlight w:val="none"/>
        </w:rPr>
        <w:t>；</w:t>
      </w:r>
    </w:p>
    <w:p w14:paraId="194F4965">
      <w:pPr>
        <w:tabs>
          <w:tab w:val="left" w:pos="1065"/>
          <w:tab w:val="left" w:pos="4262"/>
          <w:tab w:val="left" w:pos="6477"/>
        </w:tabs>
        <w:spacing w:before="20" w:line="440" w:lineRule="exact"/>
        <w:ind w:right="84" w:firstLine="600" w:firstLineChars="286"/>
        <w:rPr>
          <w:rFonts w:hint="eastAsia" w:ascii="宋体" w:hAnsi="宋体" w:cs="宋体"/>
          <w:color w:val="auto"/>
          <w:szCs w:val="21"/>
          <w:highlight w:val="none"/>
          <w:u w:val="single"/>
        </w:rPr>
      </w:pPr>
      <w:r>
        <w:rPr>
          <w:rFonts w:hint="eastAsia" w:ascii="宋体" w:hAnsi="宋体" w:cs="宋体"/>
          <w:color w:val="auto"/>
          <w:szCs w:val="21"/>
          <w:highlight w:val="none"/>
        </w:rPr>
        <w:t>2.</w:t>
      </w:r>
      <w:r>
        <w:rPr>
          <w:rFonts w:hint="eastAsia" w:ascii="宋体" w:hAnsi="宋体" w:cs="宋体"/>
          <w:color w:val="auto"/>
          <w:szCs w:val="21"/>
          <w:highlight w:val="none"/>
          <w:u w:val="single"/>
        </w:rPr>
        <w:t>（标的名称）</w:t>
      </w:r>
      <w:r>
        <w:rPr>
          <w:rFonts w:hint="eastAsia" w:ascii="宋体" w:hAnsi="宋体" w:cs="宋体"/>
          <w:color w:val="auto"/>
          <w:szCs w:val="21"/>
          <w:highlight w:val="none"/>
        </w:rPr>
        <w:t>，属于</w:t>
      </w:r>
      <w:r>
        <w:rPr>
          <w:rFonts w:hint="eastAsia" w:ascii="宋体" w:hAnsi="宋体" w:cs="宋体"/>
          <w:color w:val="auto"/>
          <w:szCs w:val="21"/>
          <w:highlight w:val="none"/>
          <w:u w:val="single"/>
        </w:rPr>
        <w:t>（采购文件中明确的所属行业）</w:t>
      </w:r>
      <w:r>
        <w:rPr>
          <w:rFonts w:hint="eastAsia" w:ascii="宋体" w:hAnsi="宋体" w:cs="宋体"/>
          <w:color w:val="auto"/>
          <w:szCs w:val="21"/>
          <w:highlight w:val="none"/>
        </w:rPr>
        <w:t>；承接企业为</w:t>
      </w:r>
      <w:r>
        <w:rPr>
          <w:rFonts w:hint="eastAsia" w:ascii="宋体" w:hAnsi="宋体" w:cs="宋体"/>
          <w:color w:val="auto"/>
          <w:szCs w:val="21"/>
          <w:highlight w:val="none"/>
          <w:u w:val="single"/>
        </w:rPr>
        <w:t>（企业名称）</w:t>
      </w:r>
      <w:r>
        <w:rPr>
          <w:rFonts w:hint="eastAsia" w:ascii="宋体" w:hAnsi="宋体" w:cs="宋体"/>
          <w:color w:val="auto"/>
          <w:szCs w:val="21"/>
          <w:highlight w:val="none"/>
        </w:rPr>
        <w:t>，从业人员人，营业收入为万元，资产总额为万元，属于</w:t>
      </w:r>
      <w:r>
        <w:rPr>
          <w:rFonts w:hint="eastAsia" w:ascii="宋体" w:hAnsi="宋体" w:cs="宋体"/>
          <w:color w:val="auto"/>
          <w:szCs w:val="21"/>
          <w:highlight w:val="none"/>
          <w:u w:val="single"/>
        </w:rPr>
        <w:t>（中型企业、小型企业、微型企业）</w:t>
      </w:r>
      <w:r>
        <w:rPr>
          <w:rFonts w:hint="eastAsia" w:ascii="宋体" w:hAnsi="宋体" w:cs="宋体"/>
          <w:color w:val="auto"/>
          <w:szCs w:val="21"/>
          <w:highlight w:val="none"/>
        </w:rPr>
        <w:t>；</w:t>
      </w:r>
    </w:p>
    <w:p w14:paraId="6366F8F1">
      <w:pPr>
        <w:spacing w:before="34" w:after="120" w:line="440" w:lineRule="exact"/>
        <w:ind w:left="765" w:right="142" w:hanging="5"/>
        <w:rPr>
          <w:rFonts w:hint="eastAsia" w:ascii="宋体" w:hAnsi="宋体" w:cs="宋体"/>
          <w:color w:val="auto"/>
          <w:szCs w:val="21"/>
          <w:highlight w:val="none"/>
        </w:rPr>
      </w:pPr>
      <w:r>
        <w:rPr>
          <w:rFonts w:hint="eastAsia" w:ascii="宋体" w:hAnsi="宋体" w:cs="宋体"/>
          <w:color w:val="auto"/>
          <w:szCs w:val="21"/>
          <w:highlight w:val="none"/>
        </w:rPr>
        <w:t>……</w:t>
      </w:r>
    </w:p>
    <w:p w14:paraId="7A8CE7E7">
      <w:pPr>
        <w:spacing w:before="34" w:after="120" w:line="440" w:lineRule="exact"/>
        <w:ind w:right="142" w:firstLine="420" w:firstLineChars="200"/>
        <w:rPr>
          <w:rFonts w:hint="eastAsia" w:ascii="宋体" w:hAnsi="宋体" w:cs="宋体"/>
          <w:color w:val="auto"/>
          <w:szCs w:val="21"/>
          <w:highlight w:val="none"/>
        </w:rPr>
      </w:pPr>
      <w:r>
        <w:rPr>
          <w:rFonts w:hint="eastAsia" w:ascii="宋体" w:hAnsi="宋体" w:cs="宋体"/>
          <w:color w:val="auto"/>
          <w:szCs w:val="21"/>
          <w:highlight w:val="none"/>
        </w:rPr>
        <w:t>以上企业，不属于大企业的分支机构，不存在控股股东为大企业的情形，也不存在与大企业的负责人为同一人的情形。</w:t>
      </w:r>
    </w:p>
    <w:p w14:paraId="41ACA9F5">
      <w:pPr>
        <w:spacing w:before="34" w:after="120" w:line="440" w:lineRule="exact"/>
        <w:ind w:right="142" w:firstLine="420" w:firstLineChars="200"/>
        <w:rPr>
          <w:rFonts w:hint="eastAsia" w:ascii="宋体" w:hAnsi="宋体" w:cs="宋体"/>
          <w:color w:val="auto"/>
          <w:szCs w:val="21"/>
          <w:highlight w:val="none"/>
        </w:rPr>
      </w:pPr>
      <w:r>
        <w:rPr>
          <w:rFonts w:hint="eastAsia" w:ascii="宋体" w:hAnsi="宋体" w:cs="宋体"/>
          <w:color w:val="auto"/>
          <w:szCs w:val="21"/>
          <w:highlight w:val="none"/>
        </w:rPr>
        <w:t>本企业对上述声明内容的真实性负责。如有虚假，将依法承担相应责任。</w:t>
      </w:r>
    </w:p>
    <w:p w14:paraId="5D134C2F">
      <w:pPr>
        <w:spacing w:line="440" w:lineRule="exact"/>
        <w:ind w:firstLine="420" w:firstLineChars="200"/>
        <w:rPr>
          <w:rFonts w:hint="eastAsia" w:ascii="宋体" w:hAnsi="宋体" w:cs="宋体"/>
          <w:color w:val="auto"/>
          <w:szCs w:val="21"/>
          <w:highlight w:val="none"/>
        </w:rPr>
      </w:pPr>
    </w:p>
    <w:p w14:paraId="3FA160B6">
      <w:pPr>
        <w:spacing w:line="440" w:lineRule="exact"/>
        <w:ind w:firstLine="420" w:firstLineChars="200"/>
        <w:rPr>
          <w:rFonts w:hint="eastAsia" w:ascii="宋体" w:hAnsi="宋体" w:cs="宋体"/>
          <w:color w:val="auto"/>
          <w:szCs w:val="21"/>
          <w:highlight w:val="none"/>
        </w:rPr>
      </w:pPr>
    </w:p>
    <w:p w14:paraId="5F747856">
      <w:pPr>
        <w:snapToGrid w:val="0"/>
        <w:spacing w:line="440" w:lineRule="exact"/>
        <w:ind w:firstLine="4410" w:firstLineChars="2100"/>
        <w:rPr>
          <w:rFonts w:hint="eastAsia" w:ascii="宋体" w:hAnsi="宋体" w:cs="宋体"/>
          <w:color w:val="auto"/>
          <w:kern w:val="0"/>
          <w:szCs w:val="21"/>
          <w:highlight w:val="none"/>
        </w:rPr>
      </w:pPr>
      <w:r>
        <w:rPr>
          <w:rFonts w:hint="eastAsia" w:ascii="宋体" w:hAnsi="宋体" w:cs="宋体"/>
          <w:color w:val="auto"/>
          <w:kern w:val="0"/>
          <w:szCs w:val="21"/>
          <w:highlight w:val="none"/>
          <w:lang w:val="zh-CN"/>
        </w:rPr>
        <w:t>投标人名称(电子签章)：</w:t>
      </w:r>
    </w:p>
    <w:p w14:paraId="1176C263">
      <w:pPr>
        <w:snapToGrid w:val="0"/>
        <w:spacing w:line="440" w:lineRule="exact"/>
        <w:ind w:firstLine="4515" w:firstLineChars="2150"/>
        <w:rPr>
          <w:rFonts w:hint="eastAsia" w:ascii="宋体" w:hAnsi="宋体" w:cs="宋体"/>
          <w:color w:val="auto"/>
          <w:kern w:val="0"/>
          <w:szCs w:val="21"/>
          <w:highlight w:val="none"/>
          <w:lang w:val="zh-CN"/>
        </w:rPr>
      </w:pPr>
      <w:r>
        <w:rPr>
          <w:rFonts w:hint="eastAsia" w:ascii="宋体" w:hAnsi="宋体" w:cs="宋体"/>
          <w:color w:val="auto"/>
          <w:kern w:val="0"/>
          <w:szCs w:val="21"/>
          <w:highlight w:val="none"/>
          <w:lang w:val="zh-CN"/>
        </w:rPr>
        <w:t>日期</w:t>
      </w:r>
      <w:r>
        <w:rPr>
          <w:rFonts w:hint="eastAsia" w:ascii="宋体" w:hAnsi="宋体" w:cs="宋体"/>
          <w:color w:val="auto"/>
          <w:kern w:val="0"/>
          <w:szCs w:val="21"/>
          <w:highlight w:val="none"/>
        </w:rPr>
        <w:t xml:space="preserve">：  年  </w:t>
      </w:r>
      <w:r>
        <w:rPr>
          <w:rFonts w:hint="eastAsia" w:ascii="宋体" w:hAnsi="宋体" w:cs="宋体"/>
          <w:color w:val="auto"/>
          <w:kern w:val="0"/>
          <w:szCs w:val="21"/>
          <w:highlight w:val="none"/>
          <w:lang w:val="zh-CN"/>
        </w:rPr>
        <w:t>月日</w:t>
      </w:r>
    </w:p>
    <w:p w14:paraId="208E4535">
      <w:pPr>
        <w:spacing w:line="440" w:lineRule="exact"/>
        <w:ind w:firstLine="420" w:firstLineChars="200"/>
        <w:rPr>
          <w:rFonts w:hint="eastAsia" w:ascii="宋体" w:hAnsi="宋体" w:cs="宋体"/>
          <w:color w:val="auto"/>
          <w:szCs w:val="21"/>
          <w:highlight w:val="none"/>
        </w:rPr>
      </w:pPr>
    </w:p>
    <w:p w14:paraId="1BC4CBD0">
      <w:pPr>
        <w:snapToGrid w:val="0"/>
        <w:spacing w:before="50" w:after="165" w:afterLines="50" w:line="440" w:lineRule="exact"/>
        <w:jc w:val="left"/>
        <w:rPr>
          <w:rFonts w:hint="eastAsia" w:ascii="宋体" w:hAnsi="宋体" w:cs="宋体"/>
          <w:color w:val="auto"/>
          <w:szCs w:val="21"/>
          <w:highlight w:val="none"/>
        </w:rPr>
      </w:pPr>
      <w:r>
        <w:rPr>
          <w:rFonts w:hint="eastAsia" w:ascii="宋体" w:hAnsi="宋体" w:cs="宋体"/>
          <w:color w:val="auto"/>
          <w:szCs w:val="21"/>
          <w:highlight w:val="none"/>
        </w:rPr>
        <w:t>注：</w:t>
      </w:r>
    </w:p>
    <w:p w14:paraId="758424B7">
      <w:pPr>
        <w:numPr>
          <w:ilvl w:val="0"/>
          <w:numId w:val="3"/>
        </w:numPr>
        <w:snapToGrid w:val="0"/>
        <w:spacing w:before="50" w:after="165" w:afterLines="50" w:line="440" w:lineRule="exact"/>
        <w:jc w:val="left"/>
        <w:rPr>
          <w:rFonts w:hint="eastAsia" w:ascii="宋体" w:hAnsi="宋体" w:cs="宋体"/>
          <w:color w:val="auto"/>
          <w:szCs w:val="21"/>
          <w:highlight w:val="none"/>
        </w:rPr>
      </w:pPr>
      <w:r>
        <w:rPr>
          <w:rFonts w:hint="eastAsia" w:ascii="宋体" w:hAnsi="宋体" w:cs="宋体"/>
          <w:color w:val="auto"/>
          <w:szCs w:val="21"/>
          <w:highlight w:val="none"/>
        </w:rPr>
        <w:t>从业人员、营业收入、资产总额填报上一年度数据，无上一年度数据的新成立企业可不填报。</w:t>
      </w:r>
    </w:p>
    <w:p w14:paraId="201DCC75">
      <w:pPr>
        <w:snapToGrid w:val="0"/>
        <w:spacing w:before="50" w:after="165" w:afterLines="50" w:line="440" w:lineRule="exact"/>
        <w:ind w:firstLine="315" w:firstLineChars="150"/>
        <w:jc w:val="left"/>
        <w:rPr>
          <w:rFonts w:hint="eastAsia" w:ascii="宋体" w:hAnsi="宋体" w:cs="宋体"/>
          <w:color w:val="auto"/>
          <w:szCs w:val="21"/>
          <w:highlight w:val="none"/>
        </w:rPr>
      </w:pPr>
      <w:r>
        <w:rPr>
          <w:rFonts w:hint="eastAsia" w:ascii="宋体" w:hAnsi="宋体" w:cs="宋体"/>
          <w:color w:val="auto"/>
          <w:szCs w:val="21"/>
          <w:highlight w:val="none"/>
        </w:rPr>
        <w:t>2、请根据自己的真实情况出具《中小企业声明函》。依法享受中小企业优惠政策的，采购人或者采购代理机构在公告中标结果时，同时公告其《中小企业声明函》，接受社会监督。</w:t>
      </w:r>
    </w:p>
    <w:p w14:paraId="56EA1641">
      <w:pPr>
        <w:widowControl/>
        <w:spacing w:line="360" w:lineRule="auto"/>
        <w:jc w:val="left"/>
        <w:rPr>
          <w:rFonts w:hint="eastAsia" w:ascii="宋体" w:hAnsi="宋体" w:cs="宋体"/>
          <w:b/>
          <w:color w:val="auto"/>
          <w:sz w:val="22"/>
          <w:highlight w:val="none"/>
        </w:rPr>
        <w:sectPr>
          <w:pgSz w:w="11906" w:h="16838"/>
          <w:pgMar w:top="1134" w:right="1134" w:bottom="1134" w:left="1134" w:header="720" w:footer="720" w:gutter="0"/>
          <w:cols w:space="720" w:num="1"/>
          <w:docGrid w:type="lines" w:linePitch="331" w:charSpace="0"/>
        </w:sectPr>
      </w:pPr>
    </w:p>
    <w:p w14:paraId="3FC03AEF">
      <w:pPr>
        <w:pStyle w:val="3"/>
        <w:jc w:val="center"/>
        <w:rPr>
          <w:rFonts w:ascii="宋体" w:hAnsi="宋体" w:cs="宋体"/>
          <w:b w:val="0"/>
          <w:color w:val="auto"/>
          <w:highlight w:val="none"/>
        </w:rPr>
      </w:pPr>
      <w:bookmarkStart w:id="70" w:name="_Toc16804"/>
      <w:bookmarkStart w:id="71" w:name="_Toc80205940"/>
      <w:r>
        <w:rPr>
          <w:rFonts w:hint="eastAsia" w:ascii="宋体" w:hAnsi="宋体"/>
          <w:b w:val="0"/>
          <w:bCs w:val="0"/>
          <w:color w:val="auto"/>
          <w:highlight w:val="none"/>
        </w:rPr>
        <w:t xml:space="preserve">第三节 </w:t>
      </w:r>
      <w:r>
        <w:rPr>
          <w:rFonts w:hint="eastAsia" w:ascii="宋体" w:hAnsi="宋体"/>
          <w:b w:val="0"/>
          <w:color w:val="auto"/>
          <w:highlight w:val="none"/>
        </w:rPr>
        <w:t>商务技术文件格式</w:t>
      </w:r>
      <w:bookmarkEnd w:id="70"/>
      <w:bookmarkEnd w:id="71"/>
    </w:p>
    <w:p w14:paraId="2024136D">
      <w:pPr>
        <w:snapToGrid w:val="0"/>
        <w:spacing w:before="120" w:beforeLines="50" w:after="50"/>
        <w:rPr>
          <w:rFonts w:ascii="宋体" w:hAnsi="宋体"/>
          <w:bCs/>
          <w:color w:val="auto"/>
          <w:sz w:val="32"/>
          <w:szCs w:val="20"/>
          <w:highlight w:val="none"/>
        </w:rPr>
      </w:pPr>
      <w:r>
        <w:rPr>
          <w:rFonts w:hint="eastAsia" w:ascii="宋体" w:hAnsi="宋体"/>
          <w:color w:val="auto"/>
          <w:sz w:val="24"/>
          <w:highlight w:val="none"/>
        </w:rPr>
        <w:t xml:space="preserve">                                                    </w:t>
      </w:r>
      <w:r>
        <w:rPr>
          <w:rFonts w:hint="eastAsia" w:ascii="宋体" w:hAnsi="宋体"/>
          <w:bCs/>
          <w:color w:val="auto"/>
          <w:highlight w:val="none"/>
        </w:rPr>
        <w:t>全流程电子文件</w:t>
      </w:r>
    </w:p>
    <w:p w14:paraId="38E79D0D">
      <w:pPr>
        <w:snapToGrid w:val="0"/>
        <w:spacing w:before="120" w:beforeLines="50" w:after="50"/>
        <w:rPr>
          <w:rFonts w:ascii="宋体" w:hAnsi="宋体"/>
          <w:color w:val="auto"/>
          <w:sz w:val="24"/>
          <w:szCs w:val="20"/>
          <w:highlight w:val="none"/>
        </w:rPr>
      </w:pPr>
    </w:p>
    <w:p w14:paraId="006C7F2B">
      <w:pPr>
        <w:snapToGrid w:val="0"/>
        <w:spacing w:before="120" w:beforeLines="50" w:after="50"/>
        <w:rPr>
          <w:rFonts w:ascii="宋体" w:hAnsi="宋体"/>
          <w:color w:val="auto"/>
          <w:sz w:val="24"/>
          <w:szCs w:val="20"/>
          <w:highlight w:val="none"/>
        </w:rPr>
      </w:pPr>
    </w:p>
    <w:p w14:paraId="453B7342">
      <w:pPr>
        <w:snapToGrid w:val="0"/>
        <w:spacing w:before="120" w:beforeLines="50" w:after="50"/>
        <w:rPr>
          <w:rFonts w:ascii="宋体" w:hAnsi="宋体"/>
          <w:color w:val="auto"/>
          <w:sz w:val="24"/>
          <w:szCs w:val="20"/>
          <w:highlight w:val="none"/>
        </w:rPr>
      </w:pPr>
    </w:p>
    <w:p w14:paraId="7C491C94">
      <w:pPr>
        <w:snapToGrid w:val="0"/>
        <w:spacing w:before="120" w:beforeLines="50" w:after="50"/>
        <w:jc w:val="center"/>
        <w:rPr>
          <w:rFonts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商  务  技  术  文  件（封面）</w:t>
      </w:r>
    </w:p>
    <w:p w14:paraId="443940C1">
      <w:pPr>
        <w:snapToGrid w:val="0"/>
        <w:spacing w:before="120" w:beforeLines="50" w:after="50"/>
        <w:rPr>
          <w:rFonts w:ascii="宋体" w:hAnsi="宋体"/>
          <w:bCs/>
          <w:color w:val="auto"/>
          <w:sz w:val="24"/>
          <w:szCs w:val="20"/>
          <w:highlight w:val="none"/>
        </w:rPr>
      </w:pPr>
    </w:p>
    <w:p w14:paraId="1B09DBC5">
      <w:pPr>
        <w:snapToGrid w:val="0"/>
        <w:spacing w:before="120" w:beforeLines="50" w:after="50"/>
        <w:rPr>
          <w:rFonts w:ascii="宋体" w:hAnsi="宋体"/>
          <w:bCs/>
          <w:color w:val="auto"/>
          <w:sz w:val="24"/>
          <w:szCs w:val="20"/>
          <w:highlight w:val="none"/>
        </w:rPr>
      </w:pPr>
    </w:p>
    <w:p w14:paraId="4DAE0CAC">
      <w:pPr>
        <w:snapToGrid w:val="0"/>
        <w:spacing w:before="120" w:beforeLines="50" w:after="50"/>
        <w:rPr>
          <w:rFonts w:ascii="宋体" w:hAnsi="宋体"/>
          <w:bCs/>
          <w:color w:val="auto"/>
          <w:sz w:val="24"/>
          <w:szCs w:val="20"/>
          <w:highlight w:val="none"/>
        </w:rPr>
      </w:pPr>
    </w:p>
    <w:p w14:paraId="245DF3F0">
      <w:pPr>
        <w:snapToGrid w:val="0"/>
        <w:spacing w:before="120" w:beforeLines="50" w:after="50"/>
        <w:rPr>
          <w:rFonts w:ascii="宋体" w:hAnsi="宋体"/>
          <w:bCs/>
          <w:color w:val="auto"/>
          <w:sz w:val="24"/>
          <w:szCs w:val="20"/>
          <w:highlight w:val="none"/>
        </w:rPr>
      </w:pPr>
    </w:p>
    <w:p w14:paraId="191CDD0B">
      <w:pPr>
        <w:snapToGrid w:val="0"/>
        <w:spacing w:before="120" w:beforeLines="50" w:after="50"/>
        <w:rPr>
          <w:rFonts w:ascii="宋体" w:hAnsi="宋体"/>
          <w:bCs/>
          <w:color w:val="auto"/>
          <w:sz w:val="24"/>
          <w:szCs w:val="20"/>
          <w:highlight w:val="none"/>
        </w:rPr>
      </w:pPr>
    </w:p>
    <w:p w14:paraId="3A8EA14D">
      <w:pPr>
        <w:snapToGrid w:val="0"/>
        <w:spacing w:before="120" w:beforeLines="50" w:after="50"/>
        <w:ind w:firstLine="640" w:firstLineChars="200"/>
        <w:rPr>
          <w:rFonts w:hint="eastAsia" w:ascii="宋体" w:hAnsi="宋体" w:eastAsia="宋体" w:cs="仿宋_GB2312"/>
          <w:bCs/>
          <w:color w:val="auto"/>
          <w:sz w:val="32"/>
          <w:szCs w:val="32"/>
          <w:highlight w:val="none"/>
          <w:lang w:eastAsia="zh-CN"/>
        </w:rPr>
      </w:pPr>
      <w:r>
        <w:rPr>
          <w:rFonts w:hint="eastAsia" w:ascii="宋体" w:hAnsi="宋体" w:cs="仿宋_GB2312"/>
          <w:bCs/>
          <w:color w:val="auto"/>
          <w:sz w:val="32"/>
          <w:szCs w:val="32"/>
          <w:highlight w:val="none"/>
        </w:rPr>
        <w:t>项目名称：</w:t>
      </w:r>
      <w:r>
        <w:rPr>
          <w:rFonts w:hint="eastAsia" w:ascii="宋体" w:hAnsi="宋体" w:cs="仿宋_GB2312"/>
          <w:bCs/>
          <w:color w:val="auto"/>
          <w:sz w:val="32"/>
          <w:szCs w:val="32"/>
          <w:highlight w:val="none"/>
          <w:lang w:eastAsia="zh-CN"/>
        </w:rPr>
        <w:t>南宁市青年人才驿站</w:t>
      </w:r>
    </w:p>
    <w:p w14:paraId="0A4A4A07">
      <w:pPr>
        <w:snapToGrid w:val="0"/>
        <w:spacing w:before="120" w:beforeLines="50" w:after="50"/>
        <w:ind w:firstLine="720" w:firstLineChars="225"/>
        <w:rPr>
          <w:rFonts w:ascii="宋体" w:hAnsi="宋体" w:cs="仿宋_GB2312"/>
          <w:bCs/>
          <w:color w:val="auto"/>
          <w:sz w:val="32"/>
          <w:szCs w:val="32"/>
          <w:highlight w:val="none"/>
        </w:rPr>
      </w:pPr>
    </w:p>
    <w:p w14:paraId="2D921F01">
      <w:pPr>
        <w:snapToGrid w:val="0"/>
        <w:spacing w:before="120" w:beforeLines="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6A24E017">
      <w:pPr>
        <w:snapToGrid w:val="0"/>
        <w:spacing w:before="120" w:beforeLines="50" w:after="50"/>
        <w:ind w:firstLine="720" w:firstLineChars="225"/>
        <w:rPr>
          <w:rFonts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 </w:t>
      </w:r>
    </w:p>
    <w:p w14:paraId="54456BFB">
      <w:pPr>
        <w:snapToGrid w:val="0"/>
        <w:spacing w:before="120" w:beforeLines="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所竞标项（如有则填写，无标项时填写“无”或者留空）：</w:t>
      </w:r>
    </w:p>
    <w:p w14:paraId="1A1BF0AE">
      <w:pPr>
        <w:snapToGrid w:val="0"/>
        <w:spacing w:before="120" w:beforeLines="50" w:after="50"/>
        <w:ind w:firstLine="720" w:firstLineChars="225"/>
        <w:rPr>
          <w:rFonts w:ascii="宋体" w:hAnsi="宋体" w:cs="仿宋_GB2312"/>
          <w:bCs/>
          <w:color w:val="auto"/>
          <w:sz w:val="32"/>
          <w:szCs w:val="32"/>
          <w:highlight w:val="none"/>
        </w:rPr>
      </w:pPr>
    </w:p>
    <w:p w14:paraId="377AF5CF">
      <w:pPr>
        <w:pStyle w:val="7"/>
        <w:snapToGrid w:val="0"/>
        <w:spacing w:before="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33CCBB98">
      <w:pPr>
        <w:pStyle w:val="7"/>
        <w:snapToGrid w:val="0"/>
        <w:spacing w:before="50" w:after="50"/>
        <w:ind w:firstLine="720" w:firstLineChars="225"/>
        <w:rPr>
          <w:rFonts w:ascii="宋体" w:hAnsi="宋体" w:cs="仿宋_GB2312"/>
          <w:bCs/>
          <w:color w:val="auto"/>
          <w:sz w:val="32"/>
          <w:szCs w:val="32"/>
          <w:highlight w:val="none"/>
        </w:rPr>
      </w:pPr>
    </w:p>
    <w:p w14:paraId="09498583">
      <w:pPr>
        <w:pStyle w:val="7"/>
        <w:snapToGrid w:val="0"/>
        <w:spacing w:before="50" w:after="50"/>
        <w:ind w:firstLine="720" w:firstLineChars="225"/>
        <w:rPr>
          <w:rFonts w:ascii="宋体" w:hAnsi="宋体" w:cs="仿宋_GB2312"/>
          <w:bCs/>
          <w:color w:val="auto"/>
          <w:sz w:val="32"/>
          <w:szCs w:val="32"/>
          <w:highlight w:val="none"/>
        </w:rPr>
      </w:pPr>
    </w:p>
    <w:p w14:paraId="43CD01BD">
      <w:pPr>
        <w:pStyle w:val="7"/>
        <w:snapToGrid w:val="0"/>
        <w:spacing w:before="50" w:after="50"/>
        <w:ind w:firstLine="1280" w:firstLineChars="400"/>
        <w:rPr>
          <w:rFonts w:ascii="宋体" w:hAnsi="宋体" w:cs="仿宋_GB2312"/>
          <w:bCs/>
          <w:color w:val="auto"/>
          <w:sz w:val="32"/>
          <w:szCs w:val="32"/>
          <w:highlight w:val="none"/>
        </w:rPr>
      </w:pPr>
    </w:p>
    <w:p w14:paraId="0E6C8EC2">
      <w:pPr>
        <w:snapToGrid w:val="0"/>
        <w:spacing w:before="120" w:beforeLines="50" w:after="50"/>
        <w:jc w:val="center"/>
        <w:rPr>
          <w:rFonts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616439AC">
      <w:pPr>
        <w:widowControl/>
        <w:spacing w:line="360" w:lineRule="auto"/>
        <w:jc w:val="left"/>
        <w:rPr>
          <w:rFonts w:ascii="宋体" w:hAnsi="宋体"/>
          <w:b/>
          <w:bCs/>
          <w:color w:val="auto"/>
          <w:sz w:val="32"/>
          <w:szCs w:val="32"/>
          <w:highlight w:val="none"/>
        </w:rPr>
        <w:sectPr>
          <w:pgSz w:w="11911" w:h="16838"/>
          <w:pgMar w:top="1417" w:right="1417" w:bottom="1417" w:left="1417" w:header="720" w:footer="720" w:gutter="0"/>
          <w:cols w:space="0" w:num="1"/>
        </w:sectPr>
      </w:pPr>
    </w:p>
    <w:p w14:paraId="5E469CAB">
      <w:pPr>
        <w:jc w:val="center"/>
        <w:rPr>
          <w:rFonts w:ascii="仿宋_GB2312" w:hAnsi="仿宋" w:eastAsia="仿宋_GB2312" w:cs="仿宋_GB2312"/>
          <w:b/>
          <w:color w:val="auto"/>
          <w:kern w:val="0"/>
          <w:sz w:val="28"/>
          <w:szCs w:val="28"/>
          <w:highlight w:val="none"/>
        </w:rPr>
      </w:pPr>
      <w:r>
        <w:rPr>
          <w:rFonts w:hint="eastAsia" w:ascii="仿宋_GB2312" w:hAnsi="仿宋" w:eastAsia="仿宋_GB2312" w:cs="仿宋_GB2312"/>
          <w:b/>
          <w:color w:val="auto"/>
          <w:kern w:val="0"/>
          <w:sz w:val="28"/>
          <w:szCs w:val="28"/>
          <w:highlight w:val="none"/>
        </w:rPr>
        <w:t>商务技术文件目录</w:t>
      </w:r>
    </w:p>
    <w:p w14:paraId="15F51484">
      <w:pPr>
        <w:jc w:val="center"/>
        <w:rPr>
          <w:rFonts w:ascii="仿宋_GB2312" w:hAnsi="仿宋" w:eastAsia="仿宋_GB2312" w:cs="仿宋_GB2312"/>
          <w:b/>
          <w:color w:val="auto"/>
          <w:kern w:val="0"/>
          <w:sz w:val="28"/>
          <w:szCs w:val="28"/>
          <w:highlight w:val="none"/>
        </w:rPr>
      </w:pPr>
    </w:p>
    <w:p w14:paraId="117F63DE">
      <w:pPr>
        <w:pStyle w:val="40"/>
        <w:spacing w:line="360" w:lineRule="auto"/>
        <w:rPr>
          <w:rFonts w:cs="仿宋_GB2312"/>
          <w:color w:val="auto"/>
          <w:highlight w:val="none"/>
        </w:rPr>
      </w:pPr>
      <w:r>
        <w:rPr>
          <w:rFonts w:hint="eastAsia" w:cs="仿宋_GB2312"/>
          <w:color w:val="auto"/>
          <w:highlight w:val="none"/>
        </w:rPr>
        <w:t>一、</w:t>
      </w:r>
      <w:r>
        <w:rPr>
          <w:rFonts w:hint="eastAsia" w:ascii="宋体" w:hAnsi="宋体" w:cs="宋体"/>
          <w:color w:val="auto"/>
          <w:szCs w:val="21"/>
          <w:highlight w:val="none"/>
        </w:rPr>
        <w:t>无串通竞标行为的承诺函</w:t>
      </w:r>
      <w:r>
        <w:rPr>
          <w:rFonts w:hint="eastAsia" w:cs="仿宋_GB2312"/>
          <w:color w:val="auto"/>
          <w:highlight w:val="none"/>
        </w:rPr>
        <w:t>………………………………………………（页码）</w:t>
      </w:r>
    </w:p>
    <w:p w14:paraId="4971021E">
      <w:pPr>
        <w:pStyle w:val="40"/>
        <w:spacing w:line="360" w:lineRule="auto"/>
        <w:rPr>
          <w:rFonts w:cs="仿宋_GB2312"/>
          <w:color w:val="auto"/>
          <w:highlight w:val="none"/>
        </w:rPr>
      </w:pPr>
      <w:r>
        <w:rPr>
          <w:rFonts w:hint="eastAsia" w:cs="仿宋_GB2312"/>
          <w:color w:val="auto"/>
          <w:highlight w:val="none"/>
        </w:rPr>
        <w:t>二、法定代表人身份证明及法定代表人有效身份证正反面复印件………（页码）</w:t>
      </w:r>
    </w:p>
    <w:p w14:paraId="3948565D">
      <w:pPr>
        <w:pStyle w:val="40"/>
        <w:spacing w:line="360" w:lineRule="auto"/>
        <w:rPr>
          <w:rFonts w:cs="仿宋_GB2312"/>
          <w:color w:val="auto"/>
          <w:highlight w:val="none"/>
        </w:rPr>
      </w:pPr>
      <w:r>
        <w:rPr>
          <w:rFonts w:hint="eastAsia" w:cs="仿宋_GB2312"/>
          <w:color w:val="auto"/>
          <w:highlight w:val="none"/>
        </w:rPr>
        <w:t>三、法定代表人授权委托书（如有委托时）………………………………（页码）</w:t>
      </w:r>
    </w:p>
    <w:p w14:paraId="1839F297">
      <w:pPr>
        <w:pStyle w:val="40"/>
        <w:spacing w:line="360" w:lineRule="auto"/>
        <w:rPr>
          <w:rFonts w:cs="仿宋_GB2312"/>
          <w:color w:val="auto"/>
          <w:highlight w:val="none"/>
        </w:rPr>
      </w:pPr>
      <w:r>
        <w:rPr>
          <w:rFonts w:hint="eastAsia" w:cs="仿宋_GB2312"/>
          <w:color w:val="auto"/>
          <w:highlight w:val="none"/>
        </w:rPr>
        <w:t>四、</w:t>
      </w:r>
      <w:r>
        <w:rPr>
          <w:rFonts w:hint="eastAsia" w:cs="仿宋_GB2312"/>
          <w:color w:val="auto"/>
          <w:highlight w:val="none"/>
          <w:lang w:val="zh-CN"/>
        </w:rPr>
        <w:t>商务条款偏离表………………………………</w:t>
      </w:r>
      <w:r>
        <w:rPr>
          <w:rFonts w:hint="eastAsia" w:cs="仿宋_GB2312"/>
          <w:color w:val="auto"/>
          <w:highlight w:val="none"/>
        </w:rPr>
        <w:t>…………………………（页码）</w:t>
      </w:r>
    </w:p>
    <w:p w14:paraId="5B2FE51C">
      <w:pPr>
        <w:pStyle w:val="40"/>
        <w:spacing w:line="360" w:lineRule="auto"/>
        <w:rPr>
          <w:rFonts w:cs="仿宋_GB2312"/>
          <w:color w:val="auto"/>
          <w:highlight w:val="none"/>
        </w:rPr>
      </w:pPr>
      <w:bookmarkStart w:id="72" w:name="OLE_LINK6"/>
      <w:bookmarkStart w:id="73" w:name="OLE_LINK7"/>
      <w:bookmarkStart w:id="74" w:name="OLE_LINK5"/>
      <w:r>
        <w:rPr>
          <w:rFonts w:hint="eastAsia" w:cs="仿宋_GB2312"/>
          <w:color w:val="auto"/>
          <w:highlight w:val="none"/>
        </w:rPr>
        <w:t>五、竞标人情况介绍</w:t>
      </w:r>
      <w:r>
        <w:rPr>
          <w:rFonts w:hint="eastAsia" w:cs="仿宋_GB2312"/>
          <w:color w:val="auto"/>
          <w:highlight w:val="none"/>
          <w:lang w:val="zh-CN"/>
        </w:rPr>
        <w:t>………………………………</w:t>
      </w:r>
      <w:r>
        <w:rPr>
          <w:rFonts w:hint="eastAsia" w:cs="仿宋_GB2312"/>
          <w:color w:val="auto"/>
          <w:highlight w:val="none"/>
        </w:rPr>
        <w:t>…………………………（页码）</w:t>
      </w:r>
    </w:p>
    <w:p w14:paraId="4C9EFF76">
      <w:pPr>
        <w:pStyle w:val="40"/>
        <w:spacing w:line="360" w:lineRule="auto"/>
        <w:rPr>
          <w:rFonts w:cs="仿宋_GB2312"/>
          <w:color w:val="auto"/>
          <w:highlight w:val="none"/>
        </w:rPr>
      </w:pPr>
      <w:r>
        <w:rPr>
          <w:rFonts w:hint="eastAsia" w:cs="仿宋_GB2312"/>
          <w:color w:val="auto"/>
          <w:highlight w:val="none"/>
        </w:rPr>
        <w:t>六、供应商类似业绩的证明文件（如有要求）</w:t>
      </w:r>
      <w:r>
        <w:rPr>
          <w:rFonts w:hint="eastAsia" w:cs="仿宋_GB2312"/>
          <w:color w:val="auto"/>
          <w:highlight w:val="none"/>
          <w:lang w:val="zh-CN"/>
        </w:rPr>
        <w:t>……………………………</w:t>
      </w:r>
      <w:r>
        <w:rPr>
          <w:rFonts w:hint="eastAsia" w:cs="仿宋_GB2312"/>
          <w:color w:val="auto"/>
          <w:highlight w:val="none"/>
        </w:rPr>
        <w:t>（页码）</w:t>
      </w:r>
      <w:bookmarkEnd w:id="72"/>
      <w:bookmarkEnd w:id="73"/>
    </w:p>
    <w:bookmarkEnd w:id="74"/>
    <w:p w14:paraId="6D11C891">
      <w:pPr>
        <w:pStyle w:val="40"/>
        <w:spacing w:line="360" w:lineRule="auto"/>
        <w:rPr>
          <w:rFonts w:cs="仿宋_GB2312"/>
          <w:color w:val="auto"/>
          <w:highlight w:val="none"/>
        </w:rPr>
      </w:pPr>
      <w:r>
        <w:rPr>
          <w:rFonts w:hint="eastAsia" w:cs="仿宋_GB2312"/>
          <w:color w:val="auto"/>
          <w:highlight w:val="none"/>
        </w:rPr>
        <w:t>七、服务需求偏离表…………………………………………………………（页码）</w:t>
      </w:r>
    </w:p>
    <w:p w14:paraId="292EC386">
      <w:pPr>
        <w:pStyle w:val="40"/>
        <w:spacing w:line="360" w:lineRule="auto"/>
        <w:rPr>
          <w:rFonts w:cs="仿宋_GB2312"/>
          <w:color w:val="auto"/>
          <w:highlight w:val="none"/>
        </w:rPr>
      </w:pPr>
      <w:r>
        <w:rPr>
          <w:rFonts w:hint="eastAsia" w:cs="仿宋_GB2312"/>
          <w:color w:val="auto"/>
          <w:highlight w:val="none"/>
        </w:rPr>
        <w:t>八、</w:t>
      </w:r>
      <w:r>
        <w:rPr>
          <w:rFonts w:hint="eastAsia" w:cs="仿宋_GB2312"/>
          <w:color w:val="auto"/>
          <w:highlight w:val="none"/>
          <w:lang w:val="en-US" w:eastAsia="zh-CN"/>
        </w:rPr>
        <w:t>项目服务实施方案</w:t>
      </w:r>
      <w:r>
        <w:rPr>
          <w:rFonts w:hint="eastAsia" w:cs="仿宋_GB2312"/>
          <w:color w:val="auto"/>
          <w:highlight w:val="none"/>
        </w:rPr>
        <w:t>………………………………………………………（页码）</w:t>
      </w:r>
    </w:p>
    <w:p w14:paraId="4CBBB15C">
      <w:pPr>
        <w:pStyle w:val="40"/>
        <w:spacing w:line="360" w:lineRule="auto"/>
        <w:rPr>
          <w:rFonts w:cs="仿宋_GB2312"/>
          <w:color w:val="auto"/>
          <w:highlight w:val="none"/>
        </w:rPr>
      </w:pPr>
      <w:r>
        <w:rPr>
          <w:rFonts w:hint="eastAsia" w:cs="仿宋_GB2312"/>
          <w:color w:val="auto"/>
          <w:highlight w:val="none"/>
          <w:lang w:val="en-US" w:eastAsia="zh-CN"/>
        </w:rPr>
        <w:t>九</w:t>
      </w:r>
      <w:r>
        <w:rPr>
          <w:rFonts w:hint="eastAsia" w:cs="仿宋_GB2312"/>
          <w:color w:val="auto"/>
          <w:highlight w:val="none"/>
        </w:rPr>
        <w:t>、</w:t>
      </w:r>
      <w:r>
        <w:rPr>
          <w:rFonts w:hint="eastAsia" w:cs="仿宋_GB2312"/>
          <w:color w:val="auto"/>
          <w:highlight w:val="none"/>
          <w:lang w:val="en-US" w:eastAsia="zh-CN"/>
        </w:rPr>
        <w:t>应急预案</w:t>
      </w:r>
      <w:r>
        <w:rPr>
          <w:rFonts w:hint="eastAsia" w:cs="仿宋_GB2312"/>
          <w:color w:val="auto"/>
          <w:highlight w:val="none"/>
          <w:lang w:val="zh-CN"/>
        </w:rPr>
        <w:t>……………………………………………</w:t>
      </w:r>
      <w:r>
        <w:rPr>
          <w:rFonts w:hint="eastAsia" w:cs="仿宋_GB2312"/>
          <w:color w:val="auto"/>
          <w:highlight w:val="none"/>
        </w:rPr>
        <w:t>……………………（页码）</w:t>
      </w:r>
    </w:p>
    <w:p w14:paraId="114DF028">
      <w:pPr>
        <w:pStyle w:val="40"/>
        <w:spacing w:line="360" w:lineRule="auto"/>
        <w:rPr>
          <w:rFonts w:hint="eastAsia" w:cs="仿宋_GB2312"/>
          <w:color w:val="auto"/>
          <w:highlight w:val="none"/>
        </w:rPr>
      </w:pPr>
      <w:r>
        <w:rPr>
          <w:rFonts w:hint="eastAsia" w:cs="仿宋_GB2312"/>
          <w:color w:val="auto"/>
          <w:highlight w:val="none"/>
        </w:rPr>
        <w:t>十、</w:t>
      </w:r>
      <w:r>
        <w:rPr>
          <w:rFonts w:hint="eastAsia" w:cs="仿宋_GB2312"/>
          <w:color w:val="auto"/>
          <w:highlight w:val="none"/>
          <w:lang w:val="en-US" w:eastAsia="zh-CN"/>
        </w:rPr>
        <w:t>售后及保密方案</w:t>
      </w:r>
      <w:r>
        <w:rPr>
          <w:rFonts w:hint="eastAsia" w:cs="仿宋_GB2312"/>
          <w:color w:val="auto"/>
          <w:highlight w:val="none"/>
          <w:lang w:val="zh-CN"/>
        </w:rPr>
        <w:t>…………………………………………………</w:t>
      </w:r>
      <w:r>
        <w:rPr>
          <w:rFonts w:hint="eastAsia" w:cs="仿宋_GB2312"/>
          <w:color w:val="auto"/>
          <w:highlight w:val="none"/>
        </w:rPr>
        <w:t>………（页码）</w:t>
      </w:r>
    </w:p>
    <w:p w14:paraId="0638FF64">
      <w:pPr>
        <w:pStyle w:val="40"/>
        <w:spacing w:line="360" w:lineRule="auto"/>
        <w:rPr>
          <w:rFonts w:hint="eastAsia" w:eastAsia="宋体" w:cs="仿宋_GB2312"/>
          <w:color w:val="auto"/>
          <w:highlight w:val="none"/>
          <w:lang w:val="en-US" w:eastAsia="zh-CN"/>
        </w:rPr>
      </w:pPr>
      <w:r>
        <w:rPr>
          <w:rFonts w:hint="eastAsia" w:cs="仿宋_GB2312"/>
          <w:color w:val="auto"/>
          <w:highlight w:val="none"/>
          <w:lang w:val="en-US" w:eastAsia="zh-CN"/>
        </w:rPr>
        <w:t>十一、项目实施人员一览表</w:t>
      </w:r>
      <w:r>
        <w:rPr>
          <w:rFonts w:hint="eastAsia" w:cs="仿宋_GB2312"/>
          <w:color w:val="auto"/>
          <w:highlight w:val="none"/>
          <w:lang w:val="zh-CN"/>
        </w:rPr>
        <w:t>…………</w:t>
      </w:r>
      <w:r>
        <w:rPr>
          <w:rFonts w:hint="eastAsia" w:cs="仿宋_GB2312"/>
          <w:color w:val="auto"/>
          <w:highlight w:val="none"/>
        </w:rPr>
        <w:t>…</w:t>
      </w:r>
      <w:r>
        <w:rPr>
          <w:rFonts w:hint="eastAsia" w:cs="仿宋_GB2312"/>
          <w:color w:val="auto"/>
          <w:highlight w:val="none"/>
          <w:lang w:val="zh-CN"/>
        </w:rPr>
        <w:t>………………………………</w:t>
      </w:r>
      <w:r>
        <w:rPr>
          <w:rFonts w:hint="eastAsia" w:cs="仿宋_GB2312"/>
          <w:color w:val="auto"/>
          <w:highlight w:val="none"/>
        </w:rPr>
        <w:t>……（页码）</w:t>
      </w:r>
    </w:p>
    <w:p w14:paraId="767ED6EE">
      <w:pPr>
        <w:spacing w:line="360" w:lineRule="auto"/>
        <w:rPr>
          <w:rFonts w:ascii="仿宋_GB2312" w:hAnsi="仿宋" w:eastAsia="仿宋_GB2312" w:cs="仿宋_GB2312"/>
          <w:b/>
          <w:bCs/>
          <w:color w:val="auto"/>
          <w:sz w:val="24"/>
          <w:highlight w:val="none"/>
        </w:rPr>
      </w:pPr>
      <w:r>
        <w:rPr>
          <w:rFonts w:hint="eastAsia" w:ascii="仿宋_GB2312" w:hAnsi="仿宋" w:eastAsia="仿宋_GB2312" w:cs="仿宋_GB2312"/>
          <w:b/>
          <w:bCs/>
          <w:color w:val="auto"/>
          <w:sz w:val="24"/>
          <w:highlight w:val="none"/>
        </w:rPr>
        <w:t>注：以上目录是基本格式要求，各供应商可根据自身情况进一步向下增加内容或细化。</w:t>
      </w:r>
    </w:p>
    <w:p w14:paraId="63FC8B55">
      <w:pPr>
        <w:spacing w:line="400" w:lineRule="exact"/>
        <w:rPr>
          <w:rFonts w:ascii="仿宋_GB2312" w:hAnsi="仿宋_GB2312" w:eastAsia="仿宋_GB2312" w:cs="仿宋_GB2312"/>
          <w:color w:val="auto"/>
          <w:sz w:val="32"/>
          <w:szCs w:val="32"/>
          <w:highlight w:val="none"/>
        </w:rPr>
      </w:pPr>
    </w:p>
    <w:p w14:paraId="1F3732A1">
      <w:pPr>
        <w:spacing w:line="520" w:lineRule="exact"/>
        <w:ind w:firstLine="880" w:firstLineChars="200"/>
        <w:rPr>
          <w:rFonts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br w:type="page"/>
      </w:r>
      <w:r>
        <w:rPr>
          <w:rFonts w:hint="eastAsia" w:ascii="仿宋" w:hAnsi="仿宋" w:eastAsia="仿宋" w:cs="仿宋_GB2312"/>
          <w:b/>
          <w:color w:val="auto"/>
          <w:sz w:val="30"/>
          <w:szCs w:val="30"/>
          <w:highlight w:val="none"/>
        </w:rPr>
        <w:t>一、无串标行为承诺函</w:t>
      </w:r>
    </w:p>
    <w:p w14:paraId="1751A3EC">
      <w:pPr>
        <w:spacing w:line="520" w:lineRule="exact"/>
        <w:jc w:val="center"/>
        <w:rPr>
          <w:rFonts w:ascii="方正小标宋简体" w:hAnsi="方正小标宋简体" w:eastAsia="方正小标宋简体" w:cs="方正小标宋简体"/>
          <w:color w:val="auto"/>
          <w:sz w:val="44"/>
          <w:szCs w:val="44"/>
          <w:highlight w:val="none"/>
        </w:rPr>
      </w:pPr>
    </w:p>
    <w:p w14:paraId="0E2A4ADD">
      <w:pPr>
        <w:spacing w:line="520" w:lineRule="exact"/>
        <w:jc w:val="center"/>
        <w:rPr>
          <w:rFonts w:ascii="仿宋_GB2312" w:hAnsi="仿宋_GB2312" w:eastAsia="仿宋_GB2312" w:cs="仿宋_GB2312"/>
          <w:color w:val="auto"/>
          <w:sz w:val="32"/>
          <w:szCs w:val="32"/>
          <w:highlight w:val="none"/>
        </w:rPr>
      </w:pPr>
      <w:r>
        <w:rPr>
          <w:rFonts w:hint="eastAsia" w:ascii="方正小标宋简体" w:hAnsi="方正小标宋简体" w:eastAsia="方正小标宋简体" w:cs="方正小标宋简体"/>
          <w:color w:val="auto"/>
          <w:sz w:val="44"/>
          <w:szCs w:val="44"/>
          <w:highlight w:val="none"/>
        </w:rPr>
        <w:t>无串通竞标行为的承诺函</w:t>
      </w:r>
    </w:p>
    <w:p w14:paraId="7C93824E">
      <w:pPr>
        <w:spacing w:line="360" w:lineRule="auto"/>
        <w:ind w:firstLine="482" w:firstLineChars="200"/>
        <w:rPr>
          <w:rFonts w:ascii="宋体" w:hAnsi="宋体" w:cs="仿宋_GB2312"/>
          <w:b/>
          <w:bCs/>
          <w:color w:val="auto"/>
          <w:sz w:val="24"/>
          <w:highlight w:val="none"/>
        </w:rPr>
      </w:pPr>
      <w:r>
        <w:rPr>
          <w:rFonts w:hint="eastAsia" w:ascii="宋体" w:hAnsi="宋体" w:cs="仿宋_GB2312"/>
          <w:b/>
          <w:bCs/>
          <w:color w:val="auto"/>
          <w:sz w:val="24"/>
          <w:highlight w:val="none"/>
        </w:rPr>
        <w:t>(一)我方承诺无下列相互串通竞标的情形：</w:t>
      </w:r>
    </w:p>
    <w:p w14:paraId="49E3A818">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1.不同供应商的响应文件由同一单位或者个人编制；</w:t>
      </w:r>
      <w:r>
        <w:rPr>
          <w:rFonts w:hint="eastAsia" w:ascii="宋体" w:hAnsi="宋体"/>
          <w:color w:val="auto"/>
          <w:sz w:val="24"/>
          <w:highlight w:val="none"/>
        </w:rPr>
        <w:t>或者不同供应商报名的IP地址一致的；或者编制响应文件硬件设备CPU编号、硬盘编号、网卡地址一致的情况。</w:t>
      </w:r>
      <w:r>
        <w:rPr>
          <w:rFonts w:hint="eastAsia" w:ascii="宋体" w:hAnsi="宋体" w:cs="仿宋_GB2312"/>
          <w:color w:val="auto"/>
          <w:sz w:val="24"/>
          <w:highlight w:val="none"/>
        </w:rPr>
        <w:t xml:space="preserve">  </w:t>
      </w:r>
    </w:p>
    <w:p w14:paraId="0A46A337">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2.不同供应商委托同一单位或者个人办理竞标事宜；</w:t>
      </w:r>
    </w:p>
    <w:p w14:paraId="3F805161">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3.不同供应商的响应文件载明的项目管理员为同一个人；</w:t>
      </w:r>
    </w:p>
    <w:p w14:paraId="49902861">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4.不</w:t>
      </w:r>
      <w:r>
        <w:rPr>
          <w:rFonts w:hint="eastAsia" w:ascii="宋体" w:hAnsi="宋体" w:cs="仿宋_GB2312"/>
          <w:color w:val="auto"/>
          <w:spacing w:val="-6"/>
          <w:sz w:val="24"/>
          <w:highlight w:val="none"/>
        </w:rPr>
        <w:t>同供应商的响应文件异常一致或者响应报价呈规律性差异；</w:t>
      </w:r>
    </w:p>
    <w:p w14:paraId="509F4456">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5.不同供应商的响应文件相互混装；</w:t>
      </w:r>
    </w:p>
    <w:p w14:paraId="13D60FF5">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6.不同供应商的磋商保证金从同一单位或者个人账户转出。</w:t>
      </w:r>
    </w:p>
    <w:p w14:paraId="753B413E">
      <w:pPr>
        <w:spacing w:line="360" w:lineRule="auto"/>
        <w:ind w:firstLine="482" w:firstLineChars="200"/>
        <w:rPr>
          <w:rFonts w:ascii="宋体" w:hAnsi="宋体" w:cs="仿宋_GB2312"/>
          <w:b/>
          <w:bCs/>
          <w:color w:val="auto"/>
          <w:sz w:val="24"/>
          <w:highlight w:val="none"/>
        </w:rPr>
      </w:pPr>
      <w:r>
        <w:rPr>
          <w:rFonts w:hint="eastAsia" w:ascii="宋体" w:hAnsi="宋体" w:cs="仿宋_GB2312"/>
          <w:b/>
          <w:bCs/>
          <w:color w:val="auto"/>
          <w:sz w:val="24"/>
          <w:highlight w:val="none"/>
        </w:rPr>
        <w:t>(二)我方承诺无下列恶意串通的情形：</w:t>
      </w:r>
    </w:p>
    <w:p w14:paraId="2B51918F">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1.供应商直接或者间接从采购人或者采购代理机构处获得其他供应商的相关信息并修改其响应文件；</w:t>
      </w:r>
    </w:p>
    <w:p w14:paraId="0EAE687F">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2.供应商按照采购人或者采购代理机构的授意撤换、修改响应文件；</w:t>
      </w:r>
    </w:p>
    <w:p w14:paraId="0CAABDD6">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3.供</w:t>
      </w:r>
      <w:r>
        <w:rPr>
          <w:rFonts w:hint="eastAsia" w:ascii="宋体" w:hAnsi="宋体" w:cs="仿宋_GB2312"/>
          <w:color w:val="auto"/>
          <w:spacing w:val="-6"/>
          <w:sz w:val="24"/>
          <w:highlight w:val="none"/>
        </w:rPr>
        <w:t>应商之间协商报价、技术方案等响应文件的实质性内容；</w:t>
      </w:r>
    </w:p>
    <w:p w14:paraId="40D542D1">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4.属于同一集团、协会、商会等组织成员的供应商按照该组织要求协同参加政府采购活动；</w:t>
      </w:r>
    </w:p>
    <w:p w14:paraId="7EEC1B81">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5.供应商之间事先约定一致抬高或者压低响应报价，或者在竞争性磋商项目中事先约定轮流以高价位或者低价位成交，或者事先约定由某一特定供应商成交，然后再参加竞标；</w:t>
      </w:r>
    </w:p>
    <w:p w14:paraId="66F8A314">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6.供应商之间商定部分供应商放弃参加政府采购活动或者放弃成交；</w:t>
      </w:r>
    </w:p>
    <w:p w14:paraId="7381DB69">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7.供应商与采购人或者采购代理机构之间、供应商相互之间，为</w:t>
      </w:r>
      <w:r>
        <w:rPr>
          <w:rFonts w:hint="eastAsia" w:ascii="宋体" w:hAnsi="宋体" w:cs="仿宋_GB2312"/>
          <w:color w:val="auto"/>
          <w:spacing w:val="-6"/>
          <w:sz w:val="24"/>
          <w:highlight w:val="none"/>
        </w:rPr>
        <w:t>谋求特定供应商成交或者排斥其他供应商的其他串通行为。</w:t>
      </w:r>
    </w:p>
    <w:p w14:paraId="77AFA03D">
      <w:pPr>
        <w:spacing w:line="360" w:lineRule="auto"/>
        <w:ind w:firstLine="482" w:firstLineChars="200"/>
        <w:rPr>
          <w:rFonts w:ascii="宋体" w:hAnsi="宋体" w:cs="仿宋_GB2312"/>
          <w:b/>
          <w:bCs/>
          <w:color w:val="auto"/>
          <w:sz w:val="24"/>
          <w:highlight w:val="none"/>
        </w:rPr>
      </w:pPr>
      <w:r>
        <w:rPr>
          <w:rFonts w:hint="eastAsia" w:ascii="宋体" w:hAnsi="宋体" w:cs="仿宋_GB2312"/>
          <w:b/>
          <w:bCs/>
          <w:color w:val="auto"/>
          <w:sz w:val="24"/>
          <w:highlight w:val="none"/>
        </w:rPr>
        <w:t>以上情形一经核查属实，接受政府采购监管部门对我方认定存在围标串标行为，我方愿意承担一切后果，并不再寻求任何旨在减轻或者免除法律责任的辩解。</w:t>
      </w:r>
    </w:p>
    <w:p w14:paraId="25BB04DC">
      <w:pPr>
        <w:autoSpaceDE w:val="0"/>
        <w:autoSpaceDN w:val="0"/>
        <w:spacing w:line="360" w:lineRule="auto"/>
        <w:ind w:left="4335" w:leftChars="1950" w:hanging="240" w:hangingChars="10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525A7A82">
      <w:pPr>
        <w:spacing w:line="520" w:lineRule="exact"/>
        <w:ind w:left="239" w:leftChars="114"/>
        <w:jc w:val="right"/>
        <w:rPr>
          <w:rFonts w:ascii="方正小标宋简体" w:hAnsi="方正小标宋简体" w:eastAsia="方正小标宋简体" w:cs="方正小标宋简体"/>
          <w:bCs/>
          <w:color w:val="auto"/>
          <w:sz w:val="44"/>
          <w:szCs w:val="44"/>
          <w:highlight w:val="none"/>
        </w:rPr>
      </w:pPr>
      <w:r>
        <w:rPr>
          <w:rFonts w:hint="eastAsia" w:ascii="仿宋_GB2312" w:hAnsi="仿宋" w:eastAsia="仿宋_GB2312" w:cs="仿宋_GB2312"/>
          <w:color w:val="auto"/>
          <w:kern w:val="0"/>
          <w:sz w:val="24"/>
          <w:highlight w:val="none"/>
          <w:lang w:val="zh-CN"/>
        </w:rPr>
        <w:t xml:space="preserve">日期：  年  月   日   </w:t>
      </w:r>
      <w:r>
        <w:rPr>
          <w:rFonts w:hint="eastAsia" w:ascii="宋体" w:hAnsi="宋体"/>
          <w:b/>
          <w:bCs/>
          <w:color w:val="auto"/>
          <w:sz w:val="32"/>
          <w:szCs w:val="32"/>
          <w:highlight w:val="none"/>
        </w:rPr>
        <w:br w:type="page"/>
      </w:r>
      <w:r>
        <w:rPr>
          <w:rFonts w:hint="eastAsia" w:ascii="仿宋" w:hAnsi="仿宋" w:eastAsia="仿宋" w:cs="仿宋_GB2312"/>
          <w:b/>
          <w:color w:val="auto"/>
          <w:sz w:val="30"/>
          <w:szCs w:val="30"/>
          <w:highlight w:val="none"/>
        </w:rPr>
        <w:t>二、法定代表人身份证明及法定代表人有效身份证正反面复印件</w:t>
      </w:r>
    </w:p>
    <w:p w14:paraId="4F697A8F">
      <w:pPr>
        <w:spacing w:line="520" w:lineRule="exact"/>
        <w:jc w:val="center"/>
        <w:rPr>
          <w:rFonts w:ascii="仿宋_GB2312" w:hAnsi="仿宋_GB2312" w:eastAsia="仿宋_GB2312" w:cs="仿宋_GB2312"/>
          <w:color w:val="auto"/>
          <w:sz w:val="32"/>
          <w:szCs w:val="32"/>
          <w:highlight w:val="none"/>
        </w:rPr>
      </w:pPr>
      <w:r>
        <w:rPr>
          <w:rFonts w:hint="eastAsia" w:ascii="方正小标宋简体" w:hAnsi="方正小标宋简体" w:eastAsia="方正小标宋简体" w:cs="方正小标宋简体"/>
          <w:bCs/>
          <w:color w:val="auto"/>
          <w:sz w:val="44"/>
          <w:szCs w:val="44"/>
          <w:highlight w:val="none"/>
        </w:rPr>
        <w:t>法定代表人证明书</w:t>
      </w:r>
    </w:p>
    <w:p w14:paraId="16DCF514">
      <w:pPr>
        <w:spacing w:line="360" w:lineRule="auto"/>
        <w:ind w:left="540"/>
        <w:contextualSpacing/>
        <w:rPr>
          <w:rFonts w:ascii="仿宋_GB2312" w:hAnsi="仿宋_GB2312" w:eastAsia="仿宋_GB2312" w:cs="仿宋_GB2312"/>
          <w:color w:val="auto"/>
          <w:sz w:val="32"/>
          <w:szCs w:val="32"/>
          <w:highlight w:val="none"/>
        </w:rPr>
      </w:pPr>
    </w:p>
    <w:p w14:paraId="281D7AAE">
      <w:pPr>
        <w:spacing w:line="360" w:lineRule="auto"/>
        <w:ind w:left="540"/>
        <w:contextualSpacing/>
        <w:rPr>
          <w:rFonts w:ascii="宋体" w:hAnsi="宋体" w:cs="仿宋_GB2312"/>
          <w:color w:val="auto"/>
          <w:sz w:val="24"/>
          <w:highlight w:val="none"/>
        </w:rPr>
      </w:pPr>
      <w:r>
        <w:rPr>
          <w:rFonts w:hint="eastAsia" w:ascii="宋体" w:hAnsi="宋体" w:cs="仿宋_GB2312"/>
          <w:color w:val="auto"/>
          <w:sz w:val="24"/>
          <w:highlight w:val="none"/>
        </w:rPr>
        <w:t>供应商名称：</w:t>
      </w:r>
      <w:r>
        <w:rPr>
          <w:rFonts w:hint="eastAsia" w:ascii="宋体" w:hAnsi="宋体" w:cs="仿宋_GB2312"/>
          <w:color w:val="auto"/>
          <w:sz w:val="24"/>
          <w:highlight w:val="none"/>
          <w:u w:val="single"/>
        </w:rPr>
        <w:t xml:space="preserve">                                                        </w:t>
      </w:r>
    </w:p>
    <w:p w14:paraId="1362F7AC">
      <w:pPr>
        <w:spacing w:line="360" w:lineRule="auto"/>
        <w:ind w:left="540"/>
        <w:contextualSpacing/>
        <w:rPr>
          <w:rFonts w:ascii="宋体" w:hAnsi="宋体" w:cs="仿宋_GB2312"/>
          <w:color w:val="auto"/>
          <w:sz w:val="24"/>
          <w:highlight w:val="none"/>
        </w:rPr>
      </w:pPr>
      <w:r>
        <w:rPr>
          <w:rFonts w:hint="eastAsia" w:ascii="宋体" w:hAnsi="宋体" w:cs="仿宋_GB2312"/>
          <w:color w:val="auto"/>
          <w:sz w:val="24"/>
          <w:highlight w:val="none"/>
        </w:rPr>
        <w:t>地    址：</w:t>
      </w:r>
      <w:r>
        <w:rPr>
          <w:rFonts w:hint="eastAsia" w:ascii="宋体" w:hAnsi="宋体" w:cs="仿宋_GB2312"/>
          <w:color w:val="auto"/>
          <w:sz w:val="24"/>
          <w:highlight w:val="none"/>
          <w:u w:val="single"/>
        </w:rPr>
        <w:t xml:space="preserve">                                                        </w:t>
      </w:r>
    </w:p>
    <w:p w14:paraId="63772456">
      <w:pPr>
        <w:spacing w:line="360" w:lineRule="auto"/>
        <w:ind w:left="540"/>
        <w:contextualSpacing/>
        <w:rPr>
          <w:rFonts w:ascii="宋体" w:hAnsi="宋体" w:cs="仿宋_GB2312"/>
          <w:color w:val="auto"/>
          <w:sz w:val="24"/>
          <w:highlight w:val="none"/>
        </w:rPr>
      </w:pPr>
      <w:r>
        <w:rPr>
          <w:rFonts w:hint="eastAsia" w:ascii="宋体" w:hAnsi="宋体" w:cs="仿宋_GB2312"/>
          <w:color w:val="auto"/>
          <w:sz w:val="24"/>
          <w:highlight w:val="none"/>
        </w:rPr>
        <w:t>姓    名：</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性     别：</w:t>
      </w:r>
      <w:r>
        <w:rPr>
          <w:rFonts w:hint="eastAsia" w:ascii="宋体" w:hAnsi="宋体" w:cs="仿宋_GB2312"/>
          <w:color w:val="auto"/>
          <w:sz w:val="24"/>
          <w:highlight w:val="none"/>
          <w:u w:val="single"/>
        </w:rPr>
        <w:t xml:space="preserve">                </w:t>
      </w:r>
    </w:p>
    <w:p w14:paraId="6BC593E1">
      <w:pPr>
        <w:spacing w:line="360" w:lineRule="auto"/>
        <w:ind w:left="540"/>
        <w:contextualSpacing/>
        <w:rPr>
          <w:rFonts w:ascii="宋体" w:hAnsi="宋体" w:cs="仿宋_GB2312"/>
          <w:color w:val="auto"/>
          <w:sz w:val="24"/>
          <w:highlight w:val="none"/>
          <w:u w:val="single"/>
        </w:rPr>
      </w:pPr>
      <w:r>
        <w:rPr>
          <w:rFonts w:hint="eastAsia" w:ascii="宋体" w:hAnsi="宋体" w:cs="仿宋_GB2312"/>
          <w:color w:val="auto"/>
          <w:sz w:val="24"/>
          <w:highlight w:val="none"/>
        </w:rPr>
        <w:t>年    龄：</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职     务：</w:t>
      </w:r>
      <w:r>
        <w:rPr>
          <w:rFonts w:hint="eastAsia" w:ascii="宋体" w:hAnsi="宋体" w:cs="仿宋_GB2312"/>
          <w:color w:val="auto"/>
          <w:sz w:val="24"/>
          <w:highlight w:val="none"/>
          <w:u w:val="single"/>
        </w:rPr>
        <w:t xml:space="preserve">                </w:t>
      </w:r>
    </w:p>
    <w:p w14:paraId="386A6AD5">
      <w:pPr>
        <w:spacing w:line="360" w:lineRule="auto"/>
        <w:ind w:left="540"/>
        <w:contextualSpacing/>
        <w:rPr>
          <w:rFonts w:ascii="宋体" w:hAnsi="宋体" w:cs="仿宋_GB2312"/>
          <w:color w:val="auto"/>
          <w:sz w:val="24"/>
          <w:highlight w:val="none"/>
        </w:rPr>
      </w:pPr>
      <w:r>
        <w:rPr>
          <w:rFonts w:hint="eastAsia" w:ascii="宋体" w:hAnsi="宋体" w:cs="仿宋_GB2312"/>
          <w:color w:val="auto"/>
          <w:sz w:val="24"/>
          <w:highlight w:val="none"/>
        </w:rPr>
        <w:t>身份证号码：</w:t>
      </w:r>
      <w:r>
        <w:rPr>
          <w:rFonts w:hint="eastAsia" w:ascii="宋体" w:hAnsi="宋体" w:cs="仿宋_GB2312"/>
          <w:color w:val="auto"/>
          <w:sz w:val="24"/>
          <w:highlight w:val="none"/>
          <w:u w:val="single"/>
        </w:rPr>
        <w:t xml:space="preserve">                                        </w:t>
      </w:r>
    </w:p>
    <w:p w14:paraId="522C7FA0">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系</w:t>
      </w:r>
      <w:r>
        <w:rPr>
          <w:rFonts w:hint="eastAsia" w:ascii="宋体" w:hAnsi="宋体" w:cs="仿宋_GB2312"/>
          <w:color w:val="auto"/>
          <w:sz w:val="24"/>
          <w:highlight w:val="none"/>
          <w:u w:val="single"/>
        </w:rPr>
        <w:t>（供应商名称）</w:t>
      </w:r>
      <w:r>
        <w:rPr>
          <w:rFonts w:hint="eastAsia" w:ascii="宋体" w:hAnsi="宋体" w:cs="仿宋_GB2312"/>
          <w:color w:val="auto"/>
          <w:sz w:val="24"/>
          <w:highlight w:val="none"/>
        </w:rPr>
        <w:t>的法定代表人。</w:t>
      </w:r>
    </w:p>
    <w:p w14:paraId="5215628A">
      <w:pPr>
        <w:spacing w:line="360" w:lineRule="auto"/>
        <w:ind w:left="540"/>
        <w:contextualSpacing/>
        <w:rPr>
          <w:rFonts w:ascii="宋体" w:hAnsi="宋体" w:cs="仿宋_GB2312"/>
          <w:color w:val="auto"/>
          <w:sz w:val="24"/>
          <w:highlight w:val="none"/>
        </w:rPr>
      </w:pPr>
      <w:r>
        <w:rPr>
          <w:rFonts w:hint="eastAsia" w:ascii="宋体" w:hAnsi="宋体" w:cs="仿宋_GB2312"/>
          <w:color w:val="auto"/>
          <w:sz w:val="24"/>
          <w:highlight w:val="none"/>
        </w:rPr>
        <w:t>特此证明。</w:t>
      </w:r>
    </w:p>
    <w:p w14:paraId="3A2D4E60">
      <w:pPr>
        <w:spacing w:line="360" w:lineRule="auto"/>
        <w:ind w:left="540"/>
        <w:contextualSpacing/>
        <w:rPr>
          <w:rFonts w:ascii="宋体" w:hAnsi="宋体" w:cs="仿宋_GB2312"/>
          <w:color w:val="auto"/>
          <w:sz w:val="24"/>
          <w:highlight w:val="none"/>
        </w:rPr>
      </w:pPr>
    </w:p>
    <w:p w14:paraId="144EFD6B">
      <w:pPr>
        <w:spacing w:line="360" w:lineRule="auto"/>
        <w:ind w:left="540"/>
        <w:contextualSpacing/>
        <w:rPr>
          <w:rFonts w:ascii="宋体" w:hAnsi="宋体" w:cs="仿宋_GB2312"/>
          <w:color w:val="auto"/>
          <w:sz w:val="24"/>
          <w:highlight w:val="none"/>
        </w:rPr>
      </w:pPr>
    </w:p>
    <w:p w14:paraId="5CDAA80C">
      <w:pPr>
        <w:spacing w:line="360" w:lineRule="auto"/>
        <w:ind w:left="540"/>
        <w:contextualSpacing/>
        <w:rPr>
          <w:rFonts w:ascii="宋体" w:hAnsi="宋体" w:cs="仿宋_GB2312"/>
          <w:color w:val="auto"/>
          <w:sz w:val="24"/>
          <w:highlight w:val="none"/>
        </w:rPr>
      </w:pPr>
    </w:p>
    <w:p w14:paraId="2F4DC817">
      <w:pPr>
        <w:spacing w:line="360" w:lineRule="auto"/>
        <w:ind w:left="540"/>
        <w:contextualSpacing/>
        <w:rPr>
          <w:rFonts w:ascii="宋体" w:hAnsi="宋体" w:cs="仿宋_GB2312"/>
          <w:color w:val="auto"/>
          <w:sz w:val="24"/>
          <w:highlight w:val="none"/>
        </w:rPr>
      </w:pPr>
      <w:r>
        <w:rPr>
          <w:rFonts w:hint="eastAsia" w:ascii="宋体" w:hAnsi="宋体" w:cs="仿宋_GB2312"/>
          <w:color w:val="auto"/>
          <w:sz w:val="24"/>
          <w:highlight w:val="none"/>
        </w:rPr>
        <w:t>附件：法定代表人有效身份证正反面复印件</w:t>
      </w:r>
    </w:p>
    <w:p w14:paraId="2E36E082">
      <w:pPr>
        <w:spacing w:line="360" w:lineRule="auto"/>
        <w:ind w:left="540"/>
        <w:contextualSpacing/>
        <w:rPr>
          <w:rFonts w:ascii="宋体" w:hAnsi="宋体" w:cs="仿宋_GB2312"/>
          <w:color w:val="auto"/>
          <w:sz w:val="24"/>
          <w:highlight w:val="none"/>
        </w:rPr>
      </w:pPr>
    </w:p>
    <w:p w14:paraId="5928FB14">
      <w:pPr>
        <w:autoSpaceDE w:val="0"/>
        <w:autoSpaceDN w:val="0"/>
        <w:spacing w:line="360" w:lineRule="auto"/>
        <w:ind w:left="4335" w:leftChars="1950" w:hanging="240" w:hangingChars="10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6162C6A5">
      <w:pPr>
        <w:spacing w:line="360" w:lineRule="auto"/>
        <w:jc w:val="center"/>
        <w:rPr>
          <w:rFonts w:ascii="宋体" w:hAnsi="宋体" w:cs="仿宋_GB2312"/>
          <w:b/>
          <w:color w:val="auto"/>
          <w:sz w:val="24"/>
          <w:highlight w:val="none"/>
        </w:rPr>
      </w:pPr>
      <w:r>
        <w:rPr>
          <w:rFonts w:hint="eastAsia" w:ascii="仿宋_GB2312" w:hAnsi="仿宋" w:eastAsia="仿宋_GB2312" w:cs="仿宋_GB2312"/>
          <w:color w:val="auto"/>
          <w:kern w:val="0"/>
          <w:sz w:val="24"/>
          <w:highlight w:val="none"/>
          <w:lang w:val="zh-CN"/>
        </w:rPr>
        <w:t xml:space="preserve">                                                   日期：  年  月   日</w:t>
      </w:r>
    </w:p>
    <w:p w14:paraId="4F07D7B6">
      <w:pPr>
        <w:spacing w:line="360" w:lineRule="auto"/>
        <w:jc w:val="left"/>
        <w:rPr>
          <w:rFonts w:ascii="宋体" w:hAnsi="宋体" w:cs="仿宋_GB2312"/>
          <w:color w:val="auto"/>
          <w:sz w:val="24"/>
          <w:highlight w:val="none"/>
        </w:rPr>
      </w:pPr>
    </w:p>
    <w:p w14:paraId="5C644E07">
      <w:pPr>
        <w:spacing w:line="360" w:lineRule="auto"/>
        <w:jc w:val="left"/>
        <w:rPr>
          <w:rFonts w:ascii="宋体" w:hAnsi="宋体" w:cs="仿宋_GB2312"/>
          <w:color w:val="auto"/>
          <w:sz w:val="24"/>
          <w:highlight w:val="none"/>
        </w:rPr>
      </w:pPr>
      <w:r>
        <w:rPr>
          <w:rFonts w:hint="eastAsia" w:ascii="宋体" w:hAnsi="宋体" w:cs="仿宋_GB2312"/>
          <w:color w:val="auto"/>
          <w:sz w:val="24"/>
          <w:highlight w:val="none"/>
        </w:rPr>
        <w:t>注：1.自然人竞标的无需提供，联合体竞标的只需牵头人出具。</w:t>
      </w:r>
    </w:p>
    <w:p w14:paraId="6EDCA94B">
      <w:pPr>
        <w:spacing w:line="360" w:lineRule="auto"/>
        <w:ind w:firstLine="480" w:firstLineChars="200"/>
        <w:jc w:val="left"/>
        <w:rPr>
          <w:rFonts w:ascii="宋体" w:hAnsi="宋体" w:cs="仿宋_GB2312"/>
          <w:color w:val="auto"/>
          <w:sz w:val="24"/>
          <w:highlight w:val="none"/>
        </w:rPr>
      </w:pPr>
      <w:r>
        <w:rPr>
          <w:rFonts w:hint="eastAsia" w:ascii="宋体" w:hAnsi="宋体" w:cs="仿宋_GB2312"/>
          <w:color w:val="auto"/>
          <w:sz w:val="24"/>
          <w:highlight w:val="none"/>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6C84396D">
      <w:pPr>
        <w:widowControl/>
        <w:spacing w:line="360" w:lineRule="auto"/>
        <w:jc w:val="left"/>
        <w:rPr>
          <w:rFonts w:ascii="宋体" w:hAnsi="宋体" w:cs="仿宋_GB2312"/>
          <w:color w:val="auto"/>
          <w:sz w:val="24"/>
          <w:highlight w:val="none"/>
        </w:rPr>
        <w:sectPr>
          <w:pgSz w:w="11911" w:h="16838"/>
          <w:pgMar w:top="1417" w:right="1417" w:bottom="1417" w:left="1417" w:header="720" w:footer="720" w:gutter="0"/>
          <w:cols w:space="0" w:num="1"/>
        </w:sectPr>
      </w:pPr>
    </w:p>
    <w:tbl>
      <w:tblPr>
        <w:tblStyle w:val="23"/>
        <w:tblpPr w:leftFromText="180" w:rightFromText="180" w:vertAnchor="text" w:horzAnchor="margin" w:tblpXSpec="center" w:tblpY="116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0"/>
      </w:tblGrid>
      <w:tr w14:paraId="251C5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jc w:val="center"/>
        </w:trPr>
        <w:tc>
          <w:tcPr>
            <w:tcW w:w="8460" w:type="dxa"/>
            <w:tcBorders>
              <w:top w:val="single" w:color="auto" w:sz="4" w:space="0"/>
              <w:left w:val="single" w:color="auto" w:sz="4" w:space="0"/>
              <w:bottom w:val="single" w:color="auto" w:sz="4" w:space="0"/>
              <w:right w:val="single" w:color="auto" w:sz="4" w:space="0"/>
            </w:tcBorders>
          </w:tcPr>
          <w:p w14:paraId="08956516">
            <w:pPr>
              <w:spacing w:line="360" w:lineRule="auto"/>
              <w:rPr>
                <w:rFonts w:ascii="宋体"/>
                <w:b/>
                <w:color w:val="auto"/>
                <w:sz w:val="24"/>
                <w:highlight w:val="none"/>
              </w:rPr>
            </w:pPr>
          </w:p>
          <w:p w14:paraId="3046BC69">
            <w:pPr>
              <w:spacing w:line="360" w:lineRule="auto"/>
              <w:rPr>
                <w:rFonts w:ascii="宋体"/>
                <w:b/>
                <w:color w:val="auto"/>
                <w:sz w:val="24"/>
                <w:highlight w:val="none"/>
              </w:rPr>
            </w:pPr>
            <w:r>
              <w:rPr>
                <w:rFonts w:hint="eastAsia" w:ascii="宋体"/>
                <w:b/>
                <w:color w:val="auto"/>
                <w:sz w:val="24"/>
                <w:highlight w:val="none"/>
              </w:rPr>
              <w:t>法定代表身份证复印件粘帖处（正、反面）</w:t>
            </w:r>
          </w:p>
        </w:tc>
      </w:tr>
    </w:tbl>
    <w:p w14:paraId="7285F9A4">
      <w:pPr>
        <w:spacing w:line="360" w:lineRule="auto"/>
        <w:ind w:firstLine="482" w:firstLineChars="200"/>
        <w:jc w:val="left"/>
        <w:rPr>
          <w:rFonts w:ascii="仿宋_GB2312" w:hAnsi="仿宋_GB2312" w:eastAsia="仿宋_GB2312" w:cs="仿宋_GB2312"/>
          <w:b/>
          <w:color w:val="auto"/>
          <w:sz w:val="32"/>
          <w:szCs w:val="32"/>
          <w:highlight w:val="none"/>
        </w:rPr>
      </w:pPr>
      <w:r>
        <w:rPr>
          <w:rFonts w:hint="eastAsia" w:hAnsi="宋体"/>
          <w:b/>
          <w:color w:val="auto"/>
          <w:sz w:val="24"/>
          <w:highlight w:val="none"/>
        </w:rPr>
        <w:t>附件：</w:t>
      </w:r>
    </w:p>
    <w:p w14:paraId="0F9736C8">
      <w:pPr>
        <w:adjustRightInd w:val="0"/>
        <w:snapToGrid w:val="0"/>
        <w:spacing w:line="300" w:lineRule="auto"/>
        <w:jc w:val="left"/>
        <w:rPr>
          <w:rFonts w:ascii="宋体" w:hAnsi="宋体"/>
          <w:b/>
          <w:color w:val="auto"/>
          <w:szCs w:val="21"/>
          <w:highlight w:val="none"/>
        </w:rPr>
      </w:pPr>
    </w:p>
    <w:p w14:paraId="3AD88836">
      <w:pPr>
        <w:spacing w:line="520" w:lineRule="exact"/>
        <w:ind w:firstLine="880"/>
        <w:jc w:val="left"/>
        <w:rPr>
          <w:rFonts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color w:val="auto"/>
          <w:sz w:val="44"/>
          <w:szCs w:val="44"/>
          <w:highlight w:val="none"/>
        </w:rPr>
        <w:br w:type="page"/>
      </w:r>
      <w:r>
        <w:rPr>
          <w:rFonts w:hint="eastAsia" w:ascii="仿宋" w:hAnsi="仿宋" w:eastAsia="仿宋" w:cs="仿宋_GB2312"/>
          <w:b/>
          <w:color w:val="auto"/>
          <w:sz w:val="30"/>
          <w:szCs w:val="30"/>
          <w:highlight w:val="none"/>
        </w:rPr>
        <w:t>三、法定代表人授权委托书</w:t>
      </w:r>
    </w:p>
    <w:p w14:paraId="5D4500A7">
      <w:pPr>
        <w:spacing w:line="500" w:lineRule="exact"/>
        <w:jc w:val="center"/>
        <w:rPr>
          <w:rFonts w:ascii="方正小标宋简体" w:hAnsi="方正小标宋简体" w:eastAsia="方正小标宋简体" w:cs="方正小标宋简体"/>
          <w:color w:val="auto"/>
          <w:sz w:val="44"/>
          <w:szCs w:val="44"/>
          <w:highlight w:val="none"/>
        </w:rPr>
      </w:pPr>
    </w:p>
    <w:p w14:paraId="64771131">
      <w:pPr>
        <w:spacing w:line="520" w:lineRule="exact"/>
        <w:jc w:val="center"/>
        <w:rPr>
          <w:rFonts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授权委托书（非联合体竞标格式）</w:t>
      </w:r>
    </w:p>
    <w:p w14:paraId="63BF0EFD">
      <w:pPr>
        <w:spacing w:line="520" w:lineRule="exact"/>
        <w:jc w:val="center"/>
        <w:rPr>
          <w:rFonts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（如有委托时）</w:t>
      </w:r>
    </w:p>
    <w:p w14:paraId="630222FA">
      <w:pPr>
        <w:spacing w:line="520" w:lineRule="exact"/>
        <w:rPr>
          <w:rFonts w:ascii="仿宋_GB2312" w:hAnsi="仿宋_GB2312" w:eastAsia="仿宋_GB2312" w:cs="仿宋_GB2312"/>
          <w:color w:val="auto"/>
          <w:sz w:val="32"/>
          <w:szCs w:val="32"/>
          <w:highlight w:val="none"/>
        </w:rPr>
      </w:pPr>
    </w:p>
    <w:p w14:paraId="148417ED">
      <w:pPr>
        <w:spacing w:line="360" w:lineRule="auto"/>
        <w:rPr>
          <w:rFonts w:ascii="宋体" w:hAnsi="宋体" w:cs="仿宋_GB2312"/>
          <w:color w:val="auto"/>
          <w:sz w:val="24"/>
          <w:highlight w:val="none"/>
        </w:rPr>
      </w:pPr>
      <w:r>
        <w:rPr>
          <w:rFonts w:hint="eastAsia" w:ascii="宋体" w:hAnsi="宋体" w:cs="仿宋_GB2312"/>
          <w:color w:val="auto"/>
          <w:sz w:val="24"/>
          <w:highlight w:val="none"/>
        </w:rPr>
        <w:t>致：</w:t>
      </w:r>
      <w:r>
        <w:rPr>
          <w:rFonts w:hint="eastAsia" w:ascii="宋体" w:hAnsi="宋体" w:cs="仿宋_GB2312"/>
          <w:color w:val="auto"/>
          <w:sz w:val="24"/>
          <w:highlight w:val="none"/>
          <w:u w:val="single"/>
        </w:rPr>
        <w:t>广西机电设备招标有限公司</w:t>
      </w:r>
      <w:r>
        <w:rPr>
          <w:rFonts w:hint="eastAsia" w:ascii="宋体" w:hAnsi="宋体" w:cs="仿宋_GB2312"/>
          <w:color w:val="auto"/>
          <w:sz w:val="24"/>
          <w:highlight w:val="none"/>
        </w:rPr>
        <w:t>：</w:t>
      </w:r>
    </w:p>
    <w:p w14:paraId="0C916ABD">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我</w:t>
      </w:r>
      <w:r>
        <w:rPr>
          <w:rFonts w:hint="eastAsia" w:ascii="宋体" w:hAnsi="宋体" w:cs="仿宋_GB2312"/>
          <w:color w:val="auto"/>
          <w:sz w:val="24"/>
          <w:highlight w:val="none"/>
          <w:u w:val="single"/>
        </w:rPr>
        <w:t xml:space="preserve">  （姓名）  </w:t>
      </w:r>
      <w:r>
        <w:rPr>
          <w:rFonts w:hint="eastAsia" w:ascii="宋体" w:hAnsi="宋体" w:cs="仿宋_GB2312"/>
          <w:color w:val="auto"/>
          <w:sz w:val="24"/>
          <w:highlight w:val="none"/>
        </w:rPr>
        <w:t>系</w:t>
      </w:r>
      <w:r>
        <w:rPr>
          <w:rFonts w:hint="eastAsia" w:ascii="宋体" w:hAnsi="宋体" w:cs="仿宋_GB2312"/>
          <w:color w:val="auto"/>
          <w:sz w:val="24"/>
          <w:highlight w:val="none"/>
          <w:u w:val="single"/>
        </w:rPr>
        <w:t xml:space="preserve">  （供应商名称）  </w:t>
      </w:r>
      <w:r>
        <w:rPr>
          <w:rFonts w:hint="eastAsia" w:ascii="宋体" w:hAnsi="宋体" w:cs="仿宋_GB2312"/>
          <w:color w:val="auto"/>
          <w:sz w:val="24"/>
          <w:highlight w:val="none"/>
        </w:rPr>
        <w:t>的（</w:t>
      </w:r>
      <w:r>
        <w:rPr>
          <w:rFonts w:hint="eastAsia" w:ascii="宋体" w:hAnsi="宋体" w:cs="仿宋_GB2312"/>
          <w:color w:val="auto"/>
          <w:sz w:val="24"/>
          <w:highlight w:val="none"/>
          <w:u w:val="single"/>
        </w:rPr>
        <w:t>□法定代表人/□负责人/□自然人本人</w:t>
      </w:r>
      <w:r>
        <w:rPr>
          <w:rFonts w:hint="eastAsia" w:ascii="宋体" w:hAnsi="宋体" w:cs="仿宋_GB2312"/>
          <w:color w:val="auto"/>
          <w:sz w:val="24"/>
          <w:highlight w:val="none"/>
        </w:rPr>
        <w:t>），现授权</w:t>
      </w:r>
      <w:r>
        <w:rPr>
          <w:rFonts w:hint="eastAsia" w:ascii="宋体" w:hAnsi="宋体" w:cs="仿宋_GB2312"/>
          <w:color w:val="auto"/>
          <w:sz w:val="24"/>
          <w:highlight w:val="none"/>
          <w:u w:val="single"/>
        </w:rPr>
        <w:t xml:space="preserve"> （姓名） </w:t>
      </w:r>
      <w:r>
        <w:rPr>
          <w:rFonts w:hint="eastAsia" w:ascii="宋体" w:hAnsi="宋体" w:cs="仿宋_GB2312"/>
          <w:color w:val="auto"/>
          <w:sz w:val="24"/>
          <w:highlight w:val="none"/>
        </w:rPr>
        <w:t>以我方的名义参加</w:t>
      </w:r>
      <w:r>
        <w:rPr>
          <w:rFonts w:hint="eastAsia" w:ascii="宋体" w:hAnsi="宋体" w:cs="仿宋_GB2312"/>
          <w:color w:val="auto"/>
          <w:sz w:val="24"/>
          <w:highlight w:val="none"/>
          <w:u w:val="single"/>
          <w:lang w:eastAsia="zh-CN"/>
        </w:rPr>
        <w:t>南宁市青年人才驿站</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项目的竞标活动，并代表我方全权办理针对上述项目的所有采购程序和环节的具体事务和签署相关文件。</w:t>
      </w:r>
    </w:p>
    <w:p w14:paraId="15DFA358">
      <w:pPr>
        <w:spacing w:line="360" w:lineRule="auto"/>
        <w:rPr>
          <w:rFonts w:ascii="宋体" w:hAnsi="宋体" w:cs="仿宋_GB2312"/>
          <w:color w:val="auto"/>
          <w:sz w:val="24"/>
          <w:highlight w:val="none"/>
        </w:rPr>
      </w:pPr>
      <w:r>
        <w:rPr>
          <w:rFonts w:hint="eastAsia" w:ascii="宋体" w:hAnsi="宋体" w:cs="仿宋_GB2312"/>
          <w:color w:val="auto"/>
          <w:sz w:val="24"/>
          <w:highlight w:val="none"/>
        </w:rPr>
        <w:t xml:space="preserve">    我方对委托代理人的签字事项负全部责任。</w:t>
      </w:r>
    </w:p>
    <w:p w14:paraId="0F7D0D32">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本授权书自签署之日起生效，在撤销授权的书面通知以前，本授权书一直有效。委托代理人在授权书有效期内签署的所有文件不因授权的撤销而失效。</w:t>
      </w:r>
    </w:p>
    <w:p w14:paraId="2891DFE9">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委托代理人无转委托权，特此委托。</w:t>
      </w:r>
    </w:p>
    <w:p w14:paraId="7D225067">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附：法定代表人身份证明书及委托代理人有效身份证正反面复印件</w:t>
      </w:r>
    </w:p>
    <w:p w14:paraId="42363E19">
      <w:pPr>
        <w:spacing w:line="360" w:lineRule="auto"/>
        <w:rPr>
          <w:rFonts w:ascii="宋体" w:hAnsi="宋体" w:cs="仿宋_GB2312"/>
          <w:color w:val="auto"/>
          <w:sz w:val="24"/>
          <w:highlight w:val="none"/>
        </w:rPr>
      </w:pPr>
    </w:p>
    <w:p w14:paraId="331AC7FD">
      <w:pPr>
        <w:spacing w:line="360" w:lineRule="auto"/>
        <w:rPr>
          <w:rFonts w:ascii="宋体" w:hAnsi="宋体" w:cs="仿宋_GB2312"/>
          <w:color w:val="auto"/>
          <w:sz w:val="24"/>
          <w:highlight w:val="none"/>
        </w:rPr>
      </w:pPr>
      <w:r>
        <w:rPr>
          <w:rFonts w:hint="eastAsia" w:ascii="宋体" w:hAnsi="宋体" w:cs="仿宋_GB2312"/>
          <w:color w:val="auto"/>
          <w:sz w:val="24"/>
          <w:highlight w:val="none"/>
        </w:rPr>
        <w:t xml:space="preserve">委托代理人（签字）：         法定代表人（签字或盖章）：                    </w:t>
      </w:r>
    </w:p>
    <w:p w14:paraId="6350C577">
      <w:pPr>
        <w:spacing w:line="360" w:lineRule="auto"/>
        <w:rPr>
          <w:rFonts w:ascii="宋体" w:hAnsi="宋体" w:cs="仿宋_GB2312"/>
          <w:color w:val="auto"/>
          <w:sz w:val="24"/>
          <w:highlight w:val="none"/>
        </w:rPr>
      </w:pPr>
      <w:r>
        <w:rPr>
          <w:rFonts w:hint="eastAsia" w:ascii="宋体" w:hAnsi="宋体" w:cs="仿宋_GB2312"/>
          <w:color w:val="auto"/>
          <w:sz w:val="24"/>
          <w:highlight w:val="none"/>
        </w:rPr>
        <w:t xml:space="preserve">委托代理人身份证号码：                              </w:t>
      </w:r>
    </w:p>
    <w:p w14:paraId="27279B29">
      <w:pPr>
        <w:spacing w:line="360" w:lineRule="auto"/>
        <w:rPr>
          <w:rFonts w:ascii="宋体" w:hAnsi="宋体" w:cs="仿宋_GB2312"/>
          <w:color w:val="auto"/>
          <w:sz w:val="24"/>
          <w:highlight w:val="none"/>
        </w:rPr>
      </w:pPr>
      <w:r>
        <w:rPr>
          <w:rFonts w:hint="eastAsia" w:ascii="宋体" w:hAnsi="宋体" w:cs="仿宋_GB2312"/>
          <w:color w:val="auto"/>
          <w:sz w:val="24"/>
          <w:highlight w:val="none"/>
        </w:rPr>
        <w:t xml:space="preserve">                                </w:t>
      </w:r>
    </w:p>
    <w:p w14:paraId="6E77EB9C">
      <w:pPr>
        <w:spacing w:line="360" w:lineRule="auto"/>
        <w:rPr>
          <w:rFonts w:ascii="宋体" w:hAnsi="宋体" w:cs="仿宋_GB2312"/>
          <w:color w:val="auto"/>
          <w:sz w:val="24"/>
          <w:highlight w:val="none"/>
        </w:rPr>
      </w:pPr>
      <w:r>
        <w:rPr>
          <w:rFonts w:hint="eastAsia" w:ascii="宋体" w:hAnsi="宋体" w:cs="仿宋_GB2312"/>
          <w:color w:val="auto"/>
          <w:sz w:val="24"/>
          <w:highlight w:val="none"/>
        </w:rPr>
        <w:t xml:space="preserve">                         </w:t>
      </w:r>
      <w:r>
        <w:rPr>
          <w:rFonts w:hint="eastAsia" w:ascii="仿宋_GB2312" w:hAnsi="仿宋" w:eastAsia="仿宋_GB2312" w:cs="仿宋_GB2312"/>
          <w:color w:val="auto"/>
          <w:kern w:val="0"/>
          <w:sz w:val="24"/>
          <w:highlight w:val="none"/>
        </w:rPr>
        <w:t>供应商名称（电子签章）：</w:t>
      </w:r>
    </w:p>
    <w:p w14:paraId="63BC468F">
      <w:pPr>
        <w:spacing w:line="360" w:lineRule="auto"/>
        <w:jc w:val="center"/>
        <w:rPr>
          <w:rFonts w:ascii="宋体" w:hAnsi="宋体" w:cs="仿宋_GB2312"/>
          <w:b/>
          <w:color w:val="auto"/>
          <w:sz w:val="24"/>
          <w:highlight w:val="none"/>
        </w:rPr>
      </w:pPr>
      <w:r>
        <w:rPr>
          <w:rFonts w:hint="eastAsia" w:ascii="仿宋_GB2312" w:hAnsi="仿宋" w:eastAsia="仿宋_GB2312" w:cs="仿宋_GB2312"/>
          <w:color w:val="auto"/>
          <w:kern w:val="0"/>
          <w:sz w:val="24"/>
          <w:highlight w:val="none"/>
          <w:lang w:val="zh-CN"/>
        </w:rPr>
        <w:t xml:space="preserve">                                                   日期：  年  月   日</w:t>
      </w:r>
    </w:p>
    <w:p w14:paraId="3C1808FF">
      <w:pPr>
        <w:spacing w:line="360" w:lineRule="auto"/>
        <w:rPr>
          <w:rFonts w:ascii="宋体" w:hAnsi="宋体" w:cs="仿宋_GB2312"/>
          <w:color w:val="auto"/>
          <w:sz w:val="24"/>
          <w:highlight w:val="none"/>
        </w:rPr>
      </w:pPr>
    </w:p>
    <w:p w14:paraId="512C86AB">
      <w:pPr>
        <w:spacing w:line="360" w:lineRule="auto"/>
        <w:rPr>
          <w:rFonts w:ascii="宋体" w:hAnsi="宋体" w:cs="仿宋_GB2312"/>
          <w:color w:val="auto"/>
          <w:sz w:val="24"/>
          <w:highlight w:val="none"/>
        </w:rPr>
      </w:pPr>
      <w:r>
        <w:rPr>
          <w:rFonts w:hint="eastAsia" w:ascii="宋体" w:hAnsi="宋体" w:cs="仿宋_GB2312"/>
          <w:color w:val="auto"/>
          <w:sz w:val="24"/>
          <w:highlight w:val="none"/>
        </w:rPr>
        <w:t>注：1. 法定代表人必须在授权委托书上亲笔签字或盖章，委托代理人必须在授权委托书上亲笔签字，</w:t>
      </w:r>
      <w:r>
        <w:rPr>
          <w:rFonts w:hint="eastAsia" w:ascii="宋体" w:hAnsi="宋体" w:cs="仿宋_GB2312"/>
          <w:b/>
          <w:color w:val="auto"/>
          <w:sz w:val="24"/>
          <w:highlight w:val="none"/>
        </w:rPr>
        <w:t>否则其响应文件按无效响应处理。</w:t>
      </w:r>
    </w:p>
    <w:p w14:paraId="37048D1A">
      <w:pPr>
        <w:spacing w:line="360" w:lineRule="auto"/>
        <w:ind w:firstLine="480" w:firstLineChars="200"/>
        <w:jc w:val="left"/>
        <w:rPr>
          <w:rFonts w:ascii="宋体" w:hAnsi="宋体" w:cs="仿宋_GB2312"/>
          <w:color w:val="auto"/>
          <w:sz w:val="24"/>
          <w:highlight w:val="none"/>
        </w:rPr>
      </w:pPr>
      <w:r>
        <w:rPr>
          <w:rFonts w:hint="eastAsia" w:ascii="宋体" w:hAnsi="宋体" w:cs="仿宋_GB2312"/>
          <w:color w:val="auto"/>
          <w:sz w:val="24"/>
          <w:highlight w:val="none"/>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362C1188">
      <w:pPr>
        <w:spacing w:line="360" w:lineRule="auto"/>
        <w:ind w:firstLine="480" w:firstLineChars="200"/>
        <w:jc w:val="left"/>
        <w:rPr>
          <w:rFonts w:ascii="仿宋_GB2312" w:hAnsi="仿宋_GB2312" w:eastAsia="仿宋_GB2312" w:cs="仿宋_GB2312"/>
          <w:color w:val="auto"/>
          <w:szCs w:val="21"/>
          <w:highlight w:val="none"/>
        </w:rPr>
      </w:pPr>
      <w:r>
        <w:rPr>
          <w:rFonts w:hint="eastAsia" w:ascii="宋体" w:hAnsi="宋体" w:cs="仿宋_GB2312"/>
          <w:color w:val="auto"/>
          <w:sz w:val="24"/>
          <w:highlight w:val="none"/>
        </w:rPr>
        <w:t>3. 法人、其他组织竞标时“我方”是指“我单位”，自然人竞标时“我方”是指“本人”。</w:t>
      </w:r>
    </w:p>
    <w:p w14:paraId="10F95A08">
      <w:pPr>
        <w:spacing w:line="500" w:lineRule="exact"/>
        <w:jc w:val="center"/>
        <w:rPr>
          <w:rFonts w:ascii="方正小标宋简体" w:hAnsi="方正小标宋简体" w:eastAsia="方正小标宋简体" w:cs="方正小标宋简体"/>
          <w:color w:val="auto"/>
          <w:sz w:val="44"/>
          <w:szCs w:val="44"/>
          <w:highlight w:val="none"/>
        </w:rPr>
      </w:pPr>
      <w:r>
        <w:rPr>
          <w:rFonts w:hint="eastAsia" w:ascii="仿宋_GB2312" w:hAnsi="仿宋_GB2312" w:eastAsia="仿宋_GB2312" w:cs="仿宋_GB2312"/>
          <w:color w:val="auto"/>
          <w:szCs w:val="21"/>
          <w:highlight w:val="none"/>
        </w:rPr>
        <w:br w:type="page"/>
      </w:r>
      <w:r>
        <w:rPr>
          <w:rFonts w:hint="eastAsia" w:ascii="方正小标宋简体" w:hAnsi="方正小标宋简体" w:eastAsia="方正小标宋简体" w:cs="方正小标宋简体"/>
          <w:color w:val="auto"/>
          <w:sz w:val="44"/>
          <w:szCs w:val="44"/>
          <w:highlight w:val="none"/>
        </w:rPr>
        <w:t>授权委托书（联合体竞标格式）</w:t>
      </w:r>
    </w:p>
    <w:p w14:paraId="4A679BE7">
      <w:pPr>
        <w:spacing w:line="500" w:lineRule="exact"/>
        <w:jc w:val="center"/>
        <w:rPr>
          <w:rFonts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（如有委托时）</w:t>
      </w:r>
    </w:p>
    <w:p w14:paraId="21520045">
      <w:pPr>
        <w:spacing w:line="500" w:lineRule="exact"/>
        <w:jc w:val="center"/>
        <w:rPr>
          <w:rFonts w:ascii="方正小标宋简体" w:hAnsi="方正小标宋简体" w:eastAsia="方正小标宋简体" w:cs="方正小标宋简体"/>
          <w:color w:val="auto"/>
          <w:sz w:val="44"/>
          <w:szCs w:val="44"/>
          <w:highlight w:val="none"/>
        </w:rPr>
      </w:pPr>
    </w:p>
    <w:p w14:paraId="3B27DDB3">
      <w:pPr>
        <w:spacing w:line="500" w:lineRule="exact"/>
        <w:jc w:val="center"/>
        <w:rPr>
          <w:rFonts w:ascii="仿宋_GB2312" w:hAnsi="仿宋_GB2312" w:eastAsia="仿宋_GB2312" w:cs="仿宋_GB2312"/>
          <w:color w:val="auto"/>
          <w:sz w:val="32"/>
          <w:szCs w:val="32"/>
          <w:highlight w:val="none"/>
        </w:rPr>
      </w:pPr>
    </w:p>
    <w:p w14:paraId="54E781C8">
      <w:pPr>
        <w:spacing w:line="360" w:lineRule="auto"/>
        <w:ind w:firstLine="480" w:firstLineChars="200"/>
        <w:jc w:val="left"/>
        <w:rPr>
          <w:rFonts w:ascii="宋体" w:hAnsi="宋体" w:cs="仿宋_GB2312"/>
          <w:color w:val="auto"/>
          <w:sz w:val="24"/>
          <w:highlight w:val="none"/>
        </w:rPr>
      </w:pPr>
      <w:r>
        <w:rPr>
          <w:rFonts w:hint="eastAsia" w:ascii="宋体" w:hAnsi="宋体" w:cs="仿宋_GB2312"/>
          <w:color w:val="auto"/>
          <w:sz w:val="24"/>
          <w:highlight w:val="none"/>
        </w:rPr>
        <w:t>本授权委托书声明：根据</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（牵头人名称）与</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（联合体其他成员名称）签订的《联合体竞标协议书》的内容，</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（牵头人名称）的法定代表人</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（姓名）现授权</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（姓名）为联合委托代理人，并代表我方全权办理针对上述项目的所有采购程序和环节的具体事务和签署相关文件。</w:t>
      </w:r>
    </w:p>
    <w:p w14:paraId="4EA5E57F">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我方对委托代理人的签字事项负全部责任。</w:t>
      </w:r>
    </w:p>
    <w:p w14:paraId="77DCFE54">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本授权书自签署之日起生效，在撤销授权的书面通知以前，本授权书一直有效。委托代理人在授权书有效期内签署的所有文件不因授权的撤销而失效。</w:t>
      </w:r>
    </w:p>
    <w:p w14:paraId="1A9118E8">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委托代理人无转委托权，特此委托。</w:t>
      </w:r>
    </w:p>
    <w:p w14:paraId="5D041E6D">
      <w:pPr>
        <w:spacing w:line="360" w:lineRule="auto"/>
        <w:rPr>
          <w:rFonts w:ascii="宋体" w:hAnsi="宋体" w:cs="仿宋_GB2312"/>
          <w:color w:val="auto"/>
          <w:sz w:val="24"/>
          <w:highlight w:val="none"/>
        </w:rPr>
      </w:pPr>
      <w:r>
        <w:rPr>
          <w:rFonts w:hint="eastAsia" w:ascii="宋体" w:hAnsi="宋体" w:cs="仿宋_GB2312"/>
          <w:color w:val="auto"/>
          <w:sz w:val="24"/>
          <w:highlight w:val="none"/>
        </w:rPr>
        <w:t xml:space="preserve">    </w:t>
      </w:r>
    </w:p>
    <w:p w14:paraId="37FC1FB5">
      <w:pPr>
        <w:spacing w:line="360" w:lineRule="auto"/>
        <w:ind w:firstLine="1560" w:firstLineChars="650"/>
        <w:rPr>
          <w:rFonts w:ascii="宋体" w:hAnsi="宋体" w:cs="仿宋_GB2312"/>
          <w:color w:val="auto"/>
          <w:sz w:val="24"/>
          <w:highlight w:val="none"/>
        </w:rPr>
      </w:pPr>
      <w:r>
        <w:rPr>
          <w:rFonts w:hint="eastAsia" w:ascii="宋体" w:hAnsi="宋体" w:cs="仿宋_GB2312"/>
          <w:color w:val="auto"/>
          <w:sz w:val="24"/>
          <w:highlight w:val="none"/>
        </w:rPr>
        <w:t>牵头人法定代表人（签字或盖章）：</w:t>
      </w:r>
    </w:p>
    <w:p w14:paraId="712B8275">
      <w:pPr>
        <w:spacing w:line="360" w:lineRule="auto"/>
        <w:ind w:firstLine="3120" w:firstLineChars="1300"/>
        <w:rPr>
          <w:rFonts w:ascii="宋体" w:hAnsi="宋体" w:cs="仿宋_GB2312"/>
          <w:color w:val="auto"/>
          <w:sz w:val="24"/>
          <w:highlight w:val="none"/>
        </w:rPr>
      </w:pPr>
      <w:r>
        <w:rPr>
          <w:rFonts w:hint="eastAsia" w:ascii="宋体" w:hAnsi="宋体" w:cs="仿宋_GB2312"/>
          <w:color w:val="auto"/>
          <w:sz w:val="24"/>
          <w:highlight w:val="none"/>
        </w:rPr>
        <w:t>牵头人（电子签章）：</w:t>
      </w:r>
    </w:p>
    <w:p w14:paraId="2024F9E2">
      <w:pPr>
        <w:spacing w:line="360" w:lineRule="auto"/>
        <w:ind w:firstLine="3840" w:firstLineChars="1600"/>
        <w:rPr>
          <w:rFonts w:ascii="宋体" w:hAnsi="宋体" w:cs="仿宋_GB2312"/>
          <w:color w:val="auto"/>
          <w:sz w:val="24"/>
          <w:highlight w:val="none"/>
        </w:rPr>
      </w:pPr>
      <w:r>
        <w:rPr>
          <w:rFonts w:hint="eastAsia" w:ascii="宋体" w:hAnsi="宋体" w:cs="仿宋_GB2312"/>
          <w:color w:val="auto"/>
          <w:sz w:val="24"/>
          <w:highlight w:val="none"/>
        </w:rPr>
        <w:t>日期：    年   月   日</w:t>
      </w:r>
    </w:p>
    <w:p w14:paraId="68A71172">
      <w:pPr>
        <w:spacing w:line="360" w:lineRule="auto"/>
        <w:rPr>
          <w:rFonts w:ascii="宋体" w:hAnsi="宋体" w:cs="仿宋_GB2312"/>
          <w:color w:val="auto"/>
          <w:sz w:val="24"/>
          <w:highlight w:val="none"/>
        </w:rPr>
      </w:pPr>
    </w:p>
    <w:p w14:paraId="78ACBC86">
      <w:pPr>
        <w:spacing w:line="360" w:lineRule="auto"/>
        <w:ind w:firstLine="3120" w:firstLineChars="1300"/>
        <w:rPr>
          <w:rFonts w:ascii="宋体" w:hAnsi="宋体" w:cs="仿宋_GB2312"/>
          <w:color w:val="auto"/>
          <w:sz w:val="24"/>
          <w:highlight w:val="none"/>
        </w:rPr>
      </w:pPr>
      <w:r>
        <w:rPr>
          <w:rFonts w:hint="eastAsia" w:ascii="宋体" w:hAnsi="宋体" w:cs="仿宋_GB2312"/>
          <w:color w:val="auto"/>
          <w:sz w:val="24"/>
          <w:highlight w:val="none"/>
        </w:rPr>
        <w:t>被授权人（签字）：</w:t>
      </w:r>
    </w:p>
    <w:p w14:paraId="5B4AECD8">
      <w:pPr>
        <w:spacing w:line="360" w:lineRule="auto"/>
        <w:ind w:firstLine="3840" w:firstLineChars="1600"/>
        <w:rPr>
          <w:rFonts w:ascii="宋体" w:hAnsi="宋体" w:cs="仿宋_GB2312"/>
          <w:color w:val="auto"/>
          <w:sz w:val="24"/>
          <w:highlight w:val="none"/>
        </w:rPr>
      </w:pPr>
      <w:r>
        <w:rPr>
          <w:rFonts w:hint="eastAsia" w:ascii="宋体" w:hAnsi="宋体" w:cs="仿宋_GB2312"/>
          <w:color w:val="auto"/>
          <w:sz w:val="24"/>
          <w:highlight w:val="none"/>
        </w:rPr>
        <w:t>日期：    年   月   日</w:t>
      </w:r>
    </w:p>
    <w:p w14:paraId="345D3F00">
      <w:pPr>
        <w:spacing w:line="360" w:lineRule="auto"/>
        <w:rPr>
          <w:rFonts w:ascii="宋体" w:hAnsi="宋体" w:cs="仿宋_GB2312"/>
          <w:color w:val="auto"/>
          <w:sz w:val="24"/>
          <w:highlight w:val="none"/>
        </w:rPr>
      </w:pPr>
    </w:p>
    <w:p w14:paraId="2F06B644">
      <w:pPr>
        <w:spacing w:line="360" w:lineRule="auto"/>
        <w:rPr>
          <w:rFonts w:ascii="宋体" w:hAnsi="宋体" w:cs="仿宋_GB2312"/>
          <w:color w:val="auto"/>
          <w:sz w:val="24"/>
          <w:highlight w:val="none"/>
        </w:rPr>
      </w:pPr>
      <w:r>
        <w:rPr>
          <w:rFonts w:hint="eastAsia" w:ascii="宋体" w:hAnsi="宋体" w:cs="仿宋_GB2312"/>
          <w:color w:val="auto"/>
          <w:sz w:val="24"/>
          <w:highlight w:val="none"/>
        </w:rPr>
        <w:t>注：1. 法定代表人必须在授权委托书上亲笔签字或盖章，委托代理人必须在授权委托书上亲笔签字，</w:t>
      </w:r>
      <w:r>
        <w:rPr>
          <w:rFonts w:hint="eastAsia" w:ascii="宋体" w:hAnsi="宋体" w:cs="仿宋_GB2312"/>
          <w:b/>
          <w:color w:val="auto"/>
          <w:sz w:val="24"/>
          <w:highlight w:val="none"/>
        </w:rPr>
        <w:t>否则其响应文件按无效响应处理。</w:t>
      </w:r>
    </w:p>
    <w:p w14:paraId="14F09FC8">
      <w:pPr>
        <w:spacing w:line="360" w:lineRule="auto"/>
        <w:ind w:firstLine="480" w:firstLineChars="200"/>
        <w:jc w:val="left"/>
        <w:rPr>
          <w:rFonts w:ascii="宋体" w:hAnsi="宋体" w:cs="仿宋_GB2312"/>
          <w:color w:val="auto"/>
          <w:sz w:val="24"/>
          <w:highlight w:val="none"/>
        </w:rPr>
      </w:pPr>
      <w:r>
        <w:rPr>
          <w:rFonts w:hint="eastAsia" w:ascii="宋体" w:hAnsi="宋体" w:cs="仿宋_GB2312"/>
          <w:color w:val="auto"/>
          <w:sz w:val="24"/>
          <w:highlight w:val="none"/>
        </w:rPr>
        <w:t>2.本授权委托书应由联合体牵头人的法定代表人按上述规定签署。</w:t>
      </w:r>
    </w:p>
    <w:p w14:paraId="2E1EAEF7">
      <w:pPr>
        <w:spacing w:line="360" w:lineRule="auto"/>
        <w:ind w:firstLine="480" w:firstLineChars="200"/>
        <w:jc w:val="left"/>
        <w:rPr>
          <w:rFonts w:ascii="宋体" w:hAnsi="宋体" w:cs="仿宋_GB2312"/>
          <w:color w:val="auto"/>
          <w:sz w:val="24"/>
          <w:highlight w:val="none"/>
        </w:rPr>
      </w:pPr>
      <w:r>
        <w:rPr>
          <w:rFonts w:hint="eastAsia" w:ascii="宋体" w:hAnsi="宋体" w:cs="仿宋_GB2312"/>
          <w:color w:val="auto"/>
          <w:sz w:val="24"/>
          <w:highlight w:val="none"/>
        </w:rPr>
        <w:t>3.供应商为其他组织或者自然人时，本磋商文件规定的法定代表人指负责人或者自然人。本磋商文件所称负责人是指参加竞标的其他组织营业执照上的负责人，本磋商文件所称自然人指参与竞标的自然人本人。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7C1E929F">
      <w:pPr>
        <w:spacing w:line="360" w:lineRule="auto"/>
        <w:ind w:firstLine="480" w:firstLineChars="200"/>
        <w:jc w:val="left"/>
        <w:rPr>
          <w:rFonts w:ascii="宋体" w:hAnsi="宋体" w:cs="仿宋_GB2312"/>
          <w:color w:val="auto"/>
          <w:sz w:val="24"/>
          <w:highlight w:val="none"/>
        </w:rPr>
      </w:pPr>
      <w:r>
        <w:rPr>
          <w:rFonts w:hint="eastAsia" w:ascii="宋体" w:hAnsi="宋体" w:cs="仿宋_GB2312"/>
          <w:color w:val="auto"/>
          <w:sz w:val="24"/>
          <w:highlight w:val="none"/>
        </w:rPr>
        <w:t>4.法人、其他组织竞标时“我方”是指“我单位”，自然人竞标时“我方”是指“本人”。</w:t>
      </w:r>
    </w:p>
    <w:p w14:paraId="7F7FB02A">
      <w:pPr>
        <w:spacing w:line="360" w:lineRule="auto"/>
        <w:ind w:firstLine="420" w:firstLineChars="200"/>
        <w:jc w:val="left"/>
        <w:rPr>
          <w:rFonts w:ascii="仿宋_GB2312" w:hAnsi="仿宋_GB2312" w:eastAsia="仿宋_GB2312" w:cs="仿宋_GB2312"/>
          <w:color w:val="auto"/>
          <w:szCs w:val="21"/>
          <w:highlight w:val="none"/>
        </w:rPr>
      </w:pPr>
    </w:p>
    <w:p w14:paraId="3B8E1750">
      <w:pPr>
        <w:spacing w:line="520" w:lineRule="exact"/>
        <w:ind w:firstLine="602" w:firstLineChars="200"/>
        <w:jc w:val="left"/>
        <w:rPr>
          <w:rFonts w:ascii="仿宋" w:hAnsi="仿宋" w:eastAsia="仿宋" w:cs="仿宋_GB2312"/>
          <w:b/>
          <w:color w:val="auto"/>
          <w:sz w:val="30"/>
          <w:szCs w:val="30"/>
          <w:highlight w:val="none"/>
        </w:rPr>
      </w:pPr>
      <w:r>
        <w:rPr>
          <w:rFonts w:hint="eastAsia" w:ascii="仿宋" w:hAnsi="仿宋" w:eastAsia="仿宋" w:cs="仿宋_GB2312"/>
          <w:b/>
          <w:color w:val="auto"/>
          <w:sz w:val="30"/>
          <w:szCs w:val="30"/>
          <w:highlight w:val="none"/>
        </w:rPr>
        <w:t>四、商务条款偏离表</w:t>
      </w:r>
    </w:p>
    <w:p w14:paraId="6E34C5D9">
      <w:pPr>
        <w:spacing w:line="500" w:lineRule="exact"/>
        <w:jc w:val="center"/>
        <w:rPr>
          <w:rFonts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商务条款偏离表</w:t>
      </w:r>
    </w:p>
    <w:p w14:paraId="2AE7D7AA">
      <w:pPr>
        <w:spacing w:line="520" w:lineRule="exact"/>
        <w:rPr>
          <w:rFonts w:ascii="仿宋_GB2312" w:hAnsi="仿宋_GB2312" w:eastAsia="仿宋_GB2312" w:cs="仿宋_GB2312"/>
          <w:color w:val="auto"/>
          <w:sz w:val="32"/>
          <w:szCs w:val="32"/>
          <w:highlight w:val="none"/>
        </w:rPr>
      </w:pPr>
    </w:p>
    <w:p w14:paraId="5DF2695C">
      <w:pPr>
        <w:spacing w:line="360" w:lineRule="auto"/>
        <w:rPr>
          <w:rFonts w:ascii="宋体" w:hAnsi="宋体" w:cs="仿宋_GB2312"/>
          <w:color w:val="auto"/>
          <w:sz w:val="24"/>
          <w:highlight w:val="none"/>
          <w:u w:val="single"/>
        </w:rPr>
      </w:pPr>
      <w:r>
        <w:rPr>
          <w:rFonts w:hint="eastAsia" w:ascii="宋体" w:hAnsi="宋体" w:cs="仿宋_GB2312"/>
          <w:color w:val="auto"/>
          <w:sz w:val="24"/>
          <w:highlight w:val="none"/>
        </w:rPr>
        <w:t>采购项目编号：</w:t>
      </w:r>
      <w:r>
        <w:rPr>
          <w:rFonts w:hint="eastAsia" w:ascii="宋体" w:hAnsi="宋体" w:cs="仿宋_GB2312"/>
          <w:color w:val="auto"/>
          <w:sz w:val="24"/>
          <w:highlight w:val="none"/>
          <w:u w:val="single"/>
        </w:rPr>
        <w:t xml:space="preserve">               </w:t>
      </w:r>
    </w:p>
    <w:p w14:paraId="37C500FB">
      <w:pPr>
        <w:spacing w:line="360" w:lineRule="auto"/>
        <w:rPr>
          <w:rFonts w:ascii="宋体" w:hAnsi="宋体" w:cs="仿宋_GB2312"/>
          <w:color w:val="auto"/>
          <w:sz w:val="24"/>
          <w:highlight w:val="none"/>
        </w:rPr>
      </w:pPr>
      <w:r>
        <w:rPr>
          <w:rFonts w:hint="eastAsia" w:ascii="宋体" w:hAnsi="宋体" w:cs="仿宋_GB2312"/>
          <w:color w:val="auto"/>
          <w:sz w:val="24"/>
          <w:highlight w:val="none"/>
        </w:rPr>
        <w:t>采购项目名称：</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u w:val="single"/>
          <w:lang w:eastAsia="zh-CN"/>
        </w:rPr>
        <w:t>南宁市青年人才驿站</w:t>
      </w:r>
      <w:r>
        <w:rPr>
          <w:rFonts w:hint="eastAsia" w:ascii="宋体" w:hAnsi="宋体" w:cs="仿宋_GB2312"/>
          <w:color w:val="auto"/>
          <w:sz w:val="24"/>
          <w:highlight w:val="none"/>
          <w:u w:val="single"/>
        </w:rPr>
        <w:t xml:space="preserve"> </w:t>
      </w:r>
    </w:p>
    <w:p w14:paraId="0531FD3F">
      <w:pPr>
        <w:spacing w:line="360" w:lineRule="auto"/>
        <w:rPr>
          <w:rFonts w:ascii="宋体" w:hAnsi="宋体" w:cs="仿宋_GB2312"/>
          <w:color w:val="auto"/>
          <w:sz w:val="24"/>
          <w:highlight w:val="none"/>
          <w:u w:val="single"/>
        </w:rPr>
      </w:pPr>
      <w:r>
        <w:rPr>
          <w:rFonts w:hint="eastAsia" w:ascii="宋体" w:hAnsi="宋体" w:cs="仿宋_GB2312"/>
          <w:color w:val="auto"/>
          <w:sz w:val="24"/>
          <w:highlight w:val="none"/>
        </w:rPr>
        <w:t>标项号</w:t>
      </w:r>
      <w:r>
        <w:rPr>
          <w:rFonts w:hint="eastAsia" w:ascii="宋体" w:hAnsi="宋体"/>
          <w:color w:val="auto"/>
          <w:szCs w:val="21"/>
          <w:highlight w:val="none"/>
        </w:rPr>
        <w:t>（此处有标项时填写具体标项号，无标项时填写“无”）</w:t>
      </w:r>
      <w:r>
        <w:rPr>
          <w:rFonts w:hint="eastAsia" w:ascii="宋体" w:hAnsi="宋体" w:cs="仿宋_GB2312"/>
          <w:color w:val="auto"/>
          <w:sz w:val="24"/>
          <w:highlight w:val="none"/>
        </w:rPr>
        <w:t>：</w:t>
      </w:r>
      <w:r>
        <w:rPr>
          <w:rFonts w:hint="eastAsia" w:ascii="宋体" w:hAnsi="宋体" w:cs="仿宋_GB2312"/>
          <w:color w:val="auto"/>
          <w:sz w:val="24"/>
          <w:highlight w:val="none"/>
          <w:u w:val="single"/>
        </w:rPr>
        <w:t xml:space="preserve">                       </w:t>
      </w:r>
    </w:p>
    <w:tbl>
      <w:tblPr>
        <w:tblStyle w:val="23"/>
        <w:tblpPr w:leftFromText="180" w:rightFromText="180" w:vertAnchor="text" w:horzAnchor="margin" w:tblpXSpec="center" w:tblpY="9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6"/>
        <w:gridCol w:w="3680"/>
        <w:gridCol w:w="2553"/>
        <w:gridCol w:w="2380"/>
      </w:tblGrid>
      <w:tr w14:paraId="28420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364" w:type="pct"/>
            <w:tcBorders>
              <w:top w:val="single" w:color="auto" w:sz="4" w:space="0"/>
              <w:left w:val="single" w:color="auto" w:sz="4" w:space="0"/>
              <w:right w:val="single" w:color="auto" w:sz="4" w:space="0"/>
            </w:tcBorders>
            <w:noWrap/>
          </w:tcPr>
          <w:p w14:paraId="62EB1AA0">
            <w:pPr>
              <w:spacing w:line="340" w:lineRule="exact"/>
              <w:jc w:val="center"/>
              <w:rPr>
                <w:rFonts w:ascii="宋体" w:hAnsi="宋体"/>
                <w:color w:val="auto"/>
                <w:szCs w:val="21"/>
                <w:highlight w:val="none"/>
              </w:rPr>
            </w:pPr>
            <w:r>
              <w:rPr>
                <w:rFonts w:hint="eastAsia" w:ascii="宋体" w:hAnsi="宋体"/>
                <w:color w:val="auto"/>
                <w:szCs w:val="21"/>
                <w:highlight w:val="none"/>
              </w:rPr>
              <w:t>项号</w:t>
            </w:r>
          </w:p>
        </w:tc>
        <w:tc>
          <w:tcPr>
            <w:tcW w:w="1981" w:type="pct"/>
            <w:tcBorders>
              <w:top w:val="single" w:color="auto" w:sz="4" w:space="0"/>
              <w:left w:val="single" w:color="auto" w:sz="4" w:space="0"/>
              <w:bottom w:val="single" w:color="auto" w:sz="4" w:space="0"/>
              <w:right w:val="single" w:color="auto" w:sz="4" w:space="0"/>
            </w:tcBorders>
            <w:noWrap/>
          </w:tcPr>
          <w:p w14:paraId="640C5E74">
            <w:pPr>
              <w:spacing w:line="340" w:lineRule="exact"/>
              <w:jc w:val="center"/>
              <w:rPr>
                <w:rFonts w:ascii="宋体" w:hAnsi="宋体"/>
                <w:color w:val="auto"/>
                <w:szCs w:val="21"/>
                <w:highlight w:val="none"/>
              </w:rPr>
            </w:pPr>
            <w:r>
              <w:rPr>
                <w:rFonts w:hint="eastAsia" w:ascii="宋体" w:hAnsi="宋体"/>
                <w:color w:val="auto"/>
                <w:szCs w:val="21"/>
                <w:highlight w:val="none"/>
              </w:rPr>
              <w:t>竞争性磋商采购文件的商务需求</w:t>
            </w:r>
          </w:p>
        </w:tc>
        <w:tc>
          <w:tcPr>
            <w:tcW w:w="1374" w:type="pct"/>
            <w:tcBorders>
              <w:top w:val="single" w:color="auto" w:sz="4" w:space="0"/>
              <w:left w:val="single" w:color="auto" w:sz="4" w:space="0"/>
              <w:right w:val="single" w:color="auto" w:sz="4" w:space="0"/>
            </w:tcBorders>
          </w:tcPr>
          <w:p w14:paraId="45884BCC">
            <w:pPr>
              <w:spacing w:line="340" w:lineRule="exact"/>
              <w:jc w:val="center"/>
              <w:rPr>
                <w:rFonts w:ascii="宋体" w:hAnsi="宋体"/>
                <w:color w:val="auto"/>
                <w:szCs w:val="21"/>
                <w:highlight w:val="none"/>
              </w:rPr>
            </w:pPr>
            <w:r>
              <w:rPr>
                <w:rFonts w:hint="eastAsia" w:ascii="宋体" w:hAnsi="宋体"/>
                <w:color w:val="auto"/>
                <w:szCs w:val="21"/>
                <w:highlight w:val="none"/>
              </w:rPr>
              <w:t>响应文件承诺的商务条款</w:t>
            </w:r>
          </w:p>
        </w:tc>
        <w:tc>
          <w:tcPr>
            <w:tcW w:w="1279" w:type="pct"/>
            <w:tcBorders>
              <w:top w:val="single" w:color="auto" w:sz="4" w:space="0"/>
              <w:left w:val="single" w:color="auto" w:sz="4" w:space="0"/>
              <w:right w:val="single" w:color="auto" w:sz="4" w:space="0"/>
            </w:tcBorders>
          </w:tcPr>
          <w:p w14:paraId="5593E47C">
            <w:pPr>
              <w:spacing w:line="300" w:lineRule="exact"/>
              <w:jc w:val="center"/>
              <w:rPr>
                <w:rFonts w:ascii="宋体" w:hAnsi="宋体"/>
                <w:color w:val="auto"/>
                <w:szCs w:val="21"/>
                <w:highlight w:val="none"/>
              </w:rPr>
            </w:pPr>
            <w:r>
              <w:rPr>
                <w:rFonts w:hint="eastAsia" w:ascii="宋体" w:hAnsi="宋体"/>
                <w:color w:val="auto"/>
                <w:szCs w:val="21"/>
                <w:highlight w:val="none"/>
              </w:rPr>
              <w:t>偏离说明</w:t>
            </w:r>
          </w:p>
        </w:tc>
      </w:tr>
      <w:tr w14:paraId="2C765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364" w:type="pct"/>
            <w:vMerge w:val="restart"/>
            <w:tcBorders>
              <w:top w:val="single" w:color="auto" w:sz="4" w:space="0"/>
              <w:left w:val="single" w:color="auto" w:sz="4" w:space="0"/>
              <w:right w:val="single" w:color="auto" w:sz="4" w:space="0"/>
            </w:tcBorders>
            <w:noWrap/>
          </w:tcPr>
          <w:p w14:paraId="7ED6E667">
            <w:pPr>
              <w:spacing w:line="340" w:lineRule="exact"/>
              <w:rPr>
                <w:rFonts w:ascii="宋体" w:hAnsi="宋体"/>
                <w:color w:val="auto"/>
                <w:szCs w:val="21"/>
                <w:highlight w:val="none"/>
              </w:rPr>
            </w:pPr>
            <w:r>
              <w:rPr>
                <w:rFonts w:hint="eastAsia" w:ascii="宋体" w:hAnsi="宋体"/>
                <w:color w:val="auto"/>
                <w:szCs w:val="21"/>
                <w:highlight w:val="none"/>
              </w:rPr>
              <w:t>一</w:t>
            </w:r>
          </w:p>
        </w:tc>
        <w:tc>
          <w:tcPr>
            <w:tcW w:w="1981" w:type="pct"/>
            <w:tcBorders>
              <w:top w:val="single" w:color="auto" w:sz="4" w:space="0"/>
              <w:left w:val="single" w:color="auto" w:sz="4" w:space="0"/>
              <w:bottom w:val="single" w:color="auto" w:sz="4" w:space="0"/>
              <w:right w:val="single" w:color="auto" w:sz="4" w:space="0"/>
            </w:tcBorders>
            <w:noWrap/>
          </w:tcPr>
          <w:p w14:paraId="3591AC4D">
            <w:pPr>
              <w:rPr>
                <w:rFonts w:ascii="宋体" w:hAnsi="宋体"/>
                <w:color w:val="auto"/>
                <w:szCs w:val="21"/>
                <w:highlight w:val="none"/>
              </w:rPr>
            </w:pPr>
            <w:r>
              <w:rPr>
                <w:rFonts w:hint="eastAsia" w:ascii="宋体" w:hAnsi="宋体"/>
                <w:color w:val="auto"/>
                <w:szCs w:val="21"/>
                <w:highlight w:val="none"/>
              </w:rPr>
              <w:t>1  ……</w:t>
            </w:r>
          </w:p>
        </w:tc>
        <w:tc>
          <w:tcPr>
            <w:tcW w:w="1374" w:type="pct"/>
            <w:tcBorders>
              <w:top w:val="single" w:color="auto" w:sz="4" w:space="0"/>
              <w:left w:val="single" w:color="auto" w:sz="4" w:space="0"/>
              <w:right w:val="single" w:color="auto" w:sz="4" w:space="0"/>
            </w:tcBorders>
          </w:tcPr>
          <w:p w14:paraId="505FA597">
            <w:pPr>
              <w:rPr>
                <w:rFonts w:ascii="宋体" w:hAnsi="宋体"/>
                <w:color w:val="auto"/>
                <w:szCs w:val="21"/>
                <w:highlight w:val="none"/>
              </w:rPr>
            </w:pPr>
            <w:r>
              <w:rPr>
                <w:rFonts w:hint="eastAsia" w:ascii="宋体" w:hAnsi="宋体"/>
                <w:color w:val="auto"/>
                <w:szCs w:val="21"/>
                <w:highlight w:val="none"/>
              </w:rPr>
              <w:t>1  ……</w:t>
            </w:r>
          </w:p>
        </w:tc>
        <w:tc>
          <w:tcPr>
            <w:tcW w:w="1279" w:type="pct"/>
            <w:tcBorders>
              <w:top w:val="single" w:color="auto" w:sz="4" w:space="0"/>
              <w:left w:val="single" w:color="auto" w:sz="4" w:space="0"/>
              <w:right w:val="single" w:color="auto" w:sz="4" w:space="0"/>
            </w:tcBorders>
          </w:tcPr>
          <w:p w14:paraId="513780AA">
            <w:pPr>
              <w:spacing w:line="300" w:lineRule="exact"/>
              <w:rPr>
                <w:rFonts w:ascii="宋体" w:hAnsi="宋体"/>
                <w:color w:val="auto"/>
                <w:szCs w:val="21"/>
                <w:highlight w:val="none"/>
              </w:rPr>
            </w:pPr>
            <w:r>
              <w:rPr>
                <w:rFonts w:hint="eastAsia" w:ascii="宋体" w:hAnsi="宋体"/>
                <w:color w:val="auto"/>
                <w:szCs w:val="21"/>
                <w:highlight w:val="none"/>
              </w:rPr>
              <w:t>正偏离（负偏离或无偏离）</w:t>
            </w:r>
          </w:p>
          <w:p w14:paraId="5EBA1AB5">
            <w:pPr>
              <w:spacing w:line="300" w:lineRule="exact"/>
              <w:rPr>
                <w:rFonts w:ascii="宋体" w:hAnsi="宋体"/>
                <w:color w:val="auto"/>
                <w:szCs w:val="21"/>
                <w:highlight w:val="none"/>
              </w:rPr>
            </w:pPr>
          </w:p>
        </w:tc>
      </w:tr>
      <w:tr w14:paraId="01D6D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364" w:type="pct"/>
            <w:vMerge w:val="continue"/>
            <w:tcBorders>
              <w:left w:val="single" w:color="auto" w:sz="4" w:space="0"/>
              <w:right w:val="single" w:color="auto" w:sz="4" w:space="0"/>
            </w:tcBorders>
            <w:noWrap/>
          </w:tcPr>
          <w:p w14:paraId="6C7AEF4C">
            <w:pPr>
              <w:spacing w:line="340" w:lineRule="exact"/>
              <w:rPr>
                <w:rFonts w:ascii="宋体" w:hAnsi="宋体"/>
                <w:color w:val="auto"/>
                <w:szCs w:val="21"/>
                <w:highlight w:val="none"/>
              </w:rPr>
            </w:pPr>
          </w:p>
        </w:tc>
        <w:tc>
          <w:tcPr>
            <w:tcW w:w="1981" w:type="pct"/>
            <w:tcBorders>
              <w:top w:val="single" w:color="auto" w:sz="4" w:space="0"/>
              <w:left w:val="single" w:color="auto" w:sz="4" w:space="0"/>
              <w:bottom w:val="single" w:color="auto" w:sz="4" w:space="0"/>
              <w:right w:val="single" w:color="auto" w:sz="4" w:space="0"/>
            </w:tcBorders>
            <w:noWrap/>
          </w:tcPr>
          <w:p w14:paraId="54C64ACB">
            <w:pPr>
              <w:spacing w:line="340" w:lineRule="exact"/>
              <w:rPr>
                <w:rFonts w:ascii="宋体" w:hAnsi="宋体"/>
                <w:color w:val="auto"/>
                <w:szCs w:val="21"/>
                <w:highlight w:val="none"/>
              </w:rPr>
            </w:pPr>
            <w:r>
              <w:rPr>
                <w:rFonts w:hint="eastAsia" w:ascii="宋体" w:hAnsi="宋体"/>
                <w:color w:val="auto"/>
                <w:szCs w:val="21"/>
                <w:highlight w:val="none"/>
              </w:rPr>
              <w:t>2  ……</w:t>
            </w:r>
          </w:p>
          <w:p w14:paraId="6BD3F024">
            <w:pPr>
              <w:spacing w:line="340" w:lineRule="exact"/>
              <w:rPr>
                <w:rFonts w:ascii="宋体" w:hAnsi="宋体"/>
                <w:color w:val="auto"/>
                <w:szCs w:val="21"/>
                <w:highlight w:val="none"/>
              </w:rPr>
            </w:pPr>
          </w:p>
        </w:tc>
        <w:tc>
          <w:tcPr>
            <w:tcW w:w="1374" w:type="pct"/>
            <w:tcBorders>
              <w:left w:val="single" w:color="auto" w:sz="4" w:space="0"/>
              <w:right w:val="single" w:color="auto" w:sz="4" w:space="0"/>
            </w:tcBorders>
          </w:tcPr>
          <w:p w14:paraId="36EB26D9">
            <w:pPr>
              <w:spacing w:line="340" w:lineRule="exact"/>
              <w:rPr>
                <w:rFonts w:ascii="宋体" w:hAnsi="宋体"/>
                <w:color w:val="auto"/>
                <w:szCs w:val="21"/>
                <w:highlight w:val="none"/>
              </w:rPr>
            </w:pPr>
            <w:r>
              <w:rPr>
                <w:rFonts w:hint="eastAsia" w:ascii="宋体" w:hAnsi="宋体"/>
                <w:color w:val="auto"/>
                <w:szCs w:val="21"/>
                <w:highlight w:val="none"/>
              </w:rPr>
              <w:t>2  ……</w:t>
            </w:r>
          </w:p>
          <w:p w14:paraId="68797C24">
            <w:pPr>
              <w:spacing w:line="300" w:lineRule="exact"/>
              <w:rPr>
                <w:rFonts w:ascii="宋体" w:hAnsi="宋体"/>
                <w:color w:val="auto"/>
                <w:szCs w:val="21"/>
                <w:highlight w:val="none"/>
              </w:rPr>
            </w:pPr>
          </w:p>
        </w:tc>
        <w:tc>
          <w:tcPr>
            <w:tcW w:w="1279" w:type="pct"/>
            <w:tcBorders>
              <w:left w:val="single" w:color="auto" w:sz="4" w:space="0"/>
              <w:right w:val="single" w:color="auto" w:sz="4" w:space="0"/>
            </w:tcBorders>
          </w:tcPr>
          <w:p w14:paraId="68FBD572">
            <w:pPr>
              <w:spacing w:line="300" w:lineRule="exact"/>
              <w:rPr>
                <w:rFonts w:ascii="宋体" w:hAnsi="宋体"/>
                <w:color w:val="auto"/>
                <w:szCs w:val="21"/>
                <w:highlight w:val="none"/>
              </w:rPr>
            </w:pPr>
            <w:r>
              <w:rPr>
                <w:rFonts w:hint="eastAsia" w:ascii="宋体" w:hAnsi="宋体"/>
                <w:color w:val="auto"/>
                <w:szCs w:val="21"/>
                <w:highlight w:val="none"/>
              </w:rPr>
              <w:t>正偏离（负偏离或无偏离）</w:t>
            </w:r>
          </w:p>
          <w:p w14:paraId="76DABB98">
            <w:pPr>
              <w:spacing w:line="300" w:lineRule="exact"/>
              <w:rPr>
                <w:rFonts w:ascii="宋体" w:hAnsi="宋体"/>
                <w:color w:val="auto"/>
                <w:szCs w:val="21"/>
                <w:highlight w:val="none"/>
              </w:rPr>
            </w:pPr>
          </w:p>
        </w:tc>
      </w:tr>
      <w:tr w14:paraId="7CAD2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364" w:type="pct"/>
            <w:vMerge w:val="continue"/>
            <w:tcBorders>
              <w:left w:val="single" w:color="auto" w:sz="4" w:space="0"/>
              <w:right w:val="single" w:color="auto" w:sz="4" w:space="0"/>
            </w:tcBorders>
            <w:noWrap/>
          </w:tcPr>
          <w:p w14:paraId="5185A888">
            <w:pPr>
              <w:spacing w:line="340" w:lineRule="exact"/>
              <w:rPr>
                <w:rFonts w:ascii="宋体" w:hAnsi="宋体"/>
                <w:color w:val="auto"/>
                <w:szCs w:val="21"/>
                <w:highlight w:val="none"/>
              </w:rPr>
            </w:pPr>
          </w:p>
        </w:tc>
        <w:tc>
          <w:tcPr>
            <w:tcW w:w="1981" w:type="pct"/>
            <w:tcBorders>
              <w:top w:val="single" w:color="auto" w:sz="4" w:space="0"/>
              <w:left w:val="single" w:color="auto" w:sz="4" w:space="0"/>
              <w:bottom w:val="single" w:color="auto" w:sz="4" w:space="0"/>
              <w:right w:val="single" w:color="auto" w:sz="4" w:space="0"/>
            </w:tcBorders>
            <w:noWrap/>
          </w:tcPr>
          <w:p w14:paraId="5217B3A3">
            <w:pPr>
              <w:spacing w:line="340" w:lineRule="exact"/>
              <w:rPr>
                <w:rFonts w:ascii="宋体" w:hAnsi="宋体"/>
                <w:color w:val="auto"/>
                <w:szCs w:val="21"/>
                <w:highlight w:val="none"/>
              </w:rPr>
            </w:pPr>
            <w:r>
              <w:rPr>
                <w:rFonts w:hint="eastAsia" w:ascii="宋体" w:hAnsi="宋体"/>
                <w:color w:val="auto"/>
                <w:szCs w:val="21"/>
                <w:highlight w:val="none"/>
              </w:rPr>
              <w:t>3  ……</w:t>
            </w:r>
          </w:p>
          <w:p w14:paraId="24A6585A">
            <w:pPr>
              <w:spacing w:line="340" w:lineRule="exact"/>
              <w:rPr>
                <w:rFonts w:ascii="宋体" w:hAnsi="宋体"/>
                <w:color w:val="auto"/>
                <w:szCs w:val="21"/>
                <w:highlight w:val="none"/>
              </w:rPr>
            </w:pPr>
          </w:p>
        </w:tc>
        <w:tc>
          <w:tcPr>
            <w:tcW w:w="1374" w:type="pct"/>
            <w:tcBorders>
              <w:left w:val="single" w:color="auto" w:sz="4" w:space="0"/>
              <w:right w:val="single" w:color="auto" w:sz="4" w:space="0"/>
            </w:tcBorders>
          </w:tcPr>
          <w:p w14:paraId="484D921A">
            <w:pPr>
              <w:spacing w:line="340" w:lineRule="exact"/>
              <w:rPr>
                <w:rFonts w:ascii="宋体" w:hAnsi="宋体"/>
                <w:color w:val="auto"/>
                <w:szCs w:val="21"/>
                <w:highlight w:val="none"/>
              </w:rPr>
            </w:pPr>
            <w:r>
              <w:rPr>
                <w:rFonts w:hint="eastAsia" w:ascii="宋体" w:hAnsi="宋体"/>
                <w:color w:val="auto"/>
                <w:szCs w:val="21"/>
                <w:highlight w:val="none"/>
              </w:rPr>
              <w:t>3  ……</w:t>
            </w:r>
          </w:p>
          <w:p w14:paraId="45A16E01">
            <w:pPr>
              <w:spacing w:line="300" w:lineRule="exact"/>
              <w:rPr>
                <w:rFonts w:ascii="宋体" w:hAnsi="宋体"/>
                <w:color w:val="auto"/>
                <w:szCs w:val="21"/>
                <w:highlight w:val="none"/>
              </w:rPr>
            </w:pPr>
          </w:p>
        </w:tc>
        <w:tc>
          <w:tcPr>
            <w:tcW w:w="1279" w:type="pct"/>
            <w:tcBorders>
              <w:left w:val="single" w:color="auto" w:sz="4" w:space="0"/>
              <w:right w:val="single" w:color="auto" w:sz="4" w:space="0"/>
            </w:tcBorders>
          </w:tcPr>
          <w:p w14:paraId="545937CE">
            <w:pPr>
              <w:spacing w:line="300" w:lineRule="exact"/>
              <w:rPr>
                <w:rFonts w:ascii="宋体" w:hAnsi="宋体"/>
                <w:color w:val="auto"/>
                <w:szCs w:val="21"/>
                <w:highlight w:val="none"/>
              </w:rPr>
            </w:pPr>
            <w:r>
              <w:rPr>
                <w:rFonts w:hint="eastAsia" w:ascii="宋体" w:hAnsi="宋体"/>
                <w:color w:val="auto"/>
                <w:szCs w:val="21"/>
                <w:highlight w:val="none"/>
              </w:rPr>
              <w:t>正偏离（负偏离或无偏离）</w:t>
            </w:r>
          </w:p>
          <w:p w14:paraId="0AEDAF04">
            <w:pPr>
              <w:spacing w:line="300" w:lineRule="exact"/>
              <w:rPr>
                <w:rFonts w:ascii="宋体" w:hAnsi="宋体"/>
                <w:color w:val="auto"/>
                <w:szCs w:val="21"/>
                <w:highlight w:val="none"/>
              </w:rPr>
            </w:pPr>
          </w:p>
        </w:tc>
      </w:tr>
      <w:tr w14:paraId="5BD3D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364" w:type="pct"/>
            <w:vMerge w:val="continue"/>
            <w:tcBorders>
              <w:left w:val="single" w:color="auto" w:sz="4" w:space="0"/>
              <w:bottom w:val="single" w:color="auto" w:sz="4" w:space="0"/>
              <w:right w:val="single" w:color="auto" w:sz="4" w:space="0"/>
            </w:tcBorders>
            <w:noWrap/>
          </w:tcPr>
          <w:p w14:paraId="6FD318CB">
            <w:pPr>
              <w:spacing w:line="340" w:lineRule="exact"/>
              <w:rPr>
                <w:rFonts w:ascii="宋体" w:hAnsi="宋体"/>
                <w:color w:val="auto"/>
                <w:szCs w:val="21"/>
                <w:highlight w:val="none"/>
              </w:rPr>
            </w:pPr>
          </w:p>
        </w:tc>
        <w:tc>
          <w:tcPr>
            <w:tcW w:w="1981" w:type="pct"/>
            <w:tcBorders>
              <w:top w:val="single" w:color="auto" w:sz="4" w:space="0"/>
              <w:left w:val="single" w:color="auto" w:sz="4" w:space="0"/>
              <w:bottom w:val="single" w:color="auto" w:sz="4" w:space="0"/>
              <w:right w:val="single" w:color="auto" w:sz="4" w:space="0"/>
            </w:tcBorders>
            <w:noWrap/>
          </w:tcPr>
          <w:p w14:paraId="27B57D2D">
            <w:pPr>
              <w:spacing w:line="340" w:lineRule="exact"/>
              <w:rPr>
                <w:rFonts w:ascii="宋体" w:hAnsi="宋体"/>
                <w:color w:val="auto"/>
                <w:szCs w:val="21"/>
                <w:highlight w:val="none"/>
              </w:rPr>
            </w:pPr>
            <w:r>
              <w:rPr>
                <w:rFonts w:hint="eastAsia" w:ascii="宋体" w:hAnsi="宋体"/>
                <w:color w:val="auto"/>
                <w:szCs w:val="21"/>
                <w:highlight w:val="none"/>
              </w:rPr>
              <w:t>……</w:t>
            </w:r>
          </w:p>
        </w:tc>
        <w:tc>
          <w:tcPr>
            <w:tcW w:w="1374" w:type="pct"/>
            <w:tcBorders>
              <w:left w:val="single" w:color="auto" w:sz="4" w:space="0"/>
              <w:bottom w:val="single" w:color="auto" w:sz="4" w:space="0"/>
              <w:right w:val="single" w:color="auto" w:sz="4" w:space="0"/>
            </w:tcBorders>
          </w:tcPr>
          <w:p w14:paraId="58098E12">
            <w:pPr>
              <w:spacing w:line="300" w:lineRule="exact"/>
              <w:rPr>
                <w:rFonts w:ascii="宋体" w:hAnsi="宋体"/>
                <w:color w:val="auto"/>
                <w:szCs w:val="21"/>
                <w:highlight w:val="none"/>
              </w:rPr>
            </w:pPr>
            <w:r>
              <w:rPr>
                <w:rFonts w:hint="eastAsia" w:ascii="宋体" w:hAnsi="宋体"/>
                <w:color w:val="auto"/>
                <w:szCs w:val="21"/>
                <w:highlight w:val="none"/>
              </w:rPr>
              <w:t>……</w:t>
            </w:r>
          </w:p>
        </w:tc>
        <w:tc>
          <w:tcPr>
            <w:tcW w:w="1279" w:type="pct"/>
            <w:tcBorders>
              <w:left w:val="single" w:color="auto" w:sz="4" w:space="0"/>
              <w:bottom w:val="single" w:color="auto" w:sz="4" w:space="0"/>
              <w:right w:val="single" w:color="auto" w:sz="4" w:space="0"/>
            </w:tcBorders>
          </w:tcPr>
          <w:p w14:paraId="18F742AC">
            <w:pPr>
              <w:spacing w:line="300" w:lineRule="exact"/>
              <w:rPr>
                <w:rFonts w:ascii="宋体" w:hAnsi="宋体"/>
                <w:color w:val="auto"/>
                <w:szCs w:val="21"/>
                <w:highlight w:val="none"/>
              </w:rPr>
            </w:pPr>
            <w:r>
              <w:rPr>
                <w:rFonts w:hint="eastAsia" w:ascii="宋体" w:hAnsi="宋体"/>
                <w:color w:val="auto"/>
                <w:szCs w:val="21"/>
                <w:highlight w:val="none"/>
              </w:rPr>
              <w:t>正偏离（负偏离或无偏离）</w:t>
            </w:r>
          </w:p>
          <w:p w14:paraId="708A36B6">
            <w:pPr>
              <w:spacing w:line="300" w:lineRule="exact"/>
              <w:rPr>
                <w:rFonts w:ascii="宋体" w:hAnsi="宋体"/>
                <w:color w:val="auto"/>
                <w:szCs w:val="21"/>
                <w:highlight w:val="none"/>
              </w:rPr>
            </w:pPr>
          </w:p>
        </w:tc>
      </w:tr>
      <w:tr w14:paraId="20F55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364" w:type="pct"/>
            <w:vMerge w:val="restart"/>
            <w:tcBorders>
              <w:top w:val="single" w:color="auto" w:sz="4" w:space="0"/>
              <w:left w:val="single" w:color="auto" w:sz="4" w:space="0"/>
              <w:right w:val="single" w:color="auto" w:sz="4" w:space="0"/>
            </w:tcBorders>
            <w:noWrap/>
          </w:tcPr>
          <w:p w14:paraId="6DE18BB7">
            <w:pPr>
              <w:spacing w:line="340" w:lineRule="exact"/>
              <w:rPr>
                <w:rFonts w:ascii="宋体" w:hAnsi="宋体"/>
                <w:color w:val="auto"/>
                <w:szCs w:val="21"/>
                <w:highlight w:val="none"/>
              </w:rPr>
            </w:pPr>
            <w:r>
              <w:rPr>
                <w:rFonts w:hint="eastAsia" w:ascii="宋体" w:hAnsi="宋体"/>
                <w:color w:val="auto"/>
                <w:szCs w:val="21"/>
                <w:highlight w:val="none"/>
              </w:rPr>
              <w:t>二</w:t>
            </w:r>
          </w:p>
        </w:tc>
        <w:tc>
          <w:tcPr>
            <w:tcW w:w="1981" w:type="pct"/>
            <w:tcBorders>
              <w:top w:val="single" w:color="auto" w:sz="4" w:space="0"/>
              <w:left w:val="single" w:color="auto" w:sz="4" w:space="0"/>
              <w:bottom w:val="single" w:color="auto" w:sz="4" w:space="0"/>
              <w:right w:val="single" w:color="auto" w:sz="4" w:space="0"/>
            </w:tcBorders>
            <w:noWrap/>
          </w:tcPr>
          <w:p w14:paraId="2DD0C918">
            <w:pPr>
              <w:rPr>
                <w:rFonts w:ascii="宋体" w:hAnsi="宋体"/>
                <w:color w:val="auto"/>
                <w:szCs w:val="21"/>
                <w:highlight w:val="none"/>
              </w:rPr>
            </w:pPr>
            <w:r>
              <w:rPr>
                <w:rFonts w:hint="eastAsia" w:ascii="宋体" w:hAnsi="宋体"/>
                <w:color w:val="auto"/>
                <w:szCs w:val="21"/>
                <w:highlight w:val="none"/>
              </w:rPr>
              <w:t>1  ……</w:t>
            </w:r>
          </w:p>
        </w:tc>
        <w:tc>
          <w:tcPr>
            <w:tcW w:w="1374" w:type="pct"/>
            <w:tcBorders>
              <w:top w:val="single" w:color="auto" w:sz="4" w:space="0"/>
              <w:left w:val="single" w:color="auto" w:sz="4" w:space="0"/>
              <w:right w:val="single" w:color="auto" w:sz="4" w:space="0"/>
            </w:tcBorders>
          </w:tcPr>
          <w:p w14:paraId="7BF09107">
            <w:pPr>
              <w:rPr>
                <w:rFonts w:ascii="宋体" w:hAnsi="宋体"/>
                <w:color w:val="auto"/>
                <w:szCs w:val="21"/>
                <w:highlight w:val="none"/>
              </w:rPr>
            </w:pPr>
            <w:r>
              <w:rPr>
                <w:rFonts w:hint="eastAsia" w:ascii="宋体" w:hAnsi="宋体"/>
                <w:color w:val="auto"/>
                <w:szCs w:val="21"/>
                <w:highlight w:val="none"/>
              </w:rPr>
              <w:t>1  ……</w:t>
            </w:r>
          </w:p>
        </w:tc>
        <w:tc>
          <w:tcPr>
            <w:tcW w:w="1279" w:type="pct"/>
            <w:tcBorders>
              <w:top w:val="single" w:color="auto" w:sz="4" w:space="0"/>
              <w:left w:val="single" w:color="auto" w:sz="4" w:space="0"/>
              <w:right w:val="single" w:color="auto" w:sz="4" w:space="0"/>
            </w:tcBorders>
          </w:tcPr>
          <w:p w14:paraId="791B0151">
            <w:pPr>
              <w:spacing w:line="300" w:lineRule="exact"/>
              <w:rPr>
                <w:rFonts w:ascii="宋体" w:hAnsi="宋体"/>
                <w:color w:val="auto"/>
                <w:szCs w:val="21"/>
                <w:highlight w:val="none"/>
              </w:rPr>
            </w:pPr>
            <w:r>
              <w:rPr>
                <w:rFonts w:hint="eastAsia" w:ascii="宋体" w:hAnsi="宋体"/>
                <w:color w:val="auto"/>
                <w:szCs w:val="21"/>
                <w:highlight w:val="none"/>
              </w:rPr>
              <w:t>正偏离（负偏离或无偏离）</w:t>
            </w:r>
          </w:p>
          <w:p w14:paraId="12B39155">
            <w:pPr>
              <w:spacing w:line="300" w:lineRule="exact"/>
              <w:rPr>
                <w:rFonts w:ascii="宋体" w:hAnsi="宋体"/>
                <w:color w:val="auto"/>
                <w:szCs w:val="21"/>
                <w:highlight w:val="none"/>
              </w:rPr>
            </w:pPr>
          </w:p>
        </w:tc>
      </w:tr>
      <w:tr w14:paraId="42C20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364" w:type="pct"/>
            <w:vMerge w:val="continue"/>
            <w:tcBorders>
              <w:left w:val="single" w:color="auto" w:sz="4" w:space="0"/>
              <w:right w:val="single" w:color="auto" w:sz="4" w:space="0"/>
            </w:tcBorders>
            <w:noWrap/>
          </w:tcPr>
          <w:p w14:paraId="6BA7D9C8">
            <w:pPr>
              <w:spacing w:line="340" w:lineRule="exact"/>
              <w:rPr>
                <w:rFonts w:ascii="宋体" w:hAnsi="宋体"/>
                <w:color w:val="auto"/>
                <w:szCs w:val="21"/>
                <w:highlight w:val="none"/>
              </w:rPr>
            </w:pPr>
          </w:p>
        </w:tc>
        <w:tc>
          <w:tcPr>
            <w:tcW w:w="1981" w:type="pct"/>
            <w:tcBorders>
              <w:top w:val="single" w:color="auto" w:sz="4" w:space="0"/>
              <w:left w:val="single" w:color="auto" w:sz="4" w:space="0"/>
              <w:bottom w:val="single" w:color="auto" w:sz="4" w:space="0"/>
              <w:right w:val="single" w:color="auto" w:sz="4" w:space="0"/>
            </w:tcBorders>
            <w:noWrap/>
          </w:tcPr>
          <w:p w14:paraId="31E28028">
            <w:pPr>
              <w:spacing w:line="340" w:lineRule="exact"/>
              <w:rPr>
                <w:rFonts w:ascii="宋体" w:hAnsi="宋体"/>
                <w:color w:val="auto"/>
                <w:szCs w:val="21"/>
                <w:highlight w:val="none"/>
              </w:rPr>
            </w:pPr>
            <w:r>
              <w:rPr>
                <w:rFonts w:hint="eastAsia" w:ascii="宋体" w:hAnsi="宋体"/>
                <w:color w:val="auto"/>
                <w:szCs w:val="21"/>
                <w:highlight w:val="none"/>
              </w:rPr>
              <w:t>2  ……</w:t>
            </w:r>
          </w:p>
          <w:p w14:paraId="4674E1C0">
            <w:pPr>
              <w:spacing w:line="340" w:lineRule="exact"/>
              <w:rPr>
                <w:rFonts w:ascii="宋体" w:hAnsi="宋体"/>
                <w:color w:val="auto"/>
                <w:szCs w:val="21"/>
                <w:highlight w:val="none"/>
              </w:rPr>
            </w:pPr>
          </w:p>
        </w:tc>
        <w:tc>
          <w:tcPr>
            <w:tcW w:w="1374" w:type="pct"/>
            <w:tcBorders>
              <w:left w:val="single" w:color="auto" w:sz="4" w:space="0"/>
              <w:right w:val="single" w:color="auto" w:sz="4" w:space="0"/>
            </w:tcBorders>
          </w:tcPr>
          <w:p w14:paraId="055E6505">
            <w:pPr>
              <w:spacing w:line="340" w:lineRule="exact"/>
              <w:rPr>
                <w:rFonts w:ascii="宋体" w:hAnsi="宋体"/>
                <w:color w:val="auto"/>
                <w:szCs w:val="21"/>
                <w:highlight w:val="none"/>
              </w:rPr>
            </w:pPr>
            <w:r>
              <w:rPr>
                <w:rFonts w:hint="eastAsia" w:ascii="宋体" w:hAnsi="宋体"/>
                <w:color w:val="auto"/>
                <w:szCs w:val="21"/>
                <w:highlight w:val="none"/>
              </w:rPr>
              <w:t>2  ……</w:t>
            </w:r>
          </w:p>
          <w:p w14:paraId="6873E846">
            <w:pPr>
              <w:spacing w:line="300" w:lineRule="exact"/>
              <w:rPr>
                <w:rFonts w:ascii="宋体" w:hAnsi="宋体"/>
                <w:color w:val="auto"/>
                <w:szCs w:val="21"/>
                <w:highlight w:val="none"/>
              </w:rPr>
            </w:pPr>
          </w:p>
        </w:tc>
        <w:tc>
          <w:tcPr>
            <w:tcW w:w="1279" w:type="pct"/>
            <w:tcBorders>
              <w:left w:val="single" w:color="auto" w:sz="4" w:space="0"/>
              <w:right w:val="single" w:color="auto" w:sz="4" w:space="0"/>
            </w:tcBorders>
          </w:tcPr>
          <w:p w14:paraId="573A2A61">
            <w:pPr>
              <w:spacing w:line="300" w:lineRule="exact"/>
              <w:rPr>
                <w:rFonts w:ascii="宋体" w:hAnsi="宋体"/>
                <w:color w:val="auto"/>
                <w:szCs w:val="21"/>
                <w:highlight w:val="none"/>
              </w:rPr>
            </w:pPr>
            <w:r>
              <w:rPr>
                <w:rFonts w:hint="eastAsia" w:ascii="宋体" w:hAnsi="宋体"/>
                <w:color w:val="auto"/>
                <w:szCs w:val="21"/>
                <w:highlight w:val="none"/>
              </w:rPr>
              <w:t>正偏离（负偏离或无偏离）</w:t>
            </w:r>
          </w:p>
          <w:p w14:paraId="202AF01C">
            <w:pPr>
              <w:spacing w:line="300" w:lineRule="exact"/>
              <w:rPr>
                <w:rFonts w:ascii="宋体" w:hAnsi="宋体"/>
                <w:color w:val="auto"/>
                <w:szCs w:val="21"/>
                <w:highlight w:val="none"/>
              </w:rPr>
            </w:pPr>
          </w:p>
        </w:tc>
      </w:tr>
      <w:tr w14:paraId="13792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364" w:type="pct"/>
            <w:vMerge w:val="continue"/>
            <w:tcBorders>
              <w:left w:val="single" w:color="auto" w:sz="4" w:space="0"/>
              <w:right w:val="single" w:color="auto" w:sz="4" w:space="0"/>
            </w:tcBorders>
            <w:noWrap/>
          </w:tcPr>
          <w:p w14:paraId="42F2B496">
            <w:pPr>
              <w:spacing w:line="340" w:lineRule="exact"/>
              <w:rPr>
                <w:rFonts w:ascii="宋体" w:hAnsi="宋体"/>
                <w:color w:val="auto"/>
                <w:szCs w:val="21"/>
                <w:highlight w:val="none"/>
              </w:rPr>
            </w:pPr>
          </w:p>
        </w:tc>
        <w:tc>
          <w:tcPr>
            <w:tcW w:w="1981" w:type="pct"/>
            <w:tcBorders>
              <w:top w:val="single" w:color="auto" w:sz="4" w:space="0"/>
              <w:left w:val="single" w:color="auto" w:sz="4" w:space="0"/>
              <w:bottom w:val="single" w:color="auto" w:sz="4" w:space="0"/>
              <w:right w:val="single" w:color="auto" w:sz="4" w:space="0"/>
            </w:tcBorders>
            <w:noWrap/>
          </w:tcPr>
          <w:p w14:paraId="2291E8EF">
            <w:pPr>
              <w:spacing w:line="340" w:lineRule="exact"/>
              <w:rPr>
                <w:rFonts w:ascii="宋体" w:hAnsi="宋体"/>
                <w:color w:val="auto"/>
                <w:szCs w:val="21"/>
                <w:highlight w:val="none"/>
              </w:rPr>
            </w:pPr>
            <w:r>
              <w:rPr>
                <w:rFonts w:hint="eastAsia" w:ascii="宋体" w:hAnsi="宋体"/>
                <w:color w:val="auto"/>
                <w:szCs w:val="21"/>
                <w:highlight w:val="none"/>
              </w:rPr>
              <w:t>3  ……</w:t>
            </w:r>
          </w:p>
          <w:p w14:paraId="7945231C">
            <w:pPr>
              <w:spacing w:line="340" w:lineRule="exact"/>
              <w:rPr>
                <w:rFonts w:ascii="宋体" w:hAnsi="宋体"/>
                <w:color w:val="auto"/>
                <w:szCs w:val="21"/>
                <w:highlight w:val="none"/>
              </w:rPr>
            </w:pPr>
          </w:p>
        </w:tc>
        <w:tc>
          <w:tcPr>
            <w:tcW w:w="1374" w:type="pct"/>
            <w:tcBorders>
              <w:left w:val="single" w:color="auto" w:sz="4" w:space="0"/>
              <w:right w:val="single" w:color="auto" w:sz="4" w:space="0"/>
            </w:tcBorders>
          </w:tcPr>
          <w:p w14:paraId="5EF35554">
            <w:pPr>
              <w:spacing w:line="340" w:lineRule="exact"/>
              <w:rPr>
                <w:rFonts w:ascii="宋体" w:hAnsi="宋体"/>
                <w:color w:val="auto"/>
                <w:szCs w:val="21"/>
                <w:highlight w:val="none"/>
              </w:rPr>
            </w:pPr>
            <w:r>
              <w:rPr>
                <w:rFonts w:hint="eastAsia" w:ascii="宋体" w:hAnsi="宋体"/>
                <w:color w:val="auto"/>
                <w:szCs w:val="21"/>
                <w:highlight w:val="none"/>
              </w:rPr>
              <w:t>3  ……</w:t>
            </w:r>
          </w:p>
          <w:p w14:paraId="267C3705">
            <w:pPr>
              <w:spacing w:line="300" w:lineRule="exact"/>
              <w:rPr>
                <w:rFonts w:ascii="宋体" w:hAnsi="宋体"/>
                <w:color w:val="auto"/>
                <w:szCs w:val="21"/>
                <w:highlight w:val="none"/>
              </w:rPr>
            </w:pPr>
          </w:p>
        </w:tc>
        <w:tc>
          <w:tcPr>
            <w:tcW w:w="1279" w:type="pct"/>
            <w:tcBorders>
              <w:left w:val="single" w:color="auto" w:sz="4" w:space="0"/>
              <w:right w:val="single" w:color="auto" w:sz="4" w:space="0"/>
            </w:tcBorders>
          </w:tcPr>
          <w:p w14:paraId="50AAB1A0">
            <w:pPr>
              <w:spacing w:line="300" w:lineRule="exact"/>
              <w:rPr>
                <w:rFonts w:ascii="宋体" w:hAnsi="宋体"/>
                <w:color w:val="auto"/>
                <w:szCs w:val="21"/>
                <w:highlight w:val="none"/>
              </w:rPr>
            </w:pPr>
            <w:r>
              <w:rPr>
                <w:rFonts w:hint="eastAsia" w:ascii="宋体" w:hAnsi="宋体"/>
                <w:color w:val="auto"/>
                <w:szCs w:val="21"/>
                <w:highlight w:val="none"/>
              </w:rPr>
              <w:t>正偏离（负偏离或无偏离）</w:t>
            </w:r>
          </w:p>
          <w:p w14:paraId="7648451E">
            <w:pPr>
              <w:spacing w:line="300" w:lineRule="exact"/>
              <w:rPr>
                <w:rFonts w:ascii="宋体" w:hAnsi="宋体"/>
                <w:color w:val="auto"/>
                <w:szCs w:val="21"/>
                <w:highlight w:val="none"/>
              </w:rPr>
            </w:pPr>
          </w:p>
        </w:tc>
      </w:tr>
      <w:tr w14:paraId="7D691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364" w:type="pct"/>
            <w:vMerge w:val="continue"/>
            <w:tcBorders>
              <w:left w:val="single" w:color="auto" w:sz="4" w:space="0"/>
              <w:bottom w:val="single" w:color="auto" w:sz="4" w:space="0"/>
              <w:right w:val="single" w:color="auto" w:sz="4" w:space="0"/>
            </w:tcBorders>
            <w:noWrap/>
          </w:tcPr>
          <w:p w14:paraId="7041DA96">
            <w:pPr>
              <w:spacing w:line="340" w:lineRule="exact"/>
              <w:rPr>
                <w:rFonts w:ascii="宋体" w:hAnsi="宋体"/>
                <w:color w:val="auto"/>
                <w:szCs w:val="21"/>
                <w:highlight w:val="none"/>
              </w:rPr>
            </w:pPr>
          </w:p>
        </w:tc>
        <w:tc>
          <w:tcPr>
            <w:tcW w:w="1981" w:type="pct"/>
            <w:tcBorders>
              <w:top w:val="single" w:color="auto" w:sz="4" w:space="0"/>
              <w:left w:val="single" w:color="auto" w:sz="4" w:space="0"/>
              <w:bottom w:val="single" w:color="auto" w:sz="4" w:space="0"/>
              <w:right w:val="single" w:color="auto" w:sz="4" w:space="0"/>
            </w:tcBorders>
            <w:noWrap/>
          </w:tcPr>
          <w:p w14:paraId="53BFF5F3">
            <w:pPr>
              <w:spacing w:line="340" w:lineRule="exact"/>
              <w:rPr>
                <w:rFonts w:ascii="宋体" w:hAnsi="宋体"/>
                <w:color w:val="auto"/>
                <w:szCs w:val="21"/>
                <w:highlight w:val="none"/>
              </w:rPr>
            </w:pPr>
            <w:r>
              <w:rPr>
                <w:rFonts w:hint="eastAsia" w:ascii="宋体" w:hAnsi="宋体"/>
                <w:color w:val="auto"/>
                <w:szCs w:val="21"/>
                <w:highlight w:val="none"/>
              </w:rPr>
              <w:t>……</w:t>
            </w:r>
          </w:p>
        </w:tc>
        <w:tc>
          <w:tcPr>
            <w:tcW w:w="1374" w:type="pct"/>
            <w:tcBorders>
              <w:left w:val="single" w:color="auto" w:sz="4" w:space="0"/>
              <w:bottom w:val="single" w:color="auto" w:sz="4" w:space="0"/>
              <w:right w:val="single" w:color="auto" w:sz="4" w:space="0"/>
            </w:tcBorders>
          </w:tcPr>
          <w:p w14:paraId="3438E59C">
            <w:pPr>
              <w:spacing w:line="300" w:lineRule="exact"/>
              <w:rPr>
                <w:rFonts w:ascii="宋体" w:hAnsi="宋体"/>
                <w:color w:val="auto"/>
                <w:szCs w:val="21"/>
                <w:highlight w:val="none"/>
              </w:rPr>
            </w:pPr>
            <w:r>
              <w:rPr>
                <w:rFonts w:hint="eastAsia" w:ascii="宋体" w:hAnsi="宋体"/>
                <w:color w:val="auto"/>
                <w:szCs w:val="21"/>
                <w:highlight w:val="none"/>
              </w:rPr>
              <w:t>……</w:t>
            </w:r>
          </w:p>
        </w:tc>
        <w:tc>
          <w:tcPr>
            <w:tcW w:w="1279" w:type="pct"/>
            <w:tcBorders>
              <w:left w:val="single" w:color="auto" w:sz="4" w:space="0"/>
              <w:bottom w:val="single" w:color="auto" w:sz="4" w:space="0"/>
              <w:right w:val="single" w:color="auto" w:sz="4" w:space="0"/>
            </w:tcBorders>
          </w:tcPr>
          <w:p w14:paraId="00BD11C4">
            <w:pPr>
              <w:spacing w:line="300" w:lineRule="exact"/>
              <w:rPr>
                <w:rFonts w:ascii="宋体" w:hAnsi="宋体"/>
                <w:color w:val="auto"/>
                <w:szCs w:val="21"/>
                <w:highlight w:val="none"/>
              </w:rPr>
            </w:pPr>
            <w:r>
              <w:rPr>
                <w:rFonts w:hint="eastAsia" w:ascii="宋体" w:hAnsi="宋体"/>
                <w:color w:val="auto"/>
                <w:szCs w:val="21"/>
                <w:highlight w:val="none"/>
              </w:rPr>
              <w:t>正偏离（负偏离或无偏离）</w:t>
            </w:r>
          </w:p>
          <w:p w14:paraId="4074210E">
            <w:pPr>
              <w:spacing w:line="300" w:lineRule="exact"/>
              <w:rPr>
                <w:rFonts w:ascii="宋体" w:hAnsi="宋体"/>
                <w:color w:val="auto"/>
                <w:szCs w:val="21"/>
                <w:highlight w:val="none"/>
              </w:rPr>
            </w:pPr>
          </w:p>
        </w:tc>
      </w:tr>
      <w:tr w14:paraId="467DF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364" w:type="pct"/>
            <w:vMerge w:val="restart"/>
            <w:tcBorders>
              <w:top w:val="single" w:color="auto" w:sz="4" w:space="0"/>
              <w:left w:val="single" w:color="auto" w:sz="4" w:space="0"/>
              <w:right w:val="single" w:color="auto" w:sz="4" w:space="0"/>
            </w:tcBorders>
            <w:noWrap/>
          </w:tcPr>
          <w:p w14:paraId="6FD11F5E">
            <w:pPr>
              <w:spacing w:line="340" w:lineRule="exact"/>
              <w:rPr>
                <w:rFonts w:ascii="宋体" w:hAnsi="宋体"/>
                <w:color w:val="auto"/>
                <w:szCs w:val="21"/>
                <w:highlight w:val="none"/>
              </w:rPr>
            </w:pPr>
            <w:r>
              <w:rPr>
                <w:rFonts w:hint="eastAsia" w:ascii="宋体" w:hAnsi="宋体"/>
                <w:color w:val="auto"/>
                <w:szCs w:val="21"/>
                <w:highlight w:val="none"/>
              </w:rPr>
              <w:t>……</w:t>
            </w:r>
          </w:p>
        </w:tc>
        <w:tc>
          <w:tcPr>
            <w:tcW w:w="1981" w:type="pct"/>
            <w:tcBorders>
              <w:top w:val="single" w:color="auto" w:sz="4" w:space="0"/>
              <w:left w:val="single" w:color="auto" w:sz="4" w:space="0"/>
              <w:bottom w:val="single" w:color="auto" w:sz="4" w:space="0"/>
              <w:right w:val="single" w:color="auto" w:sz="4" w:space="0"/>
            </w:tcBorders>
            <w:noWrap/>
          </w:tcPr>
          <w:p w14:paraId="34811A93">
            <w:pPr>
              <w:rPr>
                <w:rFonts w:ascii="宋体" w:hAnsi="宋体"/>
                <w:color w:val="auto"/>
                <w:szCs w:val="21"/>
                <w:highlight w:val="none"/>
              </w:rPr>
            </w:pPr>
            <w:r>
              <w:rPr>
                <w:rFonts w:hint="eastAsia" w:ascii="宋体" w:hAnsi="宋体"/>
                <w:color w:val="auto"/>
                <w:szCs w:val="21"/>
                <w:highlight w:val="none"/>
              </w:rPr>
              <w:t>1  ……</w:t>
            </w:r>
          </w:p>
        </w:tc>
        <w:tc>
          <w:tcPr>
            <w:tcW w:w="1374" w:type="pct"/>
            <w:tcBorders>
              <w:top w:val="single" w:color="auto" w:sz="4" w:space="0"/>
              <w:left w:val="single" w:color="auto" w:sz="4" w:space="0"/>
              <w:right w:val="single" w:color="auto" w:sz="4" w:space="0"/>
            </w:tcBorders>
          </w:tcPr>
          <w:p w14:paraId="336A18EB">
            <w:pPr>
              <w:rPr>
                <w:rFonts w:ascii="宋体" w:hAnsi="宋体"/>
                <w:color w:val="auto"/>
                <w:szCs w:val="21"/>
                <w:highlight w:val="none"/>
              </w:rPr>
            </w:pPr>
            <w:r>
              <w:rPr>
                <w:rFonts w:hint="eastAsia" w:ascii="宋体" w:hAnsi="宋体"/>
                <w:color w:val="auto"/>
                <w:szCs w:val="21"/>
                <w:highlight w:val="none"/>
              </w:rPr>
              <w:t>1  ……</w:t>
            </w:r>
          </w:p>
        </w:tc>
        <w:tc>
          <w:tcPr>
            <w:tcW w:w="1279" w:type="pct"/>
            <w:tcBorders>
              <w:top w:val="single" w:color="auto" w:sz="4" w:space="0"/>
              <w:left w:val="single" w:color="auto" w:sz="4" w:space="0"/>
              <w:right w:val="single" w:color="auto" w:sz="4" w:space="0"/>
            </w:tcBorders>
          </w:tcPr>
          <w:p w14:paraId="2BC7ADB5">
            <w:pPr>
              <w:spacing w:line="300" w:lineRule="exact"/>
              <w:rPr>
                <w:rFonts w:ascii="宋体" w:hAnsi="宋体"/>
                <w:color w:val="auto"/>
                <w:szCs w:val="21"/>
                <w:highlight w:val="none"/>
              </w:rPr>
            </w:pPr>
            <w:r>
              <w:rPr>
                <w:rFonts w:hint="eastAsia" w:ascii="宋体" w:hAnsi="宋体"/>
                <w:color w:val="auto"/>
                <w:szCs w:val="21"/>
                <w:highlight w:val="none"/>
              </w:rPr>
              <w:t>正偏离（负偏离或无偏离）</w:t>
            </w:r>
          </w:p>
          <w:p w14:paraId="2FA56FC2">
            <w:pPr>
              <w:spacing w:line="300" w:lineRule="exact"/>
              <w:rPr>
                <w:rFonts w:ascii="宋体" w:hAnsi="宋体"/>
                <w:color w:val="auto"/>
                <w:szCs w:val="21"/>
                <w:highlight w:val="none"/>
              </w:rPr>
            </w:pPr>
          </w:p>
        </w:tc>
      </w:tr>
      <w:tr w14:paraId="1B7E1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364" w:type="pct"/>
            <w:vMerge w:val="continue"/>
            <w:tcBorders>
              <w:left w:val="single" w:color="auto" w:sz="4" w:space="0"/>
              <w:right w:val="single" w:color="auto" w:sz="4" w:space="0"/>
            </w:tcBorders>
            <w:noWrap/>
          </w:tcPr>
          <w:p w14:paraId="58759538">
            <w:pPr>
              <w:spacing w:line="340" w:lineRule="exact"/>
              <w:rPr>
                <w:rFonts w:ascii="宋体" w:hAnsi="宋体"/>
                <w:color w:val="auto"/>
                <w:szCs w:val="21"/>
                <w:highlight w:val="none"/>
              </w:rPr>
            </w:pPr>
          </w:p>
        </w:tc>
        <w:tc>
          <w:tcPr>
            <w:tcW w:w="1981" w:type="pct"/>
            <w:tcBorders>
              <w:top w:val="single" w:color="auto" w:sz="4" w:space="0"/>
              <w:left w:val="single" w:color="auto" w:sz="4" w:space="0"/>
              <w:bottom w:val="single" w:color="auto" w:sz="4" w:space="0"/>
              <w:right w:val="single" w:color="auto" w:sz="4" w:space="0"/>
            </w:tcBorders>
            <w:noWrap/>
          </w:tcPr>
          <w:p w14:paraId="4FE2B656">
            <w:pPr>
              <w:spacing w:line="340" w:lineRule="exact"/>
              <w:rPr>
                <w:rFonts w:ascii="宋体" w:hAnsi="宋体"/>
                <w:color w:val="auto"/>
                <w:szCs w:val="21"/>
                <w:highlight w:val="none"/>
              </w:rPr>
            </w:pPr>
            <w:r>
              <w:rPr>
                <w:rFonts w:hint="eastAsia" w:ascii="宋体" w:hAnsi="宋体"/>
                <w:color w:val="auto"/>
                <w:szCs w:val="21"/>
                <w:highlight w:val="none"/>
              </w:rPr>
              <w:t>2  ……</w:t>
            </w:r>
          </w:p>
          <w:p w14:paraId="4615B512">
            <w:pPr>
              <w:spacing w:line="340" w:lineRule="exact"/>
              <w:rPr>
                <w:rFonts w:ascii="宋体" w:hAnsi="宋体"/>
                <w:color w:val="auto"/>
                <w:szCs w:val="21"/>
                <w:highlight w:val="none"/>
              </w:rPr>
            </w:pPr>
          </w:p>
        </w:tc>
        <w:tc>
          <w:tcPr>
            <w:tcW w:w="1374" w:type="pct"/>
            <w:tcBorders>
              <w:left w:val="single" w:color="auto" w:sz="4" w:space="0"/>
              <w:right w:val="single" w:color="auto" w:sz="4" w:space="0"/>
            </w:tcBorders>
          </w:tcPr>
          <w:p w14:paraId="7F1F0A2C">
            <w:pPr>
              <w:spacing w:line="340" w:lineRule="exact"/>
              <w:rPr>
                <w:rFonts w:ascii="宋体" w:hAnsi="宋体"/>
                <w:color w:val="auto"/>
                <w:szCs w:val="21"/>
                <w:highlight w:val="none"/>
              </w:rPr>
            </w:pPr>
            <w:r>
              <w:rPr>
                <w:rFonts w:hint="eastAsia" w:ascii="宋体" w:hAnsi="宋体"/>
                <w:color w:val="auto"/>
                <w:szCs w:val="21"/>
                <w:highlight w:val="none"/>
              </w:rPr>
              <w:t>2  ……</w:t>
            </w:r>
          </w:p>
          <w:p w14:paraId="0616C462">
            <w:pPr>
              <w:spacing w:line="300" w:lineRule="exact"/>
              <w:rPr>
                <w:rFonts w:ascii="宋体" w:hAnsi="宋体"/>
                <w:color w:val="auto"/>
                <w:szCs w:val="21"/>
                <w:highlight w:val="none"/>
              </w:rPr>
            </w:pPr>
          </w:p>
        </w:tc>
        <w:tc>
          <w:tcPr>
            <w:tcW w:w="1279" w:type="pct"/>
            <w:tcBorders>
              <w:left w:val="single" w:color="auto" w:sz="4" w:space="0"/>
              <w:right w:val="single" w:color="auto" w:sz="4" w:space="0"/>
            </w:tcBorders>
          </w:tcPr>
          <w:p w14:paraId="27806A0A">
            <w:pPr>
              <w:spacing w:line="300" w:lineRule="exact"/>
              <w:rPr>
                <w:rFonts w:ascii="宋体" w:hAnsi="宋体"/>
                <w:color w:val="auto"/>
                <w:szCs w:val="21"/>
                <w:highlight w:val="none"/>
              </w:rPr>
            </w:pPr>
            <w:r>
              <w:rPr>
                <w:rFonts w:hint="eastAsia" w:ascii="宋体" w:hAnsi="宋体"/>
                <w:color w:val="auto"/>
                <w:szCs w:val="21"/>
                <w:highlight w:val="none"/>
              </w:rPr>
              <w:t>正偏离（负偏离或无偏离）</w:t>
            </w:r>
          </w:p>
          <w:p w14:paraId="5337B808">
            <w:pPr>
              <w:spacing w:line="300" w:lineRule="exact"/>
              <w:rPr>
                <w:rFonts w:ascii="宋体" w:hAnsi="宋体"/>
                <w:color w:val="auto"/>
                <w:szCs w:val="21"/>
                <w:highlight w:val="none"/>
              </w:rPr>
            </w:pPr>
          </w:p>
        </w:tc>
      </w:tr>
      <w:tr w14:paraId="09D84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364" w:type="pct"/>
            <w:vMerge w:val="continue"/>
            <w:tcBorders>
              <w:left w:val="single" w:color="auto" w:sz="4" w:space="0"/>
              <w:right w:val="single" w:color="auto" w:sz="4" w:space="0"/>
            </w:tcBorders>
            <w:noWrap/>
          </w:tcPr>
          <w:p w14:paraId="09D8803C">
            <w:pPr>
              <w:spacing w:line="340" w:lineRule="exact"/>
              <w:rPr>
                <w:rFonts w:ascii="宋体" w:hAnsi="宋体"/>
                <w:color w:val="auto"/>
                <w:szCs w:val="21"/>
                <w:highlight w:val="none"/>
              </w:rPr>
            </w:pPr>
          </w:p>
        </w:tc>
        <w:tc>
          <w:tcPr>
            <w:tcW w:w="1981" w:type="pct"/>
            <w:tcBorders>
              <w:top w:val="single" w:color="auto" w:sz="4" w:space="0"/>
              <w:left w:val="single" w:color="auto" w:sz="4" w:space="0"/>
              <w:bottom w:val="single" w:color="auto" w:sz="4" w:space="0"/>
              <w:right w:val="single" w:color="auto" w:sz="4" w:space="0"/>
            </w:tcBorders>
            <w:noWrap/>
          </w:tcPr>
          <w:p w14:paraId="2B81200F">
            <w:pPr>
              <w:spacing w:line="340" w:lineRule="exact"/>
              <w:rPr>
                <w:rFonts w:ascii="宋体" w:hAnsi="宋体"/>
                <w:color w:val="auto"/>
                <w:szCs w:val="21"/>
                <w:highlight w:val="none"/>
              </w:rPr>
            </w:pPr>
            <w:r>
              <w:rPr>
                <w:rFonts w:hint="eastAsia" w:ascii="宋体" w:hAnsi="宋体"/>
                <w:color w:val="auto"/>
                <w:szCs w:val="21"/>
                <w:highlight w:val="none"/>
              </w:rPr>
              <w:t>3  ……</w:t>
            </w:r>
          </w:p>
          <w:p w14:paraId="07F48932">
            <w:pPr>
              <w:spacing w:line="340" w:lineRule="exact"/>
              <w:rPr>
                <w:rFonts w:ascii="宋体" w:hAnsi="宋体"/>
                <w:color w:val="auto"/>
                <w:szCs w:val="21"/>
                <w:highlight w:val="none"/>
              </w:rPr>
            </w:pPr>
          </w:p>
        </w:tc>
        <w:tc>
          <w:tcPr>
            <w:tcW w:w="1374" w:type="pct"/>
            <w:tcBorders>
              <w:left w:val="single" w:color="auto" w:sz="4" w:space="0"/>
              <w:right w:val="single" w:color="auto" w:sz="4" w:space="0"/>
            </w:tcBorders>
          </w:tcPr>
          <w:p w14:paraId="57F60212">
            <w:pPr>
              <w:spacing w:line="340" w:lineRule="exact"/>
              <w:rPr>
                <w:rFonts w:ascii="宋体" w:hAnsi="宋体"/>
                <w:color w:val="auto"/>
                <w:szCs w:val="21"/>
                <w:highlight w:val="none"/>
              </w:rPr>
            </w:pPr>
            <w:r>
              <w:rPr>
                <w:rFonts w:hint="eastAsia" w:ascii="宋体" w:hAnsi="宋体"/>
                <w:color w:val="auto"/>
                <w:szCs w:val="21"/>
                <w:highlight w:val="none"/>
              </w:rPr>
              <w:t>3  ……</w:t>
            </w:r>
          </w:p>
          <w:p w14:paraId="0F35482E">
            <w:pPr>
              <w:spacing w:line="300" w:lineRule="exact"/>
              <w:rPr>
                <w:rFonts w:ascii="宋体" w:hAnsi="宋体"/>
                <w:color w:val="auto"/>
                <w:szCs w:val="21"/>
                <w:highlight w:val="none"/>
              </w:rPr>
            </w:pPr>
          </w:p>
        </w:tc>
        <w:tc>
          <w:tcPr>
            <w:tcW w:w="1279" w:type="pct"/>
            <w:tcBorders>
              <w:left w:val="single" w:color="auto" w:sz="4" w:space="0"/>
              <w:right w:val="single" w:color="auto" w:sz="4" w:space="0"/>
            </w:tcBorders>
          </w:tcPr>
          <w:p w14:paraId="6D0E109F">
            <w:pPr>
              <w:spacing w:line="300" w:lineRule="exact"/>
              <w:rPr>
                <w:rFonts w:ascii="宋体" w:hAnsi="宋体"/>
                <w:color w:val="auto"/>
                <w:szCs w:val="21"/>
                <w:highlight w:val="none"/>
              </w:rPr>
            </w:pPr>
            <w:r>
              <w:rPr>
                <w:rFonts w:hint="eastAsia" w:ascii="宋体" w:hAnsi="宋体"/>
                <w:color w:val="auto"/>
                <w:szCs w:val="21"/>
                <w:highlight w:val="none"/>
              </w:rPr>
              <w:t>正偏离（负偏离或无偏离）</w:t>
            </w:r>
          </w:p>
          <w:p w14:paraId="0B8EF5C5">
            <w:pPr>
              <w:spacing w:line="300" w:lineRule="exact"/>
              <w:rPr>
                <w:rFonts w:ascii="宋体" w:hAnsi="宋体"/>
                <w:color w:val="auto"/>
                <w:szCs w:val="21"/>
                <w:highlight w:val="none"/>
              </w:rPr>
            </w:pPr>
          </w:p>
        </w:tc>
      </w:tr>
      <w:tr w14:paraId="4E7DD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364" w:type="pct"/>
            <w:vMerge w:val="continue"/>
            <w:tcBorders>
              <w:left w:val="single" w:color="auto" w:sz="4" w:space="0"/>
              <w:bottom w:val="single" w:color="auto" w:sz="4" w:space="0"/>
              <w:right w:val="single" w:color="auto" w:sz="4" w:space="0"/>
            </w:tcBorders>
            <w:noWrap/>
          </w:tcPr>
          <w:p w14:paraId="2F3F90D2">
            <w:pPr>
              <w:spacing w:line="340" w:lineRule="exact"/>
              <w:rPr>
                <w:rFonts w:ascii="宋体" w:hAnsi="宋体"/>
                <w:color w:val="auto"/>
                <w:szCs w:val="21"/>
                <w:highlight w:val="none"/>
              </w:rPr>
            </w:pPr>
          </w:p>
        </w:tc>
        <w:tc>
          <w:tcPr>
            <w:tcW w:w="1981" w:type="pct"/>
            <w:tcBorders>
              <w:top w:val="single" w:color="auto" w:sz="4" w:space="0"/>
              <w:left w:val="single" w:color="auto" w:sz="4" w:space="0"/>
              <w:bottom w:val="single" w:color="auto" w:sz="4" w:space="0"/>
              <w:right w:val="single" w:color="auto" w:sz="4" w:space="0"/>
            </w:tcBorders>
            <w:noWrap/>
          </w:tcPr>
          <w:p w14:paraId="26E70055">
            <w:pPr>
              <w:spacing w:line="340" w:lineRule="exact"/>
              <w:rPr>
                <w:rFonts w:ascii="宋体" w:hAnsi="宋体"/>
                <w:color w:val="auto"/>
                <w:szCs w:val="21"/>
                <w:highlight w:val="none"/>
              </w:rPr>
            </w:pPr>
            <w:r>
              <w:rPr>
                <w:rFonts w:hint="eastAsia" w:ascii="宋体" w:hAnsi="宋体"/>
                <w:color w:val="auto"/>
                <w:szCs w:val="21"/>
                <w:highlight w:val="none"/>
              </w:rPr>
              <w:t>……</w:t>
            </w:r>
          </w:p>
        </w:tc>
        <w:tc>
          <w:tcPr>
            <w:tcW w:w="1374" w:type="pct"/>
            <w:tcBorders>
              <w:left w:val="single" w:color="auto" w:sz="4" w:space="0"/>
              <w:bottom w:val="single" w:color="auto" w:sz="4" w:space="0"/>
              <w:right w:val="single" w:color="auto" w:sz="4" w:space="0"/>
            </w:tcBorders>
          </w:tcPr>
          <w:p w14:paraId="52E21DEA">
            <w:pPr>
              <w:spacing w:line="300" w:lineRule="exact"/>
              <w:rPr>
                <w:rFonts w:ascii="宋体" w:hAnsi="宋体"/>
                <w:color w:val="auto"/>
                <w:szCs w:val="21"/>
                <w:highlight w:val="none"/>
              </w:rPr>
            </w:pPr>
            <w:r>
              <w:rPr>
                <w:rFonts w:hint="eastAsia" w:ascii="宋体" w:hAnsi="宋体"/>
                <w:color w:val="auto"/>
                <w:szCs w:val="21"/>
                <w:highlight w:val="none"/>
              </w:rPr>
              <w:t>……</w:t>
            </w:r>
          </w:p>
        </w:tc>
        <w:tc>
          <w:tcPr>
            <w:tcW w:w="1279" w:type="pct"/>
            <w:tcBorders>
              <w:left w:val="single" w:color="auto" w:sz="4" w:space="0"/>
              <w:bottom w:val="single" w:color="auto" w:sz="4" w:space="0"/>
              <w:right w:val="single" w:color="auto" w:sz="4" w:space="0"/>
            </w:tcBorders>
          </w:tcPr>
          <w:p w14:paraId="74AABB61">
            <w:pPr>
              <w:spacing w:line="300" w:lineRule="exact"/>
              <w:rPr>
                <w:rFonts w:ascii="宋体" w:hAnsi="宋体"/>
                <w:color w:val="auto"/>
                <w:szCs w:val="21"/>
                <w:highlight w:val="none"/>
              </w:rPr>
            </w:pPr>
            <w:r>
              <w:rPr>
                <w:rFonts w:hint="eastAsia" w:ascii="宋体" w:hAnsi="宋体"/>
                <w:color w:val="auto"/>
                <w:szCs w:val="21"/>
                <w:highlight w:val="none"/>
              </w:rPr>
              <w:t>正偏离（负偏离或无偏离）</w:t>
            </w:r>
          </w:p>
          <w:p w14:paraId="38F30BA0">
            <w:pPr>
              <w:spacing w:line="300" w:lineRule="exact"/>
              <w:rPr>
                <w:rFonts w:ascii="宋体" w:hAnsi="宋体"/>
                <w:color w:val="auto"/>
                <w:szCs w:val="21"/>
                <w:highlight w:val="none"/>
              </w:rPr>
            </w:pPr>
          </w:p>
        </w:tc>
      </w:tr>
      <w:tr w14:paraId="6B44C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5000" w:type="pct"/>
            <w:gridSpan w:val="4"/>
            <w:tcBorders>
              <w:top w:val="single" w:color="auto" w:sz="4" w:space="0"/>
              <w:left w:val="single" w:color="auto" w:sz="4" w:space="0"/>
              <w:bottom w:val="single" w:color="auto" w:sz="4" w:space="0"/>
              <w:right w:val="single" w:color="auto" w:sz="4" w:space="0"/>
            </w:tcBorders>
            <w:noWrap/>
          </w:tcPr>
          <w:p w14:paraId="3D3D98E7">
            <w:pPr>
              <w:spacing w:line="340" w:lineRule="exact"/>
              <w:rPr>
                <w:rFonts w:ascii="宋体" w:hAnsi="宋体"/>
                <w:color w:val="auto"/>
                <w:szCs w:val="21"/>
                <w:highlight w:val="none"/>
              </w:rPr>
            </w:pPr>
            <w:r>
              <w:rPr>
                <w:rFonts w:hint="eastAsia" w:ascii="宋体" w:hAnsi="宋体"/>
                <w:color w:val="auto"/>
                <w:szCs w:val="21"/>
                <w:highlight w:val="none"/>
                <w:u w:val="single"/>
              </w:rPr>
              <w:t>　　</w:t>
            </w:r>
            <w:r>
              <w:rPr>
                <w:rFonts w:hint="eastAsia" w:ascii="宋体" w:hAnsi="宋体"/>
                <w:color w:val="auto"/>
                <w:szCs w:val="21"/>
                <w:highlight w:val="none"/>
              </w:rPr>
              <w:t>标项（此处有标项时填写具体标项号，无标项时填写“无”）</w:t>
            </w:r>
          </w:p>
        </w:tc>
      </w:tr>
    </w:tbl>
    <w:p w14:paraId="68F713D4">
      <w:pPr>
        <w:spacing w:line="400" w:lineRule="exact"/>
        <w:rPr>
          <w:rFonts w:ascii="宋体" w:hAnsi="宋体" w:cs="仿宋_GB2312"/>
          <w:color w:val="auto"/>
          <w:sz w:val="24"/>
          <w:highlight w:val="none"/>
        </w:rPr>
      </w:pPr>
      <w:r>
        <w:rPr>
          <w:rFonts w:hint="eastAsia" w:ascii="宋体" w:hAnsi="宋体" w:cs="仿宋_GB2312"/>
          <w:color w:val="auto"/>
          <w:sz w:val="24"/>
          <w:highlight w:val="none"/>
        </w:rPr>
        <w:t>注：</w:t>
      </w:r>
    </w:p>
    <w:p w14:paraId="035E9693">
      <w:pPr>
        <w:spacing w:line="400" w:lineRule="exact"/>
        <w:rPr>
          <w:rFonts w:ascii="宋体" w:hAnsi="宋体" w:cs="仿宋_GB2312"/>
          <w:color w:val="auto"/>
          <w:sz w:val="24"/>
          <w:highlight w:val="none"/>
        </w:rPr>
      </w:pPr>
      <w:r>
        <w:rPr>
          <w:rFonts w:hint="eastAsia" w:ascii="宋体" w:hAnsi="宋体" w:cs="仿宋_GB2312"/>
          <w:color w:val="auto"/>
          <w:sz w:val="24"/>
          <w:highlight w:val="none"/>
        </w:rPr>
        <w:t>1.说明：应对照磋商文件“第二章 采购需求”中的商务条款逐条作出明确响应，并作出偏离说明。</w:t>
      </w:r>
    </w:p>
    <w:p w14:paraId="389447BE">
      <w:pPr>
        <w:spacing w:line="400" w:lineRule="exact"/>
        <w:rPr>
          <w:rFonts w:ascii="宋体" w:hAnsi="宋体" w:cs="仿宋_GB2312"/>
          <w:color w:val="auto"/>
          <w:sz w:val="24"/>
          <w:highlight w:val="none"/>
        </w:rPr>
      </w:pPr>
      <w:r>
        <w:rPr>
          <w:rFonts w:hint="eastAsia" w:ascii="宋体" w:hAnsi="宋体" w:cs="仿宋_GB2312"/>
          <w:color w:val="auto"/>
          <w:sz w:val="24"/>
          <w:highlight w:val="none"/>
        </w:rPr>
        <w:t>2.供应商应根据自身的承诺，对照磋商文件要求，在“偏离说明”中注明“正偏离”、“负偏离”或者“无偏离”。既不属于“正偏离”也不属于“负偏离”即为“无偏离”。 当响应文件的商务内容低于竞争性磋商采购文件要求时，竞标人应当如实写明“负偏离”，否则视为虚假应标</w:t>
      </w:r>
    </w:p>
    <w:p w14:paraId="11D9CCFB">
      <w:pPr>
        <w:spacing w:line="400" w:lineRule="exact"/>
        <w:rPr>
          <w:rFonts w:ascii="宋体" w:hAnsi="宋体" w:cs="仿宋_GB2312"/>
          <w:color w:val="auto"/>
          <w:kern w:val="0"/>
          <w:sz w:val="24"/>
          <w:highlight w:val="none"/>
        </w:rPr>
      </w:pPr>
      <w:r>
        <w:rPr>
          <w:rFonts w:hint="eastAsia" w:ascii="宋体" w:hAnsi="宋体" w:cs="仿宋_GB2312"/>
          <w:color w:val="auto"/>
          <w:kern w:val="0"/>
          <w:sz w:val="24"/>
          <w:highlight w:val="none"/>
        </w:rPr>
        <w:t>3.表格内容均需按要求填写，不得留空，否则按竞标无效处理。</w:t>
      </w:r>
    </w:p>
    <w:p w14:paraId="09501980">
      <w:pPr>
        <w:pStyle w:val="12"/>
        <w:spacing w:line="400" w:lineRule="exact"/>
        <w:rPr>
          <w:rFonts w:hAnsi="宋体" w:cs="仿宋_GB2312"/>
          <w:color w:val="auto"/>
          <w:sz w:val="24"/>
          <w:highlight w:val="none"/>
        </w:rPr>
      </w:pPr>
      <w:r>
        <w:rPr>
          <w:rFonts w:hint="eastAsia" w:hAnsi="宋体" w:cs="仿宋_GB2312"/>
          <w:color w:val="auto"/>
          <w:sz w:val="24"/>
          <w:highlight w:val="none"/>
        </w:rPr>
        <w:t>4.如果采购需求为小于、小于等于、大于或大于等于某个数值标准时，响应文件承诺不得直接复制采购需求，响应文件承诺内容应当写明竞标货物具体参数或商务响应承诺的具体数值，否则按竞标无效处理。如该采购需求属于不能明确具体数值的，采购人应在此采购需求的数值后标注◆号，对标注◆号的采购需求不适用上述“竞标无效”条款。</w:t>
      </w:r>
    </w:p>
    <w:p w14:paraId="252978A0">
      <w:pPr>
        <w:spacing w:line="360" w:lineRule="auto"/>
        <w:ind w:firstLine="3840" w:firstLineChars="1600"/>
        <w:rPr>
          <w:rFonts w:ascii="宋体" w:hAnsi="宋体" w:cs="仿宋_GB2312"/>
          <w:color w:val="auto"/>
          <w:sz w:val="24"/>
          <w:highlight w:val="none"/>
        </w:rPr>
      </w:pPr>
      <w:r>
        <w:rPr>
          <w:rFonts w:hint="eastAsia" w:ascii="仿宋_GB2312" w:hAnsi="仿宋" w:eastAsia="仿宋_GB2312" w:cs="仿宋_GB2312"/>
          <w:color w:val="auto"/>
          <w:kern w:val="0"/>
          <w:sz w:val="24"/>
          <w:highlight w:val="none"/>
        </w:rPr>
        <w:t>供应商名称（电子签章）：</w:t>
      </w:r>
    </w:p>
    <w:p w14:paraId="78D79963">
      <w:pPr>
        <w:spacing w:line="360" w:lineRule="auto"/>
        <w:jc w:val="center"/>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 xml:space="preserve">  </w:t>
      </w:r>
    </w:p>
    <w:p w14:paraId="798CD796">
      <w:pPr>
        <w:spacing w:line="360" w:lineRule="auto"/>
        <w:jc w:val="center"/>
        <w:rPr>
          <w:rFonts w:ascii="宋体" w:hAnsi="宋体" w:cs="仿宋_GB2312"/>
          <w:b/>
          <w:color w:val="auto"/>
          <w:sz w:val="24"/>
          <w:highlight w:val="none"/>
        </w:rPr>
      </w:pPr>
      <w:r>
        <w:rPr>
          <w:rFonts w:hint="eastAsia" w:ascii="仿宋_GB2312" w:hAnsi="仿宋" w:eastAsia="仿宋_GB2312" w:cs="仿宋_GB2312"/>
          <w:color w:val="auto"/>
          <w:kern w:val="0"/>
          <w:sz w:val="24"/>
          <w:highlight w:val="none"/>
          <w:lang w:val="zh-CN"/>
        </w:rPr>
        <w:t xml:space="preserve">                                                 日期：  年  月   日</w:t>
      </w:r>
    </w:p>
    <w:p w14:paraId="703F6E41">
      <w:pPr>
        <w:snapToGrid w:val="0"/>
        <w:spacing w:line="360" w:lineRule="auto"/>
        <w:ind w:firstLine="602" w:firstLineChars="200"/>
        <w:rPr>
          <w:rFonts w:ascii="仿宋" w:hAnsi="仿宋" w:eastAsia="仿宋" w:cs="仿宋_GB2312"/>
          <w:b/>
          <w:color w:val="auto"/>
          <w:sz w:val="30"/>
          <w:szCs w:val="30"/>
          <w:highlight w:val="none"/>
        </w:rPr>
      </w:pPr>
      <w:r>
        <w:rPr>
          <w:rFonts w:hint="eastAsia" w:ascii="仿宋" w:hAnsi="仿宋" w:eastAsia="仿宋" w:cs="仿宋_GB2312"/>
          <w:b/>
          <w:color w:val="auto"/>
          <w:sz w:val="30"/>
          <w:szCs w:val="30"/>
          <w:highlight w:val="none"/>
        </w:rPr>
        <w:t>五、竞标人情况介绍</w:t>
      </w:r>
    </w:p>
    <w:p w14:paraId="06001383">
      <w:pPr>
        <w:snapToGrid w:val="0"/>
        <w:spacing w:line="360" w:lineRule="auto"/>
        <w:ind w:firstLine="602" w:firstLineChars="200"/>
        <w:rPr>
          <w:rFonts w:ascii="仿宋" w:hAnsi="仿宋" w:eastAsia="仿宋" w:cs="仿宋_GB2312"/>
          <w:b/>
          <w:color w:val="auto"/>
          <w:sz w:val="30"/>
          <w:szCs w:val="30"/>
          <w:highlight w:val="none"/>
        </w:rPr>
      </w:pPr>
    </w:p>
    <w:p w14:paraId="0D9C8411">
      <w:pPr>
        <w:autoSpaceDE w:val="0"/>
        <w:autoSpaceDN w:val="0"/>
        <w:spacing w:line="360" w:lineRule="auto"/>
        <w:ind w:left="4335" w:leftChars="1950" w:hanging="240" w:hangingChars="10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3717A2F7">
      <w:pPr>
        <w:autoSpaceDE w:val="0"/>
        <w:autoSpaceDN w:val="0"/>
        <w:spacing w:line="360" w:lineRule="auto"/>
        <w:jc w:val="right"/>
        <w:rPr>
          <w:rFonts w:ascii="仿宋_GB2312" w:hAnsi="仿宋" w:eastAsia="仿宋_GB2312" w:cs="仿宋_GB2312"/>
          <w:b/>
          <w:bCs/>
          <w:color w:val="auto"/>
          <w:sz w:val="24"/>
          <w:highlight w:val="none"/>
        </w:rPr>
      </w:pPr>
      <w:r>
        <w:rPr>
          <w:rFonts w:hint="eastAsia" w:ascii="仿宋_GB2312" w:hAnsi="仿宋" w:eastAsia="仿宋_GB2312" w:cs="仿宋_GB2312"/>
          <w:color w:val="auto"/>
          <w:kern w:val="0"/>
          <w:sz w:val="24"/>
          <w:highlight w:val="none"/>
          <w:lang w:val="zh-CN"/>
        </w:rPr>
        <w:t>日期：  年  月   日</w:t>
      </w:r>
    </w:p>
    <w:p w14:paraId="26C40E6E">
      <w:pPr>
        <w:snapToGrid w:val="0"/>
        <w:spacing w:before="120" w:beforeLines="50" w:after="50"/>
        <w:ind w:firstLine="602" w:firstLineChars="200"/>
        <w:rPr>
          <w:rFonts w:ascii="仿宋" w:hAnsi="仿宋" w:eastAsia="仿宋" w:cs="仿宋_GB2312"/>
          <w:b/>
          <w:color w:val="auto"/>
          <w:sz w:val="30"/>
          <w:szCs w:val="30"/>
          <w:highlight w:val="none"/>
        </w:rPr>
      </w:pPr>
    </w:p>
    <w:p w14:paraId="2648DD80">
      <w:pPr>
        <w:snapToGrid w:val="0"/>
        <w:spacing w:before="120" w:beforeLines="50" w:after="50"/>
        <w:ind w:firstLine="602" w:firstLineChars="200"/>
        <w:rPr>
          <w:rFonts w:ascii="仿宋" w:hAnsi="仿宋" w:eastAsia="仿宋" w:cs="仿宋_GB2312"/>
          <w:b/>
          <w:color w:val="auto"/>
          <w:sz w:val="30"/>
          <w:szCs w:val="30"/>
          <w:highlight w:val="none"/>
        </w:rPr>
      </w:pPr>
    </w:p>
    <w:p w14:paraId="18B44AEB">
      <w:pPr>
        <w:snapToGrid w:val="0"/>
        <w:spacing w:before="120" w:beforeLines="50" w:after="50"/>
        <w:ind w:firstLine="602" w:firstLineChars="200"/>
        <w:rPr>
          <w:rFonts w:ascii="仿宋" w:hAnsi="仿宋" w:eastAsia="仿宋" w:cs="仿宋_GB2312"/>
          <w:b/>
          <w:color w:val="auto"/>
          <w:sz w:val="30"/>
          <w:szCs w:val="30"/>
          <w:highlight w:val="none"/>
        </w:rPr>
      </w:pPr>
    </w:p>
    <w:p w14:paraId="4EC13B31">
      <w:pPr>
        <w:snapToGrid w:val="0"/>
        <w:spacing w:before="120" w:beforeLines="50" w:after="50"/>
        <w:ind w:firstLine="602" w:firstLineChars="200"/>
        <w:rPr>
          <w:rFonts w:ascii="仿宋" w:hAnsi="仿宋" w:eastAsia="仿宋" w:cs="仿宋_GB2312"/>
          <w:b/>
          <w:color w:val="auto"/>
          <w:sz w:val="30"/>
          <w:szCs w:val="30"/>
          <w:highlight w:val="none"/>
        </w:rPr>
      </w:pPr>
    </w:p>
    <w:p w14:paraId="615D6269">
      <w:pPr>
        <w:snapToGrid w:val="0"/>
        <w:spacing w:before="120" w:beforeLines="50" w:after="50"/>
        <w:ind w:firstLine="602" w:firstLineChars="200"/>
        <w:rPr>
          <w:rFonts w:ascii="仿宋" w:hAnsi="仿宋" w:eastAsia="仿宋" w:cs="仿宋_GB2312"/>
          <w:b/>
          <w:color w:val="auto"/>
          <w:sz w:val="30"/>
          <w:szCs w:val="30"/>
          <w:highlight w:val="none"/>
        </w:rPr>
      </w:pPr>
    </w:p>
    <w:p w14:paraId="517B8D03">
      <w:pPr>
        <w:snapToGrid w:val="0"/>
        <w:spacing w:before="120" w:beforeLines="50" w:after="50"/>
        <w:ind w:firstLine="602" w:firstLineChars="200"/>
        <w:rPr>
          <w:rFonts w:ascii="仿宋" w:hAnsi="仿宋" w:eastAsia="仿宋" w:cs="仿宋_GB2312"/>
          <w:b/>
          <w:color w:val="auto"/>
          <w:sz w:val="30"/>
          <w:szCs w:val="30"/>
          <w:highlight w:val="none"/>
        </w:rPr>
      </w:pPr>
    </w:p>
    <w:p w14:paraId="2E2ED332">
      <w:pPr>
        <w:snapToGrid w:val="0"/>
        <w:spacing w:before="120" w:beforeLines="50" w:after="50"/>
        <w:ind w:firstLine="602" w:firstLineChars="200"/>
        <w:rPr>
          <w:rFonts w:ascii="仿宋" w:hAnsi="仿宋" w:eastAsia="仿宋" w:cs="仿宋_GB2312"/>
          <w:b/>
          <w:color w:val="auto"/>
          <w:sz w:val="30"/>
          <w:szCs w:val="30"/>
          <w:highlight w:val="none"/>
        </w:rPr>
      </w:pPr>
    </w:p>
    <w:p w14:paraId="311D4E9E">
      <w:pPr>
        <w:snapToGrid w:val="0"/>
        <w:spacing w:before="120" w:beforeLines="50" w:after="50"/>
        <w:ind w:firstLine="602" w:firstLineChars="200"/>
        <w:rPr>
          <w:rFonts w:ascii="仿宋" w:hAnsi="仿宋" w:eastAsia="仿宋" w:cs="仿宋_GB2312"/>
          <w:b/>
          <w:color w:val="auto"/>
          <w:sz w:val="30"/>
          <w:szCs w:val="30"/>
          <w:highlight w:val="none"/>
        </w:rPr>
      </w:pPr>
    </w:p>
    <w:p w14:paraId="15CE71A4">
      <w:pPr>
        <w:snapToGrid w:val="0"/>
        <w:spacing w:before="120" w:beforeLines="50" w:after="50"/>
        <w:ind w:firstLine="602" w:firstLineChars="200"/>
        <w:rPr>
          <w:rFonts w:ascii="仿宋" w:hAnsi="仿宋" w:eastAsia="仿宋" w:cs="仿宋_GB2312"/>
          <w:b/>
          <w:color w:val="auto"/>
          <w:sz w:val="30"/>
          <w:szCs w:val="30"/>
          <w:highlight w:val="none"/>
        </w:rPr>
      </w:pPr>
    </w:p>
    <w:p w14:paraId="47851C26">
      <w:pPr>
        <w:snapToGrid w:val="0"/>
        <w:spacing w:before="120" w:beforeLines="50" w:after="50"/>
        <w:ind w:firstLine="602" w:firstLineChars="200"/>
        <w:rPr>
          <w:rFonts w:ascii="仿宋" w:hAnsi="仿宋" w:eastAsia="仿宋" w:cs="仿宋_GB2312"/>
          <w:b/>
          <w:color w:val="auto"/>
          <w:sz w:val="30"/>
          <w:szCs w:val="30"/>
          <w:highlight w:val="none"/>
        </w:rPr>
      </w:pPr>
      <w:r>
        <w:rPr>
          <w:rFonts w:hint="eastAsia" w:ascii="仿宋" w:hAnsi="仿宋" w:eastAsia="仿宋" w:cs="仿宋_GB2312"/>
          <w:b/>
          <w:color w:val="auto"/>
          <w:sz w:val="30"/>
          <w:szCs w:val="30"/>
          <w:highlight w:val="none"/>
        </w:rPr>
        <w:t>六、供应商类似的业绩证明文件</w:t>
      </w:r>
    </w:p>
    <w:tbl>
      <w:tblPr>
        <w:tblStyle w:val="23"/>
        <w:tblW w:w="4998"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245"/>
        <w:gridCol w:w="1660"/>
        <w:gridCol w:w="1020"/>
        <w:gridCol w:w="1020"/>
        <w:gridCol w:w="1531"/>
        <w:gridCol w:w="1154"/>
        <w:gridCol w:w="1659"/>
      </w:tblGrid>
      <w:tr w14:paraId="2C57D3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670" w:type="pct"/>
            <w:vMerge w:val="restart"/>
            <w:tcBorders>
              <w:top w:val="single" w:color="auto" w:sz="4" w:space="0"/>
              <w:left w:val="single" w:color="auto" w:sz="4" w:space="0"/>
              <w:bottom w:val="single" w:color="auto" w:sz="4" w:space="0"/>
              <w:right w:val="single" w:color="auto" w:sz="4" w:space="0"/>
            </w:tcBorders>
            <w:vAlign w:val="center"/>
          </w:tcPr>
          <w:p w14:paraId="291AEA84">
            <w:pPr>
              <w:snapToGrid w:val="0"/>
              <w:spacing w:line="240" w:lineRule="exact"/>
              <w:jc w:val="center"/>
              <w:rPr>
                <w:rFonts w:ascii="宋体" w:hAnsi="宋体"/>
                <w:color w:val="auto"/>
                <w:sz w:val="24"/>
                <w:highlight w:val="none"/>
              </w:rPr>
            </w:pPr>
            <w:r>
              <w:rPr>
                <w:rFonts w:hint="eastAsia" w:ascii="宋体" w:hAnsi="宋体"/>
                <w:color w:val="auto"/>
                <w:sz w:val="24"/>
                <w:highlight w:val="none"/>
              </w:rPr>
              <w:t>采购人名称</w:t>
            </w:r>
          </w:p>
        </w:tc>
        <w:tc>
          <w:tcPr>
            <w:tcW w:w="893" w:type="pct"/>
            <w:vMerge w:val="restart"/>
            <w:tcBorders>
              <w:top w:val="single" w:color="auto" w:sz="4" w:space="0"/>
              <w:left w:val="single" w:color="auto" w:sz="4" w:space="0"/>
              <w:bottom w:val="single" w:color="auto" w:sz="4" w:space="0"/>
              <w:right w:val="single" w:color="auto" w:sz="4" w:space="0"/>
            </w:tcBorders>
            <w:vAlign w:val="center"/>
          </w:tcPr>
          <w:p w14:paraId="45BB27E6">
            <w:pPr>
              <w:snapToGrid w:val="0"/>
              <w:spacing w:line="240" w:lineRule="exact"/>
              <w:jc w:val="center"/>
              <w:rPr>
                <w:rFonts w:ascii="宋体" w:hAnsi="宋体"/>
                <w:color w:val="auto"/>
                <w:sz w:val="24"/>
                <w:highlight w:val="none"/>
              </w:rPr>
            </w:pPr>
            <w:r>
              <w:rPr>
                <w:rFonts w:hint="eastAsia" w:ascii="宋体" w:hAnsi="宋体"/>
                <w:color w:val="auto"/>
                <w:sz w:val="24"/>
                <w:highlight w:val="none"/>
              </w:rPr>
              <w:t>项目名称</w:t>
            </w:r>
          </w:p>
        </w:tc>
        <w:tc>
          <w:tcPr>
            <w:tcW w:w="549" w:type="pct"/>
            <w:vMerge w:val="restart"/>
            <w:tcBorders>
              <w:top w:val="single" w:color="auto" w:sz="4" w:space="0"/>
              <w:left w:val="single" w:color="auto" w:sz="4" w:space="0"/>
              <w:bottom w:val="single" w:color="auto" w:sz="4" w:space="0"/>
              <w:right w:val="single" w:color="auto" w:sz="4" w:space="0"/>
            </w:tcBorders>
            <w:vAlign w:val="center"/>
          </w:tcPr>
          <w:p w14:paraId="491775DB">
            <w:pPr>
              <w:snapToGrid w:val="0"/>
              <w:spacing w:line="240" w:lineRule="exact"/>
              <w:jc w:val="center"/>
              <w:rPr>
                <w:rFonts w:ascii="宋体" w:hAnsi="宋体"/>
                <w:color w:val="auto"/>
                <w:sz w:val="24"/>
                <w:highlight w:val="none"/>
              </w:rPr>
            </w:pPr>
            <w:r>
              <w:rPr>
                <w:rFonts w:hint="eastAsia" w:ascii="宋体" w:hAnsi="宋体"/>
                <w:color w:val="auto"/>
                <w:sz w:val="24"/>
                <w:highlight w:val="none"/>
              </w:rPr>
              <w:t>合同</w:t>
            </w:r>
          </w:p>
          <w:p w14:paraId="096A672D">
            <w:pPr>
              <w:snapToGrid w:val="0"/>
              <w:spacing w:line="240" w:lineRule="exact"/>
              <w:jc w:val="center"/>
              <w:rPr>
                <w:rFonts w:ascii="宋体" w:hAnsi="宋体"/>
                <w:color w:val="auto"/>
                <w:sz w:val="24"/>
                <w:highlight w:val="none"/>
              </w:rPr>
            </w:pPr>
            <w:r>
              <w:rPr>
                <w:rFonts w:hint="eastAsia" w:ascii="宋体" w:hAnsi="宋体"/>
                <w:color w:val="auto"/>
                <w:sz w:val="24"/>
                <w:highlight w:val="none"/>
              </w:rPr>
              <w:t>金额</w:t>
            </w:r>
          </w:p>
          <w:p w14:paraId="125EFF81">
            <w:pPr>
              <w:snapToGrid w:val="0"/>
              <w:spacing w:line="240" w:lineRule="exact"/>
              <w:jc w:val="center"/>
              <w:rPr>
                <w:rFonts w:ascii="宋体" w:hAnsi="宋体"/>
                <w:color w:val="auto"/>
                <w:sz w:val="24"/>
                <w:highlight w:val="none"/>
              </w:rPr>
            </w:pPr>
            <w:r>
              <w:rPr>
                <w:rFonts w:hint="eastAsia" w:ascii="宋体" w:hAnsi="宋体"/>
                <w:color w:val="auto"/>
                <w:sz w:val="24"/>
                <w:highlight w:val="none"/>
              </w:rPr>
              <w:t>（万元）</w:t>
            </w:r>
          </w:p>
        </w:tc>
        <w:tc>
          <w:tcPr>
            <w:tcW w:w="1994" w:type="pct"/>
            <w:gridSpan w:val="3"/>
            <w:tcBorders>
              <w:top w:val="single" w:color="auto" w:sz="4" w:space="0"/>
              <w:left w:val="single" w:color="auto" w:sz="4" w:space="0"/>
              <w:bottom w:val="single" w:color="auto" w:sz="4" w:space="0"/>
              <w:right w:val="single" w:color="auto" w:sz="4" w:space="0"/>
            </w:tcBorders>
            <w:vAlign w:val="center"/>
          </w:tcPr>
          <w:p w14:paraId="479B8080">
            <w:pPr>
              <w:snapToGrid w:val="0"/>
              <w:spacing w:line="240" w:lineRule="exact"/>
              <w:jc w:val="center"/>
              <w:rPr>
                <w:rFonts w:ascii="宋体" w:hAnsi="宋体"/>
                <w:color w:val="auto"/>
                <w:sz w:val="24"/>
                <w:highlight w:val="none"/>
              </w:rPr>
            </w:pPr>
            <w:r>
              <w:rPr>
                <w:rFonts w:hint="eastAsia" w:ascii="宋体" w:hAnsi="宋体"/>
                <w:color w:val="auto"/>
                <w:sz w:val="24"/>
                <w:highlight w:val="none"/>
              </w:rPr>
              <w:t>附件在响应文件中页码</w:t>
            </w:r>
          </w:p>
        </w:tc>
        <w:tc>
          <w:tcPr>
            <w:tcW w:w="892" w:type="pct"/>
            <w:vMerge w:val="restart"/>
            <w:tcBorders>
              <w:top w:val="single" w:color="auto" w:sz="4" w:space="0"/>
              <w:left w:val="single" w:color="auto" w:sz="4" w:space="0"/>
              <w:bottom w:val="single" w:color="auto" w:sz="4" w:space="0"/>
              <w:right w:val="single" w:color="auto" w:sz="4" w:space="0"/>
            </w:tcBorders>
            <w:vAlign w:val="center"/>
          </w:tcPr>
          <w:p w14:paraId="0B97767B">
            <w:pPr>
              <w:snapToGrid w:val="0"/>
              <w:spacing w:line="240" w:lineRule="exact"/>
              <w:jc w:val="center"/>
              <w:rPr>
                <w:rFonts w:ascii="宋体" w:hAnsi="宋体"/>
                <w:color w:val="auto"/>
                <w:sz w:val="24"/>
                <w:highlight w:val="none"/>
              </w:rPr>
            </w:pPr>
            <w:r>
              <w:rPr>
                <w:rFonts w:hint="eastAsia" w:ascii="宋体" w:hAnsi="宋体"/>
                <w:color w:val="auto"/>
                <w:sz w:val="24"/>
                <w:highlight w:val="none"/>
              </w:rPr>
              <w:t>采购人联系人及联系电话</w:t>
            </w:r>
          </w:p>
        </w:tc>
      </w:tr>
      <w:tr w14:paraId="6AEBFC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670" w:type="pct"/>
            <w:vMerge w:val="continue"/>
            <w:tcBorders>
              <w:top w:val="single" w:color="auto" w:sz="4" w:space="0"/>
              <w:left w:val="single" w:color="auto" w:sz="4" w:space="0"/>
              <w:bottom w:val="single" w:color="auto" w:sz="4" w:space="0"/>
              <w:right w:val="single" w:color="auto" w:sz="4" w:space="0"/>
            </w:tcBorders>
            <w:vAlign w:val="center"/>
          </w:tcPr>
          <w:p w14:paraId="128B62DF">
            <w:pPr>
              <w:widowControl/>
              <w:jc w:val="left"/>
              <w:rPr>
                <w:rFonts w:ascii="宋体" w:hAnsi="宋体"/>
                <w:color w:val="auto"/>
                <w:sz w:val="24"/>
                <w:highlight w:val="none"/>
              </w:rPr>
            </w:pPr>
          </w:p>
        </w:tc>
        <w:tc>
          <w:tcPr>
            <w:tcW w:w="893" w:type="pct"/>
            <w:vMerge w:val="continue"/>
            <w:tcBorders>
              <w:top w:val="single" w:color="auto" w:sz="4" w:space="0"/>
              <w:left w:val="single" w:color="auto" w:sz="4" w:space="0"/>
              <w:bottom w:val="single" w:color="auto" w:sz="4" w:space="0"/>
              <w:right w:val="single" w:color="auto" w:sz="4" w:space="0"/>
            </w:tcBorders>
            <w:vAlign w:val="center"/>
          </w:tcPr>
          <w:p w14:paraId="2C531893">
            <w:pPr>
              <w:widowControl/>
              <w:jc w:val="left"/>
              <w:rPr>
                <w:rFonts w:ascii="宋体" w:hAnsi="宋体"/>
                <w:color w:val="auto"/>
                <w:sz w:val="24"/>
                <w:highlight w:val="none"/>
              </w:rPr>
            </w:pPr>
          </w:p>
        </w:tc>
        <w:tc>
          <w:tcPr>
            <w:tcW w:w="549" w:type="pct"/>
            <w:vMerge w:val="continue"/>
            <w:tcBorders>
              <w:top w:val="single" w:color="auto" w:sz="4" w:space="0"/>
              <w:left w:val="single" w:color="auto" w:sz="4" w:space="0"/>
              <w:bottom w:val="single" w:color="auto" w:sz="4" w:space="0"/>
              <w:right w:val="single" w:color="auto" w:sz="4" w:space="0"/>
            </w:tcBorders>
            <w:vAlign w:val="center"/>
          </w:tcPr>
          <w:p w14:paraId="340BC3F6">
            <w:pPr>
              <w:widowControl/>
              <w:jc w:val="left"/>
              <w:rPr>
                <w:rFonts w:ascii="宋体" w:hAnsi="宋体"/>
                <w:color w:val="auto"/>
                <w:sz w:val="24"/>
                <w:highlight w:val="none"/>
              </w:rPr>
            </w:pPr>
          </w:p>
        </w:tc>
        <w:tc>
          <w:tcPr>
            <w:tcW w:w="549" w:type="pct"/>
            <w:tcBorders>
              <w:top w:val="single" w:color="auto" w:sz="4" w:space="0"/>
              <w:left w:val="single" w:color="auto" w:sz="4" w:space="0"/>
              <w:bottom w:val="single" w:color="auto" w:sz="4" w:space="0"/>
              <w:right w:val="single" w:color="auto" w:sz="4" w:space="0"/>
            </w:tcBorders>
            <w:vAlign w:val="center"/>
          </w:tcPr>
          <w:p w14:paraId="5872A238">
            <w:pPr>
              <w:snapToGrid w:val="0"/>
              <w:spacing w:line="240" w:lineRule="exact"/>
              <w:jc w:val="center"/>
              <w:rPr>
                <w:rFonts w:ascii="宋体" w:hAnsi="宋体"/>
                <w:color w:val="auto"/>
                <w:sz w:val="24"/>
                <w:highlight w:val="none"/>
              </w:rPr>
            </w:pPr>
            <w:r>
              <w:rPr>
                <w:rFonts w:hint="eastAsia" w:ascii="宋体" w:hAnsi="宋体"/>
                <w:color w:val="auto"/>
                <w:sz w:val="24"/>
                <w:highlight w:val="none"/>
              </w:rPr>
              <w:t>合同</w:t>
            </w:r>
          </w:p>
        </w:tc>
        <w:tc>
          <w:tcPr>
            <w:tcW w:w="824" w:type="pct"/>
            <w:tcBorders>
              <w:top w:val="single" w:color="auto" w:sz="4" w:space="0"/>
              <w:left w:val="single" w:color="auto" w:sz="4" w:space="0"/>
              <w:bottom w:val="single" w:color="auto" w:sz="4" w:space="0"/>
              <w:right w:val="single" w:color="auto" w:sz="4" w:space="0"/>
            </w:tcBorders>
            <w:vAlign w:val="center"/>
          </w:tcPr>
          <w:p w14:paraId="4623988D">
            <w:pPr>
              <w:snapToGrid w:val="0"/>
              <w:spacing w:line="240" w:lineRule="exact"/>
              <w:jc w:val="center"/>
              <w:rPr>
                <w:rFonts w:ascii="宋体" w:hAnsi="宋体"/>
                <w:color w:val="auto"/>
                <w:sz w:val="24"/>
                <w:highlight w:val="none"/>
              </w:rPr>
            </w:pPr>
            <w:r>
              <w:rPr>
                <w:rFonts w:hint="eastAsia" w:ascii="宋体" w:hAnsi="宋体"/>
                <w:color w:val="auto"/>
                <w:sz w:val="24"/>
                <w:highlight w:val="none"/>
              </w:rPr>
              <w:t>验收报告</w:t>
            </w:r>
          </w:p>
        </w:tc>
        <w:tc>
          <w:tcPr>
            <w:tcW w:w="620" w:type="pct"/>
            <w:tcBorders>
              <w:top w:val="single" w:color="auto" w:sz="4" w:space="0"/>
              <w:left w:val="single" w:color="auto" w:sz="4" w:space="0"/>
              <w:bottom w:val="single" w:color="auto" w:sz="4" w:space="0"/>
              <w:right w:val="single" w:color="auto" w:sz="4" w:space="0"/>
            </w:tcBorders>
            <w:vAlign w:val="center"/>
          </w:tcPr>
          <w:p w14:paraId="02777803">
            <w:pPr>
              <w:snapToGrid w:val="0"/>
              <w:spacing w:line="240" w:lineRule="exact"/>
              <w:jc w:val="center"/>
              <w:rPr>
                <w:rFonts w:ascii="宋体" w:hAnsi="宋体"/>
                <w:color w:val="auto"/>
                <w:sz w:val="24"/>
                <w:highlight w:val="none"/>
              </w:rPr>
            </w:pPr>
            <w:r>
              <w:rPr>
                <w:rFonts w:hint="eastAsia" w:ascii="宋体" w:hAnsi="宋体"/>
                <w:color w:val="auto"/>
                <w:sz w:val="24"/>
                <w:highlight w:val="none"/>
              </w:rPr>
              <w:t>用户评价</w:t>
            </w:r>
          </w:p>
        </w:tc>
        <w:tc>
          <w:tcPr>
            <w:tcW w:w="892" w:type="pct"/>
            <w:vMerge w:val="continue"/>
            <w:tcBorders>
              <w:top w:val="single" w:color="auto" w:sz="4" w:space="0"/>
              <w:left w:val="single" w:color="auto" w:sz="4" w:space="0"/>
              <w:bottom w:val="single" w:color="auto" w:sz="4" w:space="0"/>
              <w:right w:val="single" w:color="auto" w:sz="4" w:space="0"/>
            </w:tcBorders>
            <w:vAlign w:val="center"/>
          </w:tcPr>
          <w:p w14:paraId="5920DE3F">
            <w:pPr>
              <w:widowControl/>
              <w:jc w:val="left"/>
              <w:rPr>
                <w:rFonts w:ascii="宋体" w:hAnsi="宋体"/>
                <w:color w:val="auto"/>
                <w:sz w:val="24"/>
                <w:highlight w:val="none"/>
              </w:rPr>
            </w:pPr>
          </w:p>
        </w:tc>
      </w:tr>
      <w:tr w14:paraId="42350A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670" w:type="pct"/>
            <w:tcBorders>
              <w:top w:val="single" w:color="auto" w:sz="4" w:space="0"/>
              <w:left w:val="single" w:color="auto" w:sz="4" w:space="0"/>
              <w:bottom w:val="single" w:color="auto" w:sz="4" w:space="0"/>
              <w:right w:val="single" w:color="auto" w:sz="4" w:space="0"/>
            </w:tcBorders>
          </w:tcPr>
          <w:p w14:paraId="043B2C70">
            <w:pPr>
              <w:snapToGrid w:val="0"/>
              <w:spacing w:line="240" w:lineRule="exact"/>
              <w:jc w:val="left"/>
              <w:rPr>
                <w:rFonts w:ascii="宋体" w:hAnsi="宋体"/>
                <w:color w:val="auto"/>
                <w:sz w:val="24"/>
                <w:highlight w:val="none"/>
              </w:rPr>
            </w:pPr>
          </w:p>
        </w:tc>
        <w:tc>
          <w:tcPr>
            <w:tcW w:w="893" w:type="pct"/>
            <w:tcBorders>
              <w:top w:val="single" w:color="auto" w:sz="4" w:space="0"/>
              <w:left w:val="single" w:color="auto" w:sz="4" w:space="0"/>
              <w:bottom w:val="single" w:color="auto" w:sz="4" w:space="0"/>
              <w:right w:val="single" w:color="auto" w:sz="4" w:space="0"/>
            </w:tcBorders>
          </w:tcPr>
          <w:p w14:paraId="48B03905">
            <w:pPr>
              <w:snapToGrid w:val="0"/>
              <w:spacing w:line="240" w:lineRule="exact"/>
              <w:jc w:val="left"/>
              <w:rPr>
                <w:rFonts w:ascii="宋体" w:hAnsi="宋体"/>
                <w:color w:val="auto"/>
                <w:sz w:val="24"/>
                <w:highlight w:val="none"/>
              </w:rPr>
            </w:pPr>
          </w:p>
        </w:tc>
        <w:tc>
          <w:tcPr>
            <w:tcW w:w="549" w:type="pct"/>
            <w:tcBorders>
              <w:top w:val="single" w:color="auto" w:sz="4" w:space="0"/>
              <w:left w:val="single" w:color="auto" w:sz="4" w:space="0"/>
              <w:bottom w:val="single" w:color="auto" w:sz="4" w:space="0"/>
              <w:right w:val="single" w:color="auto" w:sz="4" w:space="0"/>
            </w:tcBorders>
          </w:tcPr>
          <w:p w14:paraId="25DD2C23">
            <w:pPr>
              <w:snapToGrid w:val="0"/>
              <w:spacing w:line="240" w:lineRule="exact"/>
              <w:jc w:val="left"/>
              <w:rPr>
                <w:rFonts w:ascii="宋体" w:hAnsi="宋体"/>
                <w:color w:val="auto"/>
                <w:sz w:val="24"/>
                <w:highlight w:val="none"/>
              </w:rPr>
            </w:pPr>
          </w:p>
        </w:tc>
        <w:tc>
          <w:tcPr>
            <w:tcW w:w="549" w:type="pct"/>
            <w:tcBorders>
              <w:top w:val="single" w:color="auto" w:sz="4" w:space="0"/>
              <w:left w:val="single" w:color="auto" w:sz="4" w:space="0"/>
              <w:bottom w:val="single" w:color="auto" w:sz="4" w:space="0"/>
              <w:right w:val="single" w:color="auto" w:sz="4" w:space="0"/>
            </w:tcBorders>
          </w:tcPr>
          <w:p w14:paraId="5009904B">
            <w:pPr>
              <w:snapToGrid w:val="0"/>
              <w:spacing w:line="240" w:lineRule="exact"/>
              <w:jc w:val="left"/>
              <w:rPr>
                <w:rFonts w:ascii="宋体" w:hAnsi="宋体"/>
                <w:color w:val="auto"/>
                <w:sz w:val="24"/>
                <w:highlight w:val="none"/>
              </w:rPr>
            </w:pPr>
          </w:p>
        </w:tc>
        <w:tc>
          <w:tcPr>
            <w:tcW w:w="824" w:type="pct"/>
            <w:tcBorders>
              <w:top w:val="single" w:color="auto" w:sz="4" w:space="0"/>
              <w:left w:val="single" w:color="auto" w:sz="4" w:space="0"/>
              <w:bottom w:val="single" w:color="auto" w:sz="4" w:space="0"/>
              <w:right w:val="single" w:color="auto" w:sz="4" w:space="0"/>
            </w:tcBorders>
          </w:tcPr>
          <w:p w14:paraId="003F5923">
            <w:pPr>
              <w:snapToGrid w:val="0"/>
              <w:spacing w:line="240" w:lineRule="exact"/>
              <w:jc w:val="left"/>
              <w:rPr>
                <w:rFonts w:ascii="宋体" w:hAnsi="宋体"/>
                <w:color w:val="auto"/>
                <w:sz w:val="24"/>
                <w:highlight w:val="none"/>
              </w:rPr>
            </w:pPr>
          </w:p>
        </w:tc>
        <w:tc>
          <w:tcPr>
            <w:tcW w:w="620" w:type="pct"/>
            <w:tcBorders>
              <w:top w:val="single" w:color="auto" w:sz="4" w:space="0"/>
              <w:left w:val="single" w:color="auto" w:sz="4" w:space="0"/>
              <w:bottom w:val="single" w:color="auto" w:sz="4" w:space="0"/>
              <w:right w:val="single" w:color="auto" w:sz="4" w:space="0"/>
            </w:tcBorders>
          </w:tcPr>
          <w:p w14:paraId="3355D5DF">
            <w:pPr>
              <w:snapToGrid w:val="0"/>
              <w:spacing w:line="240" w:lineRule="exact"/>
              <w:jc w:val="left"/>
              <w:rPr>
                <w:rFonts w:ascii="宋体" w:hAnsi="宋体"/>
                <w:color w:val="auto"/>
                <w:sz w:val="24"/>
                <w:highlight w:val="none"/>
              </w:rPr>
            </w:pPr>
          </w:p>
        </w:tc>
        <w:tc>
          <w:tcPr>
            <w:tcW w:w="892" w:type="pct"/>
            <w:tcBorders>
              <w:top w:val="single" w:color="auto" w:sz="4" w:space="0"/>
              <w:left w:val="single" w:color="auto" w:sz="4" w:space="0"/>
              <w:bottom w:val="single" w:color="auto" w:sz="4" w:space="0"/>
              <w:right w:val="single" w:color="auto" w:sz="4" w:space="0"/>
            </w:tcBorders>
          </w:tcPr>
          <w:p w14:paraId="047322F0">
            <w:pPr>
              <w:snapToGrid w:val="0"/>
              <w:spacing w:line="240" w:lineRule="exact"/>
              <w:jc w:val="left"/>
              <w:rPr>
                <w:rFonts w:ascii="宋体" w:hAnsi="宋体"/>
                <w:color w:val="auto"/>
                <w:sz w:val="24"/>
                <w:highlight w:val="none"/>
              </w:rPr>
            </w:pPr>
          </w:p>
        </w:tc>
      </w:tr>
      <w:tr w14:paraId="1DD753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0" w:type="pct"/>
            <w:tcBorders>
              <w:top w:val="single" w:color="auto" w:sz="4" w:space="0"/>
              <w:left w:val="single" w:color="auto" w:sz="4" w:space="0"/>
              <w:bottom w:val="single" w:color="auto" w:sz="4" w:space="0"/>
              <w:right w:val="single" w:color="auto" w:sz="4" w:space="0"/>
            </w:tcBorders>
          </w:tcPr>
          <w:p w14:paraId="1CCFAB81">
            <w:pPr>
              <w:snapToGrid w:val="0"/>
              <w:spacing w:before="50" w:after="120" w:afterLines="50" w:line="400" w:lineRule="exact"/>
              <w:jc w:val="left"/>
              <w:rPr>
                <w:rFonts w:ascii="宋体" w:hAnsi="宋体"/>
                <w:color w:val="auto"/>
                <w:sz w:val="24"/>
                <w:highlight w:val="none"/>
              </w:rPr>
            </w:pPr>
          </w:p>
        </w:tc>
        <w:tc>
          <w:tcPr>
            <w:tcW w:w="893" w:type="pct"/>
            <w:tcBorders>
              <w:top w:val="single" w:color="auto" w:sz="4" w:space="0"/>
              <w:left w:val="single" w:color="auto" w:sz="4" w:space="0"/>
              <w:bottom w:val="single" w:color="auto" w:sz="4" w:space="0"/>
              <w:right w:val="single" w:color="auto" w:sz="4" w:space="0"/>
            </w:tcBorders>
          </w:tcPr>
          <w:p w14:paraId="6BF4FB86">
            <w:pPr>
              <w:snapToGrid w:val="0"/>
              <w:spacing w:before="50" w:after="120" w:afterLines="50" w:line="400" w:lineRule="exact"/>
              <w:jc w:val="left"/>
              <w:rPr>
                <w:rFonts w:ascii="宋体" w:hAnsi="宋体"/>
                <w:color w:val="auto"/>
                <w:sz w:val="24"/>
                <w:highlight w:val="none"/>
              </w:rPr>
            </w:pPr>
          </w:p>
        </w:tc>
        <w:tc>
          <w:tcPr>
            <w:tcW w:w="549" w:type="pct"/>
            <w:tcBorders>
              <w:top w:val="single" w:color="auto" w:sz="4" w:space="0"/>
              <w:left w:val="single" w:color="auto" w:sz="4" w:space="0"/>
              <w:bottom w:val="single" w:color="auto" w:sz="4" w:space="0"/>
              <w:right w:val="single" w:color="auto" w:sz="4" w:space="0"/>
            </w:tcBorders>
          </w:tcPr>
          <w:p w14:paraId="42E3B945">
            <w:pPr>
              <w:snapToGrid w:val="0"/>
              <w:spacing w:before="50" w:after="120" w:afterLines="50" w:line="400" w:lineRule="exact"/>
              <w:jc w:val="left"/>
              <w:rPr>
                <w:rFonts w:ascii="宋体" w:hAnsi="宋体"/>
                <w:color w:val="auto"/>
                <w:sz w:val="24"/>
                <w:highlight w:val="none"/>
              </w:rPr>
            </w:pPr>
          </w:p>
        </w:tc>
        <w:tc>
          <w:tcPr>
            <w:tcW w:w="549" w:type="pct"/>
            <w:tcBorders>
              <w:top w:val="single" w:color="auto" w:sz="4" w:space="0"/>
              <w:left w:val="single" w:color="auto" w:sz="4" w:space="0"/>
              <w:bottom w:val="single" w:color="auto" w:sz="4" w:space="0"/>
              <w:right w:val="single" w:color="auto" w:sz="4" w:space="0"/>
            </w:tcBorders>
          </w:tcPr>
          <w:p w14:paraId="56410F24">
            <w:pPr>
              <w:snapToGrid w:val="0"/>
              <w:spacing w:before="50" w:after="120" w:afterLines="50" w:line="400" w:lineRule="exact"/>
              <w:jc w:val="left"/>
              <w:rPr>
                <w:rFonts w:ascii="宋体" w:hAnsi="宋体"/>
                <w:color w:val="auto"/>
                <w:sz w:val="24"/>
                <w:highlight w:val="none"/>
              </w:rPr>
            </w:pPr>
          </w:p>
        </w:tc>
        <w:tc>
          <w:tcPr>
            <w:tcW w:w="824" w:type="pct"/>
            <w:tcBorders>
              <w:top w:val="single" w:color="auto" w:sz="4" w:space="0"/>
              <w:left w:val="single" w:color="auto" w:sz="4" w:space="0"/>
              <w:bottom w:val="single" w:color="auto" w:sz="4" w:space="0"/>
              <w:right w:val="single" w:color="auto" w:sz="4" w:space="0"/>
            </w:tcBorders>
          </w:tcPr>
          <w:p w14:paraId="0C8F7DB6">
            <w:pPr>
              <w:snapToGrid w:val="0"/>
              <w:spacing w:before="50" w:after="120" w:afterLines="50" w:line="400" w:lineRule="exact"/>
              <w:jc w:val="left"/>
              <w:rPr>
                <w:rFonts w:ascii="宋体" w:hAnsi="宋体"/>
                <w:color w:val="auto"/>
                <w:sz w:val="24"/>
                <w:highlight w:val="none"/>
              </w:rPr>
            </w:pPr>
          </w:p>
        </w:tc>
        <w:tc>
          <w:tcPr>
            <w:tcW w:w="620" w:type="pct"/>
            <w:tcBorders>
              <w:top w:val="single" w:color="auto" w:sz="4" w:space="0"/>
              <w:left w:val="single" w:color="auto" w:sz="4" w:space="0"/>
              <w:bottom w:val="single" w:color="auto" w:sz="4" w:space="0"/>
              <w:right w:val="single" w:color="auto" w:sz="4" w:space="0"/>
            </w:tcBorders>
          </w:tcPr>
          <w:p w14:paraId="0A0821B0">
            <w:pPr>
              <w:snapToGrid w:val="0"/>
              <w:spacing w:before="50" w:after="120" w:afterLines="50" w:line="400" w:lineRule="exact"/>
              <w:jc w:val="left"/>
              <w:rPr>
                <w:rFonts w:ascii="宋体" w:hAnsi="宋体"/>
                <w:color w:val="auto"/>
                <w:sz w:val="24"/>
                <w:highlight w:val="none"/>
              </w:rPr>
            </w:pPr>
          </w:p>
        </w:tc>
        <w:tc>
          <w:tcPr>
            <w:tcW w:w="892" w:type="pct"/>
            <w:tcBorders>
              <w:top w:val="single" w:color="auto" w:sz="4" w:space="0"/>
              <w:left w:val="single" w:color="auto" w:sz="4" w:space="0"/>
              <w:bottom w:val="single" w:color="auto" w:sz="4" w:space="0"/>
              <w:right w:val="single" w:color="auto" w:sz="4" w:space="0"/>
            </w:tcBorders>
          </w:tcPr>
          <w:p w14:paraId="4E700D1F">
            <w:pPr>
              <w:snapToGrid w:val="0"/>
              <w:spacing w:before="50" w:after="120" w:afterLines="50" w:line="400" w:lineRule="exact"/>
              <w:jc w:val="left"/>
              <w:rPr>
                <w:rFonts w:ascii="宋体" w:hAnsi="宋体"/>
                <w:color w:val="auto"/>
                <w:sz w:val="24"/>
                <w:highlight w:val="none"/>
              </w:rPr>
            </w:pPr>
          </w:p>
        </w:tc>
      </w:tr>
      <w:tr w14:paraId="609F31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670" w:type="pct"/>
            <w:tcBorders>
              <w:top w:val="single" w:color="auto" w:sz="4" w:space="0"/>
              <w:left w:val="single" w:color="auto" w:sz="4" w:space="0"/>
              <w:bottom w:val="single" w:color="auto" w:sz="4" w:space="0"/>
              <w:right w:val="single" w:color="auto" w:sz="4" w:space="0"/>
            </w:tcBorders>
          </w:tcPr>
          <w:p w14:paraId="45622FEB">
            <w:pPr>
              <w:snapToGrid w:val="0"/>
              <w:spacing w:before="50" w:after="120" w:afterLines="50" w:line="400" w:lineRule="exact"/>
              <w:jc w:val="left"/>
              <w:rPr>
                <w:rFonts w:ascii="宋体" w:hAnsi="宋体"/>
                <w:color w:val="auto"/>
                <w:sz w:val="24"/>
                <w:highlight w:val="none"/>
              </w:rPr>
            </w:pPr>
          </w:p>
        </w:tc>
        <w:tc>
          <w:tcPr>
            <w:tcW w:w="893" w:type="pct"/>
            <w:tcBorders>
              <w:top w:val="single" w:color="auto" w:sz="4" w:space="0"/>
              <w:left w:val="single" w:color="auto" w:sz="4" w:space="0"/>
              <w:bottom w:val="single" w:color="auto" w:sz="4" w:space="0"/>
              <w:right w:val="single" w:color="auto" w:sz="4" w:space="0"/>
            </w:tcBorders>
          </w:tcPr>
          <w:p w14:paraId="15BF25B4">
            <w:pPr>
              <w:snapToGrid w:val="0"/>
              <w:spacing w:before="50" w:after="120" w:afterLines="50" w:line="400" w:lineRule="exact"/>
              <w:jc w:val="left"/>
              <w:rPr>
                <w:rFonts w:ascii="宋体" w:hAnsi="宋体"/>
                <w:color w:val="auto"/>
                <w:sz w:val="24"/>
                <w:highlight w:val="none"/>
              </w:rPr>
            </w:pPr>
          </w:p>
        </w:tc>
        <w:tc>
          <w:tcPr>
            <w:tcW w:w="549" w:type="pct"/>
            <w:tcBorders>
              <w:top w:val="single" w:color="auto" w:sz="4" w:space="0"/>
              <w:left w:val="single" w:color="auto" w:sz="4" w:space="0"/>
              <w:bottom w:val="single" w:color="auto" w:sz="4" w:space="0"/>
              <w:right w:val="single" w:color="auto" w:sz="4" w:space="0"/>
            </w:tcBorders>
          </w:tcPr>
          <w:p w14:paraId="7EF6B0B0">
            <w:pPr>
              <w:snapToGrid w:val="0"/>
              <w:spacing w:before="50" w:after="120" w:afterLines="50" w:line="400" w:lineRule="exact"/>
              <w:jc w:val="left"/>
              <w:rPr>
                <w:rFonts w:ascii="宋体" w:hAnsi="宋体"/>
                <w:color w:val="auto"/>
                <w:sz w:val="24"/>
                <w:highlight w:val="none"/>
              </w:rPr>
            </w:pPr>
          </w:p>
        </w:tc>
        <w:tc>
          <w:tcPr>
            <w:tcW w:w="549" w:type="pct"/>
            <w:tcBorders>
              <w:top w:val="single" w:color="auto" w:sz="4" w:space="0"/>
              <w:left w:val="single" w:color="auto" w:sz="4" w:space="0"/>
              <w:bottom w:val="single" w:color="auto" w:sz="4" w:space="0"/>
              <w:right w:val="single" w:color="auto" w:sz="4" w:space="0"/>
            </w:tcBorders>
          </w:tcPr>
          <w:p w14:paraId="4B68A3E6">
            <w:pPr>
              <w:snapToGrid w:val="0"/>
              <w:spacing w:before="50" w:after="120" w:afterLines="50" w:line="400" w:lineRule="exact"/>
              <w:jc w:val="left"/>
              <w:rPr>
                <w:rFonts w:ascii="宋体" w:hAnsi="宋体"/>
                <w:color w:val="auto"/>
                <w:sz w:val="24"/>
                <w:highlight w:val="none"/>
              </w:rPr>
            </w:pPr>
          </w:p>
        </w:tc>
        <w:tc>
          <w:tcPr>
            <w:tcW w:w="824" w:type="pct"/>
            <w:tcBorders>
              <w:top w:val="single" w:color="auto" w:sz="4" w:space="0"/>
              <w:left w:val="single" w:color="auto" w:sz="4" w:space="0"/>
              <w:bottom w:val="single" w:color="auto" w:sz="4" w:space="0"/>
              <w:right w:val="single" w:color="auto" w:sz="4" w:space="0"/>
            </w:tcBorders>
          </w:tcPr>
          <w:p w14:paraId="1D624C96">
            <w:pPr>
              <w:snapToGrid w:val="0"/>
              <w:spacing w:before="50" w:after="120" w:afterLines="50" w:line="400" w:lineRule="exact"/>
              <w:jc w:val="left"/>
              <w:rPr>
                <w:rFonts w:ascii="宋体" w:hAnsi="宋体"/>
                <w:color w:val="auto"/>
                <w:sz w:val="24"/>
                <w:highlight w:val="none"/>
              </w:rPr>
            </w:pPr>
          </w:p>
        </w:tc>
        <w:tc>
          <w:tcPr>
            <w:tcW w:w="620" w:type="pct"/>
            <w:tcBorders>
              <w:top w:val="single" w:color="auto" w:sz="4" w:space="0"/>
              <w:left w:val="single" w:color="auto" w:sz="4" w:space="0"/>
              <w:bottom w:val="single" w:color="auto" w:sz="4" w:space="0"/>
              <w:right w:val="single" w:color="auto" w:sz="4" w:space="0"/>
            </w:tcBorders>
          </w:tcPr>
          <w:p w14:paraId="2496F2BC">
            <w:pPr>
              <w:snapToGrid w:val="0"/>
              <w:spacing w:before="50" w:after="120" w:afterLines="50" w:line="400" w:lineRule="exact"/>
              <w:jc w:val="left"/>
              <w:rPr>
                <w:rFonts w:ascii="宋体" w:hAnsi="宋体"/>
                <w:color w:val="auto"/>
                <w:sz w:val="24"/>
                <w:highlight w:val="none"/>
              </w:rPr>
            </w:pPr>
          </w:p>
        </w:tc>
        <w:tc>
          <w:tcPr>
            <w:tcW w:w="892" w:type="pct"/>
            <w:tcBorders>
              <w:top w:val="single" w:color="auto" w:sz="4" w:space="0"/>
              <w:left w:val="single" w:color="auto" w:sz="4" w:space="0"/>
              <w:bottom w:val="single" w:color="auto" w:sz="4" w:space="0"/>
              <w:right w:val="single" w:color="auto" w:sz="4" w:space="0"/>
            </w:tcBorders>
          </w:tcPr>
          <w:p w14:paraId="312169C9">
            <w:pPr>
              <w:snapToGrid w:val="0"/>
              <w:spacing w:before="50" w:after="120" w:afterLines="50" w:line="400" w:lineRule="exact"/>
              <w:jc w:val="left"/>
              <w:rPr>
                <w:rFonts w:ascii="宋体" w:hAnsi="宋体"/>
                <w:color w:val="auto"/>
                <w:sz w:val="24"/>
                <w:highlight w:val="none"/>
              </w:rPr>
            </w:pPr>
          </w:p>
        </w:tc>
      </w:tr>
      <w:tr w14:paraId="7464C6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0" w:type="pct"/>
            <w:tcBorders>
              <w:top w:val="single" w:color="auto" w:sz="4" w:space="0"/>
              <w:left w:val="single" w:color="auto" w:sz="4" w:space="0"/>
              <w:bottom w:val="single" w:color="auto" w:sz="4" w:space="0"/>
              <w:right w:val="single" w:color="auto" w:sz="4" w:space="0"/>
            </w:tcBorders>
          </w:tcPr>
          <w:p w14:paraId="1E45BC2C">
            <w:pPr>
              <w:snapToGrid w:val="0"/>
              <w:spacing w:before="50" w:after="120" w:afterLines="50" w:line="400" w:lineRule="exact"/>
              <w:jc w:val="left"/>
              <w:rPr>
                <w:rFonts w:ascii="宋体" w:hAnsi="宋体"/>
                <w:color w:val="auto"/>
                <w:sz w:val="24"/>
                <w:highlight w:val="none"/>
              </w:rPr>
            </w:pPr>
          </w:p>
        </w:tc>
        <w:tc>
          <w:tcPr>
            <w:tcW w:w="893" w:type="pct"/>
            <w:tcBorders>
              <w:top w:val="single" w:color="auto" w:sz="4" w:space="0"/>
              <w:left w:val="single" w:color="auto" w:sz="4" w:space="0"/>
              <w:bottom w:val="single" w:color="auto" w:sz="4" w:space="0"/>
              <w:right w:val="single" w:color="auto" w:sz="4" w:space="0"/>
            </w:tcBorders>
          </w:tcPr>
          <w:p w14:paraId="0C57F1A8">
            <w:pPr>
              <w:snapToGrid w:val="0"/>
              <w:spacing w:before="50" w:after="120" w:afterLines="50" w:line="400" w:lineRule="exact"/>
              <w:jc w:val="left"/>
              <w:rPr>
                <w:rFonts w:ascii="宋体" w:hAnsi="宋体"/>
                <w:color w:val="auto"/>
                <w:sz w:val="24"/>
                <w:highlight w:val="none"/>
              </w:rPr>
            </w:pPr>
          </w:p>
        </w:tc>
        <w:tc>
          <w:tcPr>
            <w:tcW w:w="549" w:type="pct"/>
            <w:tcBorders>
              <w:top w:val="single" w:color="auto" w:sz="4" w:space="0"/>
              <w:left w:val="single" w:color="auto" w:sz="4" w:space="0"/>
              <w:bottom w:val="single" w:color="auto" w:sz="4" w:space="0"/>
              <w:right w:val="single" w:color="auto" w:sz="4" w:space="0"/>
            </w:tcBorders>
          </w:tcPr>
          <w:p w14:paraId="3B2E86F6">
            <w:pPr>
              <w:snapToGrid w:val="0"/>
              <w:spacing w:before="50" w:after="120" w:afterLines="50" w:line="400" w:lineRule="exact"/>
              <w:jc w:val="left"/>
              <w:rPr>
                <w:rFonts w:ascii="宋体" w:hAnsi="宋体"/>
                <w:color w:val="auto"/>
                <w:sz w:val="24"/>
                <w:highlight w:val="none"/>
              </w:rPr>
            </w:pPr>
          </w:p>
        </w:tc>
        <w:tc>
          <w:tcPr>
            <w:tcW w:w="549" w:type="pct"/>
            <w:tcBorders>
              <w:top w:val="single" w:color="auto" w:sz="4" w:space="0"/>
              <w:left w:val="single" w:color="auto" w:sz="4" w:space="0"/>
              <w:bottom w:val="single" w:color="auto" w:sz="4" w:space="0"/>
              <w:right w:val="single" w:color="auto" w:sz="4" w:space="0"/>
            </w:tcBorders>
          </w:tcPr>
          <w:p w14:paraId="2FE5A49F">
            <w:pPr>
              <w:snapToGrid w:val="0"/>
              <w:spacing w:before="50" w:after="120" w:afterLines="50" w:line="400" w:lineRule="exact"/>
              <w:jc w:val="left"/>
              <w:rPr>
                <w:rFonts w:ascii="宋体" w:hAnsi="宋体"/>
                <w:color w:val="auto"/>
                <w:sz w:val="24"/>
                <w:highlight w:val="none"/>
              </w:rPr>
            </w:pPr>
          </w:p>
        </w:tc>
        <w:tc>
          <w:tcPr>
            <w:tcW w:w="824" w:type="pct"/>
            <w:tcBorders>
              <w:top w:val="single" w:color="auto" w:sz="4" w:space="0"/>
              <w:left w:val="single" w:color="auto" w:sz="4" w:space="0"/>
              <w:bottom w:val="single" w:color="auto" w:sz="4" w:space="0"/>
              <w:right w:val="single" w:color="auto" w:sz="4" w:space="0"/>
            </w:tcBorders>
          </w:tcPr>
          <w:p w14:paraId="47C3B311">
            <w:pPr>
              <w:snapToGrid w:val="0"/>
              <w:spacing w:before="50" w:after="120" w:afterLines="50" w:line="400" w:lineRule="exact"/>
              <w:jc w:val="left"/>
              <w:rPr>
                <w:rFonts w:ascii="宋体" w:hAnsi="宋体"/>
                <w:color w:val="auto"/>
                <w:sz w:val="24"/>
                <w:highlight w:val="none"/>
              </w:rPr>
            </w:pPr>
          </w:p>
        </w:tc>
        <w:tc>
          <w:tcPr>
            <w:tcW w:w="620" w:type="pct"/>
            <w:tcBorders>
              <w:top w:val="single" w:color="auto" w:sz="4" w:space="0"/>
              <w:left w:val="single" w:color="auto" w:sz="4" w:space="0"/>
              <w:bottom w:val="single" w:color="auto" w:sz="4" w:space="0"/>
              <w:right w:val="single" w:color="auto" w:sz="4" w:space="0"/>
            </w:tcBorders>
          </w:tcPr>
          <w:p w14:paraId="714311A7">
            <w:pPr>
              <w:snapToGrid w:val="0"/>
              <w:spacing w:before="50" w:after="120" w:afterLines="50" w:line="400" w:lineRule="exact"/>
              <w:jc w:val="left"/>
              <w:rPr>
                <w:rFonts w:ascii="宋体" w:hAnsi="宋体"/>
                <w:color w:val="auto"/>
                <w:sz w:val="24"/>
                <w:highlight w:val="none"/>
              </w:rPr>
            </w:pPr>
          </w:p>
        </w:tc>
        <w:tc>
          <w:tcPr>
            <w:tcW w:w="892" w:type="pct"/>
            <w:tcBorders>
              <w:top w:val="single" w:color="auto" w:sz="4" w:space="0"/>
              <w:left w:val="single" w:color="auto" w:sz="4" w:space="0"/>
              <w:bottom w:val="single" w:color="auto" w:sz="4" w:space="0"/>
              <w:right w:val="single" w:color="auto" w:sz="4" w:space="0"/>
            </w:tcBorders>
          </w:tcPr>
          <w:p w14:paraId="722596CE">
            <w:pPr>
              <w:snapToGrid w:val="0"/>
              <w:spacing w:before="50" w:after="120" w:afterLines="50" w:line="400" w:lineRule="exact"/>
              <w:jc w:val="left"/>
              <w:rPr>
                <w:rFonts w:ascii="宋体" w:hAnsi="宋体"/>
                <w:color w:val="auto"/>
                <w:sz w:val="24"/>
                <w:highlight w:val="none"/>
              </w:rPr>
            </w:pPr>
          </w:p>
        </w:tc>
      </w:tr>
      <w:tr w14:paraId="605B48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0" w:type="pct"/>
            <w:tcBorders>
              <w:top w:val="single" w:color="auto" w:sz="4" w:space="0"/>
              <w:left w:val="single" w:color="auto" w:sz="4" w:space="0"/>
              <w:bottom w:val="single" w:color="auto" w:sz="4" w:space="0"/>
              <w:right w:val="single" w:color="auto" w:sz="4" w:space="0"/>
            </w:tcBorders>
          </w:tcPr>
          <w:p w14:paraId="40F84835">
            <w:pPr>
              <w:snapToGrid w:val="0"/>
              <w:spacing w:before="50" w:after="120" w:afterLines="50" w:line="400" w:lineRule="exact"/>
              <w:jc w:val="left"/>
              <w:rPr>
                <w:rFonts w:ascii="宋体" w:hAnsi="宋体"/>
                <w:color w:val="auto"/>
                <w:sz w:val="24"/>
                <w:highlight w:val="none"/>
              </w:rPr>
            </w:pPr>
          </w:p>
        </w:tc>
        <w:tc>
          <w:tcPr>
            <w:tcW w:w="893" w:type="pct"/>
            <w:tcBorders>
              <w:top w:val="single" w:color="auto" w:sz="4" w:space="0"/>
              <w:left w:val="single" w:color="auto" w:sz="4" w:space="0"/>
              <w:bottom w:val="single" w:color="auto" w:sz="4" w:space="0"/>
              <w:right w:val="single" w:color="auto" w:sz="4" w:space="0"/>
            </w:tcBorders>
          </w:tcPr>
          <w:p w14:paraId="76FC2BD4">
            <w:pPr>
              <w:snapToGrid w:val="0"/>
              <w:spacing w:before="50" w:after="120" w:afterLines="50" w:line="400" w:lineRule="exact"/>
              <w:jc w:val="left"/>
              <w:rPr>
                <w:rFonts w:ascii="宋体" w:hAnsi="宋体"/>
                <w:color w:val="auto"/>
                <w:sz w:val="24"/>
                <w:highlight w:val="none"/>
              </w:rPr>
            </w:pPr>
          </w:p>
        </w:tc>
        <w:tc>
          <w:tcPr>
            <w:tcW w:w="549" w:type="pct"/>
            <w:tcBorders>
              <w:top w:val="single" w:color="auto" w:sz="4" w:space="0"/>
              <w:left w:val="single" w:color="auto" w:sz="4" w:space="0"/>
              <w:bottom w:val="single" w:color="auto" w:sz="4" w:space="0"/>
              <w:right w:val="single" w:color="auto" w:sz="4" w:space="0"/>
            </w:tcBorders>
          </w:tcPr>
          <w:p w14:paraId="1DBAC960">
            <w:pPr>
              <w:snapToGrid w:val="0"/>
              <w:spacing w:before="50" w:after="120" w:afterLines="50" w:line="400" w:lineRule="exact"/>
              <w:jc w:val="left"/>
              <w:rPr>
                <w:rFonts w:ascii="宋体" w:hAnsi="宋体"/>
                <w:color w:val="auto"/>
                <w:sz w:val="24"/>
                <w:highlight w:val="none"/>
              </w:rPr>
            </w:pPr>
          </w:p>
        </w:tc>
        <w:tc>
          <w:tcPr>
            <w:tcW w:w="549" w:type="pct"/>
            <w:tcBorders>
              <w:top w:val="single" w:color="auto" w:sz="4" w:space="0"/>
              <w:left w:val="single" w:color="auto" w:sz="4" w:space="0"/>
              <w:bottom w:val="single" w:color="auto" w:sz="4" w:space="0"/>
              <w:right w:val="single" w:color="auto" w:sz="4" w:space="0"/>
            </w:tcBorders>
          </w:tcPr>
          <w:p w14:paraId="5EFD3A32">
            <w:pPr>
              <w:snapToGrid w:val="0"/>
              <w:spacing w:before="50" w:after="120" w:afterLines="50" w:line="400" w:lineRule="exact"/>
              <w:jc w:val="left"/>
              <w:rPr>
                <w:rFonts w:ascii="宋体" w:hAnsi="宋体"/>
                <w:color w:val="auto"/>
                <w:sz w:val="24"/>
                <w:highlight w:val="none"/>
              </w:rPr>
            </w:pPr>
          </w:p>
        </w:tc>
        <w:tc>
          <w:tcPr>
            <w:tcW w:w="824" w:type="pct"/>
            <w:tcBorders>
              <w:top w:val="single" w:color="auto" w:sz="4" w:space="0"/>
              <w:left w:val="single" w:color="auto" w:sz="4" w:space="0"/>
              <w:bottom w:val="single" w:color="auto" w:sz="4" w:space="0"/>
              <w:right w:val="single" w:color="auto" w:sz="4" w:space="0"/>
            </w:tcBorders>
          </w:tcPr>
          <w:p w14:paraId="252906D9">
            <w:pPr>
              <w:snapToGrid w:val="0"/>
              <w:spacing w:before="50" w:after="120" w:afterLines="50" w:line="400" w:lineRule="exact"/>
              <w:jc w:val="left"/>
              <w:rPr>
                <w:rFonts w:ascii="宋体" w:hAnsi="宋体"/>
                <w:color w:val="auto"/>
                <w:sz w:val="24"/>
                <w:highlight w:val="none"/>
              </w:rPr>
            </w:pPr>
          </w:p>
        </w:tc>
        <w:tc>
          <w:tcPr>
            <w:tcW w:w="620" w:type="pct"/>
            <w:tcBorders>
              <w:top w:val="single" w:color="auto" w:sz="4" w:space="0"/>
              <w:left w:val="single" w:color="auto" w:sz="4" w:space="0"/>
              <w:bottom w:val="single" w:color="auto" w:sz="4" w:space="0"/>
              <w:right w:val="single" w:color="auto" w:sz="4" w:space="0"/>
            </w:tcBorders>
          </w:tcPr>
          <w:p w14:paraId="5D2AC3B3">
            <w:pPr>
              <w:snapToGrid w:val="0"/>
              <w:spacing w:before="50" w:after="120" w:afterLines="50" w:line="400" w:lineRule="exact"/>
              <w:jc w:val="left"/>
              <w:rPr>
                <w:rFonts w:ascii="宋体" w:hAnsi="宋体"/>
                <w:color w:val="auto"/>
                <w:sz w:val="24"/>
                <w:highlight w:val="none"/>
              </w:rPr>
            </w:pPr>
          </w:p>
        </w:tc>
        <w:tc>
          <w:tcPr>
            <w:tcW w:w="892" w:type="pct"/>
            <w:tcBorders>
              <w:top w:val="single" w:color="auto" w:sz="4" w:space="0"/>
              <w:left w:val="single" w:color="auto" w:sz="4" w:space="0"/>
              <w:bottom w:val="single" w:color="auto" w:sz="4" w:space="0"/>
              <w:right w:val="single" w:color="auto" w:sz="4" w:space="0"/>
            </w:tcBorders>
          </w:tcPr>
          <w:p w14:paraId="0C2EA4F5">
            <w:pPr>
              <w:snapToGrid w:val="0"/>
              <w:spacing w:before="50" w:after="120" w:afterLines="50" w:line="400" w:lineRule="exact"/>
              <w:jc w:val="left"/>
              <w:rPr>
                <w:rFonts w:ascii="宋体" w:hAnsi="宋体"/>
                <w:color w:val="auto"/>
                <w:sz w:val="24"/>
                <w:highlight w:val="none"/>
              </w:rPr>
            </w:pPr>
          </w:p>
        </w:tc>
      </w:tr>
    </w:tbl>
    <w:p w14:paraId="26F87418">
      <w:pPr>
        <w:pStyle w:val="17"/>
        <w:snapToGrid w:val="0"/>
        <w:ind w:left="480" w:hanging="480"/>
        <w:rPr>
          <w:rFonts w:ascii="宋体" w:hAnsi="宋体"/>
          <w:color w:val="auto"/>
          <w:sz w:val="24"/>
          <w:highlight w:val="none"/>
        </w:rPr>
      </w:pPr>
    </w:p>
    <w:p w14:paraId="435192A9">
      <w:pPr>
        <w:pStyle w:val="17"/>
        <w:snapToGrid w:val="0"/>
        <w:ind w:left="480" w:hanging="480"/>
        <w:rPr>
          <w:rFonts w:ascii="宋体" w:hAnsi="宋体"/>
          <w:color w:val="auto"/>
          <w:sz w:val="24"/>
          <w:highlight w:val="none"/>
        </w:rPr>
      </w:pPr>
    </w:p>
    <w:p w14:paraId="0D42226C">
      <w:pPr>
        <w:pStyle w:val="17"/>
        <w:snapToGrid w:val="0"/>
        <w:ind w:left="480" w:hanging="480"/>
        <w:rPr>
          <w:rFonts w:ascii="宋体" w:hAnsi="宋体"/>
          <w:color w:val="auto"/>
          <w:sz w:val="24"/>
          <w:highlight w:val="none"/>
        </w:rPr>
      </w:pPr>
    </w:p>
    <w:p w14:paraId="775D20AF">
      <w:pPr>
        <w:autoSpaceDE w:val="0"/>
        <w:autoSpaceDN w:val="0"/>
        <w:spacing w:line="360" w:lineRule="auto"/>
        <w:ind w:firstLine="120"/>
        <w:rPr>
          <w:rFonts w:ascii="宋体" w:hAnsi="宋体"/>
          <w:color w:val="auto"/>
          <w:sz w:val="24"/>
          <w:highlight w:val="none"/>
        </w:rPr>
      </w:pPr>
      <w:r>
        <w:rPr>
          <w:rFonts w:hint="eastAsia" w:ascii="仿宋_GB2312" w:hAnsi="仿宋" w:eastAsia="仿宋_GB2312" w:cs="仿宋_GB2312"/>
          <w:b/>
          <w:color w:val="auto"/>
          <w:sz w:val="24"/>
          <w:highlight w:val="none"/>
        </w:rPr>
        <w:t>附表 :相关项目业绩一览表（供应商同类项目合同复印件或中标通知书或单位经费分配单）</w:t>
      </w:r>
    </w:p>
    <w:p w14:paraId="7F1F27EC">
      <w:pPr>
        <w:pStyle w:val="12"/>
        <w:spacing w:line="360" w:lineRule="auto"/>
        <w:rPr>
          <w:color w:val="auto"/>
          <w:highlight w:val="none"/>
        </w:rPr>
      </w:pPr>
      <w:r>
        <w:rPr>
          <w:rFonts w:hint="eastAsia"/>
          <w:color w:val="auto"/>
          <w:highlight w:val="none"/>
        </w:rPr>
        <w:t>注：供应商可按上述的格式自行编制，须随表提交相应的合同复印件并注明所在供应商商务技术文件页码。</w:t>
      </w:r>
    </w:p>
    <w:p w14:paraId="7089A040">
      <w:pPr>
        <w:snapToGrid w:val="0"/>
        <w:spacing w:line="360" w:lineRule="auto"/>
        <w:ind w:firstLine="4935" w:firstLineChars="2350"/>
        <w:rPr>
          <w:rFonts w:hAnsi="宋体"/>
          <w:color w:val="auto"/>
          <w:szCs w:val="21"/>
          <w:highlight w:val="none"/>
        </w:rPr>
      </w:pPr>
      <w:r>
        <w:rPr>
          <w:rFonts w:hAnsi="宋体"/>
          <w:color w:val="auto"/>
          <w:szCs w:val="21"/>
          <w:highlight w:val="none"/>
        </w:rPr>
        <w:t xml:space="preserve"> </w:t>
      </w:r>
    </w:p>
    <w:p w14:paraId="000E01CA">
      <w:pPr>
        <w:snapToGrid w:val="0"/>
        <w:spacing w:line="360" w:lineRule="auto"/>
        <w:ind w:firstLine="4935" w:firstLineChars="2350"/>
        <w:rPr>
          <w:rFonts w:hAnsi="宋体"/>
          <w:color w:val="auto"/>
          <w:szCs w:val="21"/>
          <w:highlight w:val="none"/>
        </w:rPr>
      </w:pPr>
    </w:p>
    <w:p w14:paraId="56A8F14A">
      <w:pPr>
        <w:snapToGrid w:val="0"/>
        <w:spacing w:line="360" w:lineRule="auto"/>
        <w:ind w:left="4410" w:leftChars="2100" w:firstLine="5670" w:firstLineChars="2700"/>
        <w:rPr>
          <w:rFonts w:ascii="仿宋_GB2312" w:hAnsi="仿宋" w:eastAsia="仿宋_GB2312" w:cs="仿宋_GB2312"/>
          <w:color w:val="auto"/>
          <w:kern w:val="0"/>
          <w:sz w:val="24"/>
          <w:highlight w:val="none"/>
        </w:rPr>
      </w:pPr>
      <w:r>
        <w:rPr>
          <w:rFonts w:hAnsi="宋体"/>
          <w:color w:val="auto"/>
          <w:szCs w:val="21"/>
          <w:highlight w:val="none"/>
        </w:rPr>
        <w:t xml:space="preserve"> </w:t>
      </w:r>
      <w:r>
        <w:rPr>
          <w:rFonts w:hint="eastAsia" w:ascii="仿宋_GB2312" w:hAnsi="仿宋" w:eastAsia="仿宋_GB2312" w:cs="仿宋_GB2312"/>
          <w:color w:val="auto"/>
          <w:kern w:val="0"/>
          <w:sz w:val="24"/>
          <w:highlight w:val="none"/>
          <w:lang w:val="zh-CN"/>
        </w:rPr>
        <w:t>供应商名称(电子签章)：</w:t>
      </w:r>
    </w:p>
    <w:p w14:paraId="7C21B744">
      <w:pPr>
        <w:spacing w:line="500" w:lineRule="exact"/>
        <w:jc w:val="center"/>
        <w:rPr>
          <w:rFonts w:ascii="仿宋_GB2312" w:hAnsi="仿宋_GB2312" w:eastAsia="仿宋_GB2312" w:cs="仿宋_GB2312"/>
          <w:color w:val="auto"/>
          <w:sz w:val="32"/>
          <w:szCs w:val="32"/>
          <w:highlight w:val="none"/>
        </w:rPr>
      </w:pPr>
      <w:r>
        <w:rPr>
          <w:rFonts w:hint="eastAsia" w:ascii="仿宋_GB2312" w:hAnsi="仿宋" w:eastAsia="仿宋_GB2312" w:cs="仿宋_GB2312"/>
          <w:color w:val="auto"/>
          <w:kern w:val="0"/>
          <w:sz w:val="24"/>
          <w:highlight w:val="none"/>
          <w:lang w:val="zh-CN"/>
        </w:rPr>
        <w:t xml:space="preserve">                                                   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w:t>
      </w:r>
      <w:r>
        <w:rPr>
          <w:rFonts w:hint="eastAsia"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w:t>
      </w:r>
    </w:p>
    <w:p w14:paraId="7C34219D">
      <w:pPr>
        <w:widowControl/>
        <w:jc w:val="left"/>
        <w:rPr>
          <w:rFonts w:ascii="仿宋_GB2312" w:hAnsi="仿宋_GB2312" w:eastAsia="仿宋_GB2312" w:cs="仿宋_GB2312"/>
          <w:color w:val="auto"/>
          <w:sz w:val="32"/>
          <w:szCs w:val="32"/>
          <w:highlight w:val="none"/>
        </w:rPr>
        <w:sectPr>
          <w:pgSz w:w="11911" w:h="16838"/>
          <w:pgMar w:top="1417" w:right="1417" w:bottom="1417" w:left="1417" w:header="720" w:footer="720" w:gutter="0"/>
          <w:cols w:space="0" w:num="1"/>
        </w:sectPr>
      </w:pPr>
    </w:p>
    <w:p w14:paraId="73FBA91D">
      <w:pPr>
        <w:snapToGrid w:val="0"/>
        <w:spacing w:line="360" w:lineRule="auto"/>
        <w:ind w:firstLine="602" w:firstLineChars="200"/>
        <w:rPr>
          <w:rFonts w:ascii="仿宋_GB2312" w:hAnsi="仿宋_GB2312" w:eastAsia="仿宋_GB2312" w:cs="仿宋_GB2312"/>
          <w:color w:val="auto"/>
          <w:sz w:val="32"/>
          <w:szCs w:val="32"/>
          <w:highlight w:val="none"/>
        </w:rPr>
      </w:pPr>
      <w:r>
        <w:rPr>
          <w:rFonts w:hint="eastAsia" w:ascii="仿宋" w:hAnsi="仿宋" w:eastAsia="仿宋" w:cs="仿宋_GB2312"/>
          <w:b/>
          <w:color w:val="auto"/>
          <w:sz w:val="30"/>
          <w:szCs w:val="30"/>
          <w:highlight w:val="none"/>
        </w:rPr>
        <w:t>七、服务需求偏离表</w:t>
      </w:r>
    </w:p>
    <w:p w14:paraId="044B83D4">
      <w:pPr>
        <w:spacing w:line="500" w:lineRule="exact"/>
        <w:jc w:val="center"/>
        <w:rPr>
          <w:rFonts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竞标产品服务需求偏离表</w:t>
      </w:r>
    </w:p>
    <w:p w14:paraId="5B2F4219">
      <w:pPr>
        <w:spacing w:line="500" w:lineRule="exact"/>
        <w:jc w:val="center"/>
        <w:rPr>
          <w:rFonts w:ascii="宋体" w:hAnsi="宋体"/>
          <w:b/>
          <w:color w:val="auto"/>
          <w:sz w:val="32"/>
          <w:szCs w:val="32"/>
          <w:highlight w:val="none"/>
        </w:rPr>
      </w:pPr>
      <w:r>
        <w:rPr>
          <w:rFonts w:hint="eastAsia" w:ascii="方正小标宋简体" w:hAnsi="方正小标宋简体" w:eastAsia="方正小标宋简体" w:cs="方正小标宋简体"/>
          <w:bCs/>
          <w:color w:val="auto"/>
          <w:sz w:val="44"/>
          <w:szCs w:val="44"/>
          <w:highlight w:val="none"/>
        </w:rPr>
        <w:t>(注：按采购需求具体条款修改)</w:t>
      </w:r>
    </w:p>
    <w:p w14:paraId="039ABA0C">
      <w:pPr>
        <w:spacing w:line="360" w:lineRule="auto"/>
        <w:jc w:val="left"/>
        <w:rPr>
          <w:rFonts w:ascii="宋体" w:hAnsi="宋体"/>
          <w:color w:val="auto"/>
          <w:sz w:val="24"/>
          <w:highlight w:val="none"/>
        </w:rPr>
      </w:pPr>
    </w:p>
    <w:p w14:paraId="468A458F">
      <w:pPr>
        <w:pStyle w:val="12"/>
        <w:spacing w:line="360" w:lineRule="auto"/>
        <w:rPr>
          <w:rFonts w:hAnsi="宋体" w:cs="仿宋_GB2312"/>
          <w:color w:val="auto"/>
          <w:sz w:val="24"/>
          <w:highlight w:val="none"/>
        </w:rPr>
      </w:pPr>
      <w:r>
        <w:rPr>
          <w:rFonts w:hint="eastAsia" w:hAnsi="宋体" w:cs="仿宋_GB2312"/>
          <w:color w:val="auto"/>
          <w:sz w:val="24"/>
          <w:highlight w:val="none"/>
        </w:rPr>
        <w:t>所竞标项：</w:t>
      </w:r>
      <w:r>
        <w:rPr>
          <w:rFonts w:hint="eastAsia" w:hAnsi="宋体" w:cs="仿宋_GB2312"/>
          <w:color w:val="auto"/>
          <w:sz w:val="24"/>
          <w:highlight w:val="none"/>
          <w:u w:val="single"/>
        </w:rPr>
        <w:t xml:space="preserve">              </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2"/>
        <w:gridCol w:w="1143"/>
        <w:gridCol w:w="736"/>
        <w:gridCol w:w="1577"/>
        <w:gridCol w:w="1141"/>
        <w:gridCol w:w="658"/>
        <w:gridCol w:w="1147"/>
        <w:gridCol w:w="1096"/>
      </w:tblGrid>
      <w:tr w14:paraId="50AE5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592" w:type="dxa"/>
            <w:vMerge w:val="restart"/>
            <w:tcBorders>
              <w:top w:val="single" w:color="auto" w:sz="4" w:space="0"/>
              <w:left w:val="single" w:color="auto" w:sz="4" w:space="0"/>
              <w:bottom w:val="single" w:color="auto" w:sz="4" w:space="0"/>
              <w:right w:val="single" w:color="auto" w:sz="4" w:space="0"/>
            </w:tcBorders>
            <w:vAlign w:val="center"/>
          </w:tcPr>
          <w:p w14:paraId="315372F1">
            <w:pPr>
              <w:rPr>
                <w:rFonts w:ascii="宋体" w:hAnsi="宋体"/>
                <w:color w:val="auto"/>
                <w:szCs w:val="21"/>
                <w:highlight w:val="none"/>
              </w:rPr>
            </w:pPr>
            <w:r>
              <w:rPr>
                <w:rFonts w:hint="eastAsia" w:ascii="宋体" w:hAnsi="宋体"/>
                <w:color w:val="auto"/>
                <w:szCs w:val="21"/>
                <w:highlight w:val="none"/>
              </w:rPr>
              <w:t>项号</w:t>
            </w:r>
          </w:p>
        </w:tc>
        <w:tc>
          <w:tcPr>
            <w:tcW w:w="3456" w:type="dxa"/>
            <w:gridSpan w:val="3"/>
            <w:tcBorders>
              <w:top w:val="single" w:color="auto" w:sz="4" w:space="0"/>
              <w:left w:val="single" w:color="auto" w:sz="4" w:space="0"/>
              <w:bottom w:val="single" w:color="auto" w:sz="4" w:space="0"/>
              <w:right w:val="single" w:color="auto" w:sz="4" w:space="0"/>
            </w:tcBorders>
            <w:vAlign w:val="center"/>
          </w:tcPr>
          <w:p w14:paraId="3751E25E">
            <w:pPr>
              <w:jc w:val="center"/>
              <w:rPr>
                <w:rFonts w:ascii="宋体" w:hAnsi="宋体"/>
                <w:color w:val="auto"/>
                <w:szCs w:val="21"/>
                <w:highlight w:val="none"/>
              </w:rPr>
            </w:pPr>
            <w:r>
              <w:rPr>
                <w:rFonts w:hint="eastAsia" w:ascii="宋体" w:hAnsi="宋体"/>
                <w:color w:val="auto"/>
                <w:szCs w:val="21"/>
                <w:highlight w:val="none"/>
              </w:rPr>
              <w:t>竞争性磋商采购文件需求</w:t>
            </w:r>
          </w:p>
        </w:tc>
        <w:tc>
          <w:tcPr>
            <w:tcW w:w="2946" w:type="dxa"/>
            <w:gridSpan w:val="3"/>
            <w:tcBorders>
              <w:top w:val="single" w:color="auto" w:sz="4" w:space="0"/>
              <w:left w:val="single" w:color="auto" w:sz="4" w:space="0"/>
              <w:bottom w:val="single" w:color="auto" w:sz="4" w:space="0"/>
              <w:right w:val="single" w:color="auto" w:sz="4" w:space="0"/>
            </w:tcBorders>
            <w:vAlign w:val="center"/>
          </w:tcPr>
          <w:p w14:paraId="6C5CF3FE">
            <w:pPr>
              <w:jc w:val="center"/>
              <w:rPr>
                <w:rFonts w:ascii="宋体" w:hAnsi="宋体"/>
                <w:color w:val="auto"/>
                <w:szCs w:val="21"/>
                <w:highlight w:val="none"/>
              </w:rPr>
            </w:pPr>
            <w:r>
              <w:rPr>
                <w:rFonts w:hint="eastAsia" w:ascii="宋体" w:hAnsi="宋体"/>
                <w:color w:val="auto"/>
                <w:szCs w:val="21"/>
                <w:highlight w:val="none"/>
              </w:rPr>
              <w:t>响应文件承诺</w:t>
            </w:r>
          </w:p>
        </w:tc>
        <w:tc>
          <w:tcPr>
            <w:tcW w:w="1096" w:type="dxa"/>
            <w:vMerge w:val="restart"/>
            <w:tcBorders>
              <w:top w:val="single" w:color="auto" w:sz="4" w:space="0"/>
              <w:left w:val="single" w:color="auto" w:sz="4" w:space="0"/>
              <w:bottom w:val="single" w:color="auto" w:sz="4" w:space="0"/>
              <w:right w:val="single" w:color="auto" w:sz="4" w:space="0"/>
            </w:tcBorders>
            <w:vAlign w:val="center"/>
          </w:tcPr>
          <w:p w14:paraId="7DE32C94">
            <w:pPr>
              <w:rPr>
                <w:rFonts w:ascii="宋体" w:hAnsi="宋体"/>
                <w:color w:val="auto"/>
                <w:szCs w:val="21"/>
                <w:highlight w:val="none"/>
              </w:rPr>
            </w:pPr>
            <w:r>
              <w:rPr>
                <w:rFonts w:hint="eastAsia" w:ascii="宋体" w:hAnsi="宋体"/>
                <w:color w:val="auto"/>
                <w:szCs w:val="21"/>
                <w:highlight w:val="none"/>
              </w:rPr>
              <w:t>偏离说明</w:t>
            </w:r>
          </w:p>
        </w:tc>
      </w:tr>
      <w:tr w14:paraId="104FB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1"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75889783">
            <w:pPr>
              <w:widowControl/>
              <w:jc w:val="left"/>
              <w:rPr>
                <w:rFonts w:ascii="宋体" w:hAnsi="宋体"/>
                <w:color w:val="auto"/>
                <w:szCs w:val="21"/>
                <w:highlight w:val="none"/>
              </w:rPr>
            </w:pPr>
          </w:p>
        </w:tc>
        <w:tc>
          <w:tcPr>
            <w:tcW w:w="1143" w:type="dxa"/>
            <w:tcBorders>
              <w:top w:val="single" w:color="auto" w:sz="4" w:space="0"/>
              <w:left w:val="single" w:color="auto" w:sz="4" w:space="0"/>
              <w:bottom w:val="single" w:color="auto" w:sz="4" w:space="0"/>
              <w:right w:val="single" w:color="auto" w:sz="4" w:space="0"/>
            </w:tcBorders>
            <w:vAlign w:val="center"/>
          </w:tcPr>
          <w:p w14:paraId="236318DD">
            <w:pPr>
              <w:rPr>
                <w:rFonts w:ascii="宋体" w:hAnsi="宋体"/>
                <w:color w:val="auto"/>
                <w:szCs w:val="21"/>
                <w:highlight w:val="none"/>
              </w:rPr>
            </w:pPr>
            <w:r>
              <w:rPr>
                <w:rFonts w:hint="eastAsia" w:ascii="宋体" w:hAnsi="宋体"/>
                <w:color w:val="auto"/>
                <w:szCs w:val="21"/>
                <w:highlight w:val="none"/>
              </w:rPr>
              <w:t>服务名称</w:t>
            </w:r>
          </w:p>
        </w:tc>
        <w:tc>
          <w:tcPr>
            <w:tcW w:w="736" w:type="dxa"/>
            <w:tcBorders>
              <w:top w:val="single" w:color="auto" w:sz="4" w:space="0"/>
              <w:left w:val="single" w:color="auto" w:sz="4" w:space="0"/>
              <w:bottom w:val="single" w:color="auto" w:sz="4" w:space="0"/>
              <w:right w:val="single" w:color="auto" w:sz="4" w:space="0"/>
            </w:tcBorders>
            <w:vAlign w:val="center"/>
          </w:tcPr>
          <w:p w14:paraId="01B7FA53">
            <w:pPr>
              <w:rPr>
                <w:rFonts w:ascii="宋体" w:hAnsi="宋体"/>
                <w:color w:val="auto"/>
                <w:szCs w:val="21"/>
                <w:highlight w:val="none"/>
              </w:rPr>
            </w:pPr>
            <w:r>
              <w:rPr>
                <w:rFonts w:hint="eastAsia" w:ascii="宋体" w:hAnsi="宋体"/>
                <w:color w:val="auto"/>
                <w:szCs w:val="21"/>
                <w:highlight w:val="none"/>
              </w:rPr>
              <w:t>数量</w:t>
            </w:r>
          </w:p>
        </w:tc>
        <w:tc>
          <w:tcPr>
            <w:tcW w:w="1577" w:type="dxa"/>
            <w:tcBorders>
              <w:top w:val="single" w:color="auto" w:sz="4" w:space="0"/>
              <w:left w:val="single" w:color="auto" w:sz="4" w:space="0"/>
              <w:bottom w:val="single" w:color="auto" w:sz="4" w:space="0"/>
              <w:right w:val="single" w:color="auto" w:sz="4" w:space="0"/>
            </w:tcBorders>
            <w:vAlign w:val="center"/>
          </w:tcPr>
          <w:p w14:paraId="1AD71637">
            <w:pPr>
              <w:rPr>
                <w:rFonts w:ascii="宋体" w:hAnsi="宋体"/>
                <w:color w:val="auto"/>
                <w:szCs w:val="21"/>
                <w:highlight w:val="none"/>
              </w:rPr>
            </w:pPr>
            <w:r>
              <w:rPr>
                <w:rFonts w:hint="eastAsia" w:ascii="宋体" w:hAnsi="宋体"/>
                <w:color w:val="auto"/>
                <w:szCs w:val="21"/>
                <w:highlight w:val="none"/>
              </w:rPr>
              <w:t>服务参数要求</w:t>
            </w:r>
          </w:p>
        </w:tc>
        <w:tc>
          <w:tcPr>
            <w:tcW w:w="1141" w:type="dxa"/>
            <w:tcBorders>
              <w:top w:val="single" w:color="auto" w:sz="4" w:space="0"/>
              <w:left w:val="single" w:color="auto" w:sz="4" w:space="0"/>
              <w:bottom w:val="single" w:color="auto" w:sz="4" w:space="0"/>
              <w:right w:val="single" w:color="auto" w:sz="4" w:space="0"/>
            </w:tcBorders>
            <w:vAlign w:val="center"/>
          </w:tcPr>
          <w:p w14:paraId="297FE07D">
            <w:pPr>
              <w:rPr>
                <w:rFonts w:ascii="宋体" w:hAnsi="宋体"/>
                <w:color w:val="auto"/>
                <w:szCs w:val="21"/>
                <w:highlight w:val="none"/>
              </w:rPr>
            </w:pPr>
            <w:r>
              <w:rPr>
                <w:rFonts w:hint="eastAsia" w:ascii="宋体" w:hAnsi="宋体"/>
                <w:color w:val="auto"/>
                <w:szCs w:val="21"/>
                <w:highlight w:val="none"/>
              </w:rPr>
              <w:t>服务名称</w:t>
            </w:r>
          </w:p>
        </w:tc>
        <w:tc>
          <w:tcPr>
            <w:tcW w:w="658" w:type="dxa"/>
            <w:tcBorders>
              <w:top w:val="single" w:color="auto" w:sz="4" w:space="0"/>
              <w:left w:val="single" w:color="auto" w:sz="4" w:space="0"/>
              <w:bottom w:val="single" w:color="auto" w:sz="4" w:space="0"/>
              <w:right w:val="single" w:color="auto" w:sz="4" w:space="0"/>
            </w:tcBorders>
            <w:vAlign w:val="center"/>
          </w:tcPr>
          <w:p w14:paraId="57442BBC">
            <w:pPr>
              <w:rPr>
                <w:rFonts w:ascii="宋体" w:hAnsi="宋体"/>
                <w:color w:val="auto"/>
                <w:szCs w:val="21"/>
                <w:highlight w:val="none"/>
              </w:rPr>
            </w:pPr>
            <w:r>
              <w:rPr>
                <w:rFonts w:hint="eastAsia" w:ascii="宋体" w:hAnsi="宋体"/>
                <w:color w:val="auto"/>
                <w:szCs w:val="21"/>
                <w:highlight w:val="none"/>
              </w:rPr>
              <w:t>数量</w:t>
            </w:r>
          </w:p>
        </w:tc>
        <w:tc>
          <w:tcPr>
            <w:tcW w:w="1147" w:type="dxa"/>
            <w:tcBorders>
              <w:top w:val="single" w:color="auto" w:sz="4" w:space="0"/>
              <w:left w:val="single" w:color="auto" w:sz="4" w:space="0"/>
              <w:bottom w:val="single" w:color="auto" w:sz="4" w:space="0"/>
              <w:right w:val="single" w:color="auto" w:sz="4" w:space="0"/>
            </w:tcBorders>
            <w:vAlign w:val="center"/>
          </w:tcPr>
          <w:p w14:paraId="3A001F22">
            <w:pPr>
              <w:rPr>
                <w:rFonts w:ascii="宋体" w:hAnsi="宋体"/>
                <w:color w:val="auto"/>
                <w:szCs w:val="21"/>
                <w:highlight w:val="none"/>
              </w:rPr>
            </w:pPr>
            <w:r>
              <w:rPr>
                <w:rFonts w:hint="eastAsia" w:ascii="宋体" w:hAnsi="宋体"/>
                <w:color w:val="auto"/>
                <w:szCs w:val="21"/>
                <w:highlight w:val="none"/>
              </w:rPr>
              <w:t>服务参数</w:t>
            </w:r>
          </w:p>
        </w:tc>
        <w:tc>
          <w:tcPr>
            <w:tcW w:w="1096" w:type="dxa"/>
            <w:vMerge w:val="continue"/>
            <w:tcBorders>
              <w:top w:val="single" w:color="auto" w:sz="4" w:space="0"/>
              <w:left w:val="single" w:color="auto" w:sz="4" w:space="0"/>
              <w:bottom w:val="single" w:color="auto" w:sz="4" w:space="0"/>
              <w:right w:val="single" w:color="auto" w:sz="4" w:space="0"/>
            </w:tcBorders>
            <w:vAlign w:val="center"/>
          </w:tcPr>
          <w:p w14:paraId="659AFA37">
            <w:pPr>
              <w:widowControl/>
              <w:jc w:val="left"/>
              <w:rPr>
                <w:rFonts w:ascii="宋体" w:hAnsi="宋体"/>
                <w:color w:val="auto"/>
                <w:szCs w:val="21"/>
                <w:highlight w:val="none"/>
              </w:rPr>
            </w:pPr>
          </w:p>
        </w:tc>
      </w:tr>
      <w:tr w14:paraId="5059B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jc w:val="center"/>
        </w:trPr>
        <w:tc>
          <w:tcPr>
            <w:tcW w:w="592" w:type="dxa"/>
            <w:tcBorders>
              <w:top w:val="single" w:color="auto" w:sz="4" w:space="0"/>
              <w:left w:val="single" w:color="auto" w:sz="4" w:space="0"/>
              <w:bottom w:val="single" w:color="auto" w:sz="4" w:space="0"/>
              <w:right w:val="single" w:color="auto" w:sz="4" w:space="0"/>
            </w:tcBorders>
            <w:vAlign w:val="center"/>
          </w:tcPr>
          <w:p w14:paraId="7B81A8CB">
            <w:pPr>
              <w:rPr>
                <w:rFonts w:ascii="宋体" w:hAnsi="宋体"/>
                <w:color w:val="auto"/>
                <w:szCs w:val="21"/>
                <w:highlight w:val="none"/>
              </w:rPr>
            </w:pPr>
            <w:r>
              <w:rPr>
                <w:rFonts w:hint="eastAsia" w:ascii="宋体" w:hAnsi="宋体"/>
                <w:color w:val="auto"/>
                <w:szCs w:val="21"/>
                <w:highlight w:val="none"/>
              </w:rPr>
              <w:t>1</w:t>
            </w:r>
          </w:p>
        </w:tc>
        <w:tc>
          <w:tcPr>
            <w:tcW w:w="1143" w:type="dxa"/>
            <w:tcBorders>
              <w:top w:val="single" w:color="auto" w:sz="4" w:space="0"/>
              <w:left w:val="single" w:color="auto" w:sz="4" w:space="0"/>
              <w:bottom w:val="single" w:color="auto" w:sz="4" w:space="0"/>
              <w:right w:val="single" w:color="auto" w:sz="4" w:space="0"/>
            </w:tcBorders>
            <w:vAlign w:val="center"/>
          </w:tcPr>
          <w:p w14:paraId="508E350D">
            <w:pPr>
              <w:rPr>
                <w:rFonts w:ascii="宋体" w:hAnsi="宋体"/>
                <w:color w:val="auto"/>
                <w:szCs w:val="21"/>
                <w:highlight w:val="none"/>
              </w:rPr>
            </w:pPr>
            <w:r>
              <w:rPr>
                <w:rFonts w:hint="eastAsia" w:ascii="宋体" w:hAnsi="宋体"/>
                <w:color w:val="auto"/>
                <w:szCs w:val="21"/>
                <w:highlight w:val="none"/>
              </w:rPr>
              <w:t>……</w:t>
            </w:r>
          </w:p>
        </w:tc>
        <w:tc>
          <w:tcPr>
            <w:tcW w:w="736" w:type="dxa"/>
            <w:tcBorders>
              <w:top w:val="single" w:color="auto" w:sz="4" w:space="0"/>
              <w:left w:val="single" w:color="auto" w:sz="4" w:space="0"/>
              <w:bottom w:val="single" w:color="auto" w:sz="4" w:space="0"/>
              <w:right w:val="single" w:color="auto" w:sz="4" w:space="0"/>
            </w:tcBorders>
            <w:vAlign w:val="center"/>
          </w:tcPr>
          <w:p w14:paraId="5CEBEED6">
            <w:pPr>
              <w:rPr>
                <w:rFonts w:ascii="宋体" w:hAnsi="宋体"/>
                <w:color w:val="auto"/>
                <w:szCs w:val="21"/>
                <w:highlight w:val="none"/>
              </w:rPr>
            </w:pPr>
            <w:r>
              <w:rPr>
                <w:rFonts w:hint="eastAsia" w:ascii="宋体" w:hAnsi="宋体"/>
                <w:color w:val="auto"/>
                <w:szCs w:val="21"/>
                <w:highlight w:val="none"/>
              </w:rPr>
              <w:t>…</w:t>
            </w:r>
          </w:p>
        </w:tc>
        <w:tc>
          <w:tcPr>
            <w:tcW w:w="1577" w:type="dxa"/>
            <w:tcBorders>
              <w:top w:val="single" w:color="auto" w:sz="4" w:space="0"/>
              <w:left w:val="single" w:color="auto" w:sz="4" w:space="0"/>
              <w:bottom w:val="single" w:color="auto" w:sz="4" w:space="0"/>
              <w:right w:val="single" w:color="auto" w:sz="4" w:space="0"/>
            </w:tcBorders>
            <w:vAlign w:val="center"/>
          </w:tcPr>
          <w:p w14:paraId="04C42C17">
            <w:pPr>
              <w:rPr>
                <w:rFonts w:ascii="宋体" w:hAnsi="宋体"/>
                <w:color w:val="auto"/>
                <w:szCs w:val="21"/>
                <w:highlight w:val="none"/>
              </w:rPr>
            </w:pPr>
            <w:r>
              <w:rPr>
                <w:rFonts w:hint="eastAsia" w:ascii="宋体" w:hAnsi="宋体"/>
                <w:color w:val="auto"/>
                <w:szCs w:val="21"/>
                <w:highlight w:val="none"/>
              </w:rPr>
              <w:t>1  ……</w:t>
            </w:r>
          </w:p>
          <w:p w14:paraId="0993DC42">
            <w:pPr>
              <w:rPr>
                <w:rFonts w:ascii="宋体" w:hAnsi="宋体"/>
                <w:color w:val="auto"/>
                <w:szCs w:val="21"/>
                <w:highlight w:val="none"/>
              </w:rPr>
            </w:pPr>
            <w:r>
              <w:rPr>
                <w:rFonts w:hint="eastAsia" w:ascii="宋体" w:hAnsi="宋体"/>
                <w:color w:val="auto"/>
                <w:szCs w:val="21"/>
                <w:highlight w:val="none"/>
              </w:rPr>
              <w:t>2  ……</w:t>
            </w:r>
          </w:p>
          <w:p w14:paraId="41E55F04">
            <w:pPr>
              <w:rPr>
                <w:rFonts w:ascii="宋体" w:hAnsi="宋体"/>
                <w:color w:val="auto"/>
                <w:szCs w:val="21"/>
                <w:highlight w:val="none"/>
              </w:rPr>
            </w:pPr>
            <w:r>
              <w:rPr>
                <w:rFonts w:hint="eastAsia" w:ascii="宋体" w:hAnsi="宋体"/>
                <w:color w:val="auto"/>
                <w:szCs w:val="21"/>
                <w:highlight w:val="none"/>
              </w:rPr>
              <w:t>3  ……</w:t>
            </w:r>
          </w:p>
          <w:p w14:paraId="38201AA2">
            <w:pPr>
              <w:rPr>
                <w:rFonts w:ascii="宋体" w:hAnsi="宋体"/>
                <w:color w:val="auto"/>
                <w:szCs w:val="21"/>
                <w:highlight w:val="none"/>
              </w:rPr>
            </w:pPr>
            <w:r>
              <w:rPr>
                <w:rFonts w:hint="eastAsia" w:ascii="宋体" w:hAnsi="宋体"/>
                <w:color w:val="auto"/>
                <w:szCs w:val="21"/>
                <w:highlight w:val="none"/>
              </w:rPr>
              <w:t>……</w:t>
            </w:r>
          </w:p>
        </w:tc>
        <w:tc>
          <w:tcPr>
            <w:tcW w:w="1141" w:type="dxa"/>
            <w:tcBorders>
              <w:top w:val="single" w:color="auto" w:sz="4" w:space="0"/>
              <w:left w:val="single" w:color="auto" w:sz="4" w:space="0"/>
              <w:bottom w:val="single" w:color="auto" w:sz="4" w:space="0"/>
              <w:right w:val="single" w:color="auto" w:sz="4" w:space="0"/>
            </w:tcBorders>
            <w:vAlign w:val="center"/>
          </w:tcPr>
          <w:p w14:paraId="5618FFDB">
            <w:pPr>
              <w:rPr>
                <w:rFonts w:ascii="宋体" w:hAnsi="宋体"/>
                <w:color w:val="auto"/>
                <w:szCs w:val="21"/>
                <w:highlight w:val="none"/>
              </w:rPr>
            </w:pPr>
            <w:r>
              <w:rPr>
                <w:rFonts w:hint="eastAsia" w:ascii="宋体" w:hAnsi="宋体"/>
                <w:color w:val="auto"/>
                <w:szCs w:val="21"/>
                <w:highlight w:val="none"/>
              </w:rPr>
              <w:t>……</w:t>
            </w:r>
          </w:p>
        </w:tc>
        <w:tc>
          <w:tcPr>
            <w:tcW w:w="658" w:type="dxa"/>
            <w:tcBorders>
              <w:top w:val="single" w:color="auto" w:sz="4" w:space="0"/>
              <w:left w:val="single" w:color="auto" w:sz="4" w:space="0"/>
              <w:bottom w:val="single" w:color="auto" w:sz="4" w:space="0"/>
              <w:right w:val="single" w:color="auto" w:sz="4" w:space="0"/>
            </w:tcBorders>
            <w:vAlign w:val="center"/>
          </w:tcPr>
          <w:p w14:paraId="65BA9E62">
            <w:pPr>
              <w:rPr>
                <w:rFonts w:ascii="宋体" w:hAnsi="宋体"/>
                <w:color w:val="auto"/>
                <w:szCs w:val="21"/>
                <w:highlight w:val="none"/>
              </w:rPr>
            </w:pPr>
            <w:r>
              <w:rPr>
                <w:rFonts w:hint="eastAsia" w:ascii="宋体" w:hAnsi="宋体"/>
                <w:color w:val="auto"/>
                <w:szCs w:val="21"/>
                <w:highlight w:val="none"/>
              </w:rPr>
              <w:t>…</w:t>
            </w:r>
          </w:p>
        </w:tc>
        <w:tc>
          <w:tcPr>
            <w:tcW w:w="1147" w:type="dxa"/>
            <w:tcBorders>
              <w:top w:val="single" w:color="auto" w:sz="4" w:space="0"/>
              <w:left w:val="single" w:color="auto" w:sz="4" w:space="0"/>
              <w:bottom w:val="single" w:color="auto" w:sz="4" w:space="0"/>
              <w:right w:val="single" w:color="auto" w:sz="4" w:space="0"/>
            </w:tcBorders>
            <w:vAlign w:val="center"/>
          </w:tcPr>
          <w:p w14:paraId="764D27B4">
            <w:pPr>
              <w:rPr>
                <w:rFonts w:ascii="宋体" w:hAnsi="宋体"/>
                <w:color w:val="auto"/>
                <w:szCs w:val="21"/>
                <w:highlight w:val="none"/>
              </w:rPr>
            </w:pPr>
            <w:r>
              <w:rPr>
                <w:rFonts w:hint="eastAsia" w:ascii="宋体" w:hAnsi="宋体"/>
                <w:color w:val="auto"/>
                <w:szCs w:val="21"/>
                <w:highlight w:val="none"/>
              </w:rPr>
              <w:t>1  ……</w:t>
            </w:r>
          </w:p>
          <w:p w14:paraId="0252E8DD">
            <w:pPr>
              <w:rPr>
                <w:rFonts w:ascii="宋体" w:hAnsi="宋体"/>
                <w:color w:val="auto"/>
                <w:szCs w:val="21"/>
                <w:highlight w:val="none"/>
              </w:rPr>
            </w:pPr>
            <w:r>
              <w:rPr>
                <w:rFonts w:hint="eastAsia" w:ascii="宋体" w:hAnsi="宋体"/>
                <w:color w:val="auto"/>
                <w:szCs w:val="21"/>
                <w:highlight w:val="none"/>
              </w:rPr>
              <w:t>2  ……</w:t>
            </w:r>
          </w:p>
          <w:p w14:paraId="1D665A41">
            <w:pPr>
              <w:rPr>
                <w:rFonts w:ascii="宋体" w:hAnsi="宋体"/>
                <w:color w:val="auto"/>
                <w:szCs w:val="21"/>
                <w:highlight w:val="none"/>
              </w:rPr>
            </w:pPr>
            <w:r>
              <w:rPr>
                <w:rFonts w:hint="eastAsia" w:ascii="宋体" w:hAnsi="宋体"/>
                <w:color w:val="auto"/>
                <w:szCs w:val="21"/>
                <w:highlight w:val="none"/>
              </w:rPr>
              <w:t>3  ……</w:t>
            </w:r>
          </w:p>
          <w:p w14:paraId="6F24ED6B">
            <w:pPr>
              <w:rPr>
                <w:rFonts w:ascii="宋体" w:hAnsi="宋体"/>
                <w:color w:val="auto"/>
                <w:szCs w:val="21"/>
                <w:highlight w:val="none"/>
              </w:rPr>
            </w:pPr>
            <w:r>
              <w:rPr>
                <w:rFonts w:hint="eastAsia" w:ascii="宋体" w:hAnsi="宋体"/>
                <w:color w:val="auto"/>
                <w:szCs w:val="21"/>
                <w:highlight w:val="none"/>
              </w:rPr>
              <w:t>……</w:t>
            </w:r>
          </w:p>
        </w:tc>
        <w:tc>
          <w:tcPr>
            <w:tcW w:w="1096" w:type="dxa"/>
            <w:tcBorders>
              <w:top w:val="single" w:color="auto" w:sz="4" w:space="0"/>
              <w:left w:val="single" w:color="auto" w:sz="4" w:space="0"/>
              <w:bottom w:val="single" w:color="auto" w:sz="4" w:space="0"/>
              <w:right w:val="single" w:color="auto" w:sz="4" w:space="0"/>
            </w:tcBorders>
            <w:vAlign w:val="center"/>
          </w:tcPr>
          <w:p w14:paraId="32A87AC3">
            <w:pPr>
              <w:rPr>
                <w:rFonts w:ascii="宋体" w:hAnsi="宋体"/>
                <w:color w:val="auto"/>
                <w:szCs w:val="21"/>
                <w:highlight w:val="none"/>
              </w:rPr>
            </w:pPr>
          </w:p>
        </w:tc>
      </w:tr>
      <w:tr w14:paraId="38EA4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jc w:val="center"/>
        </w:trPr>
        <w:tc>
          <w:tcPr>
            <w:tcW w:w="592" w:type="dxa"/>
            <w:tcBorders>
              <w:top w:val="single" w:color="auto" w:sz="4" w:space="0"/>
              <w:left w:val="single" w:color="auto" w:sz="4" w:space="0"/>
              <w:bottom w:val="single" w:color="auto" w:sz="4" w:space="0"/>
              <w:right w:val="single" w:color="auto" w:sz="4" w:space="0"/>
            </w:tcBorders>
            <w:vAlign w:val="center"/>
          </w:tcPr>
          <w:p w14:paraId="0A0BFFE4">
            <w:pPr>
              <w:rPr>
                <w:rFonts w:ascii="宋体" w:hAnsi="宋体"/>
                <w:color w:val="auto"/>
                <w:szCs w:val="21"/>
                <w:highlight w:val="none"/>
              </w:rPr>
            </w:pPr>
            <w:r>
              <w:rPr>
                <w:rFonts w:hint="eastAsia" w:ascii="宋体" w:hAnsi="宋体"/>
                <w:color w:val="auto"/>
                <w:szCs w:val="21"/>
                <w:highlight w:val="none"/>
              </w:rPr>
              <w:t>2</w:t>
            </w:r>
          </w:p>
        </w:tc>
        <w:tc>
          <w:tcPr>
            <w:tcW w:w="1143" w:type="dxa"/>
            <w:tcBorders>
              <w:top w:val="single" w:color="auto" w:sz="4" w:space="0"/>
              <w:left w:val="single" w:color="auto" w:sz="4" w:space="0"/>
              <w:bottom w:val="single" w:color="auto" w:sz="4" w:space="0"/>
              <w:right w:val="single" w:color="auto" w:sz="4" w:space="0"/>
            </w:tcBorders>
            <w:vAlign w:val="center"/>
          </w:tcPr>
          <w:p w14:paraId="2D6B00D4">
            <w:pPr>
              <w:rPr>
                <w:rFonts w:ascii="宋体" w:hAnsi="宋体"/>
                <w:color w:val="auto"/>
                <w:szCs w:val="21"/>
                <w:highlight w:val="none"/>
              </w:rPr>
            </w:pPr>
            <w:r>
              <w:rPr>
                <w:rFonts w:hint="eastAsia" w:ascii="宋体" w:hAnsi="宋体"/>
                <w:color w:val="auto"/>
                <w:szCs w:val="21"/>
                <w:highlight w:val="none"/>
              </w:rPr>
              <w:t>……</w:t>
            </w:r>
          </w:p>
        </w:tc>
        <w:tc>
          <w:tcPr>
            <w:tcW w:w="736" w:type="dxa"/>
            <w:tcBorders>
              <w:top w:val="single" w:color="auto" w:sz="4" w:space="0"/>
              <w:left w:val="single" w:color="auto" w:sz="4" w:space="0"/>
              <w:bottom w:val="single" w:color="auto" w:sz="4" w:space="0"/>
              <w:right w:val="single" w:color="auto" w:sz="4" w:space="0"/>
            </w:tcBorders>
            <w:vAlign w:val="center"/>
          </w:tcPr>
          <w:p w14:paraId="44AA7707">
            <w:pPr>
              <w:rPr>
                <w:rFonts w:ascii="宋体" w:hAnsi="宋体"/>
                <w:color w:val="auto"/>
                <w:szCs w:val="21"/>
                <w:highlight w:val="none"/>
              </w:rPr>
            </w:pPr>
            <w:r>
              <w:rPr>
                <w:rFonts w:hint="eastAsia" w:ascii="宋体" w:hAnsi="宋体"/>
                <w:color w:val="auto"/>
                <w:szCs w:val="21"/>
                <w:highlight w:val="none"/>
              </w:rPr>
              <w:t>…</w:t>
            </w:r>
          </w:p>
        </w:tc>
        <w:tc>
          <w:tcPr>
            <w:tcW w:w="1577" w:type="dxa"/>
            <w:tcBorders>
              <w:top w:val="single" w:color="auto" w:sz="4" w:space="0"/>
              <w:left w:val="single" w:color="auto" w:sz="4" w:space="0"/>
              <w:bottom w:val="single" w:color="auto" w:sz="4" w:space="0"/>
              <w:right w:val="single" w:color="auto" w:sz="4" w:space="0"/>
            </w:tcBorders>
            <w:vAlign w:val="center"/>
          </w:tcPr>
          <w:p w14:paraId="2153A177">
            <w:pPr>
              <w:rPr>
                <w:rFonts w:ascii="宋体" w:hAnsi="宋体"/>
                <w:color w:val="auto"/>
                <w:szCs w:val="21"/>
                <w:highlight w:val="none"/>
              </w:rPr>
            </w:pPr>
            <w:r>
              <w:rPr>
                <w:rFonts w:hint="eastAsia" w:ascii="宋体" w:hAnsi="宋体"/>
                <w:color w:val="auto"/>
                <w:szCs w:val="21"/>
                <w:highlight w:val="none"/>
              </w:rPr>
              <w:t>1  ……</w:t>
            </w:r>
          </w:p>
          <w:p w14:paraId="24F58DAE">
            <w:pPr>
              <w:rPr>
                <w:rFonts w:ascii="宋体" w:hAnsi="宋体"/>
                <w:color w:val="auto"/>
                <w:szCs w:val="21"/>
                <w:highlight w:val="none"/>
              </w:rPr>
            </w:pPr>
            <w:r>
              <w:rPr>
                <w:rFonts w:hint="eastAsia" w:ascii="宋体" w:hAnsi="宋体"/>
                <w:color w:val="auto"/>
                <w:szCs w:val="21"/>
                <w:highlight w:val="none"/>
              </w:rPr>
              <w:t>2  ……</w:t>
            </w:r>
          </w:p>
          <w:p w14:paraId="775F8E30">
            <w:pPr>
              <w:rPr>
                <w:rFonts w:ascii="宋体" w:hAnsi="宋体"/>
                <w:color w:val="auto"/>
                <w:szCs w:val="21"/>
                <w:highlight w:val="none"/>
              </w:rPr>
            </w:pPr>
            <w:r>
              <w:rPr>
                <w:rFonts w:hint="eastAsia" w:ascii="宋体" w:hAnsi="宋体"/>
                <w:color w:val="auto"/>
                <w:szCs w:val="21"/>
                <w:highlight w:val="none"/>
              </w:rPr>
              <w:t>3  ……</w:t>
            </w:r>
          </w:p>
          <w:p w14:paraId="561395C8">
            <w:pPr>
              <w:rPr>
                <w:rFonts w:ascii="宋体" w:hAnsi="宋体"/>
                <w:color w:val="auto"/>
                <w:szCs w:val="21"/>
                <w:highlight w:val="none"/>
              </w:rPr>
            </w:pPr>
            <w:r>
              <w:rPr>
                <w:rFonts w:hint="eastAsia" w:ascii="宋体" w:hAnsi="宋体"/>
                <w:color w:val="auto"/>
                <w:szCs w:val="21"/>
                <w:highlight w:val="none"/>
              </w:rPr>
              <w:t>……</w:t>
            </w:r>
          </w:p>
        </w:tc>
        <w:tc>
          <w:tcPr>
            <w:tcW w:w="1141" w:type="dxa"/>
            <w:tcBorders>
              <w:top w:val="single" w:color="auto" w:sz="4" w:space="0"/>
              <w:left w:val="single" w:color="auto" w:sz="4" w:space="0"/>
              <w:bottom w:val="single" w:color="auto" w:sz="4" w:space="0"/>
              <w:right w:val="single" w:color="auto" w:sz="4" w:space="0"/>
            </w:tcBorders>
            <w:vAlign w:val="center"/>
          </w:tcPr>
          <w:p w14:paraId="714967F6">
            <w:pPr>
              <w:rPr>
                <w:rFonts w:ascii="宋体" w:hAnsi="宋体"/>
                <w:color w:val="auto"/>
                <w:szCs w:val="21"/>
                <w:highlight w:val="none"/>
              </w:rPr>
            </w:pPr>
            <w:r>
              <w:rPr>
                <w:rFonts w:hint="eastAsia" w:ascii="宋体" w:hAnsi="宋体"/>
                <w:color w:val="auto"/>
                <w:szCs w:val="21"/>
                <w:highlight w:val="none"/>
              </w:rPr>
              <w:t>……</w:t>
            </w:r>
          </w:p>
        </w:tc>
        <w:tc>
          <w:tcPr>
            <w:tcW w:w="658" w:type="dxa"/>
            <w:tcBorders>
              <w:top w:val="single" w:color="auto" w:sz="4" w:space="0"/>
              <w:left w:val="single" w:color="auto" w:sz="4" w:space="0"/>
              <w:bottom w:val="single" w:color="auto" w:sz="4" w:space="0"/>
              <w:right w:val="single" w:color="auto" w:sz="4" w:space="0"/>
            </w:tcBorders>
            <w:vAlign w:val="center"/>
          </w:tcPr>
          <w:p w14:paraId="44004991">
            <w:pPr>
              <w:rPr>
                <w:rFonts w:ascii="宋体" w:hAnsi="宋体"/>
                <w:color w:val="auto"/>
                <w:szCs w:val="21"/>
                <w:highlight w:val="none"/>
              </w:rPr>
            </w:pPr>
            <w:r>
              <w:rPr>
                <w:rFonts w:hint="eastAsia" w:ascii="宋体" w:hAnsi="宋体"/>
                <w:color w:val="auto"/>
                <w:szCs w:val="21"/>
                <w:highlight w:val="none"/>
              </w:rPr>
              <w:t>…</w:t>
            </w:r>
          </w:p>
        </w:tc>
        <w:tc>
          <w:tcPr>
            <w:tcW w:w="1147" w:type="dxa"/>
            <w:tcBorders>
              <w:top w:val="single" w:color="auto" w:sz="4" w:space="0"/>
              <w:left w:val="single" w:color="auto" w:sz="4" w:space="0"/>
              <w:bottom w:val="single" w:color="auto" w:sz="4" w:space="0"/>
              <w:right w:val="single" w:color="auto" w:sz="4" w:space="0"/>
            </w:tcBorders>
            <w:vAlign w:val="center"/>
          </w:tcPr>
          <w:p w14:paraId="4B241C96">
            <w:pPr>
              <w:rPr>
                <w:rFonts w:ascii="宋体" w:hAnsi="宋体"/>
                <w:color w:val="auto"/>
                <w:szCs w:val="21"/>
                <w:highlight w:val="none"/>
              </w:rPr>
            </w:pPr>
            <w:r>
              <w:rPr>
                <w:rFonts w:hint="eastAsia" w:ascii="宋体" w:hAnsi="宋体"/>
                <w:color w:val="auto"/>
                <w:szCs w:val="21"/>
                <w:highlight w:val="none"/>
              </w:rPr>
              <w:t>1  ……</w:t>
            </w:r>
          </w:p>
          <w:p w14:paraId="7F3402B6">
            <w:pPr>
              <w:rPr>
                <w:rFonts w:ascii="宋体" w:hAnsi="宋体"/>
                <w:color w:val="auto"/>
                <w:szCs w:val="21"/>
                <w:highlight w:val="none"/>
              </w:rPr>
            </w:pPr>
            <w:r>
              <w:rPr>
                <w:rFonts w:hint="eastAsia" w:ascii="宋体" w:hAnsi="宋体"/>
                <w:color w:val="auto"/>
                <w:szCs w:val="21"/>
                <w:highlight w:val="none"/>
              </w:rPr>
              <w:t>2  ……</w:t>
            </w:r>
          </w:p>
          <w:p w14:paraId="5E570279">
            <w:pPr>
              <w:rPr>
                <w:rFonts w:ascii="宋体" w:hAnsi="宋体"/>
                <w:color w:val="auto"/>
                <w:szCs w:val="21"/>
                <w:highlight w:val="none"/>
              </w:rPr>
            </w:pPr>
            <w:r>
              <w:rPr>
                <w:rFonts w:hint="eastAsia" w:ascii="宋体" w:hAnsi="宋体"/>
                <w:color w:val="auto"/>
                <w:szCs w:val="21"/>
                <w:highlight w:val="none"/>
              </w:rPr>
              <w:t>3  ……</w:t>
            </w:r>
          </w:p>
          <w:p w14:paraId="1AA2CA73">
            <w:pPr>
              <w:rPr>
                <w:rFonts w:ascii="宋体" w:hAnsi="宋体"/>
                <w:color w:val="auto"/>
                <w:szCs w:val="21"/>
                <w:highlight w:val="none"/>
              </w:rPr>
            </w:pPr>
            <w:r>
              <w:rPr>
                <w:rFonts w:hint="eastAsia" w:ascii="宋体" w:hAnsi="宋体"/>
                <w:color w:val="auto"/>
                <w:szCs w:val="21"/>
                <w:highlight w:val="none"/>
              </w:rPr>
              <w:t>……</w:t>
            </w:r>
          </w:p>
        </w:tc>
        <w:tc>
          <w:tcPr>
            <w:tcW w:w="1096" w:type="dxa"/>
            <w:tcBorders>
              <w:top w:val="single" w:color="auto" w:sz="4" w:space="0"/>
              <w:left w:val="single" w:color="auto" w:sz="4" w:space="0"/>
              <w:bottom w:val="single" w:color="auto" w:sz="4" w:space="0"/>
              <w:right w:val="single" w:color="auto" w:sz="4" w:space="0"/>
            </w:tcBorders>
            <w:vAlign w:val="center"/>
          </w:tcPr>
          <w:p w14:paraId="3B0747D9">
            <w:pPr>
              <w:rPr>
                <w:rFonts w:ascii="宋体" w:hAnsi="宋体"/>
                <w:color w:val="auto"/>
                <w:szCs w:val="21"/>
                <w:highlight w:val="none"/>
              </w:rPr>
            </w:pPr>
          </w:p>
        </w:tc>
      </w:tr>
      <w:tr w14:paraId="782BF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92" w:type="dxa"/>
            <w:tcBorders>
              <w:top w:val="single" w:color="auto" w:sz="4" w:space="0"/>
              <w:left w:val="single" w:color="auto" w:sz="4" w:space="0"/>
              <w:bottom w:val="single" w:color="auto" w:sz="4" w:space="0"/>
              <w:right w:val="single" w:color="auto" w:sz="4" w:space="0"/>
            </w:tcBorders>
            <w:vAlign w:val="center"/>
          </w:tcPr>
          <w:p w14:paraId="0EF337FA">
            <w:pPr>
              <w:rPr>
                <w:rFonts w:ascii="宋体" w:hAnsi="宋体"/>
                <w:color w:val="auto"/>
                <w:szCs w:val="21"/>
                <w:highlight w:val="none"/>
              </w:rPr>
            </w:pPr>
            <w:r>
              <w:rPr>
                <w:rFonts w:hint="eastAsia" w:ascii="宋体" w:hAnsi="宋体"/>
                <w:color w:val="auto"/>
                <w:szCs w:val="21"/>
                <w:highlight w:val="none"/>
              </w:rPr>
              <w:t>...</w:t>
            </w:r>
          </w:p>
        </w:tc>
        <w:tc>
          <w:tcPr>
            <w:tcW w:w="1143" w:type="dxa"/>
            <w:tcBorders>
              <w:top w:val="single" w:color="auto" w:sz="4" w:space="0"/>
              <w:left w:val="single" w:color="auto" w:sz="4" w:space="0"/>
              <w:bottom w:val="single" w:color="auto" w:sz="4" w:space="0"/>
              <w:right w:val="single" w:color="auto" w:sz="4" w:space="0"/>
            </w:tcBorders>
            <w:vAlign w:val="center"/>
          </w:tcPr>
          <w:p w14:paraId="1DD746ED">
            <w:pPr>
              <w:rPr>
                <w:rFonts w:ascii="宋体" w:hAnsi="宋体"/>
                <w:color w:val="auto"/>
                <w:szCs w:val="21"/>
                <w:highlight w:val="none"/>
              </w:rPr>
            </w:pPr>
          </w:p>
        </w:tc>
        <w:tc>
          <w:tcPr>
            <w:tcW w:w="736" w:type="dxa"/>
            <w:tcBorders>
              <w:top w:val="single" w:color="auto" w:sz="4" w:space="0"/>
              <w:left w:val="single" w:color="auto" w:sz="4" w:space="0"/>
              <w:bottom w:val="single" w:color="auto" w:sz="4" w:space="0"/>
              <w:right w:val="single" w:color="auto" w:sz="4" w:space="0"/>
            </w:tcBorders>
            <w:vAlign w:val="center"/>
          </w:tcPr>
          <w:p w14:paraId="69BAF3AE">
            <w:pPr>
              <w:rPr>
                <w:rFonts w:ascii="宋体" w:hAnsi="宋体"/>
                <w:color w:val="auto"/>
                <w:szCs w:val="21"/>
                <w:highlight w:val="none"/>
              </w:rPr>
            </w:pPr>
          </w:p>
        </w:tc>
        <w:tc>
          <w:tcPr>
            <w:tcW w:w="1577" w:type="dxa"/>
            <w:tcBorders>
              <w:top w:val="single" w:color="auto" w:sz="4" w:space="0"/>
              <w:left w:val="single" w:color="auto" w:sz="4" w:space="0"/>
              <w:bottom w:val="single" w:color="auto" w:sz="4" w:space="0"/>
              <w:right w:val="single" w:color="auto" w:sz="4" w:space="0"/>
            </w:tcBorders>
            <w:vAlign w:val="center"/>
          </w:tcPr>
          <w:p w14:paraId="26349DA6">
            <w:pPr>
              <w:rPr>
                <w:rFonts w:ascii="宋体" w:hAnsi="宋体"/>
                <w:color w:val="auto"/>
                <w:szCs w:val="21"/>
                <w:highlight w:val="none"/>
              </w:rPr>
            </w:pPr>
          </w:p>
        </w:tc>
        <w:tc>
          <w:tcPr>
            <w:tcW w:w="1141" w:type="dxa"/>
            <w:tcBorders>
              <w:top w:val="single" w:color="auto" w:sz="4" w:space="0"/>
              <w:left w:val="single" w:color="auto" w:sz="4" w:space="0"/>
              <w:bottom w:val="single" w:color="auto" w:sz="4" w:space="0"/>
              <w:right w:val="single" w:color="auto" w:sz="4" w:space="0"/>
            </w:tcBorders>
            <w:vAlign w:val="center"/>
          </w:tcPr>
          <w:p w14:paraId="64994561">
            <w:pPr>
              <w:rPr>
                <w:rFonts w:ascii="宋体" w:hAnsi="宋体"/>
                <w:color w:val="auto"/>
                <w:szCs w:val="21"/>
                <w:highlight w:val="none"/>
              </w:rPr>
            </w:pPr>
          </w:p>
        </w:tc>
        <w:tc>
          <w:tcPr>
            <w:tcW w:w="658" w:type="dxa"/>
            <w:tcBorders>
              <w:top w:val="single" w:color="auto" w:sz="4" w:space="0"/>
              <w:left w:val="single" w:color="auto" w:sz="4" w:space="0"/>
              <w:bottom w:val="single" w:color="auto" w:sz="4" w:space="0"/>
              <w:right w:val="single" w:color="auto" w:sz="4" w:space="0"/>
            </w:tcBorders>
            <w:vAlign w:val="center"/>
          </w:tcPr>
          <w:p w14:paraId="3B361B20">
            <w:pPr>
              <w:rPr>
                <w:rFonts w:ascii="宋体" w:hAnsi="宋体"/>
                <w:color w:val="auto"/>
                <w:szCs w:val="21"/>
                <w:highlight w:val="none"/>
              </w:rPr>
            </w:pPr>
          </w:p>
        </w:tc>
        <w:tc>
          <w:tcPr>
            <w:tcW w:w="1147" w:type="dxa"/>
            <w:tcBorders>
              <w:top w:val="single" w:color="auto" w:sz="4" w:space="0"/>
              <w:left w:val="single" w:color="auto" w:sz="4" w:space="0"/>
              <w:bottom w:val="single" w:color="auto" w:sz="4" w:space="0"/>
              <w:right w:val="single" w:color="auto" w:sz="4" w:space="0"/>
            </w:tcBorders>
            <w:vAlign w:val="center"/>
          </w:tcPr>
          <w:p w14:paraId="6C18960D">
            <w:pPr>
              <w:rPr>
                <w:rFonts w:ascii="宋体" w:hAnsi="宋体"/>
                <w:color w:val="auto"/>
                <w:szCs w:val="21"/>
                <w:highlight w:val="none"/>
              </w:rPr>
            </w:pPr>
          </w:p>
        </w:tc>
        <w:tc>
          <w:tcPr>
            <w:tcW w:w="1096" w:type="dxa"/>
            <w:tcBorders>
              <w:top w:val="single" w:color="auto" w:sz="4" w:space="0"/>
              <w:left w:val="single" w:color="auto" w:sz="4" w:space="0"/>
              <w:bottom w:val="single" w:color="auto" w:sz="4" w:space="0"/>
              <w:right w:val="single" w:color="auto" w:sz="4" w:space="0"/>
            </w:tcBorders>
            <w:vAlign w:val="center"/>
          </w:tcPr>
          <w:p w14:paraId="364C06C3">
            <w:pPr>
              <w:rPr>
                <w:rFonts w:ascii="宋体" w:hAnsi="宋体"/>
                <w:color w:val="auto"/>
                <w:szCs w:val="21"/>
                <w:highlight w:val="none"/>
              </w:rPr>
            </w:pPr>
          </w:p>
        </w:tc>
      </w:tr>
    </w:tbl>
    <w:p w14:paraId="6E92A08B">
      <w:pPr>
        <w:spacing w:line="360" w:lineRule="auto"/>
        <w:contextualSpacing/>
        <w:rPr>
          <w:rFonts w:ascii="宋体" w:hAnsi="宋体"/>
          <w:color w:val="auto"/>
          <w:kern w:val="0"/>
          <w:sz w:val="24"/>
          <w:highlight w:val="none"/>
        </w:rPr>
      </w:pPr>
      <w:r>
        <w:rPr>
          <w:rFonts w:hint="eastAsia" w:ascii="宋体" w:hAnsi="宋体"/>
          <w:color w:val="auto"/>
          <w:kern w:val="0"/>
          <w:sz w:val="24"/>
          <w:highlight w:val="none"/>
        </w:rPr>
        <w:t>注：</w:t>
      </w:r>
    </w:p>
    <w:p w14:paraId="2528ED09">
      <w:pPr>
        <w:spacing w:line="360" w:lineRule="auto"/>
        <w:contextualSpacing/>
        <w:rPr>
          <w:rFonts w:ascii="宋体" w:hAnsi="宋体"/>
          <w:color w:val="auto"/>
          <w:kern w:val="0"/>
          <w:szCs w:val="21"/>
          <w:highlight w:val="none"/>
        </w:rPr>
      </w:pPr>
      <w:r>
        <w:rPr>
          <w:rFonts w:hint="eastAsia" w:ascii="宋体" w:hAnsi="宋体"/>
          <w:color w:val="auto"/>
          <w:kern w:val="0"/>
          <w:szCs w:val="21"/>
          <w:highlight w:val="none"/>
        </w:rPr>
        <w:t>注：</w:t>
      </w:r>
    </w:p>
    <w:p w14:paraId="69F0CEDB">
      <w:pPr>
        <w:spacing w:line="360" w:lineRule="auto"/>
        <w:contextualSpacing/>
        <w:rPr>
          <w:rFonts w:ascii="宋体" w:hAnsi="宋体" w:cs="仿宋_GB2312"/>
          <w:color w:val="auto"/>
          <w:kern w:val="0"/>
          <w:szCs w:val="21"/>
          <w:highlight w:val="none"/>
        </w:rPr>
      </w:pPr>
      <w:r>
        <w:rPr>
          <w:rFonts w:hint="eastAsia" w:ascii="宋体" w:hAnsi="宋体" w:cs="仿宋_GB2312"/>
          <w:color w:val="auto"/>
          <w:kern w:val="0"/>
          <w:szCs w:val="21"/>
          <w:highlight w:val="none"/>
        </w:rPr>
        <w:t>1.说明：应对照磋商文件“第二章”中“服务需求一览表”的采购清单及技术参数条款逐条作出明确响应，并作出偏离说明。</w:t>
      </w:r>
    </w:p>
    <w:p w14:paraId="1E494B73">
      <w:pPr>
        <w:spacing w:line="400" w:lineRule="exact"/>
        <w:rPr>
          <w:rFonts w:ascii="宋体" w:hAnsi="宋体" w:cs="仿宋_GB2312"/>
          <w:color w:val="auto"/>
          <w:szCs w:val="21"/>
          <w:highlight w:val="none"/>
        </w:rPr>
      </w:pPr>
      <w:r>
        <w:rPr>
          <w:rFonts w:hint="eastAsia" w:ascii="宋体" w:hAnsi="宋体" w:cs="仿宋_GB2312"/>
          <w:color w:val="auto"/>
          <w:szCs w:val="21"/>
          <w:highlight w:val="none"/>
        </w:rPr>
        <w:t>2.供应商应根据自身的承诺，对照磋商文件要求，在“偏离说明”中注明“正偏离”、“负偏离”或者“无偏离”。既不属于“正偏离”也不属于“负偏离”即为“无偏离”。 当响应文件的商务内容低于竞争性磋商采购文件要求时，竞标人应当如实写明“负偏离”，否则视为虚假应标</w:t>
      </w:r>
    </w:p>
    <w:p w14:paraId="5495FAF9">
      <w:pPr>
        <w:spacing w:line="400" w:lineRule="exact"/>
        <w:rPr>
          <w:rFonts w:ascii="宋体" w:hAnsi="宋体" w:cs="仿宋_GB2312"/>
          <w:color w:val="auto"/>
          <w:kern w:val="0"/>
          <w:szCs w:val="21"/>
          <w:highlight w:val="none"/>
        </w:rPr>
      </w:pPr>
      <w:r>
        <w:rPr>
          <w:rFonts w:hint="eastAsia" w:ascii="宋体" w:hAnsi="宋体" w:cs="仿宋_GB2312"/>
          <w:color w:val="auto"/>
          <w:kern w:val="0"/>
          <w:szCs w:val="21"/>
          <w:highlight w:val="none"/>
        </w:rPr>
        <w:t>3.表格内容均需按要求填写并盖章，不得留空，否则按竞标无效处理。</w:t>
      </w:r>
    </w:p>
    <w:p w14:paraId="6E2E1369">
      <w:pPr>
        <w:pStyle w:val="12"/>
        <w:spacing w:line="400" w:lineRule="exact"/>
        <w:rPr>
          <w:rFonts w:hAnsi="宋体" w:cs="仿宋_GB2312"/>
          <w:color w:val="auto"/>
          <w:highlight w:val="none"/>
        </w:rPr>
      </w:pPr>
      <w:r>
        <w:rPr>
          <w:rFonts w:hint="eastAsia" w:hAnsi="宋体" w:cs="仿宋_GB2312"/>
          <w:color w:val="auto"/>
          <w:highlight w:val="none"/>
        </w:rPr>
        <w:t>4.如果采购需求为小于、小于等于、大于或大于等于某个数值标准时，响应文件承诺不得直接复制采购需求，响应文件承诺内容应当写明竞标服务具体参数或商务响应承诺的具体数值，否则按竞标无效处理。如该采购需求属于不能明确具体数值的，采购人应在此采购需求的数值后标注◆号，对标注◆号的采购需求不适用上述“竞标无效”条款。</w:t>
      </w:r>
    </w:p>
    <w:p w14:paraId="46D013FD">
      <w:pPr>
        <w:spacing w:line="360" w:lineRule="auto"/>
        <w:rPr>
          <w:rFonts w:ascii="宋体" w:hAnsi="宋体" w:cs="仿宋_GB2312"/>
          <w:color w:val="auto"/>
          <w:sz w:val="24"/>
          <w:highlight w:val="none"/>
        </w:rPr>
      </w:pPr>
      <w:r>
        <w:rPr>
          <w:rFonts w:hint="eastAsia" w:ascii="宋体" w:hAnsi="宋体" w:cs="仿宋_GB2312"/>
          <w:color w:val="auto"/>
          <w:szCs w:val="21"/>
          <w:highlight w:val="none"/>
        </w:rPr>
        <w:t>5. 如技术偏离表中的竞标响应与佐证材料不一致的，以佐证材料为准。</w:t>
      </w:r>
    </w:p>
    <w:p w14:paraId="35CE2058">
      <w:pPr>
        <w:autoSpaceDE w:val="0"/>
        <w:autoSpaceDN w:val="0"/>
        <w:spacing w:line="360" w:lineRule="auto"/>
        <w:ind w:left="4335" w:leftChars="1950" w:hanging="240" w:hangingChars="10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2887B089">
      <w:pPr>
        <w:autoSpaceDE w:val="0"/>
        <w:autoSpaceDN w:val="0"/>
        <w:spacing w:line="360" w:lineRule="auto"/>
        <w:ind w:firstLine="6480" w:firstLineChars="2700"/>
        <w:rPr>
          <w:rFonts w:ascii="仿宋_GB2312" w:hAnsi="仿宋" w:eastAsia="仿宋_GB2312" w:cs="仿宋_GB2312"/>
          <w:b/>
          <w:bCs/>
          <w:color w:val="auto"/>
          <w:sz w:val="24"/>
          <w:highlight w:val="none"/>
        </w:rPr>
      </w:pPr>
      <w:r>
        <w:rPr>
          <w:rFonts w:hint="eastAsia" w:ascii="仿宋_GB2312" w:hAnsi="仿宋" w:eastAsia="仿宋_GB2312" w:cs="仿宋_GB2312"/>
          <w:color w:val="auto"/>
          <w:kern w:val="0"/>
          <w:sz w:val="24"/>
          <w:highlight w:val="none"/>
          <w:lang w:val="zh-CN"/>
        </w:rPr>
        <w:t>日期：  年  月   日</w:t>
      </w:r>
    </w:p>
    <w:p w14:paraId="74CF1231">
      <w:pPr>
        <w:adjustRightInd w:val="0"/>
        <w:snapToGrid w:val="0"/>
        <w:spacing w:line="520" w:lineRule="exact"/>
        <w:jc w:val="center"/>
        <w:rPr>
          <w:rFonts w:ascii="方正小标宋简体" w:hAnsi="方正小标宋简体" w:eastAsia="方正小标宋简体" w:cs="方正小标宋简体"/>
          <w:bCs/>
          <w:color w:val="auto"/>
          <w:sz w:val="44"/>
          <w:szCs w:val="44"/>
          <w:highlight w:val="none"/>
        </w:rPr>
      </w:pPr>
    </w:p>
    <w:p w14:paraId="55132484">
      <w:pPr>
        <w:adjustRightInd w:val="0"/>
        <w:snapToGrid w:val="0"/>
        <w:spacing w:line="520" w:lineRule="exact"/>
        <w:jc w:val="center"/>
        <w:rPr>
          <w:rFonts w:ascii="方正小标宋简体" w:hAnsi="方正小标宋简体" w:eastAsia="方正小标宋简体" w:cs="方正小标宋简体"/>
          <w:bCs/>
          <w:color w:val="auto"/>
          <w:sz w:val="44"/>
          <w:szCs w:val="44"/>
          <w:highlight w:val="none"/>
        </w:rPr>
      </w:pPr>
    </w:p>
    <w:p w14:paraId="0CDF8298">
      <w:pPr>
        <w:adjustRightInd w:val="0"/>
        <w:snapToGrid w:val="0"/>
        <w:spacing w:line="520" w:lineRule="exact"/>
        <w:jc w:val="center"/>
        <w:rPr>
          <w:rFonts w:ascii="方正小标宋简体" w:hAnsi="方正小标宋简体" w:eastAsia="方正小标宋简体" w:cs="方正小标宋简体"/>
          <w:bCs/>
          <w:color w:val="auto"/>
          <w:sz w:val="44"/>
          <w:szCs w:val="44"/>
          <w:highlight w:val="none"/>
        </w:rPr>
      </w:pPr>
    </w:p>
    <w:p w14:paraId="540BD41E">
      <w:pPr>
        <w:adjustRightInd w:val="0"/>
        <w:snapToGrid w:val="0"/>
        <w:spacing w:line="520" w:lineRule="exact"/>
        <w:jc w:val="center"/>
        <w:rPr>
          <w:rFonts w:ascii="宋体" w:hAnsi="宋体"/>
          <w:b/>
          <w:color w:val="auto"/>
          <w:sz w:val="32"/>
          <w:szCs w:val="32"/>
          <w:highlight w:val="none"/>
        </w:rPr>
      </w:pPr>
      <w:r>
        <w:rPr>
          <w:rFonts w:hint="eastAsia" w:ascii="方正小标宋简体" w:hAnsi="方正小标宋简体" w:eastAsia="方正小标宋简体" w:cs="方正小标宋简体"/>
          <w:bCs/>
          <w:color w:val="auto"/>
          <w:sz w:val="44"/>
          <w:szCs w:val="44"/>
          <w:highlight w:val="none"/>
        </w:rPr>
        <w:t>服务配置清单（如有）</w:t>
      </w:r>
    </w:p>
    <w:p w14:paraId="3860518C">
      <w:pPr>
        <w:spacing w:line="300" w:lineRule="auto"/>
        <w:rPr>
          <w:rFonts w:ascii="宋体" w:hAnsi="宋体"/>
          <w:color w:val="auto"/>
          <w:szCs w:val="21"/>
          <w:highlight w:val="none"/>
        </w:rPr>
      </w:pPr>
    </w:p>
    <w:p w14:paraId="3FBD8170">
      <w:pPr>
        <w:spacing w:line="360" w:lineRule="auto"/>
        <w:rPr>
          <w:rFonts w:ascii="宋体" w:hAnsi="宋体" w:cs="仿宋_GB2312"/>
          <w:color w:val="auto"/>
          <w:sz w:val="24"/>
          <w:highlight w:val="none"/>
          <w:u w:val="single"/>
        </w:rPr>
      </w:pPr>
      <w:r>
        <w:rPr>
          <w:rFonts w:hint="eastAsia" w:ascii="宋体" w:hAnsi="宋体" w:cs="仿宋_GB2312"/>
          <w:color w:val="auto"/>
          <w:sz w:val="24"/>
          <w:highlight w:val="none"/>
        </w:rPr>
        <w:t>所竞标项：</w:t>
      </w:r>
      <w:r>
        <w:rPr>
          <w:rFonts w:hint="eastAsia" w:ascii="宋体" w:hAnsi="宋体" w:cs="仿宋_GB2312"/>
          <w:color w:val="auto"/>
          <w:sz w:val="24"/>
          <w:highlight w:val="none"/>
          <w:u w:val="single"/>
        </w:rPr>
        <w:t xml:space="preserve">                 </w:t>
      </w:r>
    </w:p>
    <w:tbl>
      <w:tblPr>
        <w:tblStyle w:val="23"/>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39"/>
        <w:gridCol w:w="1245"/>
        <w:gridCol w:w="803"/>
        <w:gridCol w:w="895"/>
        <w:gridCol w:w="1786"/>
        <w:gridCol w:w="1245"/>
        <w:gridCol w:w="737"/>
        <w:gridCol w:w="1496"/>
      </w:tblGrid>
      <w:tr w14:paraId="2C7448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930" w:hRule="atLeast"/>
          <w:jc w:val="center"/>
        </w:trPr>
        <w:tc>
          <w:tcPr>
            <w:tcW w:w="739" w:type="dxa"/>
            <w:tcBorders>
              <w:top w:val="single" w:color="auto" w:sz="4" w:space="0"/>
              <w:left w:val="single" w:color="auto" w:sz="4" w:space="0"/>
              <w:bottom w:val="single" w:color="auto" w:sz="4" w:space="0"/>
              <w:right w:val="single" w:color="auto" w:sz="4" w:space="0"/>
            </w:tcBorders>
            <w:vAlign w:val="center"/>
          </w:tcPr>
          <w:p w14:paraId="260980FE">
            <w:pPr>
              <w:snapToGrid w:val="0"/>
              <w:spacing w:before="50" w:after="50"/>
              <w:jc w:val="center"/>
              <w:rPr>
                <w:rFonts w:ascii="宋体" w:hAnsi="宋体"/>
                <w:color w:val="auto"/>
                <w:sz w:val="24"/>
                <w:highlight w:val="none"/>
              </w:rPr>
            </w:pPr>
            <w:r>
              <w:rPr>
                <w:rFonts w:hint="eastAsia" w:ascii="宋体" w:hAnsi="宋体"/>
                <w:color w:val="auto"/>
                <w:sz w:val="24"/>
                <w:highlight w:val="none"/>
              </w:rPr>
              <w:t>序号</w:t>
            </w:r>
          </w:p>
        </w:tc>
        <w:tc>
          <w:tcPr>
            <w:tcW w:w="1245" w:type="dxa"/>
            <w:tcBorders>
              <w:top w:val="single" w:color="auto" w:sz="4" w:space="0"/>
              <w:left w:val="single" w:color="auto" w:sz="4" w:space="0"/>
              <w:bottom w:val="single" w:color="auto" w:sz="4" w:space="0"/>
              <w:right w:val="single" w:color="auto" w:sz="4" w:space="0"/>
            </w:tcBorders>
            <w:vAlign w:val="center"/>
          </w:tcPr>
          <w:p w14:paraId="5A09FF1C">
            <w:pPr>
              <w:snapToGrid w:val="0"/>
              <w:spacing w:before="50" w:after="50"/>
              <w:jc w:val="center"/>
              <w:rPr>
                <w:rFonts w:ascii="宋体" w:hAnsi="宋体"/>
                <w:color w:val="auto"/>
                <w:sz w:val="24"/>
                <w:highlight w:val="none"/>
              </w:rPr>
            </w:pPr>
            <w:r>
              <w:rPr>
                <w:rFonts w:hint="eastAsia" w:ascii="宋体" w:hAnsi="宋体"/>
                <w:color w:val="auto"/>
                <w:sz w:val="24"/>
                <w:highlight w:val="none"/>
              </w:rPr>
              <w:t>服务名称</w:t>
            </w:r>
          </w:p>
        </w:tc>
        <w:tc>
          <w:tcPr>
            <w:tcW w:w="803" w:type="dxa"/>
            <w:tcBorders>
              <w:top w:val="single" w:color="auto" w:sz="4" w:space="0"/>
              <w:left w:val="single" w:color="auto" w:sz="4" w:space="0"/>
              <w:bottom w:val="single" w:color="auto" w:sz="4" w:space="0"/>
              <w:right w:val="single" w:color="auto" w:sz="4" w:space="0"/>
            </w:tcBorders>
            <w:vAlign w:val="center"/>
          </w:tcPr>
          <w:p w14:paraId="407BFCC2">
            <w:pPr>
              <w:snapToGrid w:val="0"/>
              <w:spacing w:before="50" w:after="50"/>
              <w:jc w:val="center"/>
              <w:rPr>
                <w:rFonts w:ascii="宋体" w:hAnsi="宋体"/>
                <w:color w:val="auto"/>
                <w:sz w:val="24"/>
                <w:highlight w:val="none"/>
              </w:rPr>
            </w:pPr>
            <w:r>
              <w:rPr>
                <w:rFonts w:hint="eastAsia" w:ascii="宋体" w:hAnsi="宋体"/>
                <w:color w:val="auto"/>
                <w:sz w:val="24"/>
                <w:highlight w:val="none"/>
              </w:rPr>
              <w:t>数量及单位</w:t>
            </w:r>
          </w:p>
        </w:tc>
        <w:tc>
          <w:tcPr>
            <w:tcW w:w="895" w:type="dxa"/>
            <w:tcBorders>
              <w:top w:val="single" w:color="auto" w:sz="4" w:space="0"/>
              <w:left w:val="single" w:color="auto" w:sz="4" w:space="0"/>
              <w:bottom w:val="single" w:color="auto" w:sz="4" w:space="0"/>
              <w:right w:val="single" w:color="auto" w:sz="4" w:space="0"/>
            </w:tcBorders>
            <w:vAlign w:val="center"/>
          </w:tcPr>
          <w:p w14:paraId="4BF22830">
            <w:pPr>
              <w:snapToGrid w:val="0"/>
              <w:spacing w:before="50" w:after="50"/>
              <w:jc w:val="center"/>
              <w:rPr>
                <w:rFonts w:ascii="宋体" w:hAnsi="宋体"/>
                <w:color w:val="auto"/>
                <w:sz w:val="24"/>
                <w:highlight w:val="none"/>
              </w:rPr>
            </w:pPr>
            <w:r>
              <w:rPr>
                <w:rFonts w:hint="eastAsia" w:ascii="宋体" w:hAnsi="宋体"/>
                <w:color w:val="auto"/>
                <w:sz w:val="24"/>
                <w:highlight w:val="none"/>
              </w:rPr>
              <w:t>品牌</w:t>
            </w:r>
          </w:p>
        </w:tc>
        <w:tc>
          <w:tcPr>
            <w:tcW w:w="1786" w:type="dxa"/>
            <w:tcBorders>
              <w:top w:val="single" w:color="auto" w:sz="4" w:space="0"/>
              <w:left w:val="single" w:color="auto" w:sz="4" w:space="0"/>
              <w:bottom w:val="single" w:color="auto" w:sz="4" w:space="0"/>
              <w:right w:val="single" w:color="auto" w:sz="4" w:space="0"/>
            </w:tcBorders>
          </w:tcPr>
          <w:p w14:paraId="33DC3468">
            <w:pPr>
              <w:snapToGrid w:val="0"/>
              <w:spacing w:before="50" w:after="50"/>
              <w:jc w:val="center"/>
              <w:rPr>
                <w:rFonts w:ascii="宋体" w:hAnsi="宋体"/>
                <w:color w:val="auto"/>
                <w:sz w:val="24"/>
                <w:highlight w:val="none"/>
              </w:rPr>
            </w:pPr>
          </w:p>
          <w:p w14:paraId="7466E425">
            <w:pPr>
              <w:snapToGrid w:val="0"/>
              <w:spacing w:before="50" w:after="50"/>
              <w:jc w:val="center"/>
              <w:rPr>
                <w:rFonts w:ascii="宋体" w:hAnsi="宋体"/>
                <w:color w:val="auto"/>
                <w:sz w:val="24"/>
                <w:highlight w:val="none"/>
              </w:rPr>
            </w:pPr>
            <w:r>
              <w:rPr>
                <w:rFonts w:hint="eastAsia" w:ascii="宋体" w:hAnsi="宋体"/>
                <w:color w:val="auto"/>
                <w:sz w:val="24"/>
                <w:highlight w:val="none"/>
              </w:rPr>
              <w:t>规格型号</w:t>
            </w:r>
          </w:p>
        </w:tc>
        <w:tc>
          <w:tcPr>
            <w:tcW w:w="1245" w:type="dxa"/>
            <w:tcBorders>
              <w:top w:val="single" w:color="auto" w:sz="4" w:space="0"/>
              <w:left w:val="single" w:color="auto" w:sz="4" w:space="0"/>
              <w:bottom w:val="single" w:color="auto" w:sz="4" w:space="0"/>
              <w:right w:val="single" w:color="auto" w:sz="4" w:space="0"/>
            </w:tcBorders>
            <w:vAlign w:val="center"/>
          </w:tcPr>
          <w:p w14:paraId="1E34AF9E">
            <w:pPr>
              <w:snapToGrid w:val="0"/>
              <w:spacing w:before="50" w:after="50"/>
              <w:jc w:val="center"/>
              <w:rPr>
                <w:rFonts w:ascii="宋体" w:hAnsi="宋体"/>
                <w:color w:val="auto"/>
                <w:sz w:val="24"/>
                <w:highlight w:val="none"/>
              </w:rPr>
            </w:pPr>
            <w:r>
              <w:rPr>
                <w:rFonts w:hint="eastAsia" w:ascii="宋体" w:hAnsi="宋体"/>
                <w:color w:val="auto"/>
                <w:sz w:val="24"/>
                <w:highlight w:val="none"/>
              </w:rPr>
              <w:t>制造商</w:t>
            </w:r>
          </w:p>
        </w:tc>
        <w:tc>
          <w:tcPr>
            <w:tcW w:w="737" w:type="dxa"/>
            <w:tcBorders>
              <w:top w:val="single" w:color="auto" w:sz="4" w:space="0"/>
              <w:left w:val="single" w:color="auto" w:sz="4" w:space="0"/>
              <w:bottom w:val="single" w:color="auto" w:sz="4" w:space="0"/>
              <w:right w:val="single" w:color="auto" w:sz="4" w:space="0"/>
            </w:tcBorders>
            <w:vAlign w:val="center"/>
          </w:tcPr>
          <w:p w14:paraId="20B8DA72">
            <w:pPr>
              <w:snapToGrid w:val="0"/>
              <w:spacing w:before="50" w:after="50"/>
              <w:jc w:val="center"/>
              <w:rPr>
                <w:rFonts w:ascii="宋体" w:hAnsi="宋体"/>
                <w:color w:val="auto"/>
                <w:sz w:val="24"/>
                <w:highlight w:val="none"/>
              </w:rPr>
            </w:pPr>
            <w:r>
              <w:rPr>
                <w:rFonts w:hint="eastAsia" w:ascii="宋体" w:hAnsi="宋体"/>
                <w:color w:val="auto"/>
                <w:sz w:val="24"/>
                <w:highlight w:val="none"/>
              </w:rPr>
              <w:t>原产地</w:t>
            </w:r>
          </w:p>
        </w:tc>
        <w:tc>
          <w:tcPr>
            <w:tcW w:w="1496" w:type="dxa"/>
            <w:tcBorders>
              <w:top w:val="single" w:color="auto" w:sz="4" w:space="0"/>
              <w:left w:val="single" w:color="auto" w:sz="4" w:space="0"/>
              <w:bottom w:val="single" w:color="auto" w:sz="4" w:space="0"/>
              <w:right w:val="single" w:color="auto" w:sz="4" w:space="0"/>
            </w:tcBorders>
            <w:vAlign w:val="center"/>
          </w:tcPr>
          <w:p w14:paraId="26CDA144">
            <w:pPr>
              <w:snapToGrid w:val="0"/>
              <w:spacing w:before="50" w:after="50"/>
              <w:jc w:val="center"/>
              <w:rPr>
                <w:rFonts w:ascii="宋体" w:hAnsi="宋体"/>
                <w:color w:val="auto"/>
                <w:sz w:val="24"/>
                <w:highlight w:val="none"/>
              </w:rPr>
            </w:pPr>
            <w:r>
              <w:rPr>
                <w:rFonts w:hint="eastAsia" w:ascii="宋体" w:hAnsi="宋体"/>
                <w:color w:val="auto"/>
                <w:sz w:val="24"/>
                <w:highlight w:val="none"/>
              </w:rPr>
              <w:t>参数性能、指标及配置</w:t>
            </w:r>
          </w:p>
        </w:tc>
      </w:tr>
      <w:tr w14:paraId="01AAD9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9" w:hRule="atLeast"/>
          <w:jc w:val="center"/>
        </w:trPr>
        <w:tc>
          <w:tcPr>
            <w:tcW w:w="739" w:type="dxa"/>
            <w:tcBorders>
              <w:top w:val="single" w:color="auto" w:sz="4" w:space="0"/>
              <w:left w:val="single" w:color="auto" w:sz="4" w:space="0"/>
              <w:bottom w:val="single" w:color="auto" w:sz="4" w:space="0"/>
              <w:right w:val="single" w:color="auto" w:sz="4" w:space="0"/>
            </w:tcBorders>
            <w:vAlign w:val="center"/>
          </w:tcPr>
          <w:p w14:paraId="59A5DF43">
            <w:pPr>
              <w:snapToGrid w:val="0"/>
              <w:spacing w:before="50" w:after="50"/>
              <w:jc w:val="center"/>
              <w:rPr>
                <w:rFonts w:ascii="宋体" w:hAnsi="宋体"/>
                <w:color w:val="auto"/>
                <w:sz w:val="24"/>
                <w:highlight w:val="none"/>
              </w:rPr>
            </w:pPr>
          </w:p>
        </w:tc>
        <w:tc>
          <w:tcPr>
            <w:tcW w:w="1245" w:type="dxa"/>
            <w:tcBorders>
              <w:top w:val="single" w:color="auto" w:sz="4" w:space="0"/>
              <w:left w:val="single" w:color="auto" w:sz="4" w:space="0"/>
              <w:bottom w:val="single" w:color="auto" w:sz="4" w:space="0"/>
              <w:right w:val="single" w:color="auto" w:sz="4" w:space="0"/>
            </w:tcBorders>
            <w:vAlign w:val="center"/>
          </w:tcPr>
          <w:p w14:paraId="033ADBD4">
            <w:pPr>
              <w:snapToGrid w:val="0"/>
              <w:spacing w:before="50" w:after="50"/>
              <w:jc w:val="center"/>
              <w:rPr>
                <w:rFonts w:ascii="宋体" w:hAnsi="宋体"/>
                <w:color w:val="auto"/>
                <w:sz w:val="24"/>
                <w:highlight w:val="none"/>
              </w:rPr>
            </w:pPr>
          </w:p>
        </w:tc>
        <w:tc>
          <w:tcPr>
            <w:tcW w:w="803" w:type="dxa"/>
            <w:tcBorders>
              <w:top w:val="single" w:color="auto" w:sz="4" w:space="0"/>
              <w:left w:val="single" w:color="auto" w:sz="4" w:space="0"/>
              <w:bottom w:val="single" w:color="auto" w:sz="4" w:space="0"/>
              <w:right w:val="single" w:color="auto" w:sz="4" w:space="0"/>
            </w:tcBorders>
            <w:vAlign w:val="center"/>
          </w:tcPr>
          <w:p w14:paraId="573CB676">
            <w:pPr>
              <w:snapToGrid w:val="0"/>
              <w:spacing w:before="50" w:after="50"/>
              <w:jc w:val="center"/>
              <w:rPr>
                <w:rFonts w:ascii="宋体" w:hAnsi="宋体"/>
                <w:color w:val="auto"/>
                <w:sz w:val="24"/>
                <w:highlight w:val="none"/>
              </w:rPr>
            </w:pPr>
          </w:p>
        </w:tc>
        <w:tc>
          <w:tcPr>
            <w:tcW w:w="895" w:type="dxa"/>
            <w:tcBorders>
              <w:top w:val="single" w:color="auto" w:sz="4" w:space="0"/>
              <w:left w:val="single" w:color="auto" w:sz="4" w:space="0"/>
              <w:bottom w:val="single" w:color="auto" w:sz="4" w:space="0"/>
              <w:right w:val="single" w:color="auto" w:sz="4" w:space="0"/>
            </w:tcBorders>
            <w:vAlign w:val="center"/>
          </w:tcPr>
          <w:p w14:paraId="09B68FF2">
            <w:pPr>
              <w:snapToGrid w:val="0"/>
              <w:spacing w:before="50" w:after="50"/>
              <w:jc w:val="center"/>
              <w:rPr>
                <w:rFonts w:ascii="宋体" w:hAnsi="宋体"/>
                <w:color w:val="auto"/>
                <w:sz w:val="24"/>
                <w:highlight w:val="none"/>
              </w:rPr>
            </w:pPr>
          </w:p>
        </w:tc>
        <w:tc>
          <w:tcPr>
            <w:tcW w:w="1786" w:type="dxa"/>
            <w:tcBorders>
              <w:top w:val="single" w:color="auto" w:sz="4" w:space="0"/>
              <w:left w:val="single" w:color="auto" w:sz="4" w:space="0"/>
              <w:bottom w:val="single" w:color="auto" w:sz="4" w:space="0"/>
              <w:right w:val="single" w:color="auto" w:sz="4" w:space="0"/>
            </w:tcBorders>
          </w:tcPr>
          <w:p w14:paraId="5470CCFF">
            <w:pPr>
              <w:snapToGrid w:val="0"/>
              <w:spacing w:before="50" w:after="50"/>
              <w:jc w:val="center"/>
              <w:rPr>
                <w:rFonts w:ascii="宋体" w:hAnsi="宋体"/>
                <w:color w:val="auto"/>
                <w:sz w:val="24"/>
                <w:highlight w:val="none"/>
              </w:rPr>
            </w:pPr>
          </w:p>
        </w:tc>
        <w:tc>
          <w:tcPr>
            <w:tcW w:w="1245" w:type="dxa"/>
            <w:tcBorders>
              <w:top w:val="single" w:color="auto" w:sz="4" w:space="0"/>
              <w:left w:val="single" w:color="auto" w:sz="4" w:space="0"/>
              <w:bottom w:val="single" w:color="auto" w:sz="4" w:space="0"/>
              <w:right w:val="single" w:color="auto" w:sz="4" w:space="0"/>
            </w:tcBorders>
            <w:vAlign w:val="center"/>
          </w:tcPr>
          <w:p w14:paraId="5D6CFA8C">
            <w:pPr>
              <w:snapToGrid w:val="0"/>
              <w:spacing w:before="50" w:after="50"/>
              <w:jc w:val="center"/>
              <w:rPr>
                <w:rFonts w:ascii="宋体" w:hAnsi="宋体"/>
                <w:color w:val="auto"/>
                <w:sz w:val="24"/>
                <w:highlight w:val="none"/>
              </w:rPr>
            </w:pPr>
          </w:p>
        </w:tc>
        <w:tc>
          <w:tcPr>
            <w:tcW w:w="737" w:type="dxa"/>
            <w:tcBorders>
              <w:top w:val="single" w:color="auto" w:sz="4" w:space="0"/>
              <w:left w:val="single" w:color="auto" w:sz="4" w:space="0"/>
              <w:bottom w:val="single" w:color="auto" w:sz="4" w:space="0"/>
              <w:right w:val="single" w:color="auto" w:sz="4" w:space="0"/>
            </w:tcBorders>
            <w:vAlign w:val="center"/>
          </w:tcPr>
          <w:p w14:paraId="1CA44B97">
            <w:pPr>
              <w:snapToGrid w:val="0"/>
              <w:spacing w:before="50" w:after="50"/>
              <w:jc w:val="center"/>
              <w:rPr>
                <w:rFonts w:ascii="宋体" w:hAnsi="宋体"/>
                <w:color w:val="auto"/>
                <w:sz w:val="24"/>
                <w:highlight w:val="none"/>
              </w:rPr>
            </w:pPr>
          </w:p>
        </w:tc>
        <w:tc>
          <w:tcPr>
            <w:tcW w:w="1496" w:type="dxa"/>
            <w:tcBorders>
              <w:top w:val="single" w:color="auto" w:sz="4" w:space="0"/>
              <w:left w:val="single" w:color="auto" w:sz="4" w:space="0"/>
              <w:bottom w:val="single" w:color="auto" w:sz="4" w:space="0"/>
              <w:right w:val="single" w:color="auto" w:sz="4" w:space="0"/>
            </w:tcBorders>
            <w:vAlign w:val="center"/>
          </w:tcPr>
          <w:p w14:paraId="167137E7">
            <w:pPr>
              <w:snapToGrid w:val="0"/>
              <w:spacing w:before="50" w:after="50"/>
              <w:jc w:val="center"/>
              <w:rPr>
                <w:rFonts w:ascii="宋体" w:hAnsi="宋体"/>
                <w:color w:val="auto"/>
                <w:sz w:val="24"/>
                <w:highlight w:val="none"/>
              </w:rPr>
            </w:pPr>
          </w:p>
        </w:tc>
      </w:tr>
      <w:tr w14:paraId="06B0F6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2" w:hRule="atLeast"/>
          <w:jc w:val="center"/>
        </w:trPr>
        <w:tc>
          <w:tcPr>
            <w:tcW w:w="739" w:type="dxa"/>
            <w:tcBorders>
              <w:top w:val="single" w:color="auto" w:sz="4" w:space="0"/>
              <w:left w:val="single" w:color="auto" w:sz="4" w:space="0"/>
              <w:bottom w:val="single" w:color="auto" w:sz="4" w:space="0"/>
              <w:right w:val="single" w:color="auto" w:sz="4" w:space="0"/>
            </w:tcBorders>
            <w:vAlign w:val="center"/>
          </w:tcPr>
          <w:p w14:paraId="5634194D">
            <w:pPr>
              <w:snapToGrid w:val="0"/>
              <w:spacing w:before="50" w:after="50"/>
              <w:jc w:val="center"/>
              <w:rPr>
                <w:rFonts w:ascii="宋体" w:hAnsi="宋体"/>
                <w:color w:val="auto"/>
                <w:sz w:val="24"/>
                <w:highlight w:val="none"/>
              </w:rPr>
            </w:pPr>
          </w:p>
        </w:tc>
        <w:tc>
          <w:tcPr>
            <w:tcW w:w="1245" w:type="dxa"/>
            <w:tcBorders>
              <w:top w:val="single" w:color="auto" w:sz="4" w:space="0"/>
              <w:left w:val="single" w:color="auto" w:sz="4" w:space="0"/>
              <w:bottom w:val="single" w:color="auto" w:sz="4" w:space="0"/>
              <w:right w:val="single" w:color="auto" w:sz="4" w:space="0"/>
            </w:tcBorders>
            <w:vAlign w:val="center"/>
          </w:tcPr>
          <w:p w14:paraId="10C3B9AC">
            <w:pPr>
              <w:snapToGrid w:val="0"/>
              <w:spacing w:before="50" w:after="50"/>
              <w:jc w:val="center"/>
              <w:rPr>
                <w:rFonts w:ascii="宋体" w:hAnsi="宋体"/>
                <w:color w:val="auto"/>
                <w:sz w:val="24"/>
                <w:highlight w:val="none"/>
              </w:rPr>
            </w:pPr>
          </w:p>
        </w:tc>
        <w:tc>
          <w:tcPr>
            <w:tcW w:w="803" w:type="dxa"/>
            <w:tcBorders>
              <w:top w:val="single" w:color="auto" w:sz="4" w:space="0"/>
              <w:left w:val="single" w:color="auto" w:sz="4" w:space="0"/>
              <w:bottom w:val="single" w:color="auto" w:sz="4" w:space="0"/>
              <w:right w:val="single" w:color="auto" w:sz="4" w:space="0"/>
            </w:tcBorders>
            <w:vAlign w:val="center"/>
          </w:tcPr>
          <w:p w14:paraId="3B4AA033">
            <w:pPr>
              <w:snapToGrid w:val="0"/>
              <w:spacing w:before="50" w:after="50"/>
              <w:jc w:val="center"/>
              <w:rPr>
                <w:rFonts w:ascii="宋体" w:hAnsi="宋体"/>
                <w:color w:val="auto"/>
                <w:sz w:val="24"/>
                <w:highlight w:val="none"/>
              </w:rPr>
            </w:pPr>
          </w:p>
        </w:tc>
        <w:tc>
          <w:tcPr>
            <w:tcW w:w="895" w:type="dxa"/>
            <w:tcBorders>
              <w:top w:val="single" w:color="auto" w:sz="4" w:space="0"/>
              <w:left w:val="single" w:color="auto" w:sz="4" w:space="0"/>
              <w:bottom w:val="single" w:color="auto" w:sz="4" w:space="0"/>
              <w:right w:val="single" w:color="auto" w:sz="4" w:space="0"/>
            </w:tcBorders>
            <w:vAlign w:val="center"/>
          </w:tcPr>
          <w:p w14:paraId="1F5E94DF">
            <w:pPr>
              <w:snapToGrid w:val="0"/>
              <w:spacing w:before="50" w:after="50"/>
              <w:jc w:val="center"/>
              <w:rPr>
                <w:rFonts w:ascii="宋体" w:hAnsi="宋体"/>
                <w:color w:val="auto"/>
                <w:sz w:val="24"/>
                <w:highlight w:val="none"/>
              </w:rPr>
            </w:pPr>
          </w:p>
        </w:tc>
        <w:tc>
          <w:tcPr>
            <w:tcW w:w="1786" w:type="dxa"/>
            <w:tcBorders>
              <w:top w:val="single" w:color="auto" w:sz="4" w:space="0"/>
              <w:left w:val="single" w:color="auto" w:sz="4" w:space="0"/>
              <w:bottom w:val="single" w:color="auto" w:sz="4" w:space="0"/>
              <w:right w:val="single" w:color="auto" w:sz="4" w:space="0"/>
            </w:tcBorders>
          </w:tcPr>
          <w:p w14:paraId="60EC1E51">
            <w:pPr>
              <w:snapToGrid w:val="0"/>
              <w:spacing w:before="50" w:after="50"/>
              <w:jc w:val="center"/>
              <w:rPr>
                <w:rFonts w:ascii="宋体" w:hAnsi="宋体"/>
                <w:color w:val="auto"/>
                <w:sz w:val="24"/>
                <w:highlight w:val="none"/>
              </w:rPr>
            </w:pPr>
          </w:p>
        </w:tc>
        <w:tc>
          <w:tcPr>
            <w:tcW w:w="1245" w:type="dxa"/>
            <w:tcBorders>
              <w:top w:val="single" w:color="auto" w:sz="4" w:space="0"/>
              <w:left w:val="single" w:color="auto" w:sz="4" w:space="0"/>
              <w:bottom w:val="single" w:color="auto" w:sz="4" w:space="0"/>
              <w:right w:val="single" w:color="auto" w:sz="4" w:space="0"/>
            </w:tcBorders>
            <w:vAlign w:val="center"/>
          </w:tcPr>
          <w:p w14:paraId="4FDB64D6">
            <w:pPr>
              <w:snapToGrid w:val="0"/>
              <w:spacing w:before="50" w:after="50"/>
              <w:jc w:val="center"/>
              <w:rPr>
                <w:rFonts w:ascii="宋体" w:hAnsi="宋体"/>
                <w:color w:val="auto"/>
                <w:sz w:val="24"/>
                <w:highlight w:val="none"/>
              </w:rPr>
            </w:pPr>
          </w:p>
        </w:tc>
        <w:tc>
          <w:tcPr>
            <w:tcW w:w="737" w:type="dxa"/>
            <w:tcBorders>
              <w:top w:val="single" w:color="auto" w:sz="4" w:space="0"/>
              <w:left w:val="single" w:color="auto" w:sz="4" w:space="0"/>
              <w:bottom w:val="single" w:color="auto" w:sz="4" w:space="0"/>
              <w:right w:val="single" w:color="auto" w:sz="4" w:space="0"/>
            </w:tcBorders>
            <w:vAlign w:val="center"/>
          </w:tcPr>
          <w:p w14:paraId="1C6025C9">
            <w:pPr>
              <w:snapToGrid w:val="0"/>
              <w:spacing w:before="50" w:after="50"/>
              <w:jc w:val="center"/>
              <w:rPr>
                <w:rFonts w:ascii="宋体" w:hAnsi="宋体"/>
                <w:color w:val="auto"/>
                <w:sz w:val="24"/>
                <w:highlight w:val="none"/>
              </w:rPr>
            </w:pPr>
          </w:p>
        </w:tc>
        <w:tc>
          <w:tcPr>
            <w:tcW w:w="1496" w:type="dxa"/>
            <w:tcBorders>
              <w:top w:val="single" w:color="auto" w:sz="4" w:space="0"/>
              <w:left w:val="single" w:color="auto" w:sz="4" w:space="0"/>
              <w:bottom w:val="single" w:color="auto" w:sz="4" w:space="0"/>
              <w:right w:val="single" w:color="auto" w:sz="4" w:space="0"/>
            </w:tcBorders>
            <w:vAlign w:val="center"/>
          </w:tcPr>
          <w:p w14:paraId="3B4166B2">
            <w:pPr>
              <w:snapToGrid w:val="0"/>
              <w:spacing w:before="50" w:after="50"/>
              <w:jc w:val="center"/>
              <w:rPr>
                <w:rFonts w:ascii="宋体" w:hAnsi="宋体"/>
                <w:color w:val="auto"/>
                <w:sz w:val="24"/>
                <w:highlight w:val="none"/>
              </w:rPr>
            </w:pPr>
          </w:p>
        </w:tc>
      </w:tr>
      <w:tr w14:paraId="02D1D9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5" w:hRule="atLeast"/>
          <w:jc w:val="center"/>
        </w:trPr>
        <w:tc>
          <w:tcPr>
            <w:tcW w:w="739" w:type="dxa"/>
            <w:tcBorders>
              <w:top w:val="single" w:color="auto" w:sz="4" w:space="0"/>
              <w:left w:val="single" w:color="auto" w:sz="4" w:space="0"/>
              <w:bottom w:val="single" w:color="auto" w:sz="4" w:space="0"/>
              <w:right w:val="single" w:color="auto" w:sz="4" w:space="0"/>
            </w:tcBorders>
            <w:vAlign w:val="center"/>
          </w:tcPr>
          <w:p w14:paraId="78F6768B">
            <w:pPr>
              <w:snapToGrid w:val="0"/>
              <w:spacing w:before="50" w:after="50"/>
              <w:jc w:val="center"/>
              <w:rPr>
                <w:rFonts w:ascii="宋体" w:hAnsi="宋体"/>
                <w:color w:val="auto"/>
                <w:sz w:val="24"/>
                <w:highlight w:val="none"/>
              </w:rPr>
            </w:pPr>
          </w:p>
        </w:tc>
        <w:tc>
          <w:tcPr>
            <w:tcW w:w="1245" w:type="dxa"/>
            <w:tcBorders>
              <w:top w:val="single" w:color="auto" w:sz="4" w:space="0"/>
              <w:left w:val="single" w:color="auto" w:sz="4" w:space="0"/>
              <w:bottom w:val="single" w:color="auto" w:sz="4" w:space="0"/>
              <w:right w:val="single" w:color="auto" w:sz="4" w:space="0"/>
            </w:tcBorders>
            <w:vAlign w:val="center"/>
          </w:tcPr>
          <w:p w14:paraId="4C6C24E5">
            <w:pPr>
              <w:snapToGrid w:val="0"/>
              <w:spacing w:before="50" w:after="50"/>
              <w:jc w:val="center"/>
              <w:rPr>
                <w:rFonts w:ascii="宋体" w:hAnsi="宋体"/>
                <w:color w:val="auto"/>
                <w:sz w:val="24"/>
                <w:highlight w:val="none"/>
              </w:rPr>
            </w:pPr>
          </w:p>
        </w:tc>
        <w:tc>
          <w:tcPr>
            <w:tcW w:w="803" w:type="dxa"/>
            <w:tcBorders>
              <w:top w:val="single" w:color="auto" w:sz="4" w:space="0"/>
              <w:left w:val="single" w:color="auto" w:sz="4" w:space="0"/>
              <w:bottom w:val="single" w:color="auto" w:sz="4" w:space="0"/>
              <w:right w:val="single" w:color="auto" w:sz="4" w:space="0"/>
            </w:tcBorders>
            <w:vAlign w:val="center"/>
          </w:tcPr>
          <w:p w14:paraId="63D306A8">
            <w:pPr>
              <w:snapToGrid w:val="0"/>
              <w:spacing w:before="50" w:after="50"/>
              <w:jc w:val="center"/>
              <w:rPr>
                <w:rFonts w:ascii="宋体" w:hAnsi="宋体"/>
                <w:color w:val="auto"/>
                <w:sz w:val="24"/>
                <w:highlight w:val="none"/>
              </w:rPr>
            </w:pPr>
          </w:p>
        </w:tc>
        <w:tc>
          <w:tcPr>
            <w:tcW w:w="895" w:type="dxa"/>
            <w:tcBorders>
              <w:top w:val="single" w:color="auto" w:sz="4" w:space="0"/>
              <w:left w:val="single" w:color="auto" w:sz="4" w:space="0"/>
              <w:bottom w:val="single" w:color="auto" w:sz="4" w:space="0"/>
              <w:right w:val="single" w:color="auto" w:sz="4" w:space="0"/>
            </w:tcBorders>
            <w:vAlign w:val="center"/>
          </w:tcPr>
          <w:p w14:paraId="374CA2FB">
            <w:pPr>
              <w:snapToGrid w:val="0"/>
              <w:spacing w:before="50" w:after="50"/>
              <w:jc w:val="center"/>
              <w:rPr>
                <w:rFonts w:ascii="宋体" w:hAnsi="宋体"/>
                <w:color w:val="auto"/>
                <w:sz w:val="24"/>
                <w:highlight w:val="none"/>
              </w:rPr>
            </w:pPr>
          </w:p>
        </w:tc>
        <w:tc>
          <w:tcPr>
            <w:tcW w:w="1786" w:type="dxa"/>
            <w:tcBorders>
              <w:top w:val="single" w:color="auto" w:sz="4" w:space="0"/>
              <w:left w:val="single" w:color="auto" w:sz="4" w:space="0"/>
              <w:bottom w:val="single" w:color="auto" w:sz="4" w:space="0"/>
              <w:right w:val="single" w:color="auto" w:sz="4" w:space="0"/>
            </w:tcBorders>
          </w:tcPr>
          <w:p w14:paraId="16AB3715">
            <w:pPr>
              <w:snapToGrid w:val="0"/>
              <w:spacing w:before="50" w:after="50"/>
              <w:jc w:val="center"/>
              <w:rPr>
                <w:rFonts w:ascii="宋体" w:hAnsi="宋体"/>
                <w:color w:val="auto"/>
                <w:sz w:val="24"/>
                <w:highlight w:val="none"/>
              </w:rPr>
            </w:pPr>
          </w:p>
        </w:tc>
        <w:tc>
          <w:tcPr>
            <w:tcW w:w="1245" w:type="dxa"/>
            <w:tcBorders>
              <w:top w:val="single" w:color="auto" w:sz="4" w:space="0"/>
              <w:left w:val="single" w:color="auto" w:sz="4" w:space="0"/>
              <w:bottom w:val="single" w:color="auto" w:sz="4" w:space="0"/>
              <w:right w:val="single" w:color="auto" w:sz="4" w:space="0"/>
            </w:tcBorders>
            <w:vAlign w:val="center"/>
          </w:tcPr>
          <w:p w14:paraId="4A25794D">
            <w:pPr>
              <w:snapToGrid w:val="0"/>
              <w:spacing w:before="50" w:after="50"/>
              <w:jc w:val="center"/>
              <w:rPr>
                <w:rFonts w:ascii="宋体" w:hAnsi="宋体"/>
                <w:color w:val="auto"/>
                <w:sz w:val="24"/>
                <w:highlight w:val="none"/>
              </w:rPr>
            </w:pPr>
          </w:p>
        </w:tc>
        <w:tc>
          <w:tcPr>
            <w:tcW w:w="737" w:type="dxa"/>
            <w:tcBorders>
              <w:top w:val="single" w:color="auto" w:sz="4" w:space="0"/>
              <w:left w:val="single" w:color="auto" w:sz="4" w:space="0"/>
              <w:bottom w:val="single" w:color="auto" w:sz="4" w:space="0"/>
              <w:right w:val="single" w:color="auto" w:sz="4" w:space="0"/>
            </w:tcBorders>
            <w:vAlign w:val="center"/>
          </w:tcPr>
          <w:p w14:paraId="35543C6A">
            <w:pPr>
              <w:snapToGrid w:val="0"/>
              <w:spacing w:before="50" w:after="50"/>
              <w:jc w:val="center"/>
              <w:rPr>
                <w:rFonts w:ascii="宋体" w:hAnsi="宋体"/>
                <w:color w:val="auto"/>
                <w:sz w:val="24"/>
                <w:highlight w:val="none"/>
              </w:rPr>
            </w:pPr>
          </w:p>
        </w:tc>
        <w:tc>
          <w:tcPr>
            <w:tcW w:w="1496" w:type="dxa"/>
            <w:tcBorders>
              <w:top w:val="single" w:color="auto" w:sz="4" w:space="0"/>
              <w:left w:val="single" w:color="auto" w:sz="4" w:space="0"/>
              <w:bottom w:val="single" w:color="auto" w:sz="4" w:space="0"/>
              <w:right w:val="single" w:color="auto" w:sz="4" w:space="0"/>
            </w:tcBorders>
            <w:vAlign w:val="center"/>
          </w:tcPr>
          <w:p w14:paraId="0FFBF985">
            <w:pPr>
              <w:snapToGrid w:val="0"/>
              <w:spacing w:before="50" w:after="50"/>
              <w:jc w:val="center"/>
              <w:rPr>
                <w:rFonts w:ascii="宋体" w:hAnsi="宋体"/>
                <w:color w:val="auto"/>
                <w:sz w:val="24"/>
                <w:highlight w:val="none"/>
              </w:rPr>
            </w:pPr>
          </w:p>
        </w:tc>
      </w:tr>
    </w:tbl>
    <w:p w14:paraId="734D11A1">
      <w:pPr>
        <w:spacing w:line="360" w:lineRule="auto"/>
        <w:rPr>
          <w:rFonts w:ascii="宋体" w:hAnsi="宋体"/>
          <w:color w:val="auto"/>
          <w:sz w:val="24"/>
          <w:highlight w:val="none"/>
        </w:rPr>
      </w:pPr>
      <w:r>
        <w:rPr>
          <w:rFonts w:hint="eastAsia" w:ascii="宋体" w:hAnsi="宋体"/>
          <w:color w:val="auto"/>
          <w:sz w:val="24"/>
          <w:highlight w:val="none"/>
        </w:rPr>
        <w:t>备注：</w:t>
      </w:r>
    </w:p>
    <w:p w14:paraId="50DC0A24">
      <w:pPr>
        <w:tabs>
          <w:tab w:val="left" w:pos="1065"/>
        </w:tabs>
        <w:adjustRightInd w:val="0"/>
        <w:spacing w:line="360" w:lineRule="auto"/>
        <w:rPr>
          <w:rFonts w:ascii="宋体" w:hAnsi="宋体" w:cs="仿宋_GB2312"/>
          <w:color w:val="auto"/>
          <w:sz w:val="24"/>
          <w:highlight w:val="none"/>
        </w:rPr>
      </w:pPr>
      <w:r>
        <w:rPr>
          <w:rFonts w:hint="eastAsia" w:ascii="宋体" w:hAnsi="宋体"/>
          <w:b/>
          <w:bCs/>
          <w:color w:val="auto"/>
          <w:sz w:val="24"/>
          <w:highlight w:val="none"/>
        </w:rPr>
        <w:t>以上性能配置清单中“服务名称、数量及单位、品牌、规格型号、制造商、原产地、参数性能、指标及配置”必须如实填写完整，品牌、规格型号没有则填无，填写有缺漏的，响应文件作无效处理</w:t>
      </w:r>
      <w:r>
        <w:rPr>
          <w:rFonts w:hint="eastAsia" w:ascii="宋体" w:hAnsi="宋体"/>
          <w:b/>
          <w:color w:val="auto"/>
          <w:sz w:val="24"/>
          <w:highlight w:val="none"/>
        </w:rPr>
        <w:t>。</w:t>
      </w:r>
      <w:r>
        <w:rPr>
          <w:rFonts w:hint="eastAsia" w:ascii="宋体" w:hAnsi="宋体"/>
          <w:color w:val="auto"/>
          <w:sz w:val="24"/>
          <w:highlight w:val="none"/>
        </w:rPr>
        <w:t>服务名称、数量及单位、品牌必须与“服务需求一览表”一致，</w:t>
      </w:r>
      <w:r>
        <w:rPr>
          <w:rFonts w:hint="eastAsia" w:ascii="宋体" w:hAnsi="宋体"/>
          <w:bCs/>
          <w:color w:val="auto"/>
          <w:sz w:val="24"/>
          <w:highlight w:val="none"/>
        </w:rPr>
        <w:t>否则响应文件作无效处理</w:t>
      </w:r>
      <w:r>
        <w:rPr>
          <w:rFonts w:hint="eastAsia" w:ascii="宋体" w:hAnsi="宋体"/>
          <w:b/>
          <w:color w:val="auto"/>
          <w:sz w:val="24"/>
          <w:highlight w:val="none"/>
        </w:rPr>
        <w:t>。</w:t>
      </w:r>
      <w:r>
        <w:rPr>
          <w:rFonts w:hint="eastAsia" w:ascii="宋体" w:hAnsi="宋体" w:cs="仿宋_GB2312"/>
          <w:color w:val="auto"/>
          <w:sz w:val="24"/>
          <w:highlight w:val="none"/>
        </w:rPr>
        <w:tab/>
      </w:r>
    </w:p>
    <w:p w14:paraId="66940557">
      <w:pPr>
        <w:adjustRightInd w:val="0"/>
        <w:spacing w:line="360" w:lineRule="auto"/>
        <w:jc w:val="left"/>
        <w:rPr>
          <w:rFonts w:ascii="宋体" w:hAnsi="宋体" w:cs="仿宋_GB2312"/>
          <w:color w:val="auto"/>
          <w:sz w:val="24"/>
          <w:highlight w:val="none"/>
        </w:rPr>
      </w:pPr>
    </w:p>
    <w:p w14:paraId="7F2560C3">
      <w:pPr>
        <w:autoSpaceDE w:val="0"/>
        <w:autoSpaceDN w:val="0"/>
        <w:spacing w:line="360" w:lineRule="auto"/>
        <w:ind w:left="4335" w:leftChars="1950" w:hanging="240" w:hangingChars="10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2639EE5E">
      <w:pPr>
        <w:spacing w:line="500" w:lineRule="exact"/>
        <w:jc w:val="center"/>
        <w:rPr>
          <w:rFonts w:ascii="仿宋_GB2312" w:hAnsi="仿宋" w:eastAsia="仿宋_GB2312" w:cs="仿宋_GB2312"/>
          <w:color w:val="auto"/>
          <w:kern w:val="0"/>
          <w:sz w:val="24"/>
          <w:highlight w:val="none"/>
          <w:lang w:val="zh-CN"/>
        </w:rPr>
        <w:sectPr>
          <w:pgSz w:w="11911" w:h="16838"/>
          <w:pgMar w:top="1417" w:right="1417" w:bottom="1417" w:left="1417" w:header="720" w:footer="720" w:gutter="0"/>
          <w:cols w:space="0" w:num="1"/>
        </w:sectPr>
      </w:pPr>
      <w:r>
        <w:rPr>
          <w:rFonts w:hint="eastAsia" w:ascii="仿宋_GB2312" w:hAnsi="仿宋" w:eastAsia="仿宋_GB2312" w:cs="仿宋_GB2312"/>
          <w:color w:val="auto"/>
          <w:kern w:val="0"/>
          <w:sz w:val="24"/>
          <w:highlight w:val="none"/>
          <w:lang w:val="zh-CN"/>
        </w:rPr>
        <w:t>日期：  年  月   日</w:t>
      </w:r>
    </w:p>
    <w:p w14:paraId="4A70FBC5">
      <w:pPr>
        <w:numPr>
          <w:ilvl w:val="0"/>
          <w:numId w:val="0"/>
        </w:numPr>
        <w:snapToGrid w:val="0"/>
        <w:spacing w:before="120" w:beforeLines="50" w:after="50"/>
        <w:rPr>
          <w:rFonts w:hint="eastAsia" w:ascii="仿宋" w:hAnsi="仿宋" w:eastAsia="仿宋" w:cs="仿宋_GB2312"/>
          <w:b/>
          <w:color w:val="auto"/>
          <w:sz w:val="30"/>
          <w:szCs w:val="30"/>
          <w:highlight w:val="none"/>
          <w:lang w:val="en-US" w:eastAsia="zh-CN"/>
        </w:rPr>
      </w:pPr>
      <w:r>
        <w:rPr>
          <w:rFonts w:hint="eastAsia" w:ascii="仿宋" w:hAnsi="仿宋" w:eastAsia="仿宋" w:cs="仿宋_GB2312"/>
          <w:b/>
          <w:color w:val="auto"/>
          <w:kern w:val="2"/>
          <w:sz w:val="30"/>
          <w:szCs w:val="30"/>
          <w:lang w:val="en-US" w:eastAsia="zh-CN" w:bidi="ar-SA"/>
        </w:rPr>
        <w:t>八、</w:t>
      </w:r>
      <w:r>
        <w:rPr>
          <w:rFonts w:hint="eastAsia" w:ascii="仿宋" w:hAnsi="仿宋" w:eastAsia="仿宋" w:cs="仿宋_GB2312"/>
          <w:b/>
          <w:color w:val="auto"/>
          <w:sz w:val="30"/>
          <w:szCs w:val="30"/>
          <w:highlight w:val="none"/>
          <w:lang w:val="en-US" w:eastAsia="zh-CN"/>
        </w:rPr>
        <w:t>项目服务实施方案</w:t>
      </w:r>
    </w:p>
    <w:p w14:paraId="38E44E09">
      <w:pPr>
        <w:numPr>
          <w:ilvl w:val="0"/>
          <w:numId w:val="0"/>
        </w:numPr>
        <w:tabs>
          <w:tab w:val="left" w:pos="2155"/>
        </w:tabs>
        <w:ind w:left="2155" w:leftChars="0" w:hanging="1078" w:firstLineChars="0"/>
        <w:outlineLvl w:val="9"/>
        <w:rPr>
          <w:rFonts w:hint="eastAsia" w:ascii="Arial" w:hAnsi="Times New Roman" w:eastAsia="黑体" w:cs="仿宋_GB2312"/>
          <w:color w:val="auto"/>
          <w:kern w:val="0"/>
          <w:sz w:val="28"/>
          <w:szCs w:val="20"/>
          <w:lang w:val="en-US" w:eastAsia="zh-CN" w:bidi="ar-SA"/>
        </w:rPr>
      </w:pPr>
    </w:p>
    <w:p w14:paraId="74AF6485">
      <w:pPr>
        <w:numPr>
          <w:ilvl w:val="0"/>
          <w:numId w:val="0"/>
        </w:numPr>
        <w:tabs>
          <w:tab w:val="left" w:pos="2155"/>
        </w:tabs>
        <w:outlineLvl w:val="9"/>
        <w:rPr>
          <w:rFonts w:hint="eastAsia" w:ascii="Arial" w:hAnsi="Times New Roman" w:eastAsia="黑体" w:cs="仿宋_GB2312"/>
          <w:color w:val="auto"/>
          <w:kern w:val="0"/>
          <w:sz w:val="28"/>
          <w:szCs w:val="20"/>
          <w:lang w:val="en-US" w:eastAsia="zh-CN" w:bidi="ar-SA"/>
        </w:rPr>
      </w:pPr>
    </w:p>
    <w:p w14:paraId="4702763D">
      <w:pPr>
        <w:numPr>
          <w:ilvl w:val="0"/>
          <w:numId w:val="0"/>
        </w:numPr>
        <w:tabs>
          <w:tab w:val="left" w:pos="2155"/>
        </w:tabs>
        <w:outlineLvl w:val="9"/>
        <w:rPr>
          <w:rFonts w:hint="eastAsia" w:ascii="Arial" w:hAnsi="Times New Roman" w:eastAsia="黑体" w:cs="仿宋_GB2312"/>
          <w:color w:val="auto"/>
          <w:kern w:val="0"/>
          <w:sz w:val="28"/>
          <w:szCs w:val="20"/>
          <w:lang w:val="en-US" w:eastAsia="zh-CN" w:bidi="ar-SA"/>
        </w:rPr>
      </w:pPr>
    </w:p>
    <w:p w14:paraId="58B3C96A">
      <w:pPr>
        <w:numPr>
          <w:ilvl w:val="0"/>
          <w:numId w:val="0"/>
        </w:numPr>
        <w:tabs>
          <w:tab w:val="left" w:pos="2155"/>
        </w:tabs>
        <w:outlineLvl w:val="9"/>
        <w:rPr>
          <w:rFonts w:hint="default" w:hAnsi="Times New Roman" w:cs="仿宋_GB2312"/>
          <w:color w:val="auto"/>
          <w:highlight w:val="none"/>
          <w:lang w:val="en-US" w:eastAsia="zh-CN"/>
        </w:rPr>
      </w:pPr>
      <w:r>
        <w:rPr>
          <w:rFonts w:hint="eastAsia" w:ascii="Arial" w:hAnsi="Times New Roman" w:eastAsia="黑体" w:cs="仿宋_GB2312"/>
          <w:color w:val="auto"/>
          <w:kern w:val="0"/>
          <w:sz w:val="28"/>
          <w:szCs w:val="20"/>
          <w:lang w:val="en-US" w:eastAsia="zh-CN" w:bidi="ar-SA"/>
        </w:rPr>
        <w:t>九、</w:t>
      </w:r>
      <w:r>
        <w:rPr>
          <w:rFonts w:hint="eastAsia" w:ascii="仿宋" w:hAnsi="仿宋" w:eastAsia="仿宋" w:cs="仿宋_GB2312"/>
          <w:b/>
          <w:color w:val="auto"/>
          <w:sz w:val="30"/>
          <w:szCs w:val="30"/>
          <w:highlight w:val="none"/>
          <w:lang w:val="en-US" w:eastAsia="zh-CN"/>
        </w:rPr>
        <w:t>应急预案</w:t>
      </w:r>
    </w:p>
    <w:p w14:paraId="5BDE968B">
      <w:pPr>
        <w:numPr>
          <w:ilvl w:val="0"/>
          <w:numId w:val="0"/>
        </w:numPr>
        <w:tabs>
          <w:tab w:val="left" w:pos="2155"/>
        </w:tabs>
        <w:outlineLvl w:val="9"/>
        <w:rPr>
          <w:rFonts w:hint="eastAsia" w:ascii="Arial" w:hAnsi="Times New Roman" w:eastAsia="黑体" w:cs="仿宋_GB2312"/>
          <w:color w:val="auto"/>
          <w:kern w:val="0"/>
          <w:sz w:val="28"/>
          <w:szCs w:val="20"/>
          <w:lang w:val="en-US" w:eastAsia="zh-CN" w:bidi="ar-SA"/>
        </w:rPr>
      </w:pPr>
    </w:p>
    <w:p w14:paraId="16BECF9E">
      <w:pPr>
        <w:numPr>
          <w:ilvl w:val="0"/>
          <w:numId w:val="0"/>
        </w:numPr>
        <w:tabs>
          <w:tab w:val="left" w:pos="2155"/>
        </w:tabs>
        <w:outlineLvl w:val="9"/>
        <w:rPr>
          <w:rFonts w:hint="eastAsia" w:ascii="Arial" w:hAnsi="Times New Roman" w:eastAsia="黑体" w:cs="仿宋_GB2312"/>
          <w:color w:val="auto"/>
          <w:kern w:val="0"/>
          <w:sz w:val="28"/>
          <w:szCs w:val="20"/>
          <w:lang w:val="en-US" w:eastAsia="zh-CN" w:bidi="ar-SA"/>
        </w:rPr>
      </w:pPr>
    </w:p>
    <w:p w14:paraId="624746EF">
      <w:pPr>
        <w:numPr>
          <w:ilvl w:val="0"/>
          <w:numId w:val="0"/>
        </w:numPr>
        <w:tabs>
          <w:tab w:val="left" w:pos="2155"/>
        </w:tabs>
        <w:outlineLvl w:val="9"/>
        <w:rPr>
          <w:rFonts w:hint="eastAsia" w:ascii="Arial" w:hAnsi="Times New Roman" w:eastAsia="黑体" w:cs="仿宋_GB2312"/>
          <w:color w:val="auto"/>
          <w:kern w:val="0"/>
          <w:sz w:val="28"/>
          <w:szCs w:val="20"/>
          <w:lang w:val="en-US" w:eastAsia="zh-CN" w:bidi="ar-SA"/>
        </w:rPr>
      </w:pPr>
    </w:p>
    <w:p w14:paraId="3FEB5B5E">
      <w:pPr>
        <w:rPr>
          <w:rFonts w:hint="eastAsia" w:ascii="Arial" w:hAnsi="Times New Roman" w:eastAsia="黑体" w:cs="仿宋_GB2312"/>
          <w:color w:val="auto"/>
          <w:kern w:val="0"/>
          <w:sz w:val="28"/>
          <w:szCs w:val="20"/>
          <w:lang w:val="en-US" w:eastAsia="zh-CN" w:bidi="ar-SA"/>
        </w:rPr>
      </w:pPr>
      <w:r>
        <w:rPr>
          <w:rFonts w:hint="eastAsia" w:ascii="Arial" w:hAnsi="Times New Roman" w:eastAsia="黑体" w:cs="仿宋_GB2312"/>
          <w:color w:val="auto"/>
          <w:kern w:val="0"/>
          <w:sz w:val="28"/>
          <w:szCs w:val="20"/>
          <w:lang w:val="en-US" w:eastAsia="zh-CN" w:bidi="ar-SA"/>
        </w:rPr>
        <w:br w:type="page"/>
      </w:r>
    </w:p>
    <w:p w14:paraId="33CE311C">
      <w:pPr>
        <w:numPr>
          <w:ilvl w:val="0"/>
          <w:numId w:val="0"/>
        </w:numPr>
        <w:tabs>
          <w:tab w:val="left" w:pos="2155"/>
        </w:tabs>
        <w:outlineLvl w:val="9"/>
      </w:pPr>
      <w:r>
        <w:rPr>
          <w:rFonts w:hint="eastAsia" w:ascii="Arial" w:hAnsi="Times New Roman" w:eastAsia="黑体" w:cs="仿宋_GB2312"/>
          <w:color w:val="auto"/>
          <w:kern w:val="0"/>
          <w:sz w:val="28"/>
          <w:szCs w:val="20"/>
          <w:lang w:val="en-US" w:eastAsia="zh-CN" w:bidi="ar-SA"/>
        </w:rPr>
        <w:t>十、</w:t>
      </w:r>
      <w:r>
        <w:rPr>
          <w:rFonts w:hint="default" w:ascii="仿宋" w:hAnsi="仿宋" w:eastAsia="仿宋" w:cs="仿宋_GB2312"/>
          <w:b/>
          <w:color w:val="auto"/>
          <w:sz w:val="30"/>
          <w:szCs w:val="30"/>
          <w:highlight w:val="none"/>
          <w:lang w:val="en-US" w:eastAsia="zh-CN"/>
        </w:rPr>
        <w:t>售后及保密方案</w:t>
      </w:r>
    </w:p>
    <w:p w14:paraId="725F8D62">
      <w:pPr>
        <w:snapToGrid w:val="0"/>
        <w:spacing w:before="120" w:beforeLines="50" w:after="50"/>
        <w:ind w:left="142"/>
        <w:jc w:val="center"/>
        <w:rPr>
          <w:rFonts w:ascii="宋体" w:hAnsi="宋体"/>
          <w:b/>
          <w:color w:val="auto"/>
          <w:sz w:val="32"/>
          <w:szCs w:val="32"/>
          <w:highlight w:val="none"/>
        </w:rPr>
      </w:pPr>
      <w:r>
        <w:rPr>
          <w:rFonts w:hint="eastAsia" w:ascii="宋体" w:hAnsi="宋体"/>
          <w:b/>
          <w:color w:val="auto"/>
          <w:sz w:val="32"/>
          <w:szCs w:val="32"/>
          <w:highlight w:val="none"/>
        </w:rPr>
        <w:t>1、售后服务承诺</w:t>
      </w:r>
    </w:p>
    <w:p w14:paraId="1479D5CF">
      <w:pPr>
        <w:autoSpaceDE w:val="0"/>
        <w:autoSpaceDN w:val="0"/>
        <w:spacing w:line="360" w:lineRule="auto"/>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附表A:售后服务机构情况表</w:t>
      </w:r>
      <w:r>
        <w:rPr>
          <w:rFonts w:hint="eastAsia" w:ascii="仿宋_GB2312" w:hAnsi="仿宋" w:eastAsia="仿宋_GB2312" w:cs="仿宋_GB2312"/>
          <w:color w:val="auto"/>
          <w:sz w:val="24"/>
          <w:highlight w:val="none"/>
        </w:rPr>
        <w:t>（按此格式自制）</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7"/>
        <w:gridCol w:w="2486"/>
        <w:gridCol w:w="1162"/>
        <w:gridCol w:w="1322"/>
        <w:gridCol w:w="2103"/>
        <w:gridCol w:w="1339"/>
      </w:tblGrid>
      <w:tr w14:paraId="6CE57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2" w:type="pct"/>
            <w:tcBorders>
              <w:top w:val="single" w:color="auto" w:sz="4" w:space="0"/>
              <w:left w:val="single" w:color="auto" w:sz="4" w:space="0"/>
              <w:bottom w:val="single" w:color="auto" w:sz="4" w:space="0"/>
              <w:right w:val="single" w:color="auto" w:sz="4" w:space="0"/>
            </w:tcBorders>
          </w:tcPr>
          <w:p w14:paraId="14D2B054">
            <w:pPr>
              <w:autoSpaceDE w:val="0"/>
              <w:autoSpaceDN w:val="0"/>
              <w:spacing w:line="360" w:lineRule="auto"/>
              <w:jc w:val="center"/>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序号</w:t>
            </w:r>
          </w:p>
        </w:tc>
        <w:tc>
          <w:tcPr>
            <w:tcW w:w="1337" w:type="pct"/>
            <w:tcBorders>
              <w:top w:val="single" w:color="auto" w:sz="4" w:space="0"/>
              <w:left w:val="single" w:color="auto" w:sz="4" w:space="0"/>
              <w:bottom w:val="single" w:color="auto" w:sz="4" w:space="0"/>
              <w:right w:val="single" w:color="auto" w:sz="4" w:space="0"/>
            </w:tcBorders>
          </w:tcPr>
          <w:p w14:paraId="79CEFCBF">
            <w:pPr>
              <w:autoSpaceDE w:val="0"/>
              <w:autoSpaceDN w:val="0"/>
              <w:spacing w:line="360" w:lineRule="auto"/>
              <w:jc w:val="center"/>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机构名称</w:t>
            </w:r>
          </w:p>
        </w:tc>
        <w:tc>
          <w:tcPr>
            <w:tcW w:w="625" w:type="pct"/>
            <w:tcBorders>
              <w:top w:val="single" w:color="auto" w:sz="4" w:space="0"/>
              <w:left w:val="single" w:color="auto" w:sz="4" w:space="0"/>
              <w:bottom w:val="single" w:color="auto" w:sz="4" w:space="0"/>
              <w:right w:val="single" w:color="auto" w:sz="4" w:space="0"/>
            </w:tcBorders>
          </w:tcPr>
          <w:p w14:paraId="0F912303">
            <w:pPr>
              <w:autoSpaceDE w:val="0"/>
              <w:autoSpaceDN w:val="0"/>
              <w:spacing w:line="360" w:lineRule="auto"/>
              <w:jc w:val="center"/>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机构性质</w:t>
            </w:r>
          </w:p>
        </w:tc>
        <w:tc>
          <w:tcPr>
            <w:tcW w:w="711" w:type="pct"/>
            <w:tcBorders>
              <w:top w:val="single" w:color="auto" w:sz="4" w:space="0"/>
              <w:left w:val="single" w:color="auto" w:sz="4" w:space="0"/>
              <w:bottom w:val="single" w:color="auto" w:sz="4" w:space="0"/>
              <w:right w:val="single" w:color="auto" w:sz="4" w:space="0"/>
            </w:tcBorders>
          </w:tcPr>
          <w:p w14:paraId="02B03F76">
            <w:pPr>
              <w:autoSpaceDE w:val="0"/>
              <w:autoSpaceDN w:val="0"/>
              <w:spacing w:line="360" w:lineRule="auto"/>
              <w:jc w:val="center"/>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注册地址</w:t>
            </w:r>
          </w:p>
        </w:tc>
        <w:tc>
          <w:tcPr>
            <w:tcW w:w="1131" w:type="pct"/>
            <w:tcBorders>
              <w:top w:val="single" w:color="auto" w:sz="4" w:space="0"/>
              <w:left w:val="single" w:color="auto" w:sz="4" w:space="0"/>
              <w:bottom w:val="single" w:color="auto" w:sz="4" w:space="0"/>
              <w:right w:val="single" w:color="auto" w:sz="4" w:space="0"/>
            </w:tcBorders>
          </w:tcPr>
          <w:p w14:paraId="73D0CCB0">
            <w:pPr>
              <w:autoSpaceDE w:val="0"/>
              <w:autoSpaceDN w:val="0"/>
              <w:spacing w:line="360" w:lineRule="auto"/>
              <w:jc w:val="center"/>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服务技术人员数量</w:t>
            </w:r>
          </w:p>
        </w:tc>
        <w:tc>
          <w:tcPr>
            <w:tcW w:w="720" w:type="pct"/>
            <w:tcBorders>
              <w:top w:val="single" w:color="auto" w:sz="4" w:space="0"/>
              <w:left w:val="single" w:color="auto" w:sz="4" w:space="0"/>
              <w:bottom w:val="single" w:color="auto" w:sz="4" w:space="0"/>
              <w:right w:val="single" w:color="auto" w:sz="4" w:space="0"/>
            </w:tcBorders>
          </w:tcPr>
          <w:p w14:paraId="7B6CF672">
            <w:pPr>
              <w:autoSpaceDE w:val="0"/>
              <w:autoSpaceDN w:val="0"/>
              <w:spacing w:line="360" w:lineRule="auto"/>
              <w:jc w:val="center"/>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联系电话</w:t>
            </w:r>
          </w:p>
        </w:tc>
      </w:tr>
      <w:tr w14:paraId="4B5CE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2" w:type="pct"/>
            <w:tcBorders>
              <w:top w:val="single" w:color="auto" w:sz="4" w:space="0"/>
              <w:left w:val="single" w:color="auto" w:sz="4" w:space="0"/>
              <w:bottom w:val="single" w:color="auto" w:sz="4" w:space="0"/>
              <w:right w:val="single" w:color="auto" w:sz="4" w:space="0"/>
            </w:tcBorders>
          </w:tcPr>
          <w:p w14:paraId="61DCF0AD">
            <w:pPr>
              <w:autoSpaceDE w:val="0"/>
              <w:autoSpaceDN w:val="0"/>
              <w:spacing w:line="360" w:lineRule="auto"/>
              <w:jc w:val="center"/>
              <w:rPr>
                <w:rFonts w:ascii="仿宋_GB2312" w:hAnsi="仿宋" w:eastAsia="仿宋_GB2312" w:cs="仿宋_GB2312"/>
                <w:color w:val="auto"/>
                <w:sz w:val="24"/>
                <w:highlight w:val="none"/>
              </w:rPr>
            </w:pPr>
          </w:p>
        </w:tc>
        <w:tc>
          <w:tcPr>
            <w:tcW w:w="1337" w:type="pct"/>
            <w:tcBorders>
              <w:top w:val="single" w:color="auto" w:sz="4" w:space="0"/>
              <w:left w:val="single" w:color="auto" w:sz="4" w:space="0"/>
              <w:bottom w:val="single" w:color="auto" w:sz="4" w:space="0"/>
              <w:right w:val="single" w:color="auto" w:sz="4" w:space="0"/>
            </w:tcBorders>
          </w:tcPr>
          <w:p w14:paraId="7CB94321">
            <w:pPr>
              <w:autoSpaceDE w:val="0"/>
              <w:autoSpaceDN w:val="0"/>
              <w:spacing w:line="360" w:lineRule="auto"/>
              <w:jc w:val="center"/>
              <w:rPr>
                <w:rFonts w:ascii="仿宋_GB2312" w:hAnsi="仿宋" w:eastAsia="仿宋_GB2312" w:cs="仿宋_GB2312"/>
                <w:color w:val="auto"/>
                <w:sz w:val="24"/>
                <w:highlight w:val="none"/>
              </w:rPr>
            </w:pPr>
          </w:p>
        </w:tc>
        <w:tc>
          <w:tcPr>
            <w:tcW w:w="625" w:type="pct"/>
            <w:tcBorders>
              <w:top w:val="single" w:color="auto" w:sz="4" w:space="0"/>
              <w:left w:val="single" w:color="auto" w:sz="4" w:space="0"/>
              <w:bottom w:val="single" w:color="auto" w:sz="4" w:space="0"/>
              <w:right w:val="single" w:color="auto" w:sz="4" w:space="0"/>
            </w:tcBorders>
          </w:tcPr>
          <w:p w14:paraId="2939A574">
            <w:pPr>
              <w:autoSpaceDE w:val="0"/>
              <w:autoSpaceDN w:val="0"/>
              <w:spacing w:line="360" w:lineRule="auto"/>
              <w:jc w:val="center"/>
              <w:rPr>
                <w:rFonts w:ascii="仿宋_GB2312" w:hAnsi="仿宋" w:eastAsia="仿宋_GB2312" w:cs="仿宋_GB2312"/>
                <w:color w:val="auto"/>
                <w:sz w:val="24"/>
                <w:highlight w:val="none"/>
              </w:rPr>
            </w:pPr>
          </w:p>
        </w:tc>
        <w:tc>
          <w:tcPr>
            <w:tcW w:w="711" w:type="pct"/>
            <w:tcBorders>
              <w:top w:val="single" w:color="auto" w:sz="4" w:space="0"/>
              <w:left w:val="single" w:color="auto" w:sz="4" w:space="0"/>
              <w:bottom w:val="single" w:color="auto" w:sz="4" w:space="0"/>
              <w:right w:val="single" w:color="auto" w:sz="4" w:space="0"/>
            </w:tcBorders>
          </w:tcPr>
          <w:p w14:paraId="32B6811D">
            <w:pPr>
              <w:autoSpaceDE w:val="0"/>
              <w:autoSpaceDN w:val="0"/>
              <w:spacing w:line="360" w:lineRule="auto"/>
              <w:jc w:val="center"/>
              <w:rPr>
                <w:rFonts w:ascii="仿宋_GB2312" w:hAnsi="仿宋" w:eastAsia="仿宋_GB2312" w:cs="仿宋_GB2312"/>
                <w:color w:val="auto"/>
                <w:sz w:val="24"/>
                <w:highlight w:val="none"/>
              </w:rPr>
            </w:pPr>
          </w:p>
        </w:tc>
        <w:tc>
          <w:tcPr>
            <w:tcW w:w="1131" w:type="pct"/>
            <w:tcBorders>
              <w:top w:val="single" w:color="auto" w:sz="4" w:space="0"/>
              <w:left w:val="single" w:color="auto" w:sz="4" w:space="0"/>
              <w:bottom w:val="single" w:color="auto" w:sz="4" w:space="0"/>
              <w:right w:val="single" w:color="auto" w:sz="4" w:space="0"/>
            </w:tcBorders>
          </w:tcPr>
          <w:p w14:paraId="212D9933">
            <w:pPr>
              <w:autoSpaceDE w:val="0"/>
              <w:autoSpaceDN w:val="0"/>
              <w:spacing w:line="360" w:lineRule="auto"/>
              <w:jc w:val="center"/>
              <w:rPr>
                <w:rFonts w:ascii="仿宋_GB2312" w:hAnsi="仿宋" w:eastAsia="仿宋_GB2312" w:cs="仿宋_GB2312"/>
                <w:color w:val="auto"/>
                <w:sz w:val="24"/>
                <w:highlight w:val="none"/>
              </w:rPr>
            </w:pPr>
          </w:p>
        </w:tc>
        <w:tc>
          <w:tcPr>
            <w:tcW w:w="720" w:type="pct"/>
            <w:tcBorders>
              <w:top w:val="single" w:color="auto" w:sz="4" w:space="0"/>
              <w:left w:val="single" w:color="auto" w:sz="4" w:space="0"/>
              <w:bottom w:val="single" w:color="auto" w:sz="4" w:space="0"/>
              <w:right w:val="single" w:color="auto" w:sz="4" w:space="0"/>
            </w:tcBorders>
          </w:tcPr>
          <w:p w14:paraId="54130E55">
            <w:pPr>
              <w:autoSpaceDE w:val="0"/>
              <w:autoSpaceDN w:val="0"/>
              <w:spacing w:line="360" w:lineRule="auto"/>
              <w:jc w:val="center"/>
              <w:rPr>
                <w:rFonts w:ascii="仿宋_GB2312" w:hAnsi="仿宋" w:eastAsia="仿宋_GB2312" w:cs="仿宋_GB2312"/>
                <w:color w:val="auto"/>
                <w:sz w:val="24"/>
                <w:highlight w:val="none"/>
              </w:rPr>
            </w:pPr>
          </w:p>
        </w:tc>
      </w:tr>
      <w:tr w14:paraId="46998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2" w:type="pct"/>
            <w:tcBorders>
              <w:top w:val="single" w:color="auto" w:sz="4" w:space="0"/>
              <w:left w:val="single" w:color="auto" w:sz="4" w:space="0"/>
              <w:bottom w:val="single" w:color="auto" w:sz="4" w:space="0"/>
              <w:right w:val="single" w:color="auto" w:sz="4" w:space="0"/>
            </w:tcBorders>
          </w:tcPr>
          <w:p w14:paraId="4987CDEA">
            <w:pPr>
              <w:autoSpaceDE w:val="0"/>
              <w:autoSpaceDN w:val="0"/>
              <w:spacing w:line="360" w:lineRule="auto"/>
              <w:jc w:val="center"/>
              <w:rPr>
                <w:rFonts w:ascii="仿宋_GB2312" w:hAnsi="仿宋" w:eastAsia="仿宋_GB2312" w:cs="仿宋_GB2312"/>
                <w:color w:val="auto"/>
                <w:sz w:val="24"/>
                <w:highlight w:val="none"/>
              </w:rPr>
            </w:pPr>
          </w:p>
        </w:tc>
        <w:tc>
          <w:tcPr>
            <w:tcW w:w="1337" w:type="pct"/>
            <w:tcBorders>
              <w:top w:val="single" w:color="auto" w:sz="4" w:space="0"/>
              <w:left w:val="single" w:color="auto" w:sz="4" w:space="0"/>
              <w:bottom w:val="single" w:color="auto" w:sz="4" w:space="0"/>
              <w:right w:val="single" w:color="auto" w:sz="4" w:space="0"/>
            </w:tcBorders>
          </w:tcPr>
          <w:p w14:paraId="35F92FB6">
            <w:pPr>
              <w:autoSpaceDE w:val="0"/>
              <w:autoSpaceDN w:val="0"/>
              <w:spacing w:line="360" w:lineRule="auto"/>
              <w:jc w:val="center"/>
              <w:rPr>
                <w:rFonts w:ascii="仿宋_GB2312" w:hAnsi="仿宋" w:eastAsia="仿宋_GB2312" w:cs="仿宋_GB2312"/>
                <w:color w:val="auto"/>
                <w:sz w:val="24"/>
                <w:highlight w:val="none"/>
              </w:rPr>
            </w:pPr>
          </w:p>
        </w:tc>
        <w:tc>
          <w:tcPr>
            <w:tcW w:w="625" w:type="pct"/>
            <w:tcBorders>
              <w:top w:val="single" w:color="auto" w:sz="4" w:space="0"/>
              <w:left w:val="single" w:color="auto" w:sz="4" w:space="0"/>
              <w:bottom w:val="single" w:color="auto" w:sz="4" w:space="0"/>
              <w:right w:val="single" w:color="auto" w:sz="4" w:space="0"/>
            </w:tcBorders>
          </w:tcPr>
          <w:p w14:paraId="13C0B67E">
            <w:pPr>
              <w:autoSpaceDE w:val="0"/>
              <w:autoSpaceDN w:val="0"/>
              <w:spacing w:line="360" w:lineRule="auto"/>
              <w:jc w:val="center"/>
              <w:rPr>
                <w:rFonts w:ascii="仿宋_GB2312" w:hAnsi="仿宋" w:eastAsia="仿宋_GB2312" w:cs="仿宋_GB2312"/>
                <w:color w:val="auto"/>
                <w:sz w:val="24"/>
                <w:highlight w:val="none"/>
              </w:rPr>
            </w:pPr>
          </w:p>
        </w:tc>
        <w:tc>
          <w:tcPr>
            <w:tcW w:w="711" w:type="pct"/>
            <w:tcBorders>
              <w:top w:val="single" w:color="auto" w:sz="4" w:space="0"/>
              <w:left w:val="single" w:color="auto" w:sz="4" w:space="0"/>
              <w:bottom w:val="single" w:color="auto" w:sz="4" w:space="0"/>
              <w:right w:val="single" w:color="auto" w:sz="4" w:space="0"/>
            </w:tcBorders>
          </w:tcPr>
          <w:p w14:paraId="686BBA1B">
            <w:pPr>
              <w:autoSpaceDE w:val="0"/>
              <w:autoSpaceDN w:val="0"/>
              <w:spacing w:line="360" w:lineRule="auto"/>
              <w:jc w:val="center"/>
              <w:rPr>
                <w:rFonts w:ascii="仿宋_GB2312" w:hAnsi="仿宋" w:eastAsia="仿宋_GB2312" w:cs="仿宋_GB2312"/>
                <w:color w:val="auto"/>
                <w:sz w:val="24"/>
                <w:highlight w:val="none"/>
              </w:rPr>
            </w:pPr>
          </w:p>
        </w:tc>
        <w:tc>
          <w:tcPr>
            <w:tcW w:w="1131" w:type="pct"/>
            <w:tcBorders>
              <w:top w:val="single" w:color="auto" w:sz="4" w:space="0"/>
              <w:left w:val="single" w:color="auto" w:sz="4" w:space="0"/>
              <w:bottom w:val="single" w:color="auto" w:sz="4" w:space="0"/>
              <w:right w:val="single" w:color="auto" w:sz="4" w:space="0"/>
            </w:tcBorders>
          </w:tcPr>
          <w:p w14:paraId="7FE69099">
            <w:pPr>
              <w:autoSpaceDE w:val="0"/>
              <w:autoSpaceDN w:val="0"/>
              <w:spacing w:line="360" w:lineRule="auto"/>
              <w:jc w:val="center"/>
              <w:rPr>
                <w:rFonts w:ascii="仿宋_GB2312" w:hAnsi="仿宋" w:eastAsia="仿宋_GB2312" w:cs="仿宋_GB2312"/>
                <w:color w:val="auto"/>
                <w:sz w:val="24"/>
                <w:highlight w:val="none"/>
              </w:rPr>
            </w:pPr>
          </w:p>
        </w:tc>
        <w:tc>
          <w:tcPr>
            <w:tcW w:w="720" w:type="pct"/>
            <w:tcBorders>
              <w:top w:val="single" w:color="auto" w:sz="4" w:space="0"/>
              <w:left w:val="single" w:color="auto" w:sz="4" w:space="0"/>
              <w:bottom w:val="single" w:color="auto" w:sz="4" w:space="0"/>
              <w:right w:val="single" w:color="auto" w:sz="4" w:space="0"/>
            </w:tcBorders>
          </w:tcPr>
          <w:p w14:paraId="5DD9B5C3">
            <w:pPr>
              <w:autoSpaceDE w:val="0"/>
              <w:autoSpaceDN w:val="0"/>
              <w:spacing w:line="360" w:lineRule="auto"/>
              <w:jc w:val="center"/>
              <w:rPr>
                <w:rFonts w:ascii="仿宋_GB2312" w:hAnsi="仿宋" w:eastAsia="仿宋_GB2312" w:cs="仿宋_GB2312"/>
                <w:color w:val="auto"/>
                <w:sz w:val="24"/>
                <w:highlight w:val="none"/>
              </w:rPr>
            </w:pPr>
          </w:p>
        </w:tc>
      </w:tr>
      <w:tr w14:paraId="516B5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2" w:type="pct"/>
            <w:tcBorders>
              <w:top w:val="single" w:color="auto" w:sz="4" w:space="0"/>
              <w:left w:val="single" w:color="auto" w:sz="4" w:space="0"/>
              <w:bottom w:val="single" w:color="auto" w:sz="4" w:space="0"/>
              <w:right w:val="single" w:color="auto" w:sz="4" w:space="0"/>
            </w:tcBorders>
          </w:tcPr>
          <w:p w14:paraId="543AA397">
            <w:pPr>
              <w:autoSpaceDE w:val="0"/>
              <w:autoSpaceDN w:val="0"/>
              <w:spacing w:line="360" w:lineRule="auto"/>
              <w:jc w:val="center"/>
              <w:rPr>
                <w:rFonts w:ascii="仿宋_GB2312" w:hAnsi="仿宋" w:eastAsia="仿宋_GB2312" w:cs="仿宋_GB2312"/>
                <w:color w:val="auto"/>
                <w:sz w:val="24"/>
                <w:highlight w:val="none"/>
              </w:rPr>
            </w:pPr>
          </w:p>
        </w:tc>
        <w:tc>
          <w:tcPr>
            <w:tcW w:w="1337" w:type="pct"/>
            <w:tcBorders>
              <w:top w:val="single" w:color="auto" w:sz="4" w:space="0"/>
              <w:left w:val="single" w:color="auto" w:sz="4" w:space="0"/>
              <w:bottom w:val="single" w:color="auto" w:sz="4" w:space="0"/>
              <w:right w:val="single" w:color="auto" w:sz="4" w:space="0"/>
            </w:tcBorders>
          </w:tcPr>
          <w:p w14:paraId="040FA55B">
            <w:pPr>
              <w:autoSpaceDE w:val="0"/>
              <w:autoSpaceDN w:val="0"/>
              <w:spacing w:line="360" w:lineRule="auto"/>
              <w:jc w:val="center"/>
              <w:rPr>
                <w:rFonts w:ascii="仿宋_GB2312" w:hAnsi="仿宋" w:eastAsia="仿宋_GB2312" w:cs="仿宋_GB2312"/>
                <w:color w:val="auto"/>
                <w:sz w:val="24"/>
                <w:highlight w:val="none"/>
              </w:rPr>
            </w:pPr>
          </w:p>
        </w:tc>
        <w:tc>
          <w:tcPr>
            <w:tcW w:w="625" w:type="pct"/>
            <w:tcBorders>
              <w:top w:val="single" w:color="auto" w:sz="4" w:space="0"/>
              <w:left w:val="single" w:color="auto" w:sz="4" w:space="0"/>
              <w:bottom w:val="single" w:color="auto" w:sz="4" w:space="0"/>
              <w:right w:val="single" w:color="auto" w:sz="4" w:space="0"/>
            </w:tcBorders>
          </w:tcPr>
          <w:p w14:paraId="46BE9651">
            <w:pPr>
              <w:autoSpaceDE w:val="0"/>
              <w:autoSpaceDN w:val="0"/>
              <w:spacing w:line="360" w:lineRule="auto"/>
              <w:jc w:val="center"/>
              <w:rPr>
                <w:rFonts w:ascii="仿宋_GB2312" w:hAnsi="仿宋" w:eastAsia="仿宋_GB2312" w:cs="仿宋_GB2312"/>
                <w:color w:val="auto"/>
                <w:sz w:val="24"/>
                <w:highlight w:val="none"/>
              </w:rPr>
            </w:pPr>
          </w:p>
        </w:tc>
        <w:tc>
          <w:tcPr>
            <w:tcW w:w="711" w:type="pct"/>
            <w:tcBorders>
              <w:top w:val="single" w:color="auto" w:sz="4" w:space="0"/>
              <w:left w:val="single" w:color="auto" w:sz="4" w:space="0"/>
              <w:bottom w:val="single" w:color="auto" w:sz="4" w:space="0"/>
              <w:right w:val="single" w:color="auto" w:sz="4" w:space="0"/>
            </w:tcBorders>
          </w:tcPr>
          <w:p w14:paraId="692C7409">
            <w:pPr>
              <w:autoSpaceDE w:val="0"/>
              <w:autoSpaceDN w:val="0"/>
              <w:spacing w:line="360" w:lineRule="auto"/>
              <w:jc w:val="center"/>
              <w:rPr>
                <w:rFonts w:ascii="仿宋_GB2312" w:hAnsi="仿宋" w:eastAsia="仿宋_GB2312" w:cs="仿宋_GB2312"/>
                <w:color w:val="auto"/>
                <w:sz w:val="24"/>
                <w:highlight w:val="none"/>
              </w:rPr>
            </w:pPr>
          </w:p>
        </w:tc>
        <w:tc>
          <w:tcPr>
            <w:tcW w:w="1131" w:type="pct"/>
            <w:tcBorders>
              <w:top w:val="single" w:color="auto" w:sz="4" w:space="0"/>
              <w:left w:val="single" w:color="auto" w:sz="4" w:space="0"/>
              <w:bottom w:val="single" w:color="auto" w:sz="4" w:space="0"/>
              <w:right w:val="single" w:color="auto" w:sz="4" w:space="0"/>
            </w:tcBorders>
          </w:tcPr>
          <w:p w14:paraId="1A954FA3">
            <w:pPr>
              <w:autoSpaceDE w:val="0"/>
              <w:autoSpaceDN w:val="0"/>
              <w:spacing w:line="360" w:lineRule="auto"/>
              <w:jc w:val="center"/>
              <w:rPr>
                <w:rFonts w:ascii="仿宋_GB2312" w:hAnsi="仿宋" w:eastAsia="仿宋_GB2312" w:cs="仿宋_GB2312"/>
                <w:color w:val="auto"/>
                <w:sz w:val="24"/>
                <w:highlight w:val="none"/>
              </w:rPr>
            </w:pPr>
          </w:p>
        </w:tc>
        <w:tc>
          <w:tcPr>
            <w:tcW w:w="720" w:type="pct"/>
            <w:tcBorders>
              <w:top w:val="single" w:color="auto" w:sz="4" w:space="0"/>
              <w:left w:val="single" w:color="auto" w:sz="4" w:space="0"/>
              <w:bottom w:val="single" w:color="auto" w:sz="4" w:space="0"/>
              <w:right w:val="single" w:color="auto" w:sz="4" w:space="0"/>
            </w:tcBorders>
          </w:tcPr>
          <w:p w14:paraId="5A76BDF5">
            <w:pPr>
              <w:autoSpaceDE w:val="0"/>
              <w:autoSpaceDN w:val="0"/>
              <w:spacing w:line="360" w:lineRule="auto"/>
              <w:jc w:val="center"/>
              <w:rPr>
                <w:rFonts w:ascii="仿宋_GB2312" w:hAnsi="仿宋" w:eastAsia="仿宋_GB2312" w:cs="仿宋_GB2312"/>
                <w:color w:val="auto"/>
                <w:sz w:val="24"/>
                <w:highlight w:val="none"/>
              </w:rPr>
            </w:pPr>
          </w:p>
        </w:tc>
      </w:tr>
    </w:tbl>
    <w:p w14:paraId="414B1F35">
      <w:pPr>
        <w:autoSpaceDE w:val="0"/>
        <w:autoSpaceDN w:val="0"/>
        <w:spacing w:line="360" w:lineRule="auto"/>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注：关于项目涉及的所有售后服务机构均在本表注明，包括供应商本单位和符合条件的第三方服务机构；</w:t>
      </w:r>
    </w:p>
    <w:p w14:paraId="008EF26F">
      <w:pPr>
        <w:autoSpaceDE w:val="0"/>
        <w:autoSpaceDN w:val="0"/>
        <w:spacing w:line="360" w:lineRule="auto"/>
        <w:rPr>
          <w:rFonts w:ascii="仿宋_GB2312" w:hAnsi="仿宋" w:eastAsia="仿宋_GB2312" w:cs="仿宋_GB2312"/>
          <w:color w:val="auto"/>
          <w:kern w:val="0"/>
          <w:sz w:val="24"/>
          <w:highlight w:val="none"/>
        </w:rPr>
      </w:pPr>
    </w:p>
    <w:p w14:paraId="4B3707FE">
      <w:pPr>
        <w:autoSpaceDE w:val="0"/>
        <w:autoSpaceDN w:val="0"/>
        <w:spacing w:line="360" w:lineRule="auto"/>
        <w:rPr>
          <w:rFonts w:ascii="仿宋_GB2312" w:hAnsi="仿宋" w:eastAsia="仿宋_GB2312" w:cs="仿宋_GB2312"/>
          <w:color w:val="auto"/>
          <w:kern w:val="0"/>
          <w:sz w:val="24"/>
          <w:highlight w:val="none"/>
        </w:rPr>
      </w:pPr>
      <w:r>
        <w:rPr>
          <w:rFonts w:hint="eastAsia" w:ascii="仿宋_GB2312" w:hAnsi="仿宋" w:eastAsia="仿宋_GB2312" w:cs="仿宋_GB2312"/>
          <w:b/>
          <w:color w:val="auto"/>
          <w:kern w:val="0"/>
          <w:sz w:val="24"/>
          <w:highlight w:val="none"/>
        </w:rPr>
        <w:t>附表B：售后服务人员情况表</w:t>
      </w:r>
      <w:r>
        <w:rPr>
          <w:rFonts w:hint="eastAsia" w:ascii="仿宋_GB2312" w:hAnsi="仿宋" w:eastAsia="仿宋_GB2312" w:cs="仿宋_GB2312"/>
          <w:color w:val="auto"/>
          <w:sz w:val="24"/>
          <w:highlight w:val="none"/>
        </w:rPr>
        <w:t>（按此格式自制）</w:t>
      </w:r>
    </w:p>
    <w:tbl>
      <w:tblPr>
        <w:tblStyle w:val="23"/>
        <w:tblW w:w="4997" w:type="pct"/>
        <w:jc w:val="center"/>
        <w:tblLayout w:type="autofit"/>
        <w:tblCellMar>
          <w:top w:w="0" w:type="dxa"/>
          <w:left w:w="108" w:type="dxa"/>
          <w:bottom w:w="0" w:type="dxa"/>
          <w:right w:w="108" w:type="dxa"/>
        </w:tblCellMar>
      </w:tblPr>
      <w:tblGrid>
        <w:gridCol w:w="591"/>
        <w:gridCol w:w="684"/>
        <w:gridCol w:w="723"/>
        <w:gridCol w:w="456"/>
        <w:gridCol w:w="829"/>
        <w:gridCol w:w="994"/>
        <w:gridCol w:w="995"/>
        <w:gridCol w:w="995"/>
        <w:gridCol w:w="1165"/>
        <w:gridCol w:w="830"/>
        <w:gridCol w:w="1025"/>
      </w:tblGrid>
      <w:tr w14:paraId="08F6CE0D">
        <w:tblPrEx>
          <w:tblCellMar>
            <w:top w:w="0" w:type="dxa"/>
            <w:left w:w="108" w:type="dxa"/>
            <w:bottom w:w="0" w:type="dxa"/>
            <w:right w:w="108" w:type="dxa"/>
          </w:tblCellMar>
        </w:tblPrEx>
        <w:trPr>
          <w:jc w:val="center"/>
        </w:trPr>
        <w:tc>
          <w:tcPr>
            <w:tcW w:w="322" w:type="pct"/>
            <w:tcBorders>
              <w:top w:val="single" w:color="auto" w:sz="6" w:space="0"/>
              <w:left w:val="single" w:color="auto" w:sz="6" w:space="0"/>
              <w:bottom w:val="single" w:color="auto" w:sz="6" w:space="0"/>
              <w:right w:val="single" w:color="auto" w:sz="4" w:space="0"/>
            </w:tcBorders>
            <w:vAlign w:val="center"/>
          </w:tcPr>
          <w:p w14:paraId="1705CB8D">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序号</w:t>
            </w:r>
          </w:p>
          <w:p w14:paraId="1C715E42">
            <w:pPr>
              <w:autoSpaceDE w:val="0"/>
              <w:autoSpaceDN w:val="0"/>
              <w:spacing w:line="360" w:lineRule="auto"/>
              <w:jc w:val="center"/>
              <w:rPr>
                <w:rFonts w:ascii="仿宋_GB2312" w:hAnsi="仿宋" w:eastAsia="仿宋_GB2312" w:cs="仿宋_GB2312"/>
                <w:color w:val="auto"/>
                <w:sz w:val="24"/>
                <w:highlight w:val="none"/>
              </w:rPr>
            </w:pPr>
          </w:p>
        </w:tc>
        <w:tc>
          <w:tcPr>
            <w:tcW w:w="372" w:type="pct"/>
            <w:tcBorders>
              <w:top w:val="single" w:color="auto" w:sz="6" w:space="0"/>
              <w:left w:val="single" w:color="auto" w:sz="4" w:space="0"/>
              <w:bottom w:val="single" w:color="auto" w:sz="6" w:space="0"/>
              <w:right w:val="single" w:color="auto" w:sz="6" w:space="0"/>
            </w:tcBorders>
            <w:vAlign w:val="center"/>
          </w:tcPr>
          <w:p w14:paraId="3542D87F">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类别</w:t>
            </w:r>
          </w:p>
        </w:tc>
        <w:tc>
          <w:tcPr>
            <w:tcW w:w="393" w:type="pct"/>
            <w:tcBorders>
              <w:top w:val="single" w:color="auto" w:sz="6" w:space="0"/>
              <w:left w:val="single" w:color="auto" w:sz="6" w:space="0"/>
              <w:bottom w:val="single" w:color="auto" w:sz="6" w:space="0"/>
              <w:right w:val="single" w:color="auto" w:sz="6" w:space="0"/>
            </w:tcBorders>
            <w:vAlign w:val="center"/>
          </w:tcPr>
          <w:p w14:paraId="7FBCAA74">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姓名</w:t>
            </w:r>
          </w:p>
        </w:tc>
        <w:tc>
          <w:tcPr>
            <w:tcW w:w="205" w:type="pct"/>
            <w:tcBorders>
              <w:top w:val="single" w:color="auto" w:sz="6" w:space="0"/>
              <w:left w:val="single" w:color="auto" w:sz="6" w:space="0"/>
              <w:bottom w:val="single" w:color="auto" w:sz="6" w:space="0"/>
              <w:right w:val="single" w:color="auto" w:sz="6" w:space="0"/>
            </w:tcBorders>
            <w:vAlign w:val="center"/>
          </w:tcPr>
          <w:p w14:paraId="7932A67E">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性别</w:t>
            </w:r>
          </w:p>
        </w:tc>
        <w:tc>
          <w:tcPr>
            <w:tcW w:w="450" w:type="pct"/>
            <w:tcBorders>
              <w:top w:val="single" w:color="auto" w:sz="6" w:space="0"/>
              <w:left w:val="single" w:color="auto" w:sz="6" w:space="0"/>
              <w:bottom w:val="single" w:color="auto" w:sz="6" w:space="0"/>
              <w:right w:val="single" w:color="auto" w:sz="6" w:space="0"/>
            </w:tcBorders>
            <w:vAlign w:val="center"/>
          </w:tcPr>
          <w:p w14:paraId="5A0C3C77">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年龄</w:t>
            </w:r>
          </w:p>
        </w:tc>
        <w:tc>
          <w:tcPr>
            <w:tcW w:w="539" w:type="pct"/>
            <w:tcBorders>
              <w:top w:val="single" w:color="auto" w:sz="6" w:space="0"/>
              <w:left w:val="single" w:color="auto" w:sz="6" w:space="0"/>
              <w:bottom w:val="single" w:color="auto" w:sz="6" w:space="0"/>
              <w:right w:val="single" w:color="auto" w:sz="6" w:space="0"/>
            </w:tcBorders>
            <w:vAlign w:val="center"/>
          </w:tcPr>
          <w:p w14:paraId="3CC1C2AE">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学历</w:t>
            </w:r>
          </w:p>
        </w:tc>
        <w:tc>
          <w:tcPr>
            <w:tcW w:w="539" w:type="pct"/>
            <w:tcBorders>
              <w:top w:val="single" w:color="auto" w:sz="6" w:space="0"/>
              <w:left w:val="single" w:color="auto" w:sz="6" w:space="0"/>
              <w:bottom w:val="single" w:color="auto" w:sz="6" w:space="0"/>
              <w:right w:val="single" w:color="auto" w:sz="6" w:space="0"/>
            </w:tcBorders>
            <w:vAlign w:val="center"/>
          </w:tcPr>
          <w:p w14:paraId="41210579">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专业</w:t>
            </w:r>
          </w:p>
        </w:tc>
        <w:tc>
          <w:tcPr>
            <w:tcW w:w="539" w:type="pct"/>
            <w:tcBorders>
              <w:top w:val="single" w:color="auto" w:sz="6" w:space="0"/>
              <w:left w:val="single" w:color="auto" w:sz="6" w:space="0"/>
              <w:bottom w:val="single" w:color="auto" w:sz="6" w:space="0"/>
              <w:right w:val="single" w:color="auto" w:sz="6" w:space="0"/>
            </w:tcBorders>
            <w:vAlign w:val="center"/>
          </w:tcPr>
          <w:p w14:paraId="2FA44AA0">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职称</w:t>
            </w:r>
          </w:p>
        </w:tc>
        <w:tc>
          <w:tcPr>
            <w:tcW w:w="630" w:type="pct"/>
            <w:tcBorders>
              <w:top w:val="single" w:color="auto" w:sz="6" w:space="0"/>
              <w:left w:val="single" w:color="auto" w:sz="6" w:space="0"/>
              <w:bottom w:val="single" w:color="auto" w:sz="6" w:space="0"/>
              <w:right w:val="single" w:color="auto" w:sz="6" w:space="0"/>
            </w:tcBorders>
            <w:vAlign w:val="center"/>
          </w:tcPr>
          <w:p w14:paraId="1C656A0D">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本项目中的职责</w:t>
            </w:r>
          </w:p>
        </w:tc>
        <w:tc>
          <w:tcPr>
            <w:tcW w:w="450" w:type="pct"/>
            <w:tcBorders>
              <w:top w:val="single" w:color="auto" w:sz="6" w:space="0"/>
              <w:left w:val="single" w:color="auto" w:sz="6" w:space="0"/>
              <w:bottom w:val="single" w:color="auto" w:sz="6" w:space="0"/>
              <w:right w:val="single" w:color="auto" w:sz="6" w:space="0"/>
            </w:tcBorders>
            <w:vAlign w:val="center"/>
          </w:tcPr>
          <w:p w14:paraId="3252E6D0">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响应时间</w:t>
            </w:r>
          </w:p>
        </w:tc>
        <w:tc>
          <w:tcPr>
            <w:tcW w:w="555" w:type="pct"/>
            <w:tcBorders>
              <w:top w:val="single" w:color="auto" w:sz="6" w:space="0"/>
              <w:left w:val="single" w:color="auto" w:sz="6" w:space="0"/>
              <w:bottom w:val="single" w:color="auto" w:sz="6" w:space="0"/>
              <w:right w:val="single" w:color="auto" w:sz="6" w:space="0"/>
            </w:tcBorders>
            <w:vAlign w:val="center"/>
          </w:tcPr>
          <w:p w14:paraId="1DAD73E4">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到达现场时间</w:t>
            </w:r>
          </w:p>
        </w:tc>
      </w:tr>
      <w:tr w14:paraId="715F0076">
        <w:tblPrEx>
          <w:tblCellMar>
            <w:top w:w="0" w:type="dxa"/>
            <w:left w:w="108" w:type="dxa"/>
            <w:bottom w:w="0" w:type="dxa"/>
            <w:right w:w="108" w:type="dxa"/>
          </w:tblCellMar>
        </w:tblPrEx>
        <w:trPr>
          <w:trHeight w:val="607" w:hRule="atLeast"/>
          <w:jc w:val="center"/>
        </w:trPr>
        <w:tc>
          <w:tcPr>
            <w:tcW w:w="322" w:type="pct"/>
            <w:tcBorders>
              <w:top w:val="single" w:color="auto" w:sz="6" w:space="0"/>
              <w:left w:val="single" w:color="auto" w:sz="6" w:space="0"/>
              <w:bottom w:val="single" w:color="auto" w:sz="6" w:space="0"/>
              <w:right w:val="single" w:color="auto" w:sz="4" w:space="0"/>
            </w:tcBorders>
          </w:tcPr>
          <w:p w14:paraId="121C84B4">
            <w:pPr>
              <w:autoSpaceDE w:val="0"/>
              <w:autoSpaceDN w:val="0"/>
              <w:spacing w:line="360" w:lineRule="auto"/>
              <w:jc w:val="center"/>
              <w:rPr>
                <w:rFonts w:ascii="仿宋_GB2312" w:hAnsi="仿宋" w:eastAsia="仿宋_GB2312" w:cs="仿宋_GB2312"/>
                <w:color w:val="auto"/>
                <w:sz w:val="24"/>
                <w:highlight w:val="none"/>
              </w:rPr>
            </w:pPr>
          </w:p>
        </w:tc>
        <w:tc>
          <w:tcPr>
            <w:tcW w:w="372" w:type="pct"/>
            <w:tcBorders>
              <w:top w:val="single" w:color="auto" w:sz="6" w:space="0"/>
              <w:left w:val="single" w:color="auto" w:sz="4" w:space="0"/>
              <w:bottom w:val="single" w:color="auto" w:sz="6" w:space="0"/>
              <w:right w:val="single" w:color="auto" w:sz="6" w:space="0"/>
            </w:tcBorders>
          </w:tcPr>
          <w:p w14:paraId="13059781">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总协调人</w:t>
            </w:r>
          </w:p>
        </w:tc>
        <w:tc>
          <w:tcPr>
            <w:tcW w:w="393" w:type="pct"/>
            <w:tcBorders>
              <w:top w:val="single" w:color="auto" w:sz="6" w:space="0"/>
              <w:left w:val="single" w:color="auto" w:sz="6" w:space="0"/>
              <w:bottom w:val="single" w:color="auto" w:sz="6" w:space="0"/>
              <w:right w:val="single" w:color="auto" w:sz="6" w:space="0"/>
            </w:tcBorders>
          </w:tcPr>
          <w:p w14:paraId="420BCEEE">
            <w:pPr>
              <w:autoSpaceDE w:val="0"/>
              <w:autoSpaceDN w:val="0"/>
              <w:spacing w:line="360" w:lineRule="auto"/>
              <w:rPr>
                <w:rFonts w:ascii="仿宋_GB2312" w:hAnsi="仿宋" w:eastAsia="仿宋_GB2312" w:cs="仿宋_GB2312"/>
                <w:color w:val="auto"/>
                <w:sz w:val="24"/>
                <w:highlight w:val="none"/>
              </w:rPr>
            </w:pPr>
          </w:p>
        </w:tc>
        <w:tc>
          <w:tcPr>
            <w:tcW w:w="205" w:type="pct"/>
            <w:tcBorders>
              <w:top w:val="single" w:color="auto" w:sz="6" w:space="0"/>
              <w:left w:val="single" w:color="auto" w:sz="6" w:space="0"/>
              <w:bottom w:val="single" w:color="auto" w:sz="6" w:space="0"/>
              <w:right w:val="single" w:color="auto" w:sz="6" w:space="0"/>
            </w:tcBorders>
          </w:tcPr>
          <w:p w14:paraId="5DDE3ED2">
            <w:pPr>
              <w:autoSpaceDE w:val="0"/>
              <w:autoSpaceDN w:val="0"/>
              <w:spacing w:line="360" w:lineRule="auto"/>
              <w:rPr>
                <w:rFonts w:ascii="仿宋_GB2312" w:hAnsi="仿宋" w:eastAsia="仿宋_GB2312" w:cs="仿宋_GB2312"/>
                <w:color w:val="auto"/>
                <w:sz w:val="24"/>
                <w:highlight w:val="none"/>
              </w:rPr>
            </w:pPr>
          </w:p>
        </w:tc>
        <w:tc>
          <w:tcPr>
            <w:tcW w:w="450" w:type="pct"/>
            <w:tcBorders>
              <w:top w:val="single" w:color="auto" w:sz="6" w:space="0"/>
              <w:left w:val="single" w:color="auto" w:sz="6" w:space="0"/>
              <w:bottom w:val="single" w:color="auto" w:sz="6" w:space="0"/>
              <w:right w:val="single" w:color="auto" w:sz="6" w:space="0"/>
            </w:tcBorders>
          </w:tcPr>
          <w:p w14:paraId="3A4C161E">
            <w:pPr>
              <w:autoSpaceDE w:val="0"/>
              <w:autoSpaceDN w:val="0"/>
              <w:spacing w:line="360" w:lineRule="auto"/>
              <w:rPr>
                <w:rFonts w:ascii="仿宋_GB2312" w:hAnsi="仿宋" w:eastAsia="仿宋_GB2312" w:cs="仿宋_GB2312"/>
                <w:color w:val="auto"/>
                <w:sz w:val="24"/>
                <w:highlight w:val="none"/>
              </w:rPr>
            </w:pPr>
          </w:p>
        </w:tc>
        <w:tc>
          <w:tcPr>
            <w:tcW w:w="539" w:type="pct"/>
            <w:tcBorders>
              <w:top w:val="single" w:color="auto" w:sz="6" w:space="0"/>
              <w:left w:val="single" w:color="auto" w:sz="6" w:space="0"/>
              <w:bottom w:val="single" w:color="auto" w:sz="6" w:space="0"/>
              <w:right w:val="single" w:color="auto" w:sz="6" w:space="0"/>
            </w:tcBorders>
          </w:tcPr>
          <w:p w14:paraId="121E38DD">
            <w:pPr>
              <w:autoSpaceDE w:val="0"/>
              <w:autoSpaceDN w:val="0"/>
              <w:spacing w:line="360" w:lineRule="auto"/>
              <w:rPr>
                <w:rFonts w:ascii="仿宋_GB2312" w:hAnsi="仿宋" w:eastAsia="仿宋_GB2312" w:cs="仿宋_GB2312"/>
                <w:color w:val="auto"/>
                <w:sz w:val="24"/>
                <w:highlight w:val="none"/>
              </w:rPr>
            </w:pPr>
          </w:p>
        </w:tc>
        <w:tc>
          <w:tcPr>
            <w:tcW w:w="539" w:type="pct"/>
            <w:tcBorders>
              <w:top w:val="single" w:color="auto" w:sz="6" w:space="0"/>
              <w:left w:val="single" w:color="auto" w:sz="6" w:space="0"/>
              <w:bottom w:val="single" w:color="auto" w:sz="6" w:space="0"/>
              <w:right w:val="single" w:color="auto" w:sz="6" w:space="0"/>
            </w:tcBorders>
          </w:tcPr>
          <w:p w14:paraId="5E214B12">
            <w:pPr>
              <w:autoSpaceDE w:val="0"/>
              <w:autoSpaceDN w:val="0"/>
              <w:spacing w:line="360" w:lineRule="auto"/>
              <w:rPr>
                <w:rFonts w:ascii="仿宋_GB2312" w:hAnsi="仿宋" w:eastAsia="仿宋_GB2312" w:cs="仿宋_GB2312"/>
                <w:color w:val="auto"/>
                <w:sz w:val="24"/>
                <w:highlight w:val="none"/>
              </w:rPr>
            </w:pPr>
          </w:p>
        </w:tc>
        <w:tc>
          <w:tcPr>
            <w:tcW w:w="539" w:type="pct"/>
            <w:tcBorders>
              <w:top w:val="single" w:color="auto" w:sz="6" w:space="0"/>
              <w:left w:val="single" w:color="auto" w:sz="6" w:space="0"/>
              <w:bottom w:val="single" w:color="auto" w:sz="6" w:space="0"/>
              <w:right w:val="single" w:color="auto" w:sz="6" w:space="0"/>
            </w:tcBorders>
          </w:tcPr>
          <w:p w14:paraId="78F1FD7F">
            <w:pPr>
              <w:autoSpaceDE w:val="0"/>
              <w:autoSpaceDN w:val="0"/>
              <w:spacing w:line="360" w:lineRule="auto"/>
              <w:rPr>
                <w:rFonts w:ascii="仿宋_GB2312" w:hAnsi="仿宋" w:eastAsia="仿宋_GB2312" w:cs="仿宋_GB2312"/>
                <w:color w:val="auto"/>
                <w:sz w:val="24"/>
                <w:highlight w:val="none"/>
              </w:rPr>
            </w:pPr>
          </w:p>
        </w:tc>
        <w:tc>
          <w:tcPr>
            <w:tcW w:w="630" w:type="pct"/>
            <w:tcBorders>
              <w:top w:val="single" w:color="auto" w:sz="6" w:space="0"/>
              <w:left w:val="single" w:color="auto" w:sz="6" w:space="0"/>
              <w:bottom w:val="single" w:color="auto" w:sz="6" w:space="0"/>
              <w:right w:val="single" w:color="auto" w:sz="6" w:space="0"/>
            </w:tcBorders>
          </w:tcPr>
          <w:p w14:paraId="273E10DF">
            <w:pPr>
              <w:autoSpaceDE w:val="0"/>
              <w:autoSpaceDN w:val="0"/>
              <w:spacing w:line="360" w:lineRule="auto"/>
              <w:rPr>
                <w:rFonts w:ascii="仿宋_GB2312" w:hAnsi="仿宋" w:eastAsia="仿宋_GB2312" w:cs="仿宋_GB2312"/>
                <w:color w:val="auto"/>
                <w:sz w:val="24"/>
                <w:highlight w:val="none"/>
              </w:rPr>
            </w:pPr>
          </w:p>
        </w:tc>
        <w:tc>
          <w:tcPr>
            <w:tcW w:w="450" w:type="pct"/>
            <w:tcBorders>
              <w:top w:val="single" w:color="auto" w:sz="6" w:space="0"/>
              <w:left w:val="single" w:color="auto" w:sz="6" w:space="0"/>
              <w:bottom w:val="single" w:color="auto" w:sz="6" w:space="0"/>
              <w:right w:val="single" w:color="auto" w:sz="6" w:space="0"/>
            </w:tcBorders>
          </w:tcPr>
          <w:p w14:paraId="6DC507D2">
            <w:pPr>
              <w:autoSpaceDE w:val="0"/>
              <w:autoSpaceDN w:val="0"/>
              <w:spacing w:line="360" w:lineRule="auto"/>
              <w:rPr>
                <w:rFonts w:ascii="仿宋_GB2312" w:hAnsi="仿宋" w:eastAsia="仿宋_GB2312" w:cs="仿宋_GB2312"/>
                <w:color w:val="auto"/>
                <w:sz w:val="24"/>
                <w:highlight w:val="none"/>
              </w:rPr>
            </w:pPr>
          </w:p>
        </w:tc>
        <w:tc>
          <w:tcPr>
            <w:tcW w:w="555" w:type="pct"/>
            <w:tcBorders>
              <w:top w:val="single" w:color="auto" w:sz="6" w:space="0"/>
              <w:left w:val="single" w:color="auto" w:sz="6" w:space="0"/>
              <w:bottom w:val="single" w:color="auto" w:sz="6" w:space="0"/>
              <w:right w:val="single" w:color="auto" w:sz="6" w:space="0"/>
            </w:tcBorders>
          </w:tcPr>
          <w:p w14:paraId="53BE11FB">
            <w:pPr>
              <w:autoSpaceDE w:val="0"/>
              <w:autoSpaceDN w:val="0"/>
              <w:spacing w:line="360" w:lineRule="auto"/>
              <w:rPr>
                <w:rFonts w:ascii="仿宋_GB2312" w:hAnsi="仿宋" w:eastAsia="仿宋_GB2312" w:cs="仿宋_GB2312"/>
                <w:color w:val="auto"/>
                <w:sz w:val="24"/>
                <w:highlight w:val="none"/>
              </w:rPr>
            </w:pPr>
          </w:p>
        </w:tc>
      </w:tr>
      <w:tr w14:paraId="70786976">
        <w:tblPrEx>
          <w:tblCellMar>
            <w:top w:w="0" w:type="dxa"/>
            <w:left w:w="108" w:type="dxa"/>
            <w:bottom w:w="0" w:type="dxa"/>
            <w:right w:w="108" w:type="dxa"/>
          </w:tblCellMar>
        </w:tblPrEx>
        <w:trPr>
          <w:trHeight w:val="595" w:hRule="atLeast"/>
          <w:jc w:val="center"/>
        </w:trPr>
        <w:tc>
          <w:tcPr>
            <w:tcW w:w="322" w:type="pct"/>
            <w:tcBorders>
              <w:top w:val="single" w:color="auto" w:sz="6" w:space="0"/>
              <w:left w:val="single" w:color="auto" w:sz="6" w:space="0"/>
              <w:bottom w:val="single" w:color="auto" w:sz="6" w:space="0"/>
              <w:right w:val="single" w:color="auto" w:sz="4" w:space="0"/>
            </w:tcBorders>
          </w:tcPr>
          <w:p w14:paraId="5FF05982">
            <w:pPr>
              <w:autoSpaceDE w:val="0"/>
              <w:autoSpaceDN w:val="0"/>
              <w:spacing w:line="360" w:lineRule="auto"/>
              <w:jc w:val="center"/>
              <w:rPr>
                <w:rFonts w:ascii="仿宋_GB2312" w:hAnsi="仿宋" w:eastAsia="仿宋_GB2312" w:cs="仿宋_GB2312"/>
                <w:color w:val="auto"/>
                <w:sz w:val="24"/>
                <w:highlight w:val="none"/>
              </w:rPr>
            </w:pPr>
          </w:p>
        </w:tc>
        <w:tc>
          <w:tcPr>
            <w:tcW w:w="372" w:type="pct"/>
            <w:tcBorders>
              <w:top w:val="single" w:color="auto" w:sz="6" w:space="0"/>
              <w:left w:val="single" w:color="auto" w:sz="4" w:space="0"/>
              <w:bottom w:val="single" w:color="auto" w:sz="6" w:space="0"/>
              <w:right w:val="single" w:color="auto" w:sz="6" w:space="0"/>
            </w:tcBorders>
          </w:tcPr>
          <w:p w14:paraId="59A3D04E">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售后人员</w:t>
            </w:r>
          </w:p>
        </w:tc>
        <w:tc>
          <w:tcPr>
            <w:tcW w:w="393" w:type="pct"/>
            <w:tcBorders>
              <w:top w:val="single" w:color="auto" w:sz="6" w:space="0"/>
              <w:left w:val="single" w:color="auto" w:sz="6" w:space="0"/>
              <w:bottom w:val="single" w:color="auto" w:sz="6" w:space="0"/>
              <w:right w:val="single" w:color="auto" w:sz="6" w:space="0"/>
            </w:tcBorders>
          </w:tcPr>
          <w:p w14:paraId="7D9A2489">
            <w:pPr>
              <w:autoSpaceDE w:val="0"/>
              <w:autoSpaceDN w:val="0"/>
              <w:spacing w:line="360" w:lineRule="auto"/>
              <w:rPr>
                <w:rFonts w:ascii="仿宋_GB2312" w:hAnsi="仿宋" w:eastAsia="仿宋_GB2312" w:cs="仿宋_GB2312"/>
                <w:color w:val="auto"/>
                <w:sz w:val="24"/>
                <w:highlight w:val="none"/>
              </w:rPr>
            </w:pPr>
          </w:p>
        </w:tc>
        <w:tc>
          <w:tcPr>
            <w:tcW w:w="205" w:type="pct"/>
            <w:tcBorders>
              <w:top w:val="single" w:color="auto" w:sz="6" w:space="0"/>
              <w:left w:val="single" w:color="auto" w:sz="6" w:space="0"/>
              <w:bottom w:val="single" w:color="auto" w:sz="6" w:space="0"/>
              <w:right w:val="single" w:color="auto" w:sz="6" w:space="0"/>
            </w:tcBorders>
          </w:tcPr>
          <w:p w14:paraId="274CB708">
            <w:pPr>
              <w:autoSpaceDE w:val="0"/>
              <w:autoSpaceDN w:val="0"/>
              <w:spacing w:line="360" w:lineRule="auto"/>
              <w:rPr>
                <w:rFonts w:ascii="仿宋_GB2312" w:hAnsi="仿宋" w:eastAsia="仿宋_GB2312" w:cs="仿宋_GB2312"/>
                <w:color w:val="auto"/>
                <w:sz w:val="24"/>
                <w:highlight w:val="none"/>
              </w:rPr>
            </w:pPr>
          </w:p>
        </w:tc>
        <w:tc>
          <w:tcPr>
            <w:tcW w:w="450" w:type="pct"/>
            <w:tcBorders>
              <w:top w:val="single" w:color="auto" w:sz="6" w:space="0"/>
              <w:left w:val="single" w:color="auto" w:sz="6" w:space="0"/>
              <w:bottom w:val="single" w:color="auto" w:sz="6" w:space="0"/>
              <w:right w:val="single" w:color="auto" w:sz="6" w:space="0"/>
            </w:tcBorders>
          </w:tcPr>
          <w:p w14:paraId="48BA6218">
            <w:pPr>
              <w:autoSpaceDE w:val="0"/>
              <w:autoSpaceDN w:val="0"/>
              <w:spacing w:line="360" w:lineRule="auto"/>
              <w:rPr>
                <w:rFonts w:ascii="仿宋_GB2312" w:hAnsi="仿宋" w:eastAsia="仿宋_GB2312" w:cs="仿宋_GB2312"/>
                <w:color w:val="auto"/>
                <w:sz w:val="24"/>
                <w:highlight w:val="none"/>
              </w:rPr>
            </w:pPr>
          </w:p>
        </w:tc>
        <w:tc>
          <w:tcPr>
            <w:tcW w:w="539" w:type="pct"/>
            <w:tcBorders>
              <w:top w:val="single" w:color="auto" w:sz="6" w:space="0"/>
              <w:left w:val="single" w:color="auto" w:sz="6" w:space="0"/>
              <w:bottom w:val="single" w:color="auto" w:sz="6" w:space="0"/>
              <w:right w:val="single" w:color="auto" w:sz="6" w:space="0"/>
            </w:tcBorders>
          </w:tcPr>
          <w:p w14:paraId="56686149">
            <w:pPr>
              <w:autoSpaceDE w:val="0"/>
              <w:autoSpaceDN w:val="0"/>
              <w:spacing w:line="360" w:lineRule="auto"/>
              <w:rPr>
                <w:rFonts w:ascii="仿宋_GB2312" w:hAnsi="仿宋" w:eastAsia="仿宋_GB2312" w:cs="仿宋_GB2312"/>
                <w:color w:val="auto"/>
                <w:sz w:val="24"/>
                <w:highlight w:val="none"/>
              </w:rPr>
            </w:pPr>
          </w:p>
        </w:tc>
        <w:tc>
          <w:tcPr>
            <w:tcW w:w="539" w:type="pct"/>
            <w:tcBorders>
              <w:top w:val="single" w:color="auto" w:sz="6" w:space="0"/>
              <w:left w:val="single" w:color="auto" w:sz="6" w:space="0"/>
              <w:bottom w:val="single" w:color="auto" w:sz="6" w:space="0"/>
              <w:right w:val="single" w:color="auto" w:sz="6" w:space="0"/>
            </w:tcBorders>
          </w:tcPr>
          <w:p w14:paraId="4C3F7B0A">
            <w:pPr>
              <w:autoSpaceDE w:val="0"/>
              <w:autoSpaceDN w:val="0"/>
              <w:spacing w:line="360" w:lineRule="auto"/>
              <w:rPr>
                <w:rFonts w:ascii="仿宋_GB2312" w:hAnsi="仿宋" w:eastAsia="仿宋_GB2312" w:cs="仿宋_GB2312"/>
                <w:color w:val="auto"/>
                <w:sz w:val="24"/>
                <w:highlight w:val="none"/>
              </w:rPr>
            </w:pPr>
          </w:p>
        </w:tc>
        <w:tc>
          <w:tcPr>
            <w:tcW w:w="539" w:type="pct"/>
            <w:tcBorders>
              <w:top w:val="single" w:color="auto" w:sz="6" w:space="0"/>
              <w:left w:val="single" w:color="auto" w:sz="6" w:space="0"/>
              <w:bottom w:val="single" w:color="auto" w:sz="6" w:space="0"/>
              <w:right w:val="single" w:color="auto" w:sz="6" w:space="0"/>
            </w:tcBorders>
          </w:tcPr>
          <w:p w14:paraId="52B5190F">
            <w:pPr>
              <w:autoSpaceDE w:val="0"/>
              <w:autoSpaceDN w:val="0"/>
              <w:spacing w:line="360" w:lineRule="auto"/>
              <w:rPr>
                <w:rFonts w:ascii="仿宋_GB2312" w:hAnsi="仿宋" w:eastAsia="仿宋_GB2312" w:cs="仿宋_GB2312"/>
                <w:color w:val="auto"/>
                <w:sz w:val="24"/>
                <w:highlight w:val="none"/>
              </w:rPr>
            </w:pPr>
          </w:p>
        </w:tc>
        <w:tc>
          <w:tcPr>
            <w:tcW w:w="630" w:type="pct"/>
            <w:tcBorders>
              <w:top w:val="single" w:color="auto" w:sz="6" w:space="0"/>
              <w:left w:val="single" w:color="auto" w:sz="6" w:space="0"/>
              <w:bottom w:val="single" w:color="auto" w:sz="6" w:space="0"/>
              <w:right w:val="single" w:color="auto" w:sz="6" w:space="0"/>
            </w:tcBorders>
          </w:tcPr>
          <w:p w14:paraId="58A56572">
            <w:pPr>
              <w:autoSpaceDE w:val="0"/>
              <w:autoSpaceDN w:val="0"/>
              <w:spacing w:line="360" w:lineRule="auto"/>
              <w:rPr>
                <w:rFonts w:ascii="仿宋_GB2312" w:hAnsi="仿宋" w:eastAsia="仿宋_GB2312" w:cs="仿宋_GB2312"/>
                <w:color w:val="auto"/>
                <w:sz w:val="24"/>
                <w:highlight w:val="none"/>
              </w:rPr>
            </w:pPr>
          </w:p>
        </w:tc>
        <w:tc>
          <w:tcPr>
            <w:tcW w:w="450" w:type="pct"/>
            <w:tcBorders>
              <w:top w:val="single" w:color="auto" w:sz="6" w:space="0"/>
              <w:left w:val="single" w:color="auto" w:sz="6" w:space="0"/>
              <w:bottom w:val="single" w:color="auto" w:sz="6" w:space="0"/>
              <w:right w:val="single" w:color="auto" w:sz="6" w:space="0"/>
            </w:tcBorders>
          </w:tcPr>
          <w:p w14:paraId="7BCA6599">
            <w:pPr>
              <w:autoSpaceDE w:val="0"/>
              <w:autoSpaceDN w:val="0"/>
              <w:spacing w:line="360" w:lineRule="auto"/>
              <w:rPr>
                <w:rFonts w:ascii="仿宋_GB2312" w:hAnsi="仿宋" w:eastAsia="仿宋_GB2312" w:cs="仿宋_GB2312"/>
                <w:color w:val="auto"/>
                <w:sz w:val="24"/>
                <w:highlight w:val="none"/>
              </w:rPr>
            </w:pPr>
          </w:p>
        </w:tc>
        <w:tc>
          <w:tcPr>
            <w:tcW w:w="555" w:type="pct"/>
            <w:tcBorders>
              <w:top w:val="single" w:color="auto" w:sz="6" w:space="0"/>
              <w:left w:val="single" w:color="auto" w:sz="6" w:space="0"/>
              <w:bottom w:val="single" w:color="auto" w:sz="6" w:space="0"/>
              <w:right w:val="single" w:color="auto" w:sz="6" w:space="0"/>
            </w:tcBorders>
          </w:tcPr>
          <w:p w14:paraId="212C30F2">
            <w:pPr>
              <w:autoSpaceDE w:val="0"/>
              <w:autoSpaceDN w:val="0"/>
              <w:spacing w:line="360" w:lineRule="auto"/>
              <w:rPr>
                <w:rFonts w:ascii="仿宋_GB2312" w:hAnsi="仿宋" w:eastAsia="仿宋_GB2312" w:cs="仿宋_GB2312"/>
                <w:color w:val="auto"/>
                <w:sz w:val="24"/>
                <w:highlight w:val="none"/>
              </w:rPr>
            </w:pPr>
          </w:p>
        </w:tc>
      </w:tr>
      <w:tr w14:paraId="10FF0C8F">
        <w:tblPrEx>
          <w:tblCellMar>
            <w:top w:w="0" w:type="dxa"/>
            <w:left w:w="108" w:type="dxa"/>
            <w:bottom w:w="0" w:type="dxa"/>
            <w:right w:w="108" w:type="dxa"/>
          </w:tblCellMar>
        </w:tblPrEx>
        <w:trPr>
          <w:trHeight w:val="595" w:hRule="atLeast"/>
          <w:jc w:val="center"/>
        </w:trPr>
        <w:tc>
          <w:tcPr>
            <w:tcW w:w="322" w:type="pct"/>
            <w:tcBorders>
              <w:top w:val="single" w:color="auto" w:sz="6" w:space="0"/>
              <w:left w:val="single" w:color="auto" w:sz="6" w:space="0"/>
              <w:bottom w:val="single" w:color="auto" w:sz="6" w:space="0"/>
              <w:right w:val="single" w:color="auto" w:sz="4" w:space="0"/>
            </w:tcBorders>
          </w:tcPr>
          <w:p w14:paraId="289C5FB2">
            <w:pPr>
              <w:autoSpaceDE w:val="0"/>
              <w:autoSpaceDN w:val="0"/>
              <w:spacing w:line="360" w:lineRule="auto"/>
              <w:jc w:val="center"/>
              <w:rPr>
                <w:rFonts w:ascii="仿宋_GB2312" w:hAnsi="仿宋" w:eastAsia="仿宋_GB2312" w:cs="仿宋_GB2312"/>
                <w:color w:val="auto"/>
                <w:sz w:val="24"/>
                <w:highlight w:val="none"/>
              </w:rPr>
            </w:pPr>
          </w:p>
        </w:tc>
        <w:tc>
          <w:tcPr>
            <w:tcW w:w="372" w:type="pct"/>
            <w:tcBorders>
              <w:top w:val="single" w:color="auto" w:sz="6" w:space="0"/>
              <w:left w:val="single" w:color="auto" w:sz="4" w:space="0"/>
              <w:bottom w:val="single" w:color="auto" w:sz="6" w:space="0"/>
              <w:right w:val="single" w:color="auto" w:sz="6" w:space="0"/>
            </w:tcBorders>
          </w:tcPr>
          <w:p w14:paraId="33985D4C">
            <w:pPr>
              <w:autoSpaceDE w:val="0"/>
              <w:autoSpaceDN w:val="0"/>
              <w:spacing w:line="360" w:lineRule="auto"/>
              <w:jc w:val="center"/>
              <w:rPr>
                <w:rFonts w:ascii="仿宋_GB2312" w:hAnsi="仿宋" w:eastAsia="仿宋_GB2312" w:cs="仿宋_GB2312"/>
                <w:color w:val="auto"/>
                <w:sz w:val="24"/>
                <w:highlight w:val="none"/>
              </w:rPr>
            </w:pPr>
          </w:p>
        </w:tc>
        <w:tc>
          <w:tcPr>
            <w:tcW w:w="393" w:type="pct"/>
            <w:tcBorders>
              <w:top w:val="single" w:color="auto" w:sz="6" w:space="0"/>
              <w:left w:val="single" w:color="auto" w:sz="6" w:space="0"/>
              <w:bottom w:val="single" w:color="auto" w:sz="6" w:space="0"/>
              <w:right w:val="single" w:color="auto" w:sz="6" w:space="0"/>
            </w:tcBorders>
          </w:tcPr>
          <w:p w14:paraId="244B02A7">
            <w:pPr>
              <w:autoSpaceDE w:val="0"/>
              <w:autoSpaceDN w:val="0"/>
              <w:spacing w:line="360" w:lineRule="auto"/>
              <w:rPr>
                <w:rFonts w:ascii="仿宋_GB2312" w:hAnsi="仿宋" w:eastAsia="仿宋_GB2312" w:cs="仿宋_GB2312"/>
                <w:color w:val="auto"/>
                <w:sz w:val="24"/>
                <w:highlight w:val="none"/>
              </w:rPr>
            </w:pPr>
          </w:p>
        </w:tc>
        <w:tc>
          <w:tcPr>
            <w:tcW w:w="205" w:type="pct"/>
            <w:tcBorders>
              <w:top w:val="single" w:color="auto" w:sz="6" w:space="0"/>
              <w:left w:val="single" w:color="auto" w:sz="6" w:space="0"/>
              <w:bottom w:val="single" w:color="auto" w:sz="6" w:space="0"/>
              <w:right w:val="single" w:color="auto" w:sz="6" w:space="0"/>
            </w:tcBorders>
          </w:tcPr>
          <w:p w14:paraId="7373456C">
            <w:pPr>
              <w:autoSpaceDE w:val="0"/>
              <w:autoSpaceDN w:val="0"/>
              <w:spacing w:line="360" w:lineRule="auto"/>
              <w:rPr>
                <w:rFonts w:ascii="仿宋_GB2312" w:hAnsi="仿宋" w:eastAsia="仿宋_GB2312" w:cs="仿宋_GB2312"/>
                <w:color w:val="auto"/>
                <w:sz w:val="24"/>
                <w:highlight w:val="none"/>
              </w:rPr>
            </w:pPr>
          </w:p>
        </w:tc>
        <w:tc>
          <w:tcPr>
            <w:tcW w:w="450" w:type="pct"/>
            <w:tcBorders>
              <w:top w:val="single" w:color="auto" w:sz="6" w:space="0"/>
              <w:left w:val="single" w:color="auto" w:sz="6" w:space="0"/>
              <w:bottom w:val="single" w:color="auto" w:sz="6" w:space="0"/>
              <w:right w:val="single" w:color="auto" w:sz="6" w:space="0"/>
            </w:tcBorders>
          </w:tcPr>
          <w:p w14:paraId="0320520D">
            <w:pPr>
              <w:autoSpaceDE w:val="0"/>
              <w:autoSpaceDN w:val="0"/>
              <w:spacing w:line="360" w:lineRule="auto"/>
              <w:rPr>
                <w:rFonts w:ascii="仿宋_GB2312" w:hAnsi="仿宋" w:eastAsia="仿宋_GB2312" w:cs="仿宋_GB2312"/>
                <w:color w:val="auto"/>
                <w:sz w:val="24"/>
                <w:highlight w:val="none"/>
              </w:rPr>
            </w:pPr>
          </w:p>
        </w:tc>
        <w:tc>
          <w:tcPr>
            <w:tcW w:w="539" w:type="pct"/>
            <w:tcBorders>
              <w:top w:val="single" w:color="auto" w:sz="6" w:space="0"/>
              <w:left w:val="single" w:color="auto" w:sz="6" w:space="0"/>
              <w:bottom w:val="single" w:color="auto" w:sz="6" w:space="0"/>
              <w:right w:val="single" w:color="auto" w:sz="6" w:space="0"/>
            </w:tcBorders>
          </w:tcPr>
          <w:p w14:paraId="056AD31A">
            <w:pPr>
              <w:autoSpaceDE w:val="0"/>
              <w:autoSpaceDN w:val="0"/>
              <w:spacing w:line="360" w:lineRule="auto"/>
              <w:rPr>
                <w:rFonts w:ascii="仿宋_GB2312" w:hAnsi="仿宋" w:eastAsia="仿宋_GB2312" w:cs="仿宋_GB2312"/>
                <w:color w:val="auto"/>
                <w:sz w:val="24"/>
                <w:highlight w:val="none"/>
              </w:rPr>
            </w:pPr>
          </w:p>
        </w:tc>
        <w:tc>
          <w:tcPr>
            <w:tcW w:w="539" w:type="pct"/>
            <w:tcBorders>
              <w:top w:val="single" w:color="auto" w:sz="6" w:space="0"/>
              <w:left w:val="single" w:color="auto" w:sz="6" w:space="0"/>
              <w:bottom w:val="single" w:color="auto" w:sz="6" w:space="0"/>
              <w:right w:val="single" w:color="auto" w:sz="6" w:space="0"/>
            </w:tcBorders>
          </w:tcPr>
          <w:p w14:paraId="66BBCB75">
            <w:pPr>
              <w:autoSpaceDE w:val="0"/>
              <w:autoSpaceDN w:val="0"/>
              <w:spacing w:line="360" w:lineRule="auto"/>
              <w:rPr>
                <w:rFonts w:ascii="仿宋_GB2312" w:hAnsi="仿宋" w:eastAsia="仿宋_GB2312" w:cs="仿宋_GB2312"/>
                <w:color w:val="auto"/>
                <w:sz w:val="24"/>
                <w:highlight w:val="none"/>
              </w:rPr>
            </w:pPr>
          </w:p>
        </w:tc>
        <w:tc>
          <w:tcPr>
            <w:tcW w:w="539" w:type="pct"/>
            <w:tcBorders>
              <w:top w:val="single" w:color="auto" w:sz="6" w:space="0"/>
              <w:left w:val="single" w:color="auto" w:sz="6" w:space="0"/>
              <w:bottom w:val="single" w:color="auto" w:sz="6" w:space="0"/>
              <w:right w:val="single" w:color="auto" w:sz="6" w:space="0"/>
            </w:tcBorders>
          </w:tcPr>
          <w:p w14:paraId="3494319F">
            <w:pPr>
              <w:autoSpaceDE w:val="0"/>
              <w:autoSpaceDN w:val="0"/>
              <w:spacing w:line="360" w:lineRule="auto"/>
              <w:rPr>
                <w:rFonts w:ascii="仿宋_GB2312" w:hAnsi="仿宋" w:eastAsia="仿宋_GB2312" w:cs="仿宋_GB2312"/>
                <w:color w:val="auto"/>
                <w:sz w:val="24"/>
                <w:highlight w:val="none"/>
              </w:rPr>
            </w:pPr>
          </w:p>
        </w:tc>
        <w:tc>
          <w:tcPr>
            <w:tcW w:w="630" w:type="pct"/>
            <w:tcBorders>
              <w:top w:val="single" w:color="auto" w:sz="6" w:space="0"/>
              <w:left w:val="single" w:color="auto" w:sz="6" w:space="0"/>
              <w:bottom w:val="single" w:color="auto" w:sz="6" w:space="0"/>
              <w:right w:val="single" w:color="auto" w:sz="6" w:space="0"/>
            </w:tcBorders>
          </w:tcPr>
          <w:p w14:paraId="06762972">
            <w:pPr>
              <w:autoSpaceDE w:val="0"/>
              <w:autoSpaceDN w:val="0"/>
              <w:spacing w:line="360" w:lineRule="auto"/>
              <w:rPr>
                <w:rFonts w:ascii="仿宋_GB2312" w:hAnsi="仿宋" w:eastAsia="仿宋_GB2312" w:cs="仿宋_GB2312"/>
                <w:color w:val="auto"/>
                <w:sz w:val="24"/>
                <w:highlight w:val="none"/>
              </w:rPr>
            </w:pPr>
          </w:p>
        </w:tc>
        <w:tc>
          <w:tcPr>
            <w:tcW w:w="450" w:type="pct"/>
            <w:tcBorders>
              <w:top w:val="single" w:color="auto" w:sz="6" w:space="0"/>
              <w:left w:val="single" w:color="auto" w:sz="6" w:space="0"/>
              <w:bottom w:val="single" w:color="auto" w:sz="6" w:space="0"/>
              <w:right w:val="single" w:color="auto" w:sz="6" w:space="0"/>
            </w:tcBorders>
          </w:tcPr>
          <w:p w14:paraId="0B903CE3">
            <w:pPr>
              <w:autoSpaceDE w:val="0"/>
              <w:autoSpaceDN w:val="0"/>
              <w:spacing w:line="360" w:lineRule="auto"/>
              <w:rPr>
                <w:rFonts w:ascii="仿宋_GB2312" w:hAnsi="仿宋" w:eastAsia="仿宋_GB2312" w:cs="仿宋_GB2312"/>
                <w:color w:val="auto"/>
                <w:sz w:val="24"/>
                <w:highlight w:val="none"/>
              </w:rPr>
            </w:pPr>
          </w:p>
        </w:tc>
        <w:tc>
          <w:tcPr>
            <w:tcW w:w="555" w:type="pct"/>
            <w:tcBorders>
              <w:top w:val="single" w:color="auto" w:sz="6" w:space="0"/>
              <w:left w:val="single" w:color="auto" w:sz="6" w:space="0"/>
              <w:bottom w:val="single" w:color="auto" w:sz="6" w:space="0"/>
              <w:right w:val="single" w:color="auto" w:sz="6" w:space="0"/>
            </w:tcBorders>
          </w:tcPr>
          <w:p w14:paraId="6762A446">
            <w:pPr>
              <w:autoSpaceDE w:val="0"/>
              <w:autoSpaceDN w:val="0"/>
              <w:spacing w:line="360" w:lineRule="auto"/>
              <w:rPr>
                <w:rFonts w:ascii="仿宋_GB2312" w:hAnsi="仿宋" w:eastAsia="仿宋_GB2312" w:cs="仿宋_GB2312"/>
                <w:color w:val="auto"/>
                <w:sz w:val="24"/>
                <w:highlight w:val="none"/>
              </w:rPr>
            </w:pPr>
          </w:p>
        </w:tc>
      </w:tr>
      <w:tr w14:paraId="45D9996B">
        <w:tblPrEx>
          <w:tblCellMar>
            <w:top w:w="0" w:type="dxa"/>
            <w:left w:w="108" w:type="dxa"/>
            <w:bottom w:w="0" w:type="dxa"/>
            <w:right w:w="108" w:type="dxa"/>
          </w:tblCellMar>
        </w:tblPrEx>
        <w:trPr>
          <w:trHeight w:val="595" w:hRule="atLeast"/>
          <w:jc w:val="center"/>
        </w:trPr>
        <w:tc>
          <w:tcPr>
            <w:tcW w:w="322" w:type="pct"/>
            <w:tcBorders>
              <w:top w:val="single" w:color="auto" w:sz="6" w:space="0"/>
              <w:left w:val="single" w:color="auto" w:sz="6" w:space="0"/>
              <w:bottom w:val="single" w:color="auto" w:sz="6" w:space="0"/>
              <w:right w:val="single" w:color="auto" w:sz="4" w:space="0"/>
            </w:tcBorders>
          </w:tcPr>
          <w:p w14:paraId="1906344B">
            <w:pPr>
              <w:autoSpaceDE w:val="0"/>
              <w:autoSpaceDN w:val="0"/>
              <w:spacing w:line="360" w:lineRule="auto"/>
              <w:jc w:val="center"/>
              <w:rPr>
                <w:rFonts w:ascii="仿宋_GB2312" w:hAnsi="仿宋" w:eastAsia="仿宋_GB2312" w:cs="仿宋_GB2312"/>
                <w:color w:val="auto"/>
                <w:sz w:val="24"/>
                <w:highlight w:val="none"/>
              </w:rPr>
            </w:pPr>
          </w:p>
        </w:tc>
        <w:tc>
          <w:tcPr>
            <w:tcW w:w="372" w:type="pct"/>
            <w:tcBorders>
              <w:top w:val="single" w:color="auto" w:sz="6" w:space="0"/>
              <w:left w:val="single" w:color="auto" w:sz="4" w:space="0"/>
              <w:bottom w:val="single" w:color="auto" w:sz="6" w:space="0"/>
              <w:right w:val="single" w:color="auto" w:sz="6" w:space="0"/>
            </w:tcBorders>
          </w:tcPr>
          <w:p w14:paraId="7BCD46D3">
            <w:pPr>
              <w:autoSpaceDE w:val="0"/>
              <w:autoSpaceDN w:val="0"/>
              <w:spacing w:line="360" w:lineRule="auto"/>
              <w:jc w:val="center"/>
              <w:rPr>
                <w:rFonts w:ascii="仿宋_GB2312" w:hAnsi="仿宋" w:eastAsia="仿宋_GB2312" w:cs="仿宋_GB2312"/>
                <w:color w:val="auto"/>
                <w:sz w:val="24"/>
                <w:highlight w:val="none"/>
              </w:rPr>
            </w:pPr>
          </w:p>
        </w:tc>
        <w:tc>
          <w:tcPr>
            <w:tcW w:w="393" w:type="pct"/>
            <w:tcBorders>
              <w:top w:val="single" w:color="auto" w:sz="6" w:space="0"/>
              <w:left w:val="single" w:color="auto" w:sz="6" w:space="0"/>
              <w:bottom w:val="single" w:color="auto" w:sz="6" w:space="0"/>
              <w:right w:val="single" w:color="auto" w:sz="6" w:space="0"/>
            </w:tcBorders>
          </w:tcPr>
          <w:p w14:paraId="2297CF4F">
            <w:pPr>
              <w:autoSpaceDE w:val="0"/>
              <w:autoSpaceDN w:val="0"/>
              <w:spacing w:line="360" w:lineRule="auto"/>
              <w:rPr>
                <w:rFonts w:ascii="仿宋_GB2312" w:hAnsi="仿宋" w:eastAsia="仿宋_GB2312" w:cs="仿宋_GB2312"/>
                <w:color w:val="auto"/>
                <w:sz w:val="24"/>
                <w:highlight w:val="none"/>
              </w:rPr>
            </w:pPr>
          </w:p>
        </w:tc>
        <w:tc>
          <w:tcPr>
            <w:tcW w:w="205" w:type="pct"/>
            <w:tcBorders>
              <w:top w:val="single" w:color="auto" w:sz="6" w:space="0"/>
              <w:left w:val="single" w:color="auto" w:sz="6" w:space="0"/>
              <w:bottom w:val="single" w:color="auto" w:sz="6" w:space="0"/>
              <w:right w:val="single" w:color="auto" w:sz="6" w:space="0"/>
            </w:tcBorders>
          </w:tcPr>
          <w:p w14:paraId="29E5B976">
            <w:pPr>
              <w:autoSpaceDE w:val="0"/>
              <w:autoSpaceDN w:val="0"/>
              <w:spacing w:line="360" w:lineRule="auto"/>
              <w:rPr>
                <w:rFonts w:ascii="仿宋_GB2312" w:hAnsi="仿宋" w:eastAsia="仿宋_GB2312" w:cs="仿宋_GB2312"/>
                <w:color w:val="auto"/>
                <w:sz w:val="24"/>
                <w:highlight w:val="none"/>
              </w:rPr>
            </w:pPr>
          </w:p>
        </w:tc>
        <w:tc>
          <w:tcPr>
            <w:tcW w:w="450" w:type="pct"/>
            <w:tcBorders>
              <w:top w:val="single" w:color="auto" w:sz="6" w:space="0"/>
              <w:left w:val="single" w:color="auto" w:sz="6" w:space="0"/>
              <w:bottom w:val="single" w:color="auto" w:sz="6" w:space="0"/>
              <w:right w:val="single" w:color="auto" w:sz="6" w:space="0"/>
            </w:tcBorders>
          </w:tcPr>
          <w:p w14:paraId="7A95463C">
            <w:pPr>
              <w:autoSpaceDE w:val="0"/>
              <w:autoSpaceDN w:val="0"/>
              <w:spacing w:line="360" w:lineRule="auto"/>
              <w:rPr>
                <w:rFonts w:ascii="仿宋_GB2312" w:hAnsi="仿宋" w:eastAsia="仿宋_GB2312" w:cs="仿宋_GB2312"/>
                <w:color w:val="auto"/>
                <w:sz w:val="24"/>
                <w:highlight w:val="none"/>
              </w:rPr>
            </w:pPr>
          </w:p>
        </w:tc>
        <w:tc>
          <w:tcPr>
            <w:tcW w:w="539" w:type="pct"/>
            <w:tcBorders>
              <w:top w:val="single" w:color="auto" w:sz="6" w:space="0"/>
              <w:left w:val="single" w:color="auto" w:sz="6" w:space="0"/>
              <w:bottom w:val="single" w:color="auto" w:sz="6" w:space="0"/>
              <w:right w:val="single" w:color="auto" w:sz="6" w:space="0"/>
            </w:tcBorders>
          </w:tcPr>
          <w:p w14:paraId="19D4E96F">
            <w:pPr>
              <w:autoSpaceDE w:val="0"/>
              <w:autoSpaceDN w:val="0"/>
              <w:spacing w:line="360" w:lineRule="auto"/>
              <w:rPr>
                <w:rFonts w:ascii="仿宋_GB2312" w:hAnsi="仿宋" w:eastAsia="仿宋_GB2312" w:cs="仿宋_GB2312"/>
                <w:color w:val="auto"/>
                <w:sz w:val="24"/>
                <w:highlight w:val="none"/>
              </w:rPr>
            </w:pPr>
          </w:p>
        </w:tc>
        <w:tc>
          <w:tcPr>
            <w:tcW w:w="539" w:type="pct"/>
            <w:tcBorders>
              <w:top w:val="single" w:color="auto" w:sz="6" w:space="0"/>
              <w:left w:val="single" w:color="auto" w:sz="6" w:space="0"/>
              <w:bottom w:val="single" w:color="auto" w:sz="6" w:space="0"/>
              <w:right w:val="single" w:color="auto" w:sz="6" w:space="0"/>
            </w:tcBorders>
          </w:tcPr>
          <w:p w14:paraId="5E803EE3">
            <w:pPr>
              <w:autoSpaceDE w:val="0"/>
              <w:autoSpaceDN w:val="0"/>
              <w:spacing w:line="360" w:lineRule="auto"/>
              <w:rPr>
                <w:rFonts w:ascii="仿宋_GB2312" w:hAnsi="仿宋" w:eastAsia="仿宋_GB2312" w:cs="仿宋_GB2312"/>
                <w:color w:val="auto"/>
                <w:sz w:val="24"/>
                <w:highlight w:val="none"/>
              </w:rPr>
            </w:pPr>
          </w:p>
        </w:tc>
        <w:tc>
          <w:tcPr>
            <w:tcW w:w="539" w:type="pct"/>
            <w:tcBorders>
              <w:top w:val="single" w:color="auto" w:sz="6" w:space="0"/>
              <w:left w:val="single" w:color="auto" w:sz="6" w:space="0"/>
              <w:bottom w:val="single" w:color="auto" w:sz="6" w:space="0"/>
              <w:right w:val="single" w:color="auto" w:sz="6" w:space="0"/>
            </w:tcBorders>
          </w:tcPr>
          <w:p w14:paraId="41681FD9">
            <w:pPr>
              <w:autoSpaceDE w:val="0"/>
              <w:autoSpaceDN w:val="0"/>
              <w:spacing w:line="360" w:lineRule="auto"/>
              <w:rPr>
                <w:rFonts w:ascii="仿宋_GB2312" w:hAnsi="仿宋" w:eastAsia="仿宋_GB2312" w:cs="仿宋_GB2312"/>
                <w:color w:val="auto"/>
                <w:sz w:val="24"/>
                <w:highlight w:val="none"/>
              </w:rPr>
            </w:pPr>
          </w:p>
        </w:tc>
        <w:tc>
          <w:tcPr>
            <w:tcW w:w="630" w:type="pct"/>
            <w:tcBorders>
              <w:top w:val="single" w:color="auto" w:sz="6" w:space="0"/>
              <w:left w:val="single" w:color="auto" w:sz="6" w:space="0"/>
              <w:bottom w:val="single" w:color="auto" w:sz="6" w:space="0"/>
              <w:right w:val="single" w:color="auto" w:sz="6" w:space="0"/>
            </w:tcBorders>
          </w:tcPr>
          <w:p w14:paraId="43F6DF3F">
            <w:pPr>
              <w:autoSpaceDE w:val="0"/>
              <w:autoSpaceDN w:val="0"/>
              <w:spacing w:line="360" w:lineRule="auto"/>
              <w:rPr>
                <w:rFonts w:ascii="仿宋_GB2312" w:hAnsi="仿宋" w:eastAsia="仿宋_GB2312" w:cs="仿宋_GB2312"/>
                <w:color w:val="auto"/>
                <w:sz w:val="24"/>
                <w:highlight w:val="none"/>
              </w:rPr>
            </w:pPr>
          </w:p>
        </w:tc>
        <w:tc>
          <w:tcPr>
            <w:tcW w:w="450" w:type="pct"/>
            <w:tcBorders>
              <w:top w:val="single" w:color="auto" w:sz="6" w:space="0"/>
              <w:left w:val="single" w:color="auto" w:sz="6" w:space="0"/>
              <w:bottom w:val="single" w:color="auto" w:sz="6" w:space="0"/>
              <w:right w:val="single" w:color="auto" w:sz="6" w:space="0"/>
            </w:tcBorders>
          </w:tcPr>
          <w:p w14:paraId="190FAA05">
            <w:pPr>
              <w:autoSpaceDE w:val="0"/>
              <w:autoSpaceDN w:val="0"/>
              <w:spacing w:line="360" w:lineRule="auto"/>
              <w:rPr>
                <w:rFonts w:ascii="仿宋_GB2312" w:hAnsi="仿宋" w:eastAsia="仿宋_GB2312" w:cs="仿宋_GB2312"/>
                <w:color w:val="auto"/>
                <w:sz w:val="24"/>
                <w:highlight w:val="none"/>
              </w:rPr>
            </w:pPr>
          </w:p>
        </w:tc>
        <w:tc>
          <w:tcPr>
            <w:tcW w:w="555" w:type="pct"/>
            <w:tcBorders>
              <w:top w:val="single" w:color="auto" w:sz="6" w:space="0"/>
              <w:left w:val="single" w:color="auto" w:sz="6" w:space="0"/>
              <w:bottom w:val="single" w:color="auto" w:sz="6" w:space="0"/>
              <w:right w:val="single" w:color="auto" w:sz="6" w:space="0"/>
            </w:tcBorders>
          </w:tcPr>
          <w:p w14:paraId="48792049">
            <w:pPr>
              <w:autoSpaceDE w:val="0"/>
              <w:autoSpaceDN w:val="0"/>
              <w:spacing w:line="360" w:lineRule="auto"/>
              <w:rPr>
                <w:rFonts w:ascii="仿宋_GB2312" w:hAnsi="仿宋" w:eastAsia="仿宋_GB2312" w:cs="仿宋_GB2312"/>
                <w:color w:val="auto"/>
                <w:sz w:val="24"/>
                <w:highlight w:val="none"/>
              </w:rPr>
            </w:pPr>
          </w:p>
        </w:tc>
      </w:tr>
    </w:tbl>
    <w:p w14:paraId="50BD43F0">
      <w:pPr>
        <w:pStyle w:val="12"/>
        <w:spacing w:line="440" w:lineRule="exact"/>
        <w:ind w:firstLine="415" w:firstLineChars="198"/>
        <w:rPr>
          <w:rFonts w:hAnsi="宋体"/>
          <w:color w:val="auto"/>
          <w:highlight w:val="none"/>
        </w:rPr>
      </w:pPr>
    </w:p>
    <w:p w14:paraId="7140946D">
      <w:pPr>
        <w:spacing w:line="500" w:lineRule="exact"/>
        <w:rPr>
          <w:rFonts w:ascii="仿宋_GB2312" w:hAnsi="仿宋_GB2312" w:eastAsia="仿宋_GB2312" w:cs="仿宋_GB2312"/>
          <w:color w:val="auto"/>
          <w:sz w:val="32"/>
          <w:szCs w:val="32"/>
          <w:highlight w:val="none"/>
        </w:rPr>
      </w:pPr>
    </w:p>
    <w:p w14:paraId="0FDF2B9A">
      <w:pPr>
        <w:autoSpaceDE w:val="0"/>
        <w:autoSpaceDN w:val="0"/>
        <w:spacing w:line="360" w:lineRule="auto"/>
        <w:ind w:left="4335" w:leftChars="1950" w:hanging="240" w:hangingChars="10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70CFC537">
      <w:pPr>
        <w:snapToGrid w:val="0"/>
        <w:spacing w:line="360" w:lineRule="auto"/>
        <w:ind w:firstLine="6120" w:firstLineChars="255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  年  月   日</w:t>
      </w:r>
    </w:p>
    <w:p w14:paraId="288A31D5">
      <w:pPr>
        <w:rPr>
          <w:rFonts w:ascii="仿宋" w:hAnsi="仿宋" w:eastAsia="仿宋" w:cs="仿宋_GB2312"/>
          <w:b/>
          <w:color w:val="auto"/>
          <w:sz w:val="30"/>
          <w:szCs w:val="30"/>
          <w:highlight w:val="none"/>
        </w:rPr>
      </w:pPr>
      <w:r>
        <w:rPr>
          <w:rFonts w:hint="eastAsia" w:ascii="仿宋" w:hAnsi="仿宋" w:eastAsia="仿宋" w:cs="仿宋_GB2312"/>
          <w:b/>
          <w:color w:val="auto"/>
          <w:sz w:val="30"/>
          <w:szCs w:val="30"/>
          <w:highlight w:val="none"/>
          <w:lang w:val="en-US" w:eastAsia="zh-CN"/>
        </w:rPr>
        <w:t>十一</w:t>
      </w:r>
      <w:r>
        <w:rPr>
          <w:rFonts w:hint="eastAsia" w:ascii="仿宋" w:hAnsi="仿宋" w:eastAsia="仿宋" w:cs="仿宋_GB2312"/>
          <w:b/>
          <w:color w:val="auto"/>
          <w:sz w:val="30"/>
          <w:szCs w:val="30"/>
          <w:highlight w:val="none"/>
        </w:rPr>
        <w:t>、项目实施人员一览表</w:t>
      </w:r>
    </w:p>
    <w:p w14:paraId="3E040ABE">
      <w:pPr>
        <w:spacing w:line="360" w:lineRule="auto"/>
        <w:jc w:val="center"/>
        <w:rPr>
          <w:rFonts w:ascii="仿宋_GB2312" w:hAnsi="仿宋" w:eastAsia="仿宋_GB2312" w:cs="仿宋_GB2312"/>
          <w:b/>
          <w:bCs/>
          <w:color w:val="auto"/>
          <w:sz w:val="24"/>
          <w:highlight w:val="none"/>
        </w:rPr>
      </w:pPr>
      <w:r>
        <w:rPr>
          <w:rFonts w:hint="eastAsia" w:ascii="仿宋_GB2312" w:hAnsi="仿宋" w:eastAsia="仿宋_GB2312" w:cs="仿宋_GB2312"/>
          <w:color w:val="auto"/>
          <w:sz w:val="24"/>
          <w:highlight w:val="none"/>
        </w:rPr>
        <w:t>（由供应商根据采购需求及采购文件要求编制）</w:t>
      </w:r>
    </w:p>
    <w:p w14:paraId="24998089">
      <w:pPr>
        <w:keepNext/>
        <w:autoSpaceDE w:val="0"/>
        <w:autoSpaceDN w:val="0"/>
        <w:spacing w:line="360" w:lineRule="auto"/>
        <w:ind w:firstLine="477"/>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附表A:本项目的项目负责人情况表</w:t>
      </w:r>
    </w:p>
    <w:tbl>
      <w:tblPr>
        <w:tblStyle w:val="23"/>
        <w:tblW w:w="4999" w:type="pct"/>
        <w:tblInd w:w="0" w:type="dxa"/>
        <w:tblLayout w:type="autofit"/>
        <w:tblCellMar>
          <w:top w:w="0" w:type="dxa"/>
          <w:left w:w="108" w:type="dxa"/>
          <w:bottom w:w="0" w:type="dxa"/>
          <w:right w:w="108" w:type="dxa"/>
        </w:tblCellMar>
      </w:tblPr>
      <w:tblGrid>
        <w:gridCol w:w="2187"/>
        <w:gridCol w:w="1365"/>
        <w:gridCol w:w="1337"/>
        <w:gridCol w:w="4402"/>
      </w:tblGrid>
      <w:tr w14:paraId="49DBAA2C">
        <w:tblPrEx>
          <w:tblCellMar>
            <w:top w:w="0" w:type="dxa"/>
            <w:left w:w="108" w:type="dxa"/>
            <w:bottom w:w="0" w:type="dxa"/>
            <w:right w:w="108" w:type="dxa"/>
          </w:tblCellMar>
        </w:tblPrEx>
        <w:trPr>
          <w:trHeight w:val="604" w:hRule="atLeast"/>
        </w:trPr>
        <w:tc>
          <w:tcPr>
            <w:tcW w:w="1177" w:type="pct"/>
            <w:tcBorders>
              <w:top w:val="single" w:color="auto" w:sz="6" w:space="0"/>
              <w:left w:val="single" w:color="auto" w:sz="6" w:space="0"/>
              <w:bottom w:val="single" w:color="auto" w:sz="6" w:space="0"/>
              <w:right w:val="single" w:color="auto" w:sz="6" w:space="0"/>
            </w:tcBorders>
            <w:shd w:val="clear" w:color="auto" w:fill="auto"/>
            <w:vAlign w:val="center"/>
          </w:tcPr>
          <w:p w14:paraId="3FD42834">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姓名</w:t>
            </w:r>
          </w:p>
        </w:tc>
        <w:tc>
          <w:tcPr>
            <w:tcW w:w="734" w:type="pct"/>
            <w:tcBorders>
              <w:top w:val="single" w:color="auto" w:sz="6" w:space="0"/>
              <w:left w:val="single" w:color="auto" w:sz="6" w:space="0"/>
              <w:bottom w:val="single" w:color="auto" w:sz="6" w:space="0"/>
              <w:right w:val="single" w:color="auto" w:sz="4" w:space="0"/>
            </w:tcBorders>
            <w:shd w:val="clear" w:color="auto" w:fill="B3B3B3"/>
            <w:vAlign w:val="center"/>
          </w:tcPr>
          <w:p w14:paraId="17E2C46D">
            <w:pPr>
              <w:autoSpaceDE w:val="0"/>
              <w:autoSpaceDN w:val="0"/>
              <w:spacing w:line="360" w:lineRule="auto"/>
              <w:jc w:val="center"/>
              <w:rPr>
                <w:rFonts w:ascii="仿宋_GB2312" w:hAnsi="仿宋" w:eastAsia="仿宋_GB2312" w:cs="仿宋_GB2312"/>
                <w:color w:val="auto"/>
                <w:sz w:val="24"/>
                <w:highlight w:val="none"/>
              </w:rPr>
            </w:pPr>
          </w:p>
        </w:tc>
        <w:tc>
          <w:tcPr>
            <w:tcW w:w="719" w:type="pct"/>
            <w:tcBorders>
              <w:top w:val="single" w:color="auto" w:sz="6" w:space="0"/>
              <w:left w:val="single" w:color="auto" w:sz="4" w:space="0"/>
              <w:bottom w:val="single" w:color="auto" w:sz="6" w:space="0"/>
              <w:right w:val="single" w:color="auto" w:sz="6" w:space="0"/>
            </w:tcBorders>
            <w:vAlign w:val="center"/>
          </w:tcPr>
          <w:p w14:paraId="6900E717">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页码</w:t>
            </w:r>
          </w:p>
        </w:tc>
        <w:tc>
          <w:tcPr>
            <w:tcW w:w="2368" w:type="pct"/>
            <w:tcBorders>
              <w:top w:val="single" w:color="auto" w:sz="6" w:space="0"/>
              <w:left w:val="single" w:color="auto" w:sz="6" w:space="0"/>
              <w:bottom w:val="single" w:color="auto" w:sz="6" w:space="0"/>
              <w:right w:val="single" w:color="auto" w:sz="6" w:space="0"/>
            </w:tcBorders>
            <w:vAlign w:val="center"/>
          </w:tcPr>
          <w:p w14:paraId="508016D9">
            <w:pPr>
              <w:autoSpaceDE w:val="0"/>
              <w:autoSpaceDN w:val="0"/>
              <w:spacing w:line="360" w:lineRule="auto"/>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响应截止时间前三年业绩及承担的主要工作情况，曾担任项目负责人的项目应列明细</w:t>
            </w:r>
          </w:p>
        </w:tc>
      </w:tr>
      <w:tr w14:paraId="5D7CD35F">
        <w:tblPrEx>
          <w:tblCellMar>
            <w:top w:w="0" w:type="dxa"/>
            <w:left w:w="108" w:type="dxa"/>
            <w:bottom w:w="0" w:type="dxa"/>
            <w:right w:w="108" w:type="dxa"/>
          </w:tblCellMar>
        </w:tblPrEx>
        <w:trPr>
          <w:cantSplit/>
          <w:trHeight w:val="345" w:hRule="atLeast"/>
        </w:trPr>
        <w:tc>
          <w:tcPr>
            <w:tcW w:w="1177" w:type="pct"/>
            <w:tcBorders>
              <w:top w:val="single" w:color="auto" w:sz="6" w:space="0"/>
              <w:left w:val="single" w:color="auto" w:sz="6" w:space="0"/>
              <w:bottom w:val="single" w:color="auto" w:sz="6" w:space="0"/>
              <w:right w:val="single" w:color="auto" w:sz="6" w:space="0"/>
            </w:tcBorders>
            <w:shd w:val="clear" w:color="auto" w:fill="auto"/>
            <w:vAlign w:val="center"/>
          </w:tcPr>
          <w:p w14:paraId="34EB2FF2">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性别</w:t>
            </w:r>
          </w:p>
        </w:tc>
        <w:tc>
          <w:tcPr>
            <w:tcW w:w="734" w:type="pct"/>
            <w:tcBorders>
              <w:top w:val="single" w:color="auto" w:sz="6" w:space="0"/>
              <w:left w:val="single" w:color="auto" w:sz="6" w:space="0"/>
              <w:bottom w:val="single" w:color="auto" w:sz="6" w:space="0"/>
              <w:right w:val="single" w:color="auto" w:sz="4" w:space="0"/>
            </w:tcBorders>
            <w:shd w:val="clear" w:color="auto" w:fill="auto"/>
            <w:vAlign w:val="center"/>
          </w:tcPr>
          <w:p w14:paraId="5174C362">
            <w:pPr>
              <w:autoSpaceDE w:val="0"/>
              <w:autoSpaceDN w:val="0"/>
              <w:spacing w:line="360" w:lineRule="auto"/>
              <w:jc w:val="center"/>
              <w:rPr>
                <w:rFonts w:ascii="仿宋_GB2312" w:hAnsi="仿宋" w:eastAsia="仿宋_GB2312" w:cs="仿宋_GB2312"/>
                <w:color w:val="auto"/>
                <w:sz w:val="24"/>
                <w:highlight w:val="none"/>
              </w:rPr>
            </w:pPr>
          </w:p>
        </w:tc>
        <w:tc>
          <w:tcPr>
            <w:tcW w:w="719" w:type="pct"/>
            <w:tcBorders>
              <w:top w:val="single" w:color="auto" w:sz="6" w:space="0"/>
              <w:left w:val="single" w:color="auto" w:sz="4" w:space="0"/>
              <w:bottom w:val="single" w:color="auto" w:sz="6" w:space="0"/>
              <w:right w:val="single" w:color="auto" w:sz="6" w:space="0"/>
            </w:tcBorders>
            <w:shd w:val="clear" w:color="auto" w:fill="B3B3B3"/>
            <w:vAlign w:val="center"/>
          </w:tcPr>
          <w:p w14:paraId="7D010E36">
            <w:pPr>
              <w:autoSpaceDE w:val="0"/>
              <w:autoSpaceDN w:val="0"/>
              <w:spacing w:line="360" w:lineRule="auto"/>
              <w:jc w:val="center"/>
              <w:rPr>
                <w:rFonts w:ascii="仿宋_GB2312" w:hAnsi="仿宋" w:eastAsia="仿宋_GB2312" w:cs="仿宋_GB2312"/>
                <w:color w:val="auto"/>
                <w:sz w:val="24"/>
                <w:highlight w:val="none"/>
              </w:rPr>
            </w:pPr>
          </w:p>
        </w:tc>
        <w:tc>
          <w:tcPr>
            <w:tcW w:w="2368" w:type="pct"/>
            <w:vMerge w:val="restart"/>
            <w:tcBorders>
              <w:top w:val="single" w:color="auto" w:sz="6" w:space="0"/>
              <w:left w:val="single" w:color="auto" w:sz="6" w:space="0"/>
              <w:bottom w:val="single" w:color="auto" w:sz="6" w:space="0"/>
              <w:right w:val="single" w:color="auto" w:sz="6" w:space="0"/>
            </w:tcBorders>
            <w:vAlign w:val="center"/>
          </w:tcPr>
          <w:p w14:paraId="69BC951A">
            <w:pPr>
              <w:autoSpaceDE w:val="0"/>
              <w:autoSpaceDN w:val="0"/>
              <w:spacing w:line="360" w:lineRule="auto"/>
              <w:jc w:val="center"/>
              <w:rPr>
                <w:rFonts w:ascii="仿宋_GB2312" w:hAnsi="仿宋" w:eastAsia="仿宋_GB2312" w:cs="仿宋_GB2312"/>
                <w:color w:val="auto"/>
                <w:sz w:val="24"/>
                <w:highlight w:val="none"/>
              </w:rPr>
            </w:pPr>
          </w:p>
        </w:tc>
      </w:tr>
      <w:tr w14:paraId="54E9C251">
        <w:tblPrEx>
          <w:tblCellMar>
            <w:top w:w="0" w:type="dxa"/>
            <w:left w:w="108" w:type="dxa"/>
            <w:bottom w:w="0" w:type="dxa"/>
            <w:right w:w="108" w:type="dxa"/>
          </w:tblCellMar>
        </w:tblPrEx>
        <w:trPr>
          <w:cantSplit/>
          <w:trHeight w:val="337" w:hRule="atLeast"/>
        </w:trPr>
        <w:tc>
          <w:tcPr>
            <w:tcW w:w="1177" w:type="pct"/>
            <w:tcBorders>
              <w:top w:val="single" w:color="auto" w:sz="6" w:space="0"/>
              <w:left w:val="single" w:color="auto" w:sz="6" w:space="0"/>
              <w:bottom w:val="single" w:color="auto" w:sz="6" w:space="0"/>
              <w:right w:val="single" w:color="auto" w:sz="6" w:space="0"/>
            </w:tcBorders>
            <w:shd w:val="clear" w:color="auto" w:fill="auto"/>
            <w:vAlign w:val="center"/>
          </w:tcPr>
          <w:p w14:paraId="08E6F947">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年龄</w:t>
            </w:r>
          </w:p>
        </w:tc>
        <w:tc>
          <w:tcPr>
            <w:tcW w:w="734" w:type="pct"/>
            <w:tcBorders>
              <w:top w:val="single" w:color="auto" w:sz="6" w:space="0"/>
              <w:left w:val="single" w:color="auto" w:sz="6" w:space="0"/>
              <w:bottom w:val="single" w:color="auto" w:sz="6" w:space="0"/>
              <w:right w:val="single" w:color="auto" w:sz="4" w:space="0"/>
            </w:tcBorders>
            <w:shd w:val="clear" w:color="auto" w:fill="auto"/>
            <w:vAlign w:val="center"/>
          </w:tcPr>
          <w:p w14:paraId="0D9C26DD">
            <w:pPr>
              <w:autoSpaceDE w:val="0"/>
              <w:autoSpaceDN w:val="0"/>
              <w:spacing w:line="360" w:lineRule="auto"/>
              <w:jc w:val="center"/>
              <w:rPr>
                <w:rFonts w:ascii="仿宋_GB2312" w:hAnsi="仿宋" w:eastAsia="仿宋_GB2312" w:cs="仿宋_GB2312"/>
                <w:color w:val="auto"/>
                <w:sz w:val="24"/>
                <w:highlight w:val="none"/>
              </w:rPr>
            </w:pPr>
          </w:p>
        </w:tc>
        <w:tc>
          <w:tcPr>
            <w:tcW w:w="719" w:type="pct"/>
            <w:tcBorders>
              <w:top w:val="single" w:color="auto" w:sz="6" w:space="0"/>
              <w:left w:val="single" w:color="auto" w:sz="4" w:space="0"/>
              <w:bottom w:val="single" w:color="auto" w:sz="6" w:space="0"/>
              <w:right w:val="single" w:color="auto" w:sz="6" w:space="0"/>
            </w:tcBorders>
            <w:shd w:val="clear" w:color="auto" w:fill="B3B3B3"/>
            <w:vAlign w:val="center"/>
          </w:tcPr>
          <w:p w14:paraId="1DA0E1C3">
            <w:pPr>
              <w:autoSpaceDE w:val="0"/>
              <w:autoSpaceDN w:val="0"/>
              <w:spacing w:line="360" w:lineRule="auto"/>
              <w:jc w:val="center"/>
              <w:rPr>
                <w:rFonts w:ascii="仿宋_GB2312" w:hAnsi="仿宋" w:eastAsia="仿宋_GB2312" w:cs="仿宋_GB2312"/>
                <w:color w:val="auto"/>
                <w:sz w:val="24"/>
                <w:highlight w:val="none"/>
              </w:rPr>
            </w:pPr>
          </w:p>
        </w:tc>
        <w:tc>
          <w:tcPr>
            <w:tcW w:w="2368" w:type="pct"/>
            <w:vMerge w:val="continue"/>
            <w:tcBorders>
              <w:top w:val="single" w:color="auto" w:sz="6" w:space="0"/>
              <w:left w:val="single" w:color="auto" w:sz="6" w:space="0"/>
              <w:bottom w:val="single" w:color="auto" w:sz="6" w:space="0"/>
              <w:right w:val="single" w:color="auto" w:sz="6" w:space="0"/>
            </w:tcBorders>
            <w:vAlign w:val="center"/>
          </w:tcPr>
          <w:p w14:paraId="404644F8">
            <w:pPr>
              <w:widowControl/>
              <w:jc w:val="left"/>
              <w:rPr>
                <w:rFonts w:ascii="仿宋_GB2312" w:hAnsi="仿宋" w:eastAsia="仿宋_GB2312" w:cs="仿宋_GB2312"/>
                <w:color w:val="auto"/>
                <w:sz w:val="24"/>
                <w:highlight w:val="none"/>
              </w:rPr>
            </w:pPr>
          </w:p>
        </w:tc>
      </w:tr>
      <w:tr w14:paraId="05918680">
        <w:tblPrEx>
          <w:tblCellMar>
            <w:top w:w="0" w:type="dxa"/>
            <w:left w:w="108" w:type="dxa"/>
            <w:bottom w:w="0" w:type="dxa"/>
            <w:right w:w="108" w:type="dxa"/>
          </w:tblCellMar>
        </w:tblPrEx>
        <w:trPr>
          <w:cantSplit/>
          <w:trHeight w:val="345" w:hRule="atLeast"/>
        </w:trPr>
        <w:tc>
          <w:tcPr>
            <w:tcW w:w="1177" w:type="pct"/>
            <w:tcBorders>
              <w:top w:val="single" w:color="auto" w:sz="6" w:space="0"/>
              <w:left w:val="single" w:color="auto" w:sz="6" w:space="0"/>
              <w:bottom w:val="single" w:color="auto" w:sz="6" w:space="0"/>
              <w:right w:val="single" w:color="auto" w:sz="6" w:space="0"/>
            </w:tcBorders>
            <w:vAlign w:val="center"/>
          </w:tcPr>
          <w:p w14:paraId="57E32FBA">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职称</w:t>
            </w:r>
          </w:p>
        </w:tc>
        <w:tc>
          <w:tcPr>
            <w:tcW w:w="734" w:type="pct"/>
            <w:tcBorders>
              <w:top w:val="single" w:color="auto" w:sz="6" w:space="0"/>
              <w:left w:val="single" w:color="auto" w:sz="6" w:space="0"/>
              <w:bottom w:val="single" w:color="auto" w:sz="6" w:space="0"/>
              <w:right w:val="single" w:color="auto" w:sz="4" w:space="0"/>
            </w:tcBorders>
            <w:vAlign w:val="center"/>
          </w:tcPr>
          <w:p w14:paraId="399D58E0">
            <w:pPr>
              <w:autoSpaceDE w:val="0"/>
              <w:autoSpaceDN w:val="0"/>
              <w:spacing w:line="360" w:lineRule="auto"/>
              <w:jc w:val="center"/>
              <w:rPr>
                <w:rFonts w:ascii="仿宋_GB2312" w:hAnsi="仿宋" w:eastAsia="仿宋_GB2312" w:cs="仿宋_GB2312"/>
                <w:color w:val="auto"/>
                <w:sz w:val="24"/>
                <w:highlight w:val="none"/>
              </w:rPr>
            </w:pPr>
          </w:p>
        </w:tc>
        <w:tc>
          <w:tcPr>
            <w:tcW w:w="719" w:type="pct"/>
            <w:tcBorders>
              <w:top w:val="single" w:color="auto" w:sz="6" w:space="0"/>
              <w:left w:val="single" w:color="auto" w:sz="4" w:space="0"/>
              <w:bottom w:val="single" w:color="auto" w:sz="6" w:space="0"/>
              <w:right w:val="single" w:color="auto" w:sz="6" w:space="0"/>
            </w:tcBorders>
            <w:vAlign w:val="center"/>
          </w:tcPr>
          <w:p w14:paraId="0831A30E">
            <w:pPr>
              <w:autoSpaceDE w:val="0"/>
              <w:autoSpaceDN w:val="0"/>
              <w:spacing w:line="360" w:lineRule="auto"/>
              <w:jc w:val="center"/>
              <w:rPr>
                <w:rFonts w:ascii="仿宋_GB2312" w:hAnsi="仿宋" w:eastAsia="仿宋_GB2312" w:cs="仿宋_GB2312"/>
                <w:color w:val="auto"/>
                <w:sz w:val="24"/>
                <w:highlight w:val="none"/>
              </w:rPr>
            </w:pPr>
          </w:p>
        </w:tc>
        <w:tc>
          <w:tcPr>
            <w:tcW w:w="2368" w:type="pct"/>
            <w:vMerge w:val="continue"/>
            <w:tcBorders>
              <w:top w:val="single" w:color="auto" w:sz="6" w:space="0"/>
              <w:left w:val="single" w:color="auto" w:sz="6" w:space="0"/>
              <w:bottom w:val="single" w:color="auto" w:sz="6" w:space="0"/>
              <w:right w:val="single" w:color="auto" w:sz="6" w:space="0"/>
            </w:tcBorders>
            <w:vAlign w:val="center"/>
          </w:tcPr>
          <w:p w14:paraId="5526BF63">
            <w:pPr>
              <w:widowControl/>
              <w:jc w:val="left"/>
              <w:rPr>
                <w:rFonts w:ascii="仿宋_GB2312" w:hAnsi="仿宋" w:eastAsia="仿宋_GB2312" w:cs="仿宋_GB2312"/>
                <w:color w:val="auto"/>
                <w:sz w:val="24"/>
                <w:highlight w:val="none"/>
              </w:rPr>
            </w:pPr>
          </w:p>
        </w:tc>
      </w:tr>
      <w:tr w14:paraId="707F24F7">
        <w:tblPrEx>
          <w:tblCellMar>
            <w:top w:w="0" w:type="dxa"/>
            <w:left w:w="108" w:type="dxa"/>
            <w:bottom w:w="0" w:type="dxa"/>
            <w:right w:w="108" w:type="dxa"/>
          </w:tblCellMar>
        </w:tblPrEx>
        <w:trPr>
          <w:cantSplit/>
          <w:trHeight w:val="345" w:hRule="atLeast"/>
        </w:trPr>
        <w:tc>
          <w:tcPr>
            <w:tcW w:w="1177" w:type="pct"/>
            <w:tcBorders>
              <w:top w:val="single" w:color="auto" w:sz="6" w:space="0"/>
              <w:left w:val="single" w:color="auto" w:sz="6" w:space="0"/>
              <w:bottom w:val="single" w:color="auto" w:sz="6" w:space="0"/>
              <w:right w:val="single" w:color="auto" w:sz="6" w:space="0"/>
            </w:tcBorders>
            <w:vAlign w:val="center"/>
          </w:tcPr>
          <w:p w14:paraId="60869ED8">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毕业时间</w:t>
            </w:r>
          </w:p>
        </w:tc>
        <w:tc>
          <w:tcPr>
            <w:tcW w:w="734" w:type="pct"/>
            <w:tcBorders>
              <w:top w:val="single" w:color="auto" w:sz="6" w:space="0"/>
              <w:left w:val="single" w:color="auto" w:sz="6" w:space="0"/>
              <w:bottom w:val="single" w:color="auto" w:sz="6" w:space="0"/>
              <w:right w:val="single" w:color="auto" w:sz="4" w:space="0"/>
            </w:tcBorders>
            <w:vAlign w:val="center"/>
          </w:tcPr>
          <w:p w14:paraId="07509616">
            <w:pPr>
              <w:autoSpaceDE w:val="0"/>
              <w:autoSpaceDN w:val="0"/>
              <w:spacing w:line="360" w:lineRule="auto"/>
              <w:jc w:val="center"/>
              <w:rPr>
                <w:rFonts w:ascii="仿宋_GB2312" w:hAnsi="仿宋" w:eastAsia="仿宋_GB2312" w:cs="仿宋_GB2312"/>
                <w:color w:val="auto"/>
                <w:sz w:val="24"/>
                <w:highlight w:val="none"/>
              </w:rPr>
            </w:pPr>
          </w:p>
        </w:tc>
        <w:tc>
          <w:tcPr>
            <w:tcW w:w="719" w:type="pct"/>
            <w:tcBorders>
              <w:top w:val="single" w:color="auto" w:sz="6" w:space="0"/>
              <w:left w:val="single" w:color="auto" w:sz="4" w:space="0"/>
              <w:bottom w:val="single" w:color="auto" w:sz="6" w:space="0"/>
              <w:right w:val="single" w:color="auto" w:sz="6" w:space="0"/>
            </w:tcBorders>
            <w:vAlign w:val="center"/>
          </w:tcPr>
          <w:p w14:paraId="31581BBD">
            <w:pPr>
              <w:autoSpaceDE w:val="0"/>
              <w:autoSpaceDN w:val="0"/>
              <w:spacing w:line="360" w:lineRule="auto"/>
              <w:jc w:val="center"/>
              <w:rPr>
                <w:rFonts w:ascii="仿宋_GB2312" w:hAnsi="仿宋" w:eastAsia="仿宋_GB2312" w:cs="仿宋_GB2312"/>
                <w:color w:val="auto"/>
                <w:sz w:val="24"/>
                <w:highlight w:val="none"/>
              </w:rPr>
            </w:pPr>
          </w:p>
        </w:tc>
        <w:tc>
          <w:tcPr>
            <w:tcW w:w="2368" w:type="pct"/>
            <w:vMerge w:val="continue"/>
            <w:tcBorders>
              <w:top w:val="single" w:color="auto" w:sz="6" w:space="0"/>
              <w:left w:val="single" w:color="auto" w:sz="6" w:space="0"/>
              <w:bottom w:val="single" w:color="auto" w:sz="6" w:space="0"/>
              <w:right w:val="single" w:color="auto" w:sz="6" w:space="0"/>
            </w:tcBorders>
            <w:vAlign w:val="center"/>
          </w:tcPr>
          <w:p w14:paraId="2BECD12F">
            <w:pPr>
              <w:widowControl/>
              <w:jc w:val="left"/>
              <w:rPr>
                <w:rFonts w:ascii="仿宋_GB2312" w:hAnsi="仿宋" w:eastAsia="仿宋_GB2312" w:cs="仿宋_GB2312"/>
                <w:color w:val="auto"/>
                <w:sz w:val="24"/>
                <w:highlight w:val="none"/>
              </w:rPr>
            </w:pPr>
          </w:p>
        </w:tc>
      </w:tr>
      <w:tr w14:paraId="37C130AA">
        <w:tblPrEx>
          <w:tblCellMar>
            <w:top w:w="0" w:type="dxa"/>
            <w:left w:w="108" w:type="dxa"/>
            <w:bottom w:w="0" w:type="dxa"/>
            <w:right w:w="108" w:type="dxa"/>
          </w:tblCellMar>
        </w:tblPrEx>
        <w:trPr>
          <w:cantSplit/>
          <w:trHeight w:val="422" w:hRule="atLeast"/>
        </w:trPr>
        <w:tc>
          <w:tcPr>
            <w:tcW w:w="1177" w:type="pct"/>
            <w:tcBorders>
              <w:top w:val="single" w:color="auto" w:sz="6" w:space="0"/>
              <w:left w:val="single" w:color="auto" w:sz="6" w:space="0"/>
              <w:bottom w:val="single" w:color="auto" w:sz="6" w:space="0"/>
              <w:right w:val="single" w:color="auto" w:sz="6" w:space="0"/>
            </w:tcBorders>
            <w:vAlign w:val="center"/>
          </w:tcPr>
          <w:p w14:paraId="064304C2">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所学专业</w:t>
            </w:r>
          </w:p>
        </w:tc>
        <w:tc>
          <w:tcPr>
            <w:tcW w:w="734" w:type="pct"/>
            <w:tcBorders>
              <w:top w:val="single" w:color="auto" w:sz="6" w:space="0"/>
              <w:left w:val="single" w:color="auto" w:sz="6" w:space="0"/>
              <w:bottom w:val="single" w:color="auto" w:sz="6" w:space="0"/>
              <w:right w:val="single" w:color="auto" w:sz="4" w:space="0"/>
            </w:tcBorders>
            <w:vAlign w:val="center"/>
          </w:tcPr>
          <w:p w14:paraId="2FF09AE5">
            <w:pPr>
              <w:autoSpaceDE w:val="0"/>
              <w:autoSpaceDN w:val="0"/>
              <w:spacing w:line="360" w:lineRule="auto"/>
              <w:jc w:val="center"/>
              <w:rPr>
                <w:rFonts w:ascii="仿宋_GB2312" w:hAnsi="仿宋" w:eastAsia="仿宋_GB2312" w:cs="仿宋_GB2312"/>
                <w:color w:val="auto"/>
                <w:sz w:val="24"/>
                <w:highlight w:val="none"/>
              </w:rPr>
            </w:pPr>
          </w:p>
        </w:tc>
        <w:tc>
          <w:tcPr>
            <w:tcW w:w="719" w:type="pct"/>
            <w:tcBorders>
              <w:top w:val="single" w:color="auto" w:sz="6" w:space="0"/>
              <w:left w:val="single" w:color="auto" w:sz="4" w:space="0"/>
              <w:bottom w:val="single" w:color="auto" w:sz="6" w:space="0"/>
              <w:right w:val="single" w:color="auto" w:sz="6" w:space="0"/>
            </w:tcBorders>
            <w:vAlign w:val="center"/>
          </w:tcPr>
          <w:p w14:paraId="4B9B7F49">
            <w:pPr>
              <w:autoSpaceDE w:val="0"/>
              <w:autoSpaceDN w:val="0"/>
              <w:spacing w:line="360" w:lineRule="auto"/>
              <w:jc w:val="center"/>
              <w:rPr>
                <w:rFonts w:ascii="仿宋_GB2312" w:hAnsi="仿宋" w:eastAsia="仿宋_GB2312" w:cs="仿宋_GB2312"/>
                <w:color w:val="auto"/>
                <w:sz w:val="24"/>
                <w:highlight w:val="none"/>
              </w:rPr>
            </w:pPr>
          </w:p>
        </w:tc>
        <w:tc>
          <w:tcPr>
            <w:tcW w:w="2368" w:type="pct"/>
            <w:vMerge w:val="continue"/>
            <w:tcBorders>
              <w:top w:val="single" w:color="auto" w:sz="6" w:space="0"/>
              <w:left w:val="single" w:color="auto" w:sz="6" w:space="0"/>
              <w:bottom w:val="single" w:color="auto" w:sz="6" w:space="0"/>
              <w:right w:val="single" w:color="auto" w:sz="6" w:space="0"/>
            </w:tcBorders>
            <w:vAlign w:val="center"/>
          </w:tcPr>
          <w:p w14:paraId="77C96E52">
            <w:pPr>
              <w:widowControl/>
              <w:jc w:val="left"/>
              <w:rPr>
                <w:rFonts w:ascii="仿宋_GB2312" w:hAnsi="仿宋" w:eastAsia="仿宋_GB2312" w:cs="仿宋_GB2312"/>
                <w:color w:val="auto"/>
                <w:sz w:val="24"/>
                <w:highlight w:val="none"/>
              </w:rPr>
            </w:pPr>
          </w:p>
        </w:tc>
      </w:tr>
      <w:tr w14:paraId="5B0BBA79">
        <w:tblPrEx>
          <w:tblCellMar>
            <w:top w:w="0" w:type="dxa"/>
            <w:left w:w="108" w:type="dxa"/>
            <w:bottom w:w="0" w:type="dxa"/>
            <w:right w:w="108" w:type="dxa"/>
          </w:tblCellMar>
        </w:tblPrEx>
        <w:trPr>
          <w:cantSplit/>
          <w:trHeight w:val="416" w:hRule="atLeast"/>
        </w:trPr>
        <w:tc>
          <w:tcPr>
            <w:tcW w:w="1177" w:type="pct"/>
            <w:tcBorders>
              <w:top w:val="single" w:color="auto" w:sz="6" w:space="0"/>
              <w:left w:val="single" w:color="auto" w:sz="6" w:space="0"/>
              <w:bottom w:val="single" w:color="auto" w:sz="6" w:space="0"/>
              <w:right w:val="single" w:color="auto" w:sz="6" w:space="0"/>
            </w:tcBorders>
            <w:vAlign w:val="center"/>
          </w:tcPr>
          <w:p w14:paraId="7ED34BA7">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学历</w:t>
            </w:r>
          </w:p>
        </w:tc>
        <w:tc>
          <w:tcPr>
            <w:tcW w:w="734" w:type="pct"/>
            <w:tcBorders>
              <w:top w:val="single" w:color="auto" w:sz="6" w:space="0"/>
              <w:left w:val="single" w:color="auto" w:sz="6" w:space="0"/>
              <w:bottom w:val="single" w:color="auto" w:sz="6" w:space="0"/>
              <w:right w:val="single" w:color="auto" w:sz="4" w:space="0"/>
            </w:tcBorders>
            <w:vAlign w:val="center"/>
          </w:tcPr>
          <w:p w14:paraId="52281504">
            <w:pPr>
              <w:autoSpaceDE w:val="0"/>
              <w:autoSpaceDN w:val="0"/>
              <w:spacing w:line="360" w:lineRule="auto"/>
              <w:jc w:val="center"/>
              <w:rPr>
                <w:rFonts w:ascii="仿宋_GB2312" w:hAnsi="仿宋" w:eastAsia="仿宋_GB2312" w:cs="仿宋_GB2312"/>
                <w:color w:val="auto"/>
                <w:sz w:val="24"/>
                <w:highlight w:val="none"/>
              </w:rPr>
            </w:pPr>
          </w:p>
        </w:tc>
        <w:tc>
          <w:tcPr>
            <w:tcW w:w="719" w:type="pct"/>
            <w:tcBorders>
              <w:top w:val="single" w:color="auto" w:sz="6" w:space="0"/>
              <w:left w:val="single" w:color="auto" w:sz="4" w:space="0"/>
              <w:bottom w:val="single" w:color="auto" w:sz="6" w:space="0"/>
              <w:right w:val="single" w:color="auto" w:sz="6" w:space="0"/>
            </w:tcBorders>
            <w:vAlign w:val="center"/>
          </w:tcPr>
          <w:p w14:paraId="20F534A5">
            <w:pPr>
              <w:autoSpaceDE w:val="0"/>
              <w:autoSpaceDN w:val="0"/>
              <w:spacing w:line="360" w:lineRule="auto"/>
              <w:jc w:val="center"/>
              <w:rPr>
                <w:rFonts w:ascii="仿宋_GB2312" w:hAnsi="仿宋" w:eastAsia="仿宋_GB2312" w:cs="仿宋_GB2312"/>
                <w:color w:val="auto"/>
                <w:sz w:val="24"/>
                <w:highlight w:val="none"/>
              </w:rPr>
            </w:pPr>
          </w:p>
        </w:tc>
        <w:tc>
          <w:tcPr>
            <w:tcW w:w="2368" w:type="pct"/>
            <w:vMerge w:val="continue"/>
            <w:tcBorders>
              <w:top w:val="single" w:color="auto" w:sz="6" w:space="0"/>
              <w:left w:val="single" w:color="auto" w:sz="6" w:space="0"/>
              <w:bottom w:val="single" w:color="auto" w:sz="6" w:space="0"/>
              <w:right w:val="single" w:color="auto" w:sz="6" w:space="0"/>
            </w:tcBorders>
            <w:vAlign w:val="center"/>
          </w:tcPr>
          <w:p w14:paraId="2D7E3039">
            <w:pPr>
              <w:widowControl/>
              <w:jc w:val="left"/>
              <w:rPr>
                <w:rFonts w:ascii="仿宋_GB2312" w:hAnsi="仿宋" w:eastAsia="仿宋_GB2312" w:cs="仿宋_GB2312"/>
                <w:color w:val="auto"/>
                <w:sz w:val="24"/>
                <w:highlight w:val="none"/>
              </w:rPr>
            </w:pPr>
          </w:p>
        </w:tc>
      </w:tr>
      <w:tr w14:paraId="7572F9FF">
        <w:tblPrEx>
          <w:tblCellMar>
            <w:top w:w="0" w:type="dxa"/>
            <w:left w:w="108" w:type="dxa"/>
            <w:bottom w:w="0" w:type="dxa"/>
            <w:right w:w="108" w:type="dxa"/>
          </w:tblCellMar>
        </w:tblPrEx>
        <w:trPr>
          <w:cantSplit/>
          <w:trHeight w:val="356" w:hRule="atLeast"/>
        </w:trPr>
        <w:tc>
          <w:tcPr>
            <w:tcW w:w="1177" w:type="pct"/>
            <w:tcBorders>
              <w:top w:val="single" w:color="auto" w:sz="6" w:space="0"/>
              <w:left w:val="single" w:color="auto" w:sz="6" w:space="0"/>
              <w:bottom w:val="single" w:color="auto" w:sz="6" w:space="0"/>
              <w:right w:val="single" w:color="auto" w:sz="6" w:space="0"/>
            </w:tcBorders>
            <w:vAlign w:val="center"/>
          </w:tcPr>
          <w:p w14:paraId="73F79C4F">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资质证书编号</w:t>
            </w:r>
          </w:p>
        </w:tc>
        <w:tc>
          <w:tcPr>
            <w:tcW w:w="734" w:type="pct"/>
            <w:tcBorders>
              <w:top w:val="single" w:color="auto" w:sz="6" w:space="0"/>
              <w:left w:val="single" w:color="auto" w:sz="6" w:space="0"/>
              <w:bottom w:val="single" w:color="auto" w:sz="6" w:space="0"/>
              <w:right w:val="single" w:color="auto" w:sz="4" w:space="0"/>
            </w:tcBorders>
            <w:vAlign w:val="center"/>
          </w:tcPr>
          <w:p w14:paraId="53274218">
            <w:pPr>
              <w:autoSpaceDE w:val="0"/>
              <w:autoSpaceDN w:val="0"/>
              <w:spacing w:line="360" w:lineRule="auto"/>
              <w:jc w:val="center"/>
              <w:rPr>
                <w:rFonts w:ascii="仿宋_GB2312" w:hAnsi="仿宋" w:eastAsia="仿宋_GB2312" w:cs="仿宋_GB2312"/>
                <w:color w:val="auto"/>
                <w:sz w:val="24"/>
                <w:highlight w:val="none"/>
              </w:rPr>
            </w:pPr>
          </w:p>
        </w:tc>
        <w:tc>
          <w:tcPr>
            <w:tcW w:w="719" w:type="pct"/>
            <w:tcBorders>
              <w:top w:val="single" w:color="auto" w:sz="6" w:space="0"/>
              <w:left w:val="single" w:color="auto" w:sz="4" w:space="0"/>
              <w:bottom w:val="single" w:color="auto" w:sz="6" w:space="0"/>
              <w:right w:val="single" w:color="auto" w:sz="6" w:space="0"/>
            </w:tcBorders>
            <w:vAlign w:val="center"/>
          </w:tcPr>
          <w:p w14:paraId="63663110">
            <w:pPr>
              <w:autoSpaceDE w:val="0"/>
              <w:autoSpaceDN w:val="0"/>
              <w:spacing w:line="360" w:lineRule="auto"/>
              <w:jc w:val="center"/>
              <w:rPr>
                <w:rFonts w:ascii="仿宋_GB2312" w:hAnsi="仿宋" w:eastAsia="仿宋_GB2312" w:cs="仿宋_GB2312"/>
                <w:color w:val="auto"/>
                <w:sz w:val="24"/>
                <w:highlight w:val="none"/>
              </w:rPr>
            </w:pPr>
          </w:p>
        </w:tc>
        <w:tc>
          <w:tcPr>
            <w:tcW w:w="2368" w:type="pct"/>
            <w:vMerge w:val="continue"/>
            <w:tcBorders>
              <w:top w:val="single" w:color="auto" w:sz="6" w:space="0"/>
              <w:left w:val="single" w:color="auto" w:sz="6" w:space="0"/>
              <w:bottom w:val="single" w:color="auto" w:sz="6" w:space="0"/>
              <w:right w:val="single" w:color="auto" w:sz="6" w:space="0"/>
            </w:tcBorders>
            <w:vAlign w:val="center"/>
          </w:tcPr>
          <w:p w14:paraId="6804D123">
            <w:pPr>
              <w:widowControl/>
              <w:jc w:val="left"/>
              <w:rPr>
                <w:rFonts w:ascii="仿宋_GB2312" w:hAnsi="仿宋" w:eastAsia="仿宋_GB2312" w:cs="仿宋_GB2312"/>
                <w:color w:val="auto"/>
                <w:sz w:val="24"/>
                <w:highlight w:val="none"/>
              </w:rPr>
            </w:pPr>
          </w:p>
        </w:tc>
      </w:tr>
      <w:tr w14:paraId="3D407C74">
        <w:tblPrEx>
          <w:tblCellMar>
            <w:top w:w="0" w:type="dxa"/>
            <w:left w:w="108" w:type="dxa"/>
            <w:bottom w:w="0" w:type="dxa"/>
            <w:right w:w="108" w:type="dxa"/>
          </w:tblCellMar>
        </w:tblPrEx>
        <w:trPr>
          <w:cantSplit/>
          <w:trHeight w:val="177" w:hRule="atLeast"/>
        </w:trPr>
        <w:tc>
          <w:tcPr>
            <w:tcW w:w="1177" w:type="pct"/>
            <w:tcBorders>
              <w:top w:val="single" w:color="auto" w:sz="6" w:space="0"/>
              <w:left w:val="single" w:color="auto" w:sz="6" w:space="0"/>
              <w:bottom w:val="single" w:color="auto" w:sz="6" w:space="0"/>
              <w:right w:val="single" w:color="auto" w:sz="6" w:space="0"/>
            </w:tcBorders>
            <w:vAlign w:val="center"/>
          </w:tcPr>
          <w:p w14:paraId="593D288D">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其他资质情况</w:t>
            </w:r>
          </w:p>
        </w:tc>
        <w:tc>
          <w:tcPr>
            <w:tcW w:w="734" w:type="pct"/>
            <w:tcBorders>
              <w:top w:val="single" w:color="auto" w:sz="6" w:space="0"/>
              <w:left w:val="single" w:color="auto" w:sz="6" w:space="0"/>
              <w:bottom w:val="single" w:color="auto" w:sz="6" w:space="0"/>
              <w:right w:val="single" w:color="auto" w:sz="4" w:space="0"/>
            </w:tcBorders>
            <w:vAlign w:val="center"/>
          </w:tcPr>
          <w:p w14:paraId="5F6AE235">
            <w:pPr>
              <w:autoSpaceDE w:val="0"/>
              <w:autoSpaceDN w:val="0"/>
              <w:spacing w:line="360" w:lineRule="auto"/>
              <w:jc w:val="center"/>
              <w:rPr>
                <w:rFonts w:ascii="仿宋_GB2312" w:hAnsi="仿宋" w:eastAsia="仿宋_GB2312" w:cs="仿宋_GB2312"/>
                <w:color w:val="auto"/>
                <w:sz w:val="24"/>
                <w:highlight w:val="none"/>
              </w:rPr>
            </w:pPr>
          </w:p>
        </w:tc>
        <w:tc>
          <w:tcPr>
            <w:tcW w:w="719" w:type="pct"/>
            <w:tcBorders>
              <w:top w:val="single" w:color="auto" w:sz="6" w:space="0"/>
              <w:left w:val="single" w:color="auto" w:sz="4" w:space="0"/>
              <w:bottom w:val="single" w:color="auto" w:sz="6" w:space="0"/>
              <w:right w:val="single" w:color="auto" w:sz="6" w:space="0"/>
            </w:tcBorders>
            <w:vAlign w:val="center"/>
          </w:tcPr>
          <w:p w14:paraId="1ACF895B">
            <w:pPr>
              <w:autoSpaceDE w:val="0"/>
              <w:autoSpaceDN w:val="0"/>
              <w:spacing w:line="360" w:lineRule="auto"/>
              <w:jc w:val="center"/>
              <w:rPr>
                <w:rFonts w:ascii="仿宋_GB2312" w:hAnsi="仿宋" w:eastAsia="仿宋_GB2312" w:cs="仿宋_GB2312"/>
                <w:color w:val="auto"/>
                <w:sz w:val="24"/>
                <w:highlight w:val="none"/>
              </w:rPr>
            </w:pPr>
          </w:p>
        </w:tc>
        <w:tc>
          <w:tcPr>
            <w:tcW w:w="2368" w:type="pct"/>
            <w:vMerge w:val="continue"/>
            <w:tcBorders>
              <w:top w:val="single" w:color="auto" w:sz="6" w:space="0"/>
              <w:left w:val="single" w:color="auto" w:sz="6" w:space="0"/>
              <w:bottom w:val="single" w:color="auto" w:sz="6" w:space="0"/>
              <w:right w:val="single" w:color="auto" w:sz="6" w:space="0"/>
            </w:tcBorders>
            <w:vAlign w:val="center"/>
          </w:tcPr>
          <w:p w14:paraId="31F7A6DF">
            <w:pPr>
              <w:widowControl/>
              <w:jc w:val="left"/>
              <w:rPr>
                <w:rFonts w:ascii="仿宋_GB2312" w:hAnsi="仿宋" w:eastAsia="仿宋_GB2312" w:cs="仿宋_GB2312"/>
                <w:color w:val="auto"/>
                <w:sz w:val="24"/>
                <w:highlight w:val="none"/>
              </w:rPr>
            </w:pPr>
          </w:p>
        </w:tc>
      </w:tr>
      <w:tr w14:paraId="4CBD4F40">
        <w:tblPrEx>
          <w:tblCellMar>
            <w:top w:w="0" w:type="dxa"/>
            <w:left w:w="108" w:type="dxa"/>
            <w:bottom w:w="0" w:type="dxa"/>
            <w:right w:w="108" w:type="dxa"/>
          </w:tblCellMar>
        </w:tblPrEx>
        <w:trPr>
          <w:cantSplit/>
          <w:trHeight w:val="169" w:hRule="atLeast"/>
        </w:trPr>
        <w:tc>
          <w:tcPr>
            <w:tcW w:w="1177" w:type="pct"/>
            <w:tcBorders>
              <w:top w:val="single" w:color="auto" w:sz="6" w:space="0"/>
              <w:left w:val="single" w:color="auto" w:sz="6" w:space="0"/>
              <w:bottom w:val="single" w:color="auto" w:sz="6" w:space="0"/>
              <w:right w:val="single" w:color="auto" w:sz="6" w:space="0"/>
            </w:tcBorders>
            <w:shd w:val="clear" w:color="auto" w:fill="auto"/>
            <w:vAlign w:val="center"/>
          </w:tcPr>
          <w:p w14:paraId="2C4D869C">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联系电话</w:t>
            </w:r>
          </w:p>
        </w:tc>
        <w:tc>
          <w:tcPr>
            <w:tcW w:w="734" w:type="pct"/>
            <w:tcBorders>
              <w:top w:val="single" w:color="auto" w:sz="6" w:space="0"/>
              <w:left w:val="single" w:color="auto" w:sz="6" w:space="0"/>
              <w:bottom w:val="single" w:color="auto" w:sz="6" w:space="0"/>
              <w:right w:val="single" w:color="auto" w:sz="4" w:space="0"/>
            </w:tcBorders>
            <w:shd w:val="clear" w:color="auto" w:fill="auto"/>
            <w:vAlign w:val="center"/>
          </w:tcPr>
          <w:p w14:paraId="24B221A0">
            <w:pPr>
              <w:autoSpaceDE w:val="0"/>
              <w:autoSpaceDN w:val="0"/>
              <w:spacing w:line="360" w:lineRule="auto"/>
              <w:jc w:val="center"/>
              <w:rPr>
                <w:rFonts w:ascii="仿宋_GB2312" w:hAnsi="仿宋" w:eastAsia="仿宋_GB2312" w:cs="仿宋_GB2312"/>
                <w:color w:val="auto"/>
                <w:sz w:val="24"/>
                <w:highlight w:val="none"/>
              </w:rPr>
            </w:pPr>
          </w:p>
        </w:tc>
        <w:tc>
          <w:tcPr>
            <w:tcW w:w="719" w:type="pct"/>
            <w:tcBorders>
              <w:top w:val="single" w:color="auto" w:sz="6" w:space="0"/>
              <w:left w:val="single" w:color="auto" w:sz="4" w:space="0"/>
              <w:bottom w:val="single" w:color="auto" w:sz="6" w:space="0"/>
              <w:right w:val="single" w:color="auto" w:sz="6" w:space="0"/>
            </w:tcBorders>
            <w:shd w:val="clear" w:color="auto" w:fill="B3B3B3"/>
            <w:vAlign w:val="center"/>
          </w:tcPr>
          <w:p w14:paraId="7605E972">
            <w:pPr>
              <w:autoSpaceDE w:val="0"/>
              <w:autoSpaceDN w:val="0"/>
              <w:spacing w:line="360" w:lineRule="auto"/>
              <w:jc w:val="center"/>
              <w:rPr>
                <w:rFonts w:ascii="仿宋_GB2312" w:hAnsi="仿宋" w:eastAsia="仿宋_GB2312" w:cs="仿宋_GB2312"/>
                <w:color w:val="auto"/>
                <w:sz w:val="24"/>
                <w:highlight w:val="none"/>
              </w:rPr>
            </w:pPr>
          </w:p>
        </w:tc>
        <w:tc>
          <w:tcPr>
            <w:tcW w:w="2368" w:type="pct"/>
            <w:vMerge w:val="continue"/>
            <w:tcBorders>
              <w:top w:val="single" w:color="auto" w:sz="6" w:space="0"/>
              <w:left w:val="single" w:color="auto" w:sz="6" w:space="0"/>
              <w:bottom w:val="single" w:color="auto" w:sz="6" w:space="0"/>
              <w:right w:val="single" w:color="auto" w:sz="6" w:space="0"/>
            </w:tcBorders>
            <w:vAlign w:val="center"/>
          </w:tcPr>
          <w:p w14:paraId="78638004">
            <w:pPr>
              <w:widowControl/>
              <w:jc w:val="left"/>
              <w:rPr>
                <w:rFonts w:ascii="仿宋_GB2312" w:hAnsi="仿宋" w:eastAsia="仿宋_GB2312" w:cs="仿宋_GB2312"/>
                <w:color w:val="auto"/>
                <w:sz w:val="24"/>
                <w:highlight w:val="none"/>
              </w:rPr>
            </w:pPr>
          </w:p>
        </w:tc>
      </w:tr>
    </w:tbl>
    <w:p w14:paraId="11DEC446">
      <w:pPr>
        <w:autoSpaceDE w:val="0"/>
        <w:autoSpaceDN w:val="0"/>
        <w:spacing w:line="360" w:lineRule="auto"/>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注：须随表提交相应的证书复印件并注明所在响应技术文件页码。</w:t>
      </w:r>
    </w:p>
    <w:p w14:paraId="7AA8559A">
      <w:pPr>
        <w:autoSpaceDE w:val="0"/>
        <w:autoSpaceDN w:val="0"/>
        <w:spacing w:line="360" w:lineRule="auto"/>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附表B:本项目的项目小组人员情况表</w:t>
      </w:r>
      <w:r>
        <w:rPr>
          <w:rFonts w:hint="eastAsia" w:ascii="仿宋_GB2312" w:hAnsi="仿宋" w:eastAsia="仿宋_GB2312" w:cs="仿宋_GB2312"/>
          <w:color w:val="auto"/>
          <w:sz w:val="24"/>
          <w:highlight w:val="none"/>
        </w:rPr>
        <w:t>（按此格式自制）</w:t>
      </w:r>
    </w:p>
    <w:tbl>
      <w:tblPr>
        <w:tblStyle w:val="23"/>
        <w:tblW w:w="4997" w:type="pct"/>
        <w:tblInd w:w="0" w:type="dxa"/>
        <w:tblLayout w:type="autofit"/>
        <w:tblCellMar>
          <w:top w:w="0" w:type="dxa"/>
          <w:left w:w="108" w:type="dxa"/>
          <w:bottom w:w="0" w:type="dxa"/>
          <w:right w:w="108" w:type="dxa"/>
        </w:tblCellMar>
      </w:tblPr>
      <w:tblGrid>
        <w:gridCol w:w="456"/>
        <w:gridCol w:w="801"/>
        <w:gridCol w:w="456"/>
        <w:gridCol w:w="596"/>
        <w:gridCol w:w="1059"/>
        <w:gridCol w:w="1103"/>
        <w:gridCol w:w="1103"/>
        <w:gridCol w:w="1289"/>
        <w:gridCol w:w="919"/>
        <w:gridCol w:w="1505"/>
      </w:tblGrid>
      <w:tr w14:paraId="2F2B0F33">
        <w:tblPrEx>
          <w:tblCellMar>
            <w:top w:w="0" w:type="dxa"/>
            <w:left w:w="108" w:type="dxa"/>
            <w:bottom w:w="0" w:type="dxa"/>
            <w:right w:w="108" w:type="dxa"/>
          </w:tblCellMar>
        </w:tblPrEx>
        <w:tc>
          <w:tcPr>
            <w:tcW w:w="232" w:type="pct"/>
            <w:tcBorders>
              <w:top w:val="single" w:color="auto" w:sz="6" w:space="0"/>
              <w:left w:val="single" w:color="auto" w:sz="6" w:space="0"/>
              <w:bottom w:val="single" w:color="auto" w:sz="6" w:space="0"/>
              <w:right w:val="single" w:color="auto" w:sz="6" w:space="0"/>
            </w:tcBorders>
            <w:vAlign w:val="center"/>
          </w:tcPr>
          <w:p w14:paraId="66633FFC">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序号</w:t>
            </w:r>
          </w:p>
        </w:tc>
        <w:tc>
          <w:tcPr>
            <w:tcW w:w="435" w:type="pct"/>
            <w:tcBorders>
              <w:top w:val="single" w:color="auto" w:sz="6" w:space="0"/>
              <w:left w:val="single" w:color="auto" w:sz="6" w:space="0"/>
              <w:bottom w:val="single" w:color="auto" w:sz="6" w:space="0"/>
              <w:right w:val="single" w:color="auto" w:sz="6" w:space="0"/>
            </w:tcBorders>
            <w:vAlign w:val="center"/>
          </w:tcPr>
          <w:p w14:paraId="4399C4CA">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姓名</w:t>
            </w:r>
          </w:p>
        </w:tc>
        <w:tc>
          <w:tcPr>
            <w:tcW w:w="228" w:type="pct"/>
            <w:tcBorders>
              <w:top w:val="single" w:color="auto" w:sz="6" w:space="0"/>
              <w:left w:val="single" w:color="auto" w:sz="6" w:space="0"/>
              <w:bottom w:val="single" w:color="auto" w:sz="6" w:space="0"/>
              <w:right w:val="single" w:color="auto" w:sz="6" w:space="0"/>
            </w:tcBorders>
            <w:vAlign w:val="center"/>
          </w:tcPr>
          <w:p w14:paraId="5CBF63CF">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性别</w:t>
            </w:r>
          </w:p>
        </w:tc>
        <w:tc>
          <w:tcPr>
            <w:tcW w:w="324" w:type="pct"/>
            <w:tcBorders>
              <w:top w:val="single" w:color="auto" w:sz="6" w:space="0"/>
              <w:left w:val="single" w:color="auto" w:sz="6" w:space="0"/>
              <w:bottom w:val="single" w:color="auto" w:sz="6" w:space="0"/>
              <w:right w:val="single" w:color="auto" w:sz="6" w:space="0"/>
            </w:tcBorders>
            <w:vAlign w:val="center"/>
          </w:tcPr>
          <w:p w14:paraId="7E2C2897">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年龄</w:t>
            </w:r>
          </w:p>
        </w:tc>
        <w:tc>
          <w:tcPr>
            <w:tcW w:w="573" w:type="pct"/>
            <w:tcBorders>
              <w:top w:val="single" w:color="auto" w:sz="6" w:space="0"/>
              <w:left w:val="single" w:color="auto" w:sz="6" w:space="0"/>
              <w:bottom w:val="single" w:color="auto" w:sz="6" w:space="0"/>
              <w:right w:val="single" w:color="auto" w:sz="6" w:space="0"/>
            </w:tcBorders>
            <w:vAlign w:val="center"/>
          </w:tcPr>
          <w:p w14:paraId="294D859A">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学历</w:t>
            </w:r>
          </w:p>
          <w:p w14:paraId="6C131D5E">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(页码)</w:t>
            </w:r>
          </w:p>
        </w:tc>
        <w:tc>
          <w:tcPr>
            <w:tcW w:w="597" w:type="pct"/>
            <w:tcBorders>
              <w:top w:val="single" w:color="auto" w:sz="6" w:space="0"/>
              <w:left w:val="single" w:color="auto" w:sz="6" w:space="0"/>
              <w:bottom w:val="single" w:color="auto" w:sz="6" w:space="0"/>
              <w:right w:val="single" w:color="auto" w:sz="6" w:space="0"/>
            </w:tcBorders>
            <w:vAlign w:val="center"/>
          </w:tcPr>
          <w:p w14:paraId="22011EC1">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专业</w:t>
            </w:r>
          </w:p>
          <w:p w14:paraId="12725712">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(页码)</w:t>
            </w:r>
          </w:p>
        </w:tc>
        <w:tc>
          <w:tcPr>
            <w:tcW w:w="597" w:type="pct"/>
            <w:tcBorders>
              <w:top w:val="single" w:color="auto" w:sz="6" w:space="0"/>
              <w:left w:val="single" w:color="auto" w:sz="6" w:space="0"/>
              <w:bottom w:val="single" w:color="auto" w:sz="6" w:space="0"/>
              <w:right w:val="single" w:color="auto" w:sz="6" w:space="0"/>
            </w:tcBorders>
            <w:vAlign w:val="center"/>
          </w:tcPr>
          <w:p w14:paraId="12C4410B">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职称</w:t>
            </w:r>
          </w:p>
          <w:p w14:paraId="6217D847">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(页码)</w:t>
            </w:r>
          </w:p>
        </w:tc>
        <w:tc>
          <w:tcPr>
            <w:tcW w:w="697" w:type="pct"/>
            <w:tcBorders>
              <w:top w:val="single" w:color="auto" w:sz="6" w:space="0"/>
              <w:left w:val="single" w:color="auto" w:sz="6" w:space="0"/>
              <w:bottom w:val="single" w:color="auto" w:sz="6" w:space="0"/>
              <w:right w:val="single" w:color="auto" w:sz="6" w:space="0"/>
            </w:tcBorders>
            <w:vAlign w:val="center"/>
          </w:tcPr>
          <w:p w14:paraId="6438EB31">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本项目中的职责</w:t>
            </w:r>
          </w:p>
        </w:tc>
        <w:tc>
          <w:tcPr>
            <w:tcW w:w="498" w:type="pct"/>
            <w:tcBorders>
              <w:top w:val="single" w:color="auto" w:sz="6" w:space="0"/>
              <w:left w:val="single" w:color="auto" w:sz="6" w:space="0"/>
              <w:bottom w:val="single" w:color="auto" w:sz="6" w:space="0"/>
              <w:right w:val="single" w:color="auto" w:sz="6" w:space="0"/>
            </w:tcBorders>
            <w:vAlign w:val="center"/>
          </w:tcPr>
          <w:p w14:paraId="368E1307">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项目经历</w:t>
            </w:r>
          </w:p>
        </w:tc>
        <w:tc>
          <w:tcPr>
            <w:tcW w:w="813" w:type="pct"/>
            <w:tcBorders>
              <w:top w:val="single" w:color="auto" w:sz="6" w:space="0"/>
              <w:left w:val="single" w:color="auto" w:sz="6" w:space="0"/>
              <w:bottom w:val="single" w:color="auto" w:sz="6" w:space="0"/>
              <w:right w:val="single" w:color="auto" w:sz="6" w:space="0"/>
            </w:tcBorders>
            <w:vAlign w:val="center"/>
          </w:tcPr>
          <w:p w14:paraId="3CCC094F">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参与本项目的到位情况</w:t>
            </w:r>
          </w:p>
        </w:tc>
      </w:tr>
      <w:tr w14:paraId="3AC7E651">
        <w:tblPrEx>
          <w:tblCellMar>
            <w:top w:w="0" w:type="dxa"/>
            <w:left w:w="108" w:type="dxa"/>
            <w:bottom w:w="0" w:type="dxa"/>
            <w:right w:w="108" w:type="dxa"/>
          </w:tblCellMar>
        </w:tblPrEx>
        <w:trPr>
          <w:trHeight w:val="479" w:hRule="atLeast"/>
        </w:trPr>
        <w:tc>
          <w:tcPr>
            <w:tcW w:w="232" w:type="pct"/>
            <w:tcBorders>
              <w:top w:val="single" w:color="auto" w:sz="6" w:space="0"/>
              <w:left w:val="single" w:color="auto" w:sz="6" w:space="0"/>
              <w:bottom w:val="single" w:color="auto" w:sz="6" w:space="0"/>
              <w:right w:val="single" w:color="auto" w:sz="6" w:space="0"/>
            </w:tcBorders>
          </w:tcPr>
          <w:p w14:paraId="3C8C14C7">
            <w:pPr>
              <w:autoSpaceDE w:val="0"/>
              <w:autoSpaceDN w:val="0"/>
              <w:spacing w:line="360" w:lineRule="auto"/>
              <w:jc w:val="center"/>
              <w:rPr>
                <w:rFonts w:ascii="仿宋_GB2312" w:hAnsi="仿宋" w:eastAsia="仿宋_GB2312" w:cs="仿宋_GB2312"/>
                <w:color w:val="auto"/>
                <w:sz w:val="24"/>
                <w:highlight w:val="none"/>
              </w:rPr>
            </w:pPr>
          </w:p>
        </w:tc>
        <w:tc>
          <w:tcPr>
            <w:tcW w:w="435" w:type="pct"/>
            <w:tcBorders>
              <w:top w:val="single" w:color="auto" w:sz="6" w:space="0"/>
              <w:left w:val="single" w:color="auto" w:sz="6" w:space="0"/>
              <w:bottom w:val="single" w:color="auto" w:sz="6" w:space="0"/>
              <w:right w:val="single" w:color="auto" w:sz="6" w:space="0"/>
            </w:tcBorders>
          </w:tcPr>
          <w:p w14:paraId="137F53BC">
            <w:pPr>
              <w:autoSpaceDE w:val="0"/>
              <w:autoSpaceDN w:val="0"/>
              <w:spacing w:line="360" w:lineRule="auto"/>
              <w:rPr>
                <w:rFonts w:ascii="仿宋_GB2312" w:hAnsi="仿宋" w:eastAsia="仿宋_GB2312" w:cs="仿宋_GB2312"/>
                <w:color w:val="auto"/>
                <w:sz w:val="24"/>
                <w:highlight w:val="none"/>
              </w:rPr>
            </w:pPr>
          </w:p>
        </w:tc>
        <w:tc>
          <w:tcPr>
            <w:tcW w:w="228" w:type="pct"/>
            <w:tcBorders>
              <w:top w:val="single" w:color="auto" w:sz="6" w:space="0"/>
              <w:left w:val="single" w:color="auto" w:sz="6" w:space="0"/>
              <w:bottom w:val="single" w:color="auto" w:sz="6" w:space="0"/>
              <w:right w:val="single" w:color="auto" w:sz="6" w:space="0"/>
            </w:tcBorders>
          </w:tcPr>
          <w:p w14:paraId="455FFC73">
            <w:pPr>
              <w:autoSpaceDE w:val="0"/>
              <w:autoSpaceDN w:val="0"/>
              <w:spacing w:line="360" w:lineRule="auto"/>
              <w:rPr>
                <w:rFonts w:ascii="仿宋_GB2312" w:hAnsi="仿宋" w:eastAsia="仿宋_GB2312" w:cs="仿宋_GB2312"/>
                <w:color w:val="auto"/>
                <w:sz w:val="24"/>
                <w:highlight w:val="none"/>
              </w:rPr>
            </w:pPr>
          </w:p>
        </w:tc>
        <w:tc>
          <w:tcPr>
            <w:tcW w:w="324" w:type="pct"/>
            <w:tcBorders>
              <w:top w:val="single" w:color="auto" w:sz="6" w:space="0"/>
              <w:left w:val="single" w:color="auto" w:sz="6" w:space="0"/>
              <w:bottom w:val="single" w:color="auto" w:sz="6" w:space="0"/>
              <w:right w:val="single" w:color="auto" w:sz="6" w:space="0"/>
            </w:tcBorders>
          </w:tcPr>
          <w:p w14:paraId="4175EB23">
            <w:pPr>
              <w:autoSpaceDE w:val="0"/>
              <w:autoSpaceDN w:val="0"/>
              <w:spacing w:line="360" w:lineRule="auto"/>
              <w:rPr>
                <w:rFonts w:ascii="仿宋_GB2312" w:hAnsi="仿宋" w:eastAsia="仿宋_GB2312" w:cs="仿宋_GB2312"/>
                <w:color w:val="auto"/>
                <w:sz w:val="24"/>
                <w:highlight w:val="none"/>
              </w:rPr>
            </w:pPr>
          </w:p>
        </w:tc>
        <w:tc>
          <w:tcPr>
            <w:tcW w:w="573" w:type="pct"/>
            <w:tcBorders>
              <w:top w:val="single" w:color="auto" w:sz="6" w:space="0"/>
              <w:left w:val="single" w:color="auto" w:sz="6" w:space="0"/>
              <w:bottom w:val="single" w:color="auto" w:sz="6" w:space="0"/>
              <w:right w:val="single" w:color="auto" w:sz="6" w:space="0"/>
            </w:tcBorders>
          </w:tcPr>
          <w:p w14:paraId="0E05716F">
            <w:pPr>
              <w:autoSpaceDE w:val="0"/>
              <w:autoSpaceDN w:val="0"/>
              <w:spacing w:line="360" w:lineRule="auto"/>
              <w:rPr>
                <w:rFonts w:ascii="仿宋_GB2312" w:hAnsi="仿宋" w:eastAsia="仿宋_GB2312" w:cs="仿宋_GB2312"/>
                <w:color w:val="auto"/>
                <w:sz w:val="24"/>
                <w:highlight w:val="none"/>
              </w:rPr>
            </w:pPr>
          </w:p>
        </w:tc>
        <w:tc>
          <w:tcPr>
            <w:tcW w:w="597" w:type="pct"/>
            <w:tcBorders>
              <w:top w:val="single" w:color="auto" w:sz="6" w:space="0"/>
              <w:left w:val="single" w:color="auto" w:sz="6" w:space="0"/>
              <w:bottom w:val="single" w:color="auto" w:sz="6" w:space="0"/>
              <w:right w:val="single" w:color="auto" w:sz="6" w:space="0"/>
            </w:tcBorders>
          </w:tcPr>
          <w:p w14:paraId="5F919D41">
            <w:pPr>
              <w:autoSpaceDE w:val="0"/>
              <w:autoSpaceDN w:val="0"/>
              <w:spacing w:line="360" w:lineRule="auto"/>
              <w:rPr>
                <w:rFonts w:ascii="仿宋_GB2312" w:hAnsi="仿宋" w:eastAsia="仿宋_GB2312" w:cs="仿宋_GB2312"/>
                <w:color w:val="auto"/>
                <w:sz w:val="24"/>
                <w:highlight w:val="none"/>
              </w:rPr>
            </w:pPr>
          </w:p>
        </w:tc>
        <w:tc>
          <w:tcPr>
            <w:tcW w:w="597" w:type="pct"/>
            <w:tcBorders>
              <w:top w:val="single" w:color="auto" w:sz="6" w:space="0"/>
              <w:left w:val="single" w:color="auto" w:sz="6" w:space="0"/>
              <w:bottom w:val="single" w:color="auto" w:sz="6" w:space="0"/>
              <w:right w:val="single" w:color="auto" w:sz="6" w:space="0"/>
            </w:tcBorders>
          </w:tcPr>
          <w:p w14:paraId="12DC381F">
            <w:pPr>
              <w:autoSpaceDE w:val="0"/>
              <w:autoSpaceDN w:val="0"/>
              <w:spacing w:line="360" w:lineRule="auto"/>
              <w:rPr>
                <w:rFonts w:ascii="仿宋_GB2312" w:hAnsi="仿宋" w:eastAsia="仿宋_GB2312" w:cs="仿宋_GB2312"/>
                <w:color w:val="auto"/>
                <w:sz w:val="24"/>
                <w:highlight w:val="none"/>
              </w:rPr>
            </w:pPr>
          </w:p>
        </w:tc>
        <w:tc>
          <w:tcPr>
            <w:tcW w:w="697" w:type="pct"/>
            <w:tcBorders>
              <w:top w:val="single" w:color="auto" w:sz="6" w:space="0"/>
              <w:left w:val="single" w:color="auto" w:sz="6" w:space="0"/>
              <w:bottom w:val="single" w:color="auto" w:sz="6" w:space="0"/>
              <w:right w:val="single" w:color="auto" w:sz="6" w:space="0"/>
            </w:tcBorders>
          </w:tcPr>
          <w:p w14:paraId="678C1A34">
            <w:pPr>
              <w:autoSpaceDE w:val="0"/>
              <w:autoSpaceDN w:val="0"/>
              <w:spacing w:line="360" w:lineRule="auto"/>
              <w:rPr>
                <w:rFonts w:ascii="仿宋_GB2312" w:hAnsi="仿宋" w:eastAsia="仿宋_GB2312" w:cs="仿宋_GB2312"/>
                <w:color w:val="auto"/>
                <w:sz w:val="24"/>
                <w:highlight w:val="none"/>
              </w:rPr>
            </w:pPr>
          </w:p>
        </w:tc>
        <w:tc>
          <w:tcPr>
            <w:tcW w:w="498" w:type="pct"/>
            <w:tcBorders>
              <w:top w:val="single" w:color="auto" w:sz="6" w:space="0"/>
              <w:left w:val="single" w:color="auto" w:sz="6" w:space="0"/>
              <w:bottom w:val="single" w:color="auto" w:sz="6" w:space="0"/>
              <w:right w:val="single" w:color="auto" w:sz="6" w:space="0"/>
            </w:tcBorders>
          </w:tcPr>
          <w:p w14:paraId="33D53969">
            <w:pPr>
              <w:autoSpaceDE w:val="0"/>
              <w:autoSpaceDN w:val="0"/>
              <w:spacing w:line="360" w:lineRule="auto"/>
              <w:rPr>
                <w:rFonts w:ascii="仿宋_GB2312" w:hAnsi="仿宋" w:eastAsia="仿宋_GB2312" w:cs="仿宋_GB2312"/>
                <w:color w:val="auto"/>
                <w:sz w:val="24"/>
                <w:highlight w:val="none"/>
              </w:rPr>
            </w:pPr>
          </w:p>
        </w:tc>
        <w:tc>
          <w:tcPr>
            <w:tcW w:w="813" w:type="pct"/>
            <w:tcBorders>
              <w:top w:val="single" w:color="auto" w:sz="6" w:space="0"/>
              <w:left w:val="single" w:color="auto" w:sz="6" w:space="0"/>
              <w:bottom w:val="single" w:color="auto" w:sz="6" w:space="0"/>
              <w:right w:val="single" w:color="auto" w:sz="6" w:space="0"/>
            </w:tcBorders>
          </w:tcPr>
          <w:p w14:paraId="4C2BCCA4">
            <w:pPr>
              <w:autoSpaceDE w:val="0"/>
              <w:autoSpaceDN w:val="0"/>
              <w:spacing w:line="360" w:lineRule="auto"/>
              <w:rPr>
                <w:rFonts w:ascii="仿宋_GB2312" w:hAnsi="仿宋" w:eastAsia="仿宋_GB2312" w:cs="仿宋_GB2312"/>
                <w:color w:val="auto"/>
                <w:sz w:val="24"/>
                <w:highlight w:val="none"/>
              </w:rPr>
            </w:pPr>
          </w:p>
        </w:tc>
      </w:tr>
      <w:tr w14:paraId="2C92356B">
        <w:tblPrEx>
          <w:tblCellMar>
            <w:top w:w="0" w:type="dxa"/>
            <w:left w:w="108" w:type="dxa"/>
            <w:bottom w:w="0" w:type="dxa"/>
            <w:right w:w="108" w:type="dxa"/>
          </w:tblCellMar>
        </w:tblPrEx>
        <w:trPr>
          <w:trHeight w:val="473" w:hRule="atLeast"/>
        </w:trPr>
        <w:tc>
          <w:tcPr>
            <w:tcW w:w="232" w:type="pct"/>
            <w:tcBorders>
              <w:top w:val="single" w:color="auto" w:sz="6" w:space="0"/>
              <w:left w:val="single" w:color="auto" w:sz="6" w:space="0"/>
              <w:bottom w:val="single" w:color="auto" w:sz="6" w:space="0"/>
              <w:right w:val="single" w:color="auto" w:sz="6" w:space="0"/>
            </w:tcBorders>
          </w:tcPr>
          <w:p w14:paraId="2BC30495">
            <w:pPr>
              <w:autoSpaceDE w:val="0"/>
              <w:autoSpaceDN w:val="0"/>
              <w:spacing w:line="360" w:lineRule="auto"/>
              <w:jc w:val="center"/>
              <w:rPr>
                <w:rFonts w:ascii="仿宋_GB2312" w:hAnsi="仿宋" w:eastAsia="仿宋_GB2312" w:cs="仿宋_GB2312"/>
                <w:color w:val="auto"/>
                <w:sz w:val="24"/>
                <w:highlight w:val="none"/>
              </w:rPr>
            </w:pPr>
          </w:p>
        </w:tc>
        <w:tc>
          <w:tcPr>
            <w:tcW w:w="435" w:type="pct"/>
            <w:tcBorders>
              <w:top w:val="single" w:color="auto" w:sz="6" w:space="0"/>
              <w:left w:val="single" w:color="auto" w:sz="6" w:space="0"/>
              <w:bottom w:val="single" w:color="auto" w:sz="6" w:space="0"/>
              <w:right w:val="single" w:color="auto" w:sz="6" w:space="0"/>
            </w:tcBorders>
          </w:tcPr>
          <w:p w14:paraId="46C82CF3">
            <w:pPr>
              <w:autoSpaceDE w:val="0"/>
              <w:autoSpaceDN w:val="0"/>
              <w:spacing w:line="360" w:lineRule="auto"/>
              <w:rPr>
                <w:rFonts w:ascii="仿宋_GB2312" w:hAnsi="仿宋" w:eastAsia="仿宋_GB2312" w:cs="仿宋_GB2312"/>
                <w:color w:val="auto"/>
                <w:sz w:val="24"/>
                <w:highlight w:val="none"/>
              </w:rPr>
            </w:pPr>
          </w:p>
        </w:tc>
        <w:tc>
          <w:tcPr>
            <w:tcW w:w="228" w:type="pct"/>
            <w:tcBorders>
              <w:top w:val="single" w:color="auto" w:sz="6" w:space="0"/>
              <w:left w:val="single" w:color="auto" w:sz="6" w:space="0"/>
              <w:bottom w:val="single" w:color="auto" w:sz="6" w:space="0"/>
              <w:right w:val="single" w:color="auto" w:sz="6" w:space="0"/>
            </w:tcBorders>
          </w:tcPr>
          <w:p w14:paraId="60B02336">
            <w:pPr>
              <w:autoSpaceDE w:val="0"/>
              <w:autoSpaceDN w:val="0"/>
              <w:spacing w:line="360" w:lineRule="auto"/>
              <w:rPr>
                <w:rFonts w:ascii="仿宋_GB2312" w:hAnsi="仿宋" w:eastAsia="仿宋_GB2312" w:cs="仿宋_GB2312"/>
                <w:color w:val="auto"/>
                <w:sz w:val="24"/>
                <w:highlight w:val="none"/>
              </w:rPr>
            </w:pPr>
          </w:p>
        </w:tc>
        <w:tc>
          <w:tcPr>
            <w:tcW w:w="324" w:type="pct"/>
            <w:tcBorders>
              <w:top w:val="single" w:color="auto" w:sz="6" w:space="0"/>
              <w:left w:val="single" w:color="auto" w:sz="6" w:space="0"/>
              <w:bottom w:val="single" w:color="auto" w:sz="6" w:space="0"/>
              <w:right w:val="single" w:color="auto" w:sz="6" w:space="0"/>
            </w:tcBorders>
          </w:tcPr>
          <w:p w14:paraId="7D17748A">
            <w:pPr>
              <w:autoSpaceDE w:val="0"/>
              <w:autoSpaceDN w:val="0"/>
              <w:spacing w:line="360" w:lineRule="auto"/>
              <w:rPr>
                <w:rFonts w:ascii="仿宋_GB2312" w:hAnsi="仿宋" w:eastAsia="仿宋_GB2312" w:cs="仿宋_GB2312"/>
                <w:color w:val="auto"/>
                <w:sz w:val="24"/>
                <w:highlight w:val="none"/>
              </w:rPr>
            </w:pPr>
          </w:p>
        </w:tc>
        <w:tc>
          <w:tcPr>
            <w:tcW w:w="573" w:type="pct"/>
            <w:tcBorders>
              <w:top w:val="single" w:color="auto" w:sz="6" w:space="0"/>
              <w:left w:val="single" w:color="auto" w:sz="6" w:space="0"/>
              <w:bottom w:val="single" w:color="auto" w:sz="6" w:space="0"/>
              <w:right w:val="single" w:color="auto" w:sz="6" w:space="0"/>
            </w:tcBorders>
          </w:tcPr>
          <w:p w14:paraId="4EB214A6">
            <w:pPr>
              <w:autoSpaceDE w:val="0"/>
              <w:autoSpaceDN w:val="0"/>
              <w:spacing w:line="360" w:lineRule="auto"/>
              <w:rPr>
                <w:rFonts w:ascii="仿宋_GB2312" w:hAnsi="仿宋" w:eastAsia="仿宋_GB2312" w:cs="仿宋_GB2312"/>
                <w:color w:val="auto"/>
                <w:sz w:val="24"/>
                <w:highlight w:val="none"/>
              </w:rPr>
            </w:pPr>
          </w:p>
        </w:tc>
        <w:tc>
          <w:tcPr>
            <w:tcW w:w="597" w:type="pct"/>
            <w:tcBorders>
              <w:top w:val="single" w:color="auto" w:sz="6" w:space="0"/>
              <w:left w:val="single" w:color="auto" w:sz="6" w:space="0"/>
              <w:bottom w:val="single" w:color="auto" w:sz="6" w:space="0"/>
              <w:right w:val="single" w:color="auto" w:sz="6" w:space="0"/>
            </w:tcBorders>
          </w:tcPr>
          <w:p w14:paraId="10BD9986">
            <w:pPr>
              <w:autoSpaceDE w:val="0"/>
              <w:autoSpaceDN w:val="0"/>
              <w:spacing w:line="360" w:lineRule="auto"/>
              <w:rPr>
                <w:rFonts w:ascii="仿宋_GB2312" w:hAnsi="仿宋" w:eastAsia="仿宋_GB2312" w:cs="仿宋_GB2312"/>
                <w:color w:val="auto"/>
                <w:sz w:val="24"/>
                <w:highlight w:val="none"/>
              </w:rPr>
            </w:pPr>
          </w:p>
        </w:tc>
        <w:tc>
          <w:tcPr>
            <w:tcW w:w="597" w:type="pct"/>
            <w:tcBorders>
              <w:top w:val="single" w:color="auto" w:sz="6" w:space="0"/>
              <w:left w:val="single" w:color="auto" w:sz="6" w:space="0"/>
              <w:bottom w:val="single" w:color="auto" w:sz="6" w:space="0"/>
              <w:right w:val="single" w:color="auto" w:sz="6" w:space="0"/>
            </w:tcBorders>
          </w:tcPr>
          <w:p w14:paraId="6EB93005">
            <w:pPr>
              <w:autoSpaceDE w:val="0"/>
              <w:autoSpaceDN w:val="0"/>
              <w:spacing w:line="360" w:lineRule="auto"/>
              <w:rPr>
                <w:rFonts w:ascii="仿宋_GB2312" w:hAnsi="仿宋" w:eastAsia="仿宋_GB2312" w:cs="仿宋_GB2312"/>
                <w:color w:val="auto"/>
                <w:sz w:val="24"/>
                <w:highlight w:val="none"/>
              </w:rPr>
            </w:pPr>
          </w:p>
        </w:tc>
        <w:tc>
          <w:tcPr>
            <w:tcW w:w="697" w:type="pct"/>
            <w:tcBorders>
              <w:top w:val="single" w:color="auto" w:sz="6" w:space="0"/>
              <w:left w:val="single" w:color="auto" w:sz="6" w:space="0"/>
              <w:bottom w:val="single" w:color="auto" w:sz="6" w:space="0"/>
              <w:right w:val="single" w:color="auto" w:sz="6" w:space="0"/>
            </w:tcBorders>
          </w:tcPr>
          <w:p w14:paraId="5CB408E7">
            <w:pPr>
              <w:autoSpaceDE w:val="0"/>
              <w:autoSpaceDN w:val="0"/>
              <w:spacing w:line="360" w:lineRule="auto"/>
              <w:rPr>
                <w:rFonts w:ascii="仿宋_GB2312" w:hAnsi="仿宋" w:eastAsia="仿宋_GB2312" w:cs="仿宋_GB2312"/>
                <w:color w:val="auto"/>
                <w:sz w:val="24"/>
                <w:highlight w:val="none"/>
              </w:rPr>
            </w:pPr>
          </w:p>
        </w:tc>
        <w:tc>
          <w:tcPr>
            <w:tcW w:w="498" w:type="pct"/>
            <w:tcBorders>
              <w:top w:val="single" w:color="auto" w:sz="6" w:space="0"/>
              <w:left w:val="single" w:color="auto" w:sz="6" w:space="0"/>
              <w:bottom w:val="single" w:color="auto" w:sz="6" w:space="0"/>
              <w:right w:val="single" w:color="auto" w:sz="6" w:space="0"/>
            </w:tcBorders>
          </w:tcPr>
          <w:p w14:paraId="5989F7EF">
            <w:pPr>
              <w:autoSpaceDE w:val="0"/>
              <w:autoSpaceDN w:val="0"/>
              <w:spacing w:line="360" w:lineRule="auto"/>
              <w:rPr>
                <w:rFonts w:ascii="仿宋_GB2312" w:hAnsi="仿宋" w:eastAsia="仿宋_GB2312" w:cs="仿宋_GB2312"/>
                <w:color w:val="auto"/>
                <w:sz w:val="24"/>
                <w:highlight w:val="none"/>
              </w:rPr>
            </w:pPr>
          </w:p>
        </w:tc>
        <w:tc>
          <w:tcPr>
            <w:tcW w:w="813" w:type="pct"/>
            <w:tcBorders>
              <w:top w:val="single" w:color="auto" w:sz="6" w:space="0"/>
              <w:left w:val="single" w:color="auto" w:sz="6" w:space="0"/>
              <w:bottom w:val="single" w:color="auto" w:sz="6" w:space="0"/>
              <w:right w:val="single" w:color="auto" w:sz="6" w:space="0"/>
            </w:tcBorders>
          </w:tcPr>
          <w:p w14:paraId="3055B0C7">
            <w:pPr>
              <w:autoSpaceDE w:val="0"/>
              <w:autoSpaceDN w:val="0"/>
              <w:spacing w:line="360" w:lineRule="auto"/>
              <w:rPr>
                <w:rFonts w:ascii="仿宋_GB2312" w:hAnsi="仿宋" w:eastAsia="仿宋_GB2312" w:cs="仿宋_GB2312"/>
                <w:color w:val="auto"/>
                <w:sz w:val="24"/>
                <w:highlight w:val="none"/>
              </w:rPr>
            </w:pPr>
          </w:p>
        </w:tc>
      </w:tr>
    </w:tbl>
    <w:p w14:paraId="2168585B">
      <w:pPr>
        <w:spacing w:line="360" w:lineRule="auto"/>
        <w:rPr>
          <w:rFonts w:ascii="仿宋_GB2312" w:hAnsi="仿宋" w:eastAsia="仿宋_GB2312" w:cs="仿宋_GB2312"/>
          <w:b/>
          <w:bCs/>
          <w:color w:val="auto"/>
          <w:sz w:val="24"/>
          <w:highlight w:val="none"/>
        </w:rPr>
      </w:pPr>
      <w:r>
        <w:rPr>
          <w:rFonts w:hint="eastAsia" w:ascii="仿宋_GB2312" w:hAnsi="仿宋" w:eastAsia="仿宋_GB2312" w:cs="仿宋_GB2312"/>
          <w:b/>
          <w:color w:val="auto"/>
          <w:sz w:val="24"/>
          <w:highlight w:val="none"/>
        </w:rPr>
        <w:t>注：供应商可按上述的格式自行编制，须随表提交相应的证书复印件并注明所在响应技术文件页码。</w:t>
      </w:r>
    </w:p>
    <w:p w14:paraId="4FAD98BB">
      <w:pPr>
        <w:spacing w:line="360" w:lineRule="auto"/>
        <w:rPr>
          <w:rFonts w:ascii="仿宋_GB2312" w:hAnsi="仿宋" w:eastAsia="仿宋_GB2312" w:cs="仿宋_GB2312"/>
          <w:b/>
          <w:bCs/>
          <w:color w:val="auto"/>
          <w:sz w:val="24"/>
          <w:highlight w:val="none"/>
        </w:rPr>
      </w:pPr>
      <w:r>
        <w:rPr>
          <w:rFonts w:hint="eastAsia" w:ascii="仿宋_GB2312" w:hAnsi="仿宋" w:eastAsia="仿宋_GB2312" w:cs="仿宋_GB2312"/>
          <w:b/>
          <w:color w:val="auto"/>
          <w:sz w:val="24"/>
          <w:highlight w:val="none"/>
        </w:rPr>
        <w:t>附表C:本项目的项目负责人截标时间前半年内任意一个月交纳社保记录情况表</w:t>
      </w:r>
      <w:r>
        <w:rPr>
          <w:rFonts w:hint="eastAsia" w:ascii="仿宋_GB2312" w:hAnsi="仿宋" w:eastAsia="仿宋_GB2312" w:cs="仿宋_GB2312"/>
          <w:color w:val="auto"/>
          <w:sz w:val="24"/>
          <w:highlight w:val="none"/>
        </w:rPr>
        <w:t>（以社保局缴纳凭证作附件）</w:t>
      </w:r>
    </w:p>
    <w:p w14:paraId="03CEDA08">
      <w:pPr>
        <w:snapToGrid w:val="0"/>
        <w:spacing w:line="360" w:lineRule="auto"/>
        <w:ind w:firstLine="602" w:firstLineChars="200"/>
        <w:rPr>
          <w:rFonts w:ascii="仿宋" w:hAnsi="仿宋" w:eastAsia="仿宋" w:cs="仿宋_GB2312"/>
          <w:b/>
          <w:color w:val="auto"/>
          <w:sz w:val="30"/>
          <w:szCs w:val="30"/>
          <w:highlight w:val="none"/>
        </w:rPr>
      </w:pPr>
    </w:p>
    <w:p w14:paraId="7098C275">
      <w:pPr>
        <w:autoSpaceDE w:val="0"/>
        <w:autoSpaceDN w:val="0"/>
        <w:spacing w:line="360" w:lineRule="auto"/>
        <w:ind w:left="4335" w:leftChars="1950" w:hanging="240" w:hangingChars="10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3F27AD84">
      <w:pPr>
        <w:autoSpaceDE w:val="0"/>
        <w:autoSpaceDN w:val="0"/>
        <w:spacing w:line="360" w:lineRule="auto"/>
        <w:jc w:val="right"/>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  年  月   日</w:t>
      </w:r>
    </w:p>
    <w:p w14:paraId="7506582C">
      <w:pPr>
        <w:autoSpaceDE w:val="0"/>
        <w:autoSpaceDN w:val="0"/>
        <w:spacing w:line="360" w:lineRule="auto"/>
        <w:rPr>
          <w:rFonts w:ascii="仿宋_GB2312" w:hAnsi="仿宋" w:eastAsia="仿宋_GB2312" w:cs="仿宋_GB2312"/>
          <w:b/>
          <w:bCs/>
          <w:color w:val="auto"/>
          <w:sz w:val="24"/>
          <w:highlight w:val="none"/>
        </w:rPr>
      </w:pPr>
    </w:p>
    <w:p w14:paraId="269A2414">
      <w:pPr>
        <w:pStyle w:val="3"/>
        <w:jc w:val="center"/>
        <w:rPr>
          <w:rFonts w:ascii="宋体" w:hAnsi="宋体" w:cs="宋体"/>
          <w:color w:val="auto"/>
          <w:highlight w:val="none"/>
        </w:rPr>
      </w:pPr>
      <w:bookmarkStart w:id="75" w:name="_Toc25570"/>
      <w:bookmarkStart w:id="76" w:name="_Toc80205941"/>
      <w:r>
        <w:rPr>
          <w:rFonts w:hint="eastAsia" w:ascii="宋体" w:hAnsi="宋体"/>
          <w:color w:val="auto"/>
          <w:highlight w:val="none"/>
        </w:rPr>
        <w:t>第四节 报价文件格式</w:t>
      </w:r>
      <w:bookmarkEnd w:id="75"/>
      <w:bookmarkEnd w:id="76"/>
    </w:p>
    <w:p w14:paraId="756AD766">
      <w:pPr>
        <w:snapToGrid w:val="0"/>
        <w:spacing w:before="120" w:beforeLines="50" w:after="50"/>
        <w:rPr>
          <w:rFonts w:ascii="宋体" w:hAnsi="宋体"/>
          <w:bCs/>
          <w:color w:val="auto"/>
          <w:sz w:val="32"/>
          <w:szCs w:val="20"/>
          <w:highlight w:val="none"/>
        </w:rPr>
      </w:pPr>
      <w:r>
        <w:rPr>
          <w:rFonts w:hint="eastAsia" w:ascii="宋体" w:hAnsi="宋体"/>
          <w:color w:val="auto"/>
          <w:sz w:val="24"/>
          <w:highlight w:val="none"/>
        </w:rPr>
        <w:t xml:space="preserve">                                                    </w:t>
      </w:r>
      <w:r>
        <w:rPr>
          <w:rFonts w:hint="eastAsia" w:ascii="宋体" w:hAnsi="宋体"/>
          <w:bCs/>
          <w:color w:val="auto"/>
          <w:highlight w:val="none"/>
        </w:rPr>
        <w:t>全流程电子文件</w:t>
      </w:r>
    </w:p>
    <w:p w14:paraId="1923920F">
      <w:pPr>
        <w:snapToGrid w:val="0"/>
        <w:spacing w:before="120" w:beforeLines="50" w:after="50"/>
        <w:rPr>
          <w:rFonts w:ascii="宋体" w:hAnsi="宋体"/>
          <w:color w:val="auto"/>
          <w:sz w:val="24"/>
          <w:szCs w:val="20"/>
          <w:highlight w:val="none"/>
        </w:rPr>
      </w:pPr>
    </w:p>
    <w:p w14:paraId="2FE80A19">
      <w:pPr>
        <w:snapToGrid w:val="0"/>
        <w:spacing w:before="120" w:beforeLines="50" w:after="50"/>
        <w:rPr>
          <w:rFonts w:ascii="宋体" w:hAnsi="宋体"/>
          <w:color w:val="auto"/>
          <w:sz w:val="24"/>
          <w:szCs w:val="20"/>
          <w:highlight w:val="none"/>
        </w:rPr>
      </w:pPr>
    </w:p>
    <w:p w14:paraId="1CF5C58B">
      <w:pPr>
        <w:snapToGrid w:val="0"/>
        <w:spacing w:before="120" w:beforeLines="50" w:after="50"/>
        <w:rPr>
          <w:rFonts w:ascii="宋体" w:hAnsi="宋体"/>
          <w:color w:val="auto"/>
          <w:sz w:val="24"/>
          <w:szCs w:val="20"/>
          <w:highlight w:val="none"/>
        </w:rPr>
      </w:pPr>
    </w:p>
    <w:p w14:paraId="56931E12">
      <w:pPr>
        <w:snapToGrid w:val="0"/>
        <w:spacing w:before="120" w:beforeLines="50" w:after="50"/>
        <w:jc w:val="center"/>
        <w:rPr>
          <w:rFonts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报  价  文  件（封面）</w:t>
      </w:r>
    </w:p>
    <w:p w14:paraId="0A12CCF5">
      <w:pPr>
        <w:snapToGrid w:val="0"/>
        <w:spacing w:before="120" w:beforeLines="50" w:after="50"/>
        <w:rPr>
          <w:rFonts w:ascii="宋体" w:hAnsi="宋体"/>
          <w:bCs/>
          <w:color w:val="auto"/>
          <w:sz w:val="24"/>
          <w:szCs w:val="20"/>
          <w:highlight w:val="none"/>
        </w:rPr>
      </w:pPr>
    </w:p>
    <w:p w14:paraId="12ED3967">
      <w:pPr>
        <w:snapToGrid w:val="0"/>
        <w:spacing w:before="120" w:beforeLines="50" w:after="50"/>
        <w:rPr>
          <w:rFonts w:ascii="宋体" w:hAnsi="宋体"/>
          <w:bCs/>
          <w:color w:val="auto"/>
          <w:sz w:val="24"/>
          <w:szCs w:val="20"/>
          <w:highlight w:val="none"/>
        </w:rPr>
      </w:pPr>
    </w:p>
    <w:p w14:paraId="29A831A4">
      <w:pPr>
        <w:snapToGrid w:val="0"/>
        <w:spacing w:before="120" w:beforeLines="50" w:after="50"/>
        <w:rPr>
          <w:rFonts w:ascii="宋体" w:hAnsi="宋体"/>
          <w:bCs/>
          <w:color w:val="auto"/>
          <w:sz w:val="24"/>
          <w:szCs w:val="20"/>
          <w:highlight w:val="none"/>
        </w:rPr>
      </w:pPr>
    </w:p>
    <w:p w14:paraId="07661E99">
      <w:pPr>
        <w:snapToGrid w:val="0"/>
        <w:spacing w:before="120" w:beforeLines="50" w:after="50"/>
        <w:rPr>
          <w:rFonts w:ascii="宋体" w:hAnsi="宋体"/>
          <w:bCs/>
          <w:color w:val="auto"/>
          <w:sz w:val="24"/>
          <w:szCs w:val="20"/>
          <w:highlight w:val="none"/>
        </w:rPr>
      </w:pPr>
    </w:p>
    <w:p w14:paraId="022AF350">
      <w:pPr>
        <w:snapToGrid w:val="0"/>
        <w:spacing w:before="120" w:beforeLines="50" w:after="50"/>
        <w:rPr>
          <w:rFonts w:ascii="宋体" w:hAnsi="宋体"/>
          <w:bCs/>
          <w:color w:val="auto"/>
          <w:sz w:val="24"/>
          <w:szCs w:val="20"/>
          <w:highlight w:val="none"/>
        </w:rPr>
      </w:pPr>
    </w:p>
    <w:p w14:paraId="4802D38C">
      <w:pPr>
        <w:snapToGrid w:val="0"/>
        <w:spacing w:before="120" w:beforeLines="50" w:after="50"/>
        <w:ind w:firstLine="640" w:firstLineChars="200"/>
        <w:rPr>
          <w:rFonts w:hint="eastAsia" w:ascii="宋体" w:hAnsi="宋体" w:eastAsia="宋体" w:cs="仿宋_GB2312"/>
          <w:bCs/>
          <w:color w:val="auto"/>
          <w:sz w:val="32"/>
          <w:szCs w:val="32"/>
          <w:highlight w:val="none"/>
          <w:lang w:eastAsia="zh-CN"/>
        </w:rPr>
      </w:pPr>
      <w:r>
        <w:rPr>
          <w:rFonts w:hint="eastAsia" w:ascii="宋体" w:hAnsi="宋体" w:cs="仿宋_GB2312"/>
          <w:bCs/>
          <w:color w:val="auto"/>
          <w:sz w:val="32"/>
          <w:szCs w:val="32"/>
          <w:highlight w:val="none"/>
        </w:rPr>
        <w:t>项目名称：</w:t>
      </w:r>
      <w:r>
        <w:rPr>
          <w:rFonts w:hint="eastAsia" w:ascii="宋体" w:hAnsi="宋体" w:cs="仿宋_GB2312"/>
          <w:bCs/>
          <w:color w:val="auto"/>
          <w:sz w:val="32"/>
          <w:szCs w:val="32"/>
          <w:highlight w:val="none"/>
          <w:lang w:eastAsia="zh-CN"/>
        </w:rPr>
        <w:t>南宁市青年人才驿站</w:t>
      </w:r>
    </w:p>
    <w:p w14:paraId="44B0C78D">
      <w:pPr>
        <w:snapToGrid w:val="0"/>
        <w:spacing w:before="120" w:beforeLines="50" w:after="50"/>
        <w:ind w:firstLine="720" w:firstLineChars="225"/>
        <w:rPr>
          <w:rFonts w:ascii="宋体" w:hAnsi="宋体" w:cs="仿宋_GB2312"/>
          <w:bCs/>
          <w:color w:val="auto"/>
          <w:sz w:val="32"/>
          <w:szCs w:val="32"/>
          <w:highlight w:val="none"/>
        </w:rPr>
      </w:pPr>
    </w:p>
    <w:p w14:paraId="7B7026DD">
      <w:pPr>
        <w:snapToGrid w:val="0"/>
        <w:spacing w:before="120" w:beforeLines="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4A8D79EA">
      <w:pPr>
        <w:snapToGrid w:val="0"/>
        <w:spacing w:before="120" w:beforeLines="50" w:after="50"/>
        <w:ind w:firstLine="720" w:firstLineChars="225"/>
        <w:rPr>
          <w:rFonts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 </w:t>
      </w:r>
    </w:p>
    <w:p w14:paraId="580607D1">
      <w:pPr>
        <w:snapToGrid w:val="0"/>
        <w:spacing w:before="120" w:beforeLines="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所竞标项（如有则填写，无标项时填写“无”或者留空）：</w:t>
      </w:r>
    </w:p>
    <w:p w14:paraId="6ADD54F6">
      <w:pPr>
        <w:snapToGrid w:val="0"/>
        <w:spacing w:before="120" w:beforeLines="50" w:after="50"/>
        <w:ind w:firstLine="720" w:firstLineChars="225"/>
        <w:rPr>
          <w:rFonts w:ascii="宋体" w:hAnsi="宋体" w:cs="仿宋_GB2312"/>
          <w:bCs/>
          <w:color w:val="auto"/>
          <w:sz w:val="32"/>
          <w:szCs w:val="32"/>
          <w:highlight w:val="none"/>
        </w:rPr>
      </w:pPr>
    </w:p>
    <w:p w14:paraId="2294F1AB">
      <w:pPr>
        <w:pStyle w:val="7"/>
        <w:snapToGrid w:val="0"/>
        <w:spacing w:before="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0BD3C274">
      <w:pPr>
        <w:pStyle w:val="7"/>
        <w:snapToGrid w:val="0"/>
        <w:spacing w:before="50" w:after="50"/>
        <w:ind w:firstLine="720" w:firstLineChars="225"/>
        <w:rPr>
          <w:rFonts w:ascii="宋体" w:hAnsi="宋体" w:cs="仿宋_GB2312"/>
          <w:bCs/>
          <w:color w:val="auto"/>
          <w:sz w:val="32"/>
          <w:szCs w:val="32"/>
          <w:highlight w:val="none"/>
        </w:rPr>
      </w:pPr>
    </w:p>
    <w:p w14:paraId="5F47BD7B">
      <w:pPr>
        <w:pStyle w:val="7"/>
        <w:snapToGrid w:val="0"/>
        <w:spacing w:before="50" w:after="50"/>
        <w:ind w:firstLine="720" w:firstLineChars="225"/>
        <w:rPr>
          <w:rFonts w:ascii="宋体" w:hAnsi="宋体" w:cs="仿宋_GB2312"/>
          <w:bCs/>
          <w:color w:val="auto"/>
          <w:sz w:val="32"/>
          <w:szCs w:val="32"/>
          <w:highlight w:val="none"/>
        </w:rPr>
      </w:pPr>
    </w:p>
    <w:p w14:paraId="6C80B31D">
      <w:pPr>
        <w:pStyle w:val="7"/>
        <w:snapToGrid w:val="0"/>
        <w:spacing w:before="50" w:after="50"/>
        <w:ind w:firstLine="1280" w:firstLineChars="400"/>
        <w:rPr>
          <w:rFonts w:ascii="宋体" w:hAnsi="宋体" w:cs="仿宋_GB2312"/>
          <w:bCs/>
          <w:color w:val="auto"/>
          <w:sz w:val="32"/>
          <w:szCs w:val="32"/>
          <w:highlight w:val="none"/>
        </w:rPr>
      </w:pPr>
    </w:p>
    <w:p w14:paraId="668CA1C1">
      <w:pPr>
        <w:snapToGrid w:val="0"/>
        <w:spacing w:before="120" w:beforeLines="50" w:after="50"/>
        <w:jc w:val="center"/>
        <w:rPr>
          <w:rFonts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2EBBD7C0">
      <w:pPr>
        <w:snapToGrid w:val="0"/>
        <w:spacing w:before="120" w:beforeLines="50" w:after="50" w:line="400" w:lineRule="exact"/>
        <w:jc w:val="center"/>
        <w:rPr>
          <w:rFonts w:ascii="宋体" w:hAnsi="宋体"/>
          <w:b/>
          <w:bCs/>
          <w:color w:val="auto"/>
          <w:sz w:val="32"/>
          <w:szCs w:val="32"/>
          <w:highlight w:val="none"/>
        </w:rPr>
      </w:pPr>
      <w:r>
        <w:rPr>
          <w:rFonts w:hint="eastAsia" w:ascii="宋体" w:hAnsi="宋体"/>
          <w:color w:val="auto"/>
          <w:sz w:val="24"/>
          <w:highlight w:val="none"/>
        </w:rPr>
        <w:br w:type="page"/>
      </w:r>
      <w:r>
        <w:rPr>
          <w:rFonts w:hint="eastAsia" w:ascii="宋体" w:hAnsi="宋体"/>
          <w:b/>
          <w:bCs/>
          <w:color w:val="auto"/>
          <w:sz w:val="32"/>
          <w:szCs w:val="32"/>
          <w:highlight w:val="none"/>
        </w:rPr>
        <w:t>报价文件目录</w:t>
      </w:r>
    </w:p>
    <w:p w14:paraId="4764B578">
      <w:pPr>
        <w:rPr>
          <w:rFonts w:ascii="宋体" w:hAnsi="宋体" w:cs="宋体"/>
          <w:color w:val="auto"/>
          <w:highlight w:val="none"/>
        </w:rPr>
      </w:pPr>
    </w:p>
    <w:p w14:paraId="6D0ED19C">
      <w:pP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一、响应函………………………………………………………（页码）</w:t>
      </w:r>
    </w:p>
    <w:p w14:paraId="07958CB3">
      <w:pP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二、响应报价表…………………………………………………（页码）</w:t>
      </w:r>
    </w:p>
    <w:p w14:paraId="579A7A40">
      <w:pPr>
        <w:snapToGrid w:val="0"/>
        <w:spacing w:before="120" w:beforeLines="50" w:after="50" w:line="360" w:lineRule="auto"/>
        <w:ind w:left="142" w:firstLine="640" w:firstLineChars="200"/>
        <w:jc w:val="left"/>
        <w:rPr>
          <w:rFonts w:ascii="仿宋_GB2312" w:hAnsi="仿宋_GB2312" w:eastAsia="仿宋_GB2312" w:cs="仿宋_GB2312"/>
          <w:color w:val="auto"/>
          <w:sz w:val="32"/>
          <w:szCs w:val="32"/>
          <w:highlight w:val="none"/>
        </w:rPr>
      </w:pPr>
    </w:p>
    <w:p w14:paraId="5C8328FA">
      <w:pPr>
        <w:snapToGrid w:val="0"/>
        <w:spacing w:before="120" w:beforeLines="50" w:after="50" w:line="360" w:lineRule="auto"/>
        <w:ind w:left="142" w:firstLine="480" w:firstLineChars="200"/>
        <w:jc w:val="left"/>
        <w:rPr>
          <w:rFonts w:hAnsi="宋体" w:cs="仿宋_GB2312"/>
          <w:color w:val="auto"/>
          <w:sz w:val="24"/>
          <w:highlight w:val="none"/>
        </w:rPr>
      </w:pPr>
      <w:r>
        <w:rPr>
          <w:rFonts w:hAnsi="宋体" w:cs="仿宋_GB2312"/>
          <w:color w:val="auto"/>
          <w:sz w:val="24"/>
          <w:highlight w:val="none"/>
        </w:rPr>
        <w:br w:type="page"/>
      </w:r>
      <w:r>
        <w:rPr>
          <w:rFonts w:hint="eastAsia" w:hAnsi="宋体"/>
          <w:b/>
          <w:bCs/>
          <w:color w:val="auto"/>
          <w:sz w:val="32"/>
          <w:szCs w:val="32"/>
          <w:highlight w:val="none"/>
        </w:rPr>
        <w:t>一、响应函</w:t>
      </w:r>
    </w:p>
    <w:p w14:paraId="068DCE05">
      <w:pPr>
        <w:pStyle w:val="12"/>
        <w:spacing w:line="500" w:lineRule="exact"/>
        <w:ind w:left="0" w:leftChars="0"/>
        <w:jc w:val="center"/>
        <w:rPr>
          <w:b/>
          <w:bCs/>
          <w:color w:val="auto"/>
          <w:sz w:val="30"/>
          <w:szCs w:val="30"/>
          <w:highlight w:val="none"/>
        </w:rPr>
      </w:pPr>
      <w:r>
        <w:rPr>
          <w:rFonts w:hint="eastAsia"/>
          <w:b/>
          <w:bCs/>
          <w:color w:val="auto"/>
          <w:sz w:val="30"/>
          <w:szCs w:val="30"/>
          <w:highlight w:val="none"/>
        </w:rPr>
        <w:t>响应函</w:t>
      </w:r>
    </w:p>
    <w:p w14:paraId="1D08A7FC">
      <w:pPr>
        <w:pStyle w:val="12"/>
        <w:spacing w:line="360" w:lineRule="auto"/>
        <w:ind w:left="0" w:leftChars="0"/>
        <w:rPr>
          <w:color w:val="auto"/>
          <w:szCs w:val="20"/>
          <w:highlight w:val="none"/>
        </w:rPr>
      </w:pPr>
      <w:r>
        <w:rPr>
          <w:rFonts w:hint="eastAsia"/>
          <w:color w:val="auto"/>
          <w:szCs w:val="20"/>
          <w:highlight w:val="none"/>
        </w:rPr>
        <w:t>致：</w:t>
      </w:r>
      <w:r>
        <w:rPr>
          <w:color w:val="auto"/>
          <w:szCs w:val="20"/>
          <w:highlight w:val="none"/>
          <w:u w:val="single"/>
        </w:rPr>
        <w:t xml:space="preserve"> </w:t>
      </w:r>
      <w:r>
        <w:rPr>
          <w:rFonts w:hint="eastAsia"/>
          <w:color w:val="auto"/>
          <w:szCs w:val="20"/>
          <w:highlight w:val="none"/>
          <w:u w:val="single"/>
        </w:rPr>
        <w:t>广西机电设备招标有限公司</w:t>
      </w:r>
      <w:r>
        <w:rPr>
          <w:color w:val="auto"/>
          <w:szCs w:val="20"/>
          <w:highlight w:val="none"/>
          <w:u w:val="single"/>
        </w:rPr>
        <w:t xml:space="preserve"> </w:t>
      </w:r>
    </w:p>
    <w:p w14:paraId="62F2186C">
      <w:pPr>
        <w:pStyle w:val="12"/>
        <w:spacing w:line="360" w:lineRule="auto"/>
        <w:ind w:left="0" w:leftChars="0" w:firstLine="420" w:firstLineChars="200"/>
        <w:rPr>
          <w:color w:val="auto"/>
          <w:szCs w:val="20"/>
          <w:highlight w:val="none"/>
        </w:rPr>
      </w:pPr>
      <w:r>
        <w:rPr>
          <w:rFonts w:hint="eastAsia"/>
          <w:color w:val="auto"/>
          <w:szCs w:val="20"/>
          <w:highlight w:val="none"/>
        </w:rPr>
        <w:t>我方已仔细阅读了贵方组织的</w:t>
      </w:r>
      <w:r>
        <w:rPr>
          <w:rFonts w:hint="eastAsia"/>
          <w:color w:val="auto"/>
          <w:szCs w:val="20"/>
          <w:highlight w:val="none"/>
          <w:u w:val="single"/>
          <w:lang w:eastAsia="zh-CN"/>
        </w:rPr>
        <w:t>南宁市青年人才驿站</w:t>
      </w:r>
      <w:r>
        <w:rPr>
          <w:rFonts w:hint="eastAsia"/>
          <w:color w:val="auto"/>
          <w:szCs w:val="20"/>
          <w:highlight w:val="none"/>
          <w:u w:val="single"/>
        </w:rPr>
        <w:t xml:space="preserve">  </w:t>
      </w:r>
      <w:r>
        <w:rPr>
          <w:rFonts w:hint="eastAsia"/>
          <w:color w:val="auto"/>
          <w:szCs w:val="20"/>
          <w:highlight w:val="none"/>
        </w:rPr>
        <w:t>项目（标项_</w:t>
      </w:r>
      <w:r>
        <w:rPr>
          <w:color w:val="auto"/>
          <w:szCs w:val="20"/>
          <w:highlight w:val="none"/>
        </w:rPr>
        <w:t>______</w:t>
      </w:r>
      <w:r>
        <w:rPr>
          <w:rFonts w:hint="eastAsia"/>
          <w:color w:val="auto"/>
          <w:szCs w:val="20"/>
          <w:highlight w:val="none"/>
        </w:rPr>
        <w:t>）（项目编号：</w:t>
      </w:r>
      <w:r>
        <w:rPr>
          <w:rFonts w:hint="eastAsia" w:hAnsi="宋体"/>
          <w:color w:val="auto"/>
          <w:szCs w:val="20"/>
          <w:highlight w:val="none"/>
          <w:u w:val="single"/>
        </w:rPr>
        <w:t xml:space="preserve">         </w:t>
      </w:r>
      <w:r>
        <w:rPr>
          <w:rFonts w:hint="eastAsia"/>
          <w:color w:val="auto"/>
          <w:szCs w:val="20"/>
          <w:highlight w:val="none"/>
        </w:rPr>
        <w:t xml:space="preserve">）的竞争性磋商采购文件的全部内容，现正式递交下述文件参加贵方组织的本次政府采购活动： </w:t>
      </w:r>
    </w:p>
    <w:p w14:paraId="45A6BA61">
      <w:pPr>
        <w:pStyle w:val="12"/>
        <w:spacing w:line="360" w:lineRule="auto"/>
        <w:ind w:left="0" w:leftChars="0" w:firstLine="420" w:firstLineChars="200"/>
        <w:rPr>
          <w:color w:val="auto"/>
          <w:szCs w:val="20"/>
          <w:highlight w:val="none"/>
        </w:rPr>
      </w:pPr>
      <w:r>
        <w:rPr>
          <w:rFonts w:hint="eastAsia"/>
          <w:color w:val="auto"/>
          <w:szCs w:val="20"/>
          <w:highlight w:val="none"/>
        </w:rPr>
        <w:t>一、首次报价文件电子版</w:t>
      </w:r>
      <w:r>
        <w:rPr>
          <w:rFonts w:hint="eastAsia"/>
          <w:color w:val="auto"/>
          <w:szCs w:val="20"/>
          <w:highlight w:val="none"/>
          <w:u w:val="single"/>
        </w:rPr>
        <w:t xml:space="preserve">   </w:t>
      </w:r>
      <w:r>
        <w:rPr>
          <w:rFonts w:hint="eastAsia"/>
          <w:color w:val="auto"/>
          <w:szCs w:val="20"/>
          <w:highlight w:val="none"/>
        </w:rPr>
        <w:t>份（包含按“第三章 供应商须知”提交的全部文件）；</w:t>
      </w:r>
    </w:p>
    <w:p w14:paraId="33DAD2BF">
      <w:pPr>
        <w:pStyle w:val="12"/>
        <w:spacing w:line="360" w:lineRule="auto"/>
        <w:ind w:left="0" w:leftChars="0" w:firstLine="420" w:firstLineChars="200"/>
        <w:rPr>
          <w:color w:val="auto"/>
          <w:szCs w:val="20"/>
          <w:highlight w:val="none"/>
        </w:rPr>
      </w:pPr>
      <w:r>
        <w:rPr>
          <w:rFonts w:hint="eastAsia"/>
          <w:color w:val="auto"/>
          <w:szCs w:val="20"/>
          <w:highlight w:val="none"/>
        </w:rPr>
        <w:t>二、</w:t>
      </w:r>
      <w:r>
        <w:rPr>
          <w:rFonts w:hint="eastAsia" w:hAnsi="宋体"/>
          <w:color w:val="auto"/>
          <w:szCs w:val="20"/>
          <w:highlight w:val="none"/>
        </w:rPr>
        <w:t>技术</w:t>
      </w:r>
      <w:r>
        <w:rPr>
          <w:rFonts w:hint="eastAsia"/>
          <w:color w:val="auto"/>
          <w:szCs w:val="20"/>
          <w:highlight w:val="none"/>
        </w:rPr>
        <w:t>文件电子版</w:t>
      </w:r>
      <w:r>
        <w:rPr>
          <w:rFonts w:hint="eastAsia"/>
          <w:color w:val="auto"/>
          <w:szCs w:val="20"/>
          <w:highlight w:val="none"/>
          <w:u w:val="single"/>
        </w:rPr>
        <w:t xml:space="preserve">   </w:t>
      </w:r>
      <w:r>
        <w:rPr>
          <w:rFonts w:hint="eastAsia"/>
          <w:color w:val="auto"/>
          <w:szCs w:val="20"/>
          <w:highlight w:val="none"/>
        </w:rPr>
        <w:t>份（包含按“第三章 供应商须知”提交的全部文件）；商务</w:t>
      </w:r>
      <w:r>
        <w:rPr>
          <w:rFonts w:hint="eastAsia" w:hAnsi="宋体"/>
          <w:color w:val="auto"/>
          <w:szCs w:val="20"/>
          <w:highlight w:val="none"/>
        </w:rPr>
        <w:t>文件</w:t>
      </w:r>
      <w:r>
        <w:rPr>
          <w:rFonts w:hint="eastAsia"/>
          <w:color w:val="auto"/>
          <w:szCs w:val="20"/>
          <w:highlight w:val="none"/>
        </w:rPr>
        <w:t>电子版</w:t>
      </w:r>
      <w:r>
        <w:rPr>
          <w:rFonts w:hint="eastAsia"/>
          <w:color w:val="auto"/>
          <w:szCs w:val="20"/>
          <w:highlight w:val="none"/>
          <w:u w:val="single"/>
        </w:rPr>
        <w:t xml:space="preserve">   </w:t>
      </w:r>
      <w:r>
        <w:rPr>
          <w:rFonts w:hint="eastAsia"/>
          <w:color w:val="auto"/>
          <w:szCs w:val="20"/>
          <w:highlight w:val="none"/>
        </w:rPr>
        <w:t>份（包含按“第三章 供应商须知”提交的全部文件）；（商务技术文件已合并装订成册）；</w:t>
      </w:r>
    </w:p>
    <w:p w14:paraId="21A5AAF8">
      <w:pPr>
        <w:pStyle w:val="12"/>
        <w:spacing w:line="360" w:lineRule="auto"/>
        <w:ind w:left="0" w:leftChars="0" w:firstLine="420" w:firstLineChars="200"/>
        <w:rPr>
          <w:color w:val="auto"/>
          <w:szCs w:val="20"/>
          <w:highlight w:val="none"/>
        </w:rPr>
      </w:pPr>
      <w:r>
        <w:rPr>
          <w:rFonts w:hint="eastAsia"/>
          <w:color w:val="auto"/>
          <w:szCs w:val="20"/>
          <w:highlight w:val="none"/>
        </w:rPr>
        <w:t>三、资格证明文件电子版（包含按“第三章供应商须知”提交的全部文件）；</w:t>
      </w:r>
    </w:p>
    <w:p w14:paraId="22A6DF92">
      <w:pPr>
        <w:pStyle w:val="12"/>
        <w:spacing w:line="360" w:lineRule="auto"/>
        <w:ind w:left="0" w:leftChars="0" w:firstLine="420" w:firstLineChars="200"/>
        <w:rPr>
          <w:color w:val="auto"/>
          <w:szCs w:val="20"/>
          <w:highlight w:val="none"/>
        </w:rPr>
      </w:pPr>
      <w:r>
        <w:rPr>
          <w:rFonts w:hint="eastAsia"/>
          <w:color w:val="auto"/>
          <w:szCs w:val="20"/>
          <w:highlight w:val="none"/>
        </w:rPr>
        <w:t>据此函，签字人兹宣布：</w:t>
      </w:r>
    </w:p>
    <w:p w14:paraId="07D9485A">
      <w:pPr>
        <w:pStyle w:val="12"/>
        <w:spacing w:line="360" w:lineRule="auto"/>
        <w:ind w:left="0" w:leftChars="0" w:firstLine="482"/>
        <w:rPr>
          <w:color w:val="auto"/>
          <w:szCs w:val="20"/>
          <w:highlight w:val="none"/>
        </w:rPr>
      </w:pPr>
      <w:r>
        <w:rPr>
          <w:rFonts w:hint="eastAsia"/>
          <w:color w:val="auto"/>
          <w:szCs w:val="20"/>
          <w:highlight w:val="none"/>
        </w:rPr>
        <w:t>1、我方愿意以</w:t>
      </w:r>
      <w:r>
        <w:rPr>
          <w:rFonts w:hint="eastAsia"/>
          <w:color w:val="auto"/>
          <w:szCs w:val="20"/>
          <w:highlight w:val="none"/>
          <w:lang w:val="en-US" w:eastAsia="zh-CN"/>
        </w:rPr>
        <w:t xml:space="preserve">费率 </w:t>
      </w:r>
      <w:r>
        <w:rPr>
          <w:rFonts w:hint="eastAsia"/>
          <w:color w:val="auto"/>
          <w:szCs w:val="20"/>
          <w:highlight w:val="none"/>
          <w:u w:val="single"/>
        </w:rPr>
        <w:t xml:space="preserve">              </w:t>
      </w:r>
      <w:r>
        <w:rPr>
          <w:rFonts w:hint="eastAsia"/>
          <w:color w:val="auto"/>
          <w:szCs w:val="20"/>
          <w:highlight w:val="none"/>
        </w:rPr>
        <w:t>的竞标总报价，提供服务期（无标项时填写）：</w:t>
      </w:r>
      <w:r>
        <w:rPr>
          <w:rFonts w:hint="eastAsia"/>
          <w:color w:val="auto"/>
          <w:szCs w:val="20"/>
          <w:highlight w:val="none"/>
          <w:u w:val="single"/>
        </w:rPr>
        <w:t xml:space="preserve">            </w:t>
      </w:r>
      <w:r>
        <w:rPr>
          <w:rFonts w:hint="eastAsia"/>
          <w:color w:val="auto"/>
          <w:szCs w:val="20"/>
          <w:highlight w:val="none"/>
        </w:rPr>
        <w:t>，提供本项目竞争性磋商采购文件第二章“服务需求一览表”中相应的采购内容。</w:t>
      </w:r>
    </w:p>
    <w:p w14:paraId="1A31966D">
      <w:pPr>
        <w:pStyle w:val="12"/>
        <w:spacing w:line="360" w:lineRule="auto"/>
        <w:ind w:left="0" w:leftChars="0" w:firstLine="482"/>
        <w:rPr>
          <w:rFonts w:hint="eastAsia" w:eastAsia="宋体"/>
          <w:color w:val="auto"/>
          <w:szCs w:val="20"/>
          <w:highlight w:val="none"/>
          <w:lang w:val="en-US" w:eastAsia="zh-CN"/>
        </w:rPr>
      </w:pPr>
      <w:r>
        <w:rPr>
          <w:rFonts w:hint="eastAsia"/>
          <w:color w:val="auto"/>
          <w:szCs w:val="20"/>
          <w:highlight w:val="none"/>
        </w:rPr>
        <w:t>其中（有标项时填写）：</w:t>
      </w:r>
    </w:p>
    <w:p w14:paraId="54545B3B">
      <w:pPr>
        <w:pStyle w:val="12"/>
        <w:spacing w:line="360" w:lineRule="auto"/>
        <w:ind w:left="0" w:leftChars="0" w:firstLine="482"/>
        <w:rPr>
          <w:color w:val="auto"/>
          <w:szCs w:val="20"/>
          <w:highlight w:val="none"/>
        </w:rPr>
      </w:pPr>
      <w:r>
        <w:rPr>
          <w:rFonts w:hint="eastAsia"/>
          <w:color w:val="auto"/>
          <w:szCs w:val="20"/>
          <w:highlight w:val="none"/>
        </w:rPr>
        <w:t>标项报价为（大写）人民币</w:t>
      </w:r>
      <w:r>
        <w:rPr>
          <w:rFonts w:hint="eastAsia"/>
          <w:color w:val="auto"/>
          <w:szCs w:val="20"/>
          <w:highlight w:val="none"/>
          <w:u w:val="single"/>
        </w:rPr>
        <w:t xml:space="preserve">        </w:t>
      </w:r>
      <w:r>
        <w:rPr>
          <w:rFonts w:hint="eastAsia"/>
          <w:color w:val="auto"/>
          <w:szCs w:val="20"/>
          <w:highlight w:val="none"/>
          <w:u w:val="single"/>
          <w:lang w:val="en-US" w:eastAsia="zh-CN"/>
        </w:rPr>
        <w:t>/</w:t>
      </w:r>
      <w:r>
        <w:rPr>
          <w:rFonts w:hint="eastAsia"/>
          <w:color w:val="auto"/>
          <w:szCs w:val="20"/>
          <w:highlight w:val="none"/>
          <w:u w:val="single"/>
        </w:rPr>
        <w:t xml:space="preserve">       </w:t>
      </w:r>
      <w:r>
        <w:rPr>
          <w:rFonts w:hint="eastAsia"/>
          <w:color w:val="auto"/>
          <w:szCs w:val="20"/>
          <w:highlight w:val="none"/>
        </w:rPr>
        <w:t xml:space="preserve"> (￥</w:t>
      </w:r>
      <w:r>
        <w:rPr>
          <w:rFonts w:hint="eastAsia"/>
          <w:color w:val="auto"/>
          <w:szCs w:val="20"/>
          <w:highlight w:val="none"/>
          <w:u w:val="single"/>
        </w:rPr>
        <w:t xml:space="preserve">     </w:t>
      </w:r>
      <w:r>
        <w:rPr>
          <w:rFonts w:hint="eastAsia"/>
          <w:color w:val="auto"/>
          <w:szCs w:val="20"/>
          <w:highlight w:val="none"/>
          <w:u w:val="single"/>
          <w:lang w:val="en-US" w:eastAsia="zh-CN"/>
        </w:rPr>
        <w:t>/</w:t>
      </w:r>
      <w:r>
        <w:rPr>
          <w:rFonts w:hint="eastAsia"/>
          <w:color w:val="auto"/>
          <w:szCs w:val="20"/>
          <w:highlight w:val="none"/>
          <w:u w:val="single"/>
        </w:rPr>
        <w:t xml:space="preserve">      </w:t>
      </w:r>
      <w:r>
        <w:rPr>
          <w:rFonts w:hint="eastAsia"/>
          <w:color w:val="auto"/>
          <w:szCs w:val="20"/>
          <w:highlight w:val="none"/>
        </w:rPr>
        <w:t>元)，服务期：</w:t>
      </w:r>
      <w:r>
        <w:rPr>
          <w:rFonts w:hint="eastAsia"/>
          <w:color w:val="auto"/>
          <w:szCs w:val="20"/>
          <w:highlight w:val="none"/>
          <w:u w:val="single"/>
        </w:rPr>
        <w:t xml:space="preserve">    </w:t>
      </w:r>
      <w:r>
        <w:rPr>
          <w:rFonts w:hint="eastAsia"/>
          <w:color w:val="auto"/>
          <w:szCs w:val="20"/>
          <w:highlight w:val="none"/>
          <w:u w:val="single"/>
          <w:lang w:val="en-US" w:eastAsia="zh-CN"/>
        </w:rPr>
        <w:t>/</w:t>
      </w:r>
      <w:r>
        <w:rPr>
          <w:rFonts w:hint="eastAsia"/>
          <w:color w:val="auto"/>
          <w:szCs w:val="20"/>
          <w:highlight w:val="none"/>
          <w:u w:val="single"/>
        </w:rPr>
        <w:t xml:space="preserve">      </w:t>
      </w:r>
      <w:r>
        <w:rPr>
          <w:rFonts w:hint="eastAsia"/>
          <w:color w:val="auto"/>
          <w:szCs w:val="20"/>
          <w:highlight w:val="none"/>
        </w:rPr>
        <w:t>；</w:t>
      </w:r>
    </w:p>
    <w:p w14:paraId="256A53B3">
      <w:pPr>
        <w:pStyle w:val="12"/>
        <w:spacing w:line="360" w:lineRule="auto"/>
        <w:ind w:left="0" w:leftChars="0" w:firstLine="482"/>
        <w:rPr>
          <w:color w:val="auto"/>
          <w:szCs w:val="20"/>
          <w:highlight w:val="none"/>
        </w:rPr>
      </w:pPr>
      <w:r>
        <w:rPr>
          <w:rFonts w:hint="eastAsia"/>
          <w:color w:val="auto"/>
          <w:szCs w:val="20"/>
          <w:highlight w:val="none"/>
          <w:u w:val="single"/>
        </w:rPr>
        <w:t xml:space="preserve">    </w:t>
      </w:r>
      <w:r>
        <w:rPr>
          <w:rFonts w:hint="eastAsia"/>
          <w:color w:val="auto"/>
          <w:szCs w:val="20"/>
          <w:highlight w:val="none"/>
        </w:rPr>
        <w:t>标项报价为（大写）人民币</w:t>
      </w:r>
      <w:r>
        <w:rPr>
          <w:rFonts w:hint="eastAsia"/>
          <w:color w:val="auto"/>
          <w:szCs w:val="20"/>
          <w:highlight w:val="none"/>
          <w:u w:val="single"/>
        </w:rPr>
        <w:t xml:space="preserve">    </w:t>
      </w:r>
      <w:r>
        <w:rPr>
          <w:rFonts w:hint="eastAsia"/>
          <w:color w:val="auto"/>
          <w:szCs w:val="20"/>
          <w:highlight w:val="none"/>
          <w:u w:val="single"/>
          <w:lang w:val="en-US" w:eastAsia="zh-CN"/>
        </w:rPr>
        <w:t>/</w:t>
      </w:r>
      <w:r>
        <w:rPr>
          <w:rFonts w:hint="eastAsia"/>
          <w:color w:val="auto"/>
          <w:szCs w:val="20"/>
          <w:highlight w:val="none"/>
          <w:u w:val="single"/>
        </w:rPr>
        <w:t xml:space="preserve">           </w:t>
      </w:r>
      <w:r>
        <w:rPr>
          <w:rFonts w:hint="eastAsia"/>
          <w:color w:val="auto"/>
          <w:szCs w:val="20"/>
          <w:highlight w:val="none"/>
        </w:rPr>
        <w:t xml:space="preserve"> (￥</w:t>
      </w:r>
      <w:r>
        <w:rPr>
          <w:rFonts w:hint="eastAsia"/>
          <w:color w:val="auto"/>
          <w:szCs w:val="20"/>
          <w:highlight w:val="none"/>
          <w:u w:val="single"/>
        </w:rPr>
        <w:t xml:space="preserve">    </w:t>
      </w:r>
      <w:r>
        <w:rPr>
          <w:rFonts w:hint="eastAsia"/>
          <w:color w:val="auto"/>
          <w:szCs w:val="20"/>
          <w:highlight w:val="none"/>
          <w:u w:val="single"/>
          <w:lang w:val="en-US" w:eastAsia="zh-CN"/>
        </w:rPr>
        <w:t>/</w:t>
      </w:r>
      <w:r>
        <w:rPr>
          <w:rFonts w:hint="eastAsia"/>
          <w:color w:val="auto"/>
          <w:szCs w:val="20"/>
          <w:highlight w:val="none"/>
          <w:u w:val="single"/>
        </w:rPr>
        <w:t xml:space="preserve">       </w:t>
      </w:r>
      <w:r>
        <w:rPr>
          <w:rFonts w:hint="eastAsia"/>
          <w:color w:val="auto"/>
          <w:szCs w:val="20"/>
          <w:highlight w:val="none"/>
        </w:rPr>
        <w:t>元)，服务期：</w:t>
      </w:r>
      <w:r>
        <w:rPr>
          <w:rFonts w:hint="eastAsia"/>
          <w:color w:val="auto"/>
          <w:szCs w:val="20"/>
          <w:highlight w:val="none"/>
          <w:u w:val="single"/>
        </w:rPr>
        <w:t xml:space="preserve">  </w:t>
      </w:r>
      <w:r>
        <w:rPr>
          <w:rFonts w:hint="eastAsia"/>
          <w:color w:val="auto"/>
          <w:szCs w:val="20"/>
          <w:highlight w:val="none"/>
          <w:u w:val="single"/>
          <w:lang w:val="en-US" w:eastAsia="zh-CN"/>
        </w:rPr>
        <w:t>/</w:t>
      </w:r>
      <w:r>
        <w:rPr>
          <w:rFonts w:hint="eastAsia"/>
          <w:color w:val="auto"/>
          <w:szCs w:val="20"/>
          <w:highlight w:val="none"/>
          <w:u w:val="single"/>
        </w:rPr>
        <w:t xml:space="preserve">        </w:t>
      </w:r>
      <w:r>
        <w:rPr>
          <w:rFonts w:hint="eastAsia"/>
          <w:color w:val="auto"/>
          <w:szCs w:val="20"/>
          <w:highlight w:val="none"/>
        </w:rPr>
        <w:t>；</w:t>
      </w:r>
    </w:p>
    <w:p w14:paraId="3E8498EF">
      <w:pPr>
        <w:pStyle w:val="12"/>
        <w:spacing w:line="360" w:lineRule="auto"/>
        <w:ind w:left="0" w:leftChars="0" w:firstLine="482"/>
        <w:rPr>
          <w:color w:val="auto"/>
          <w:szCs w:val="20"/>
          <w:highlight w:val="none"/>
        </w:rPr>
      </w:pPr>
      <w:r>
        <w:rPr>
          <w:rFonts w:hint="eastAsia"/>
          <w:color w:val="auto"/>
          <w:szCs w:val="20"/>
          <w:highlight w:val="none"/>
        </w:rPr>
        <w:t>......</w:t>
      </w:r>
    </w:p>
    <w:p w14:paraId="2E4A3EC6">
      <w:pPr>
        <w:pStyle w:val="12"/>
        <w:spacing w:line="360" w:lineRule="auto"/>
        <w:ind w:left="0" w:leftChars="0" w:firstLine="482"/>
        <w:rPr>
          <w:color w:val="auto"/>
          <w:szCs w:val="20"/>
          <w:highlight w:val="none"/>
        </w:rPr>
      </w:pPr>
      <w:r>
        <w:rPr>
          <w:rFonts w:hint="eastAsia"/>
          <w:color w:val="auto"/>
          <w:szCs w:val="20"/>
          <w:highlight w:val="none"/>
        </w:rPr>
        <w:t>2、我方同意自本项目竞争性磋商采购文件采购公告规定的递交响应文件截止时间起遵循</w:t>
      </w:r>
      <w:r>
        <w:rPr>
          <w:rFonts w:hint="eastAsia" w:hAnsi="宋体"/>
          <w:color w:val="auto"/>
          <w:szCs w:val="20"/>
          <w:highlight w:val="none"/>
        </w:rPr>
        <w:t>本响应函</w:t>
      </w:r>
      <w:r>
        <w:rPr>
          <w:rFonts w:hint="eastAsia"/>
          <w:color w:val="auto"/>
          <w:szCs w:val="20"/>
          <w:highlight w:val="none"/>
        </w:rPr>
        <w:t>，并承诺在“第三章 供应商须知”规定的响应有效期内不修改、撤销响应文件。</w:t>
      </w:r>
    </w:p>
    <w:p w14:paraId="3059D8B4">
      <w:pPr>
        <w:pStyle w:val="12"/>
        <w:spacing w:line="360" w:lineRule="auto"/>
        <w:ind w:left="0" w:leftChars="0" w:firstLine="482"/>
        <w:rPr>
          <w:color w:val="auto"/>
          <w:szCs w:val="20"/>
          <w:highlight w:val="none"/>
        </w:rPr>
      </w:pPr>
      <w:r>
        <w:rPr>
          <w:rFonts w:hint="eastAsia"/>
          <w:color w:val="auto"/>
          <w:szCs w:val="20"/>
          <w:highlight w:val="none"/>
        </w:rPr>
        <w:t>3、我方在此声明，所递交的响应文件及有关资料内容完整、真实和准确。</w:t>
      </w:r>
    </w:p>
    <w:p w14:paraId="467C1E8C">
      <w:pPr>
        <w:pStyle w:val="12"/>
        <w:spacing w:line="360" w:lineRule="auto"/>
        <w:ind w:left="0" w:leftChars="0" w:firstLine="482"/>
        <w:rPr>
          <w:color w:val="auto"/>
          <w:szCs w:val="20"/>
          <w:highlight w:val="none"/>
        </w:rPr>
      </w:pPr>
      <w:r>
        <w:rPr>
          <w:rFonts w:hint="eastAsia"/>
          <w:color w:val="auto"/>
          <w:szCs w:val="20"/>
          <w:highlight w:val="none"/>
        </w:rPr>
        <w:t>4、如本项目采购内容涉及须符合国家强制规定的，我方承诺我方本次竞标均符合国家有关强制规定。</w:t>
      </w:r>
    </w:p>
    <w:p w14:paraId="3F9277B1">
      <w:pPr>
        <w:pStyle w:val="12"/>
        <w:spacing w:line="360" w:lineRule="auto"/>
        <w:ind w:left="0" w:leftChars="0" w:firstLine="482"/>
        <w:rPr>
          <w:color w:val="auto"/>
          <w:szCs w:val="20"/>
          <w:highlight w:val="none"/>
        </w:rPr>
      </w:pPr>
      <w:r>
        <w:rPr>
          <w:rFonts w:hint="eastAsia"/>
          <w:color w:val="auto"/>
          <w:szCs w:val="20"/>
          <w:highlight w:val="none"/>
        </w:rPr>
        <w:t>5、如我方成交，我方承诺在收到成交通知书后，在成交通知书规定的期限内，</w:t>
      </w:r>
      <w:r>
        <w:rPr>
          <w:rFonts w:hint="eastAsia" w:hAnsi="宋体"/>
          <w:color w:val="auto"/>
          <w:szCs w:val="20"/>
          <w:highlight w:val="none"/>
        </w:rPr>
        <w:t>根据竞争性磋商采购文件、我方的响应文件及有关澄清承诺书的要求按第六章“合同文本”与采购人订立书面合同，并按照合同约定</w:t>
      </w:r>
      <w:r>
        <w:rPr>
          <w:rFonts w:hint="eastAsia"/>
          <w:color w:val="auto"/>
          <w:szCs w:val="20"/>
          <w:highlight w:val="none"/>
        </w:rPr>
        <w:t>承担完成合同的责任和义务。</w:t>
      </w:r>
    </w:p>
    <w:p w14:paraId="101DFC16">
      <w:pPr>
        <w:pStyle w:val="12"/>
        <w:spacing w:line="360" w:lineRule="auto"/>
        <w:ind w:left="0" w:leftChars="0" w:firstLine="482"/>
        <w:rPr>
          <w:color w:val="auto"/>
          <w:szCs w:val="20"/>
          <w:highlight w:val="none"/>
        </w:rPr>
      </w:pPr>
      <w:r>
        <w:rPr>
          <w:rFonts w:hint="eastAsia"/>
          <w:color w:val="auto"/>
          <w:szCs w:val="20"/>
          <w:highlight w:val="none"/>
        </w:rPr>
        <w:t>6、我方已详细审核竞争性磋商采购文件，我方知道必须放弃提出含糊不清或误解问题的权利。</w:t>
      </w:r>
    </w:p>
    <w:p w14:paraId="66EF807D">
      <w:pPr>
        <w:pStyle w:val="12"/>
        <w:spacing w:line="360" w:lineRule="auto"/>
        <w:ind w:left="0" w:leftChars="0" w:firstLine="482"/>
        <w:rPr>
          <w:color w:val="auto"/>
          <w:szCs w:val="20"/>
          <w:highlight w:val="none"/>
        </w:rPr>
      </w:pPr>
      <w:r>
        <w:rPr>
          <w:rFonts w:hint="eastAsia"/>
          <w:color w:val="auto"/>
          <w:szCs w:val="20"/>
          <w:highlight w:val="none"/>
        </w:rPr>
        <w:t>7、我方承诺满足竞争性磋商采购文件</w:t>
      </w:r>
      <w:r>
        <w:rPr>
          <w:rFonts w:hint="eastAsia" w:hAnsi="宋体"/>
          <w:color w:val="auto"/>
          <w:szCs w:val="20"/>
          <w:highlight w:val="none"/>
        </w:rPr>
        <w:t>第六章“合同文本”</w:t>
      </w:r>
      <w:r>
        <w:rPr>
          <w:rFonts w:hint="eastAsia"/>
          <w:color w:val="auto"/>
          <w:szCs w:val="20"/>
          <w:highlight w:val="none"/>
        </w:rPr>
        <w:t>的条款，承担完成合同的责任和义务。</w:t>
      </w:r>
    </w:p>
    <w:p w14:paraId="58717F50">
      <w:pPr>
        <w:pStyle w:val="12"/>
        <w:spacing w:line="360" w:lineRule="auto"/>
        <w:ind w:left="0" w:leftChars="0" w:firstLine="482"/>
        <w:rPr>
          <w:color w:val="auto"/>
          <w:szCs w:val="20"/>
          <w:highlight w:val="none"/>
        </w:rPr>
      </w:pPr>
      <w:r>
        <w:rPr>
          <w:rFonts w:hint="eastAsia"/>
          <w:color w:val="auto"/>
          <w:szCs w:val="20"/>
          <w:highlight w:val="none"/>
        </w:rPr>
        <w:t>8、我方同意应贵方要求提供与本竞标有关的任何数据或资料。若贵方需要，我方愿意提供我方作出的一切承诺的证明材料。</w:t>
      </w:r>
    </w:p>
    <w:p w14:paraId="7C52B3A5">
      <w:pPr>
        <w:pStyle w:val="12"/>
        <w:spacing w:line="360" w:lineRule="auto"/>
        <w:ind w:left="0" w:leftChars="0" w:firstLine="482"/>
        <w:rPr>
          <w:color w:val="auto"/>
          <w:szCs w:val="20"/>
          <w:highlight w:val="none"/>
        </w:rPr>
      </w:pPr>
      <w:r>
        <w:rPr>
          <w:rFonts w:hint="eastAsia"/>
          <w:color w:val="auto"/>
          <w:szCs w:val="20"/>
          <w:highlight w:val="none"/>
        </w:rPr>
        <w:t>9、我方完全理解贵方不一定接受响应报价最低的竞标人为成交供应商的行为。</w:t>
      </w:r>
    </w:p>
    <w:p w14:paraId="49CC0C98">
      <w:pPr>
        <w:pStyle w:val="12"/>
        <w:spacing w:line="360" w:lineRule="auto"/>
        <w:ind w:left="0" w:leftChars="0" w:firstLine="482"/>
        <w:rPr>
          <w:color w:val="auto"/>
          <w:szCs w:val="20"/>
          <w:highlight w:val="none"/>
        </w:rPr>
      </w:pPr>
      <w:r>
        <w:rPr>
          <w:rFonts w:hint="eastAsia"/>
          <w:color w:val="auto"/>
          <w:szCs w:val="20"/>
          <w:highlight w:val="none"/>
        </w:rPr>
        <w:t>10、我方将严格遵守《中华人民共和国政府采购法》第七十七条的规定，即供应商有下列情形之一的，处以采购金额千分之五以上千分之十</w:t>
      </w:r>
      <w:r>
        <w:rPr>
          <w:rFonts w:hint="eastAsia" w:hAnsi="宋体"/>
          <w:color w:val="auto"/>
          <w:szCs w:val="20"/>
          <w:highlight w:val="none"/>
        </w:rPr>
        <w:t>以下的罚款，列入不良行为记录名单，在一至三年内禁止参加政府采购活动，有违法所得的，并处没收违法所得，情节严重的，由工商行政管理机关吊销营业执照；构成犯罪的，依法追究刑事责任：</w:t>
      </w:r>
    </w:p>
    <w:p w14:paraId="78C74776">
      <w:pPr>
        <w:pStyle w:val="12"/>
        <w:tabs>
          <w:tab w:val="left" w:pos="945"/>
        </w:tabs>
        <w:spacing w:line="360" w:lineRule="auto"/>
        <w:ind w:left="720" w:leftChars="0" w:hanging="720"/>
        <w:rPr>
          <w:rFonts w:hAnsi="宋体"/>
          <w:color w:val="auto"/>
          <w:szCs w:val="20"/>
          <w:highlight w:val="none"/>
        </w:rPr>
      </w:pPr>
      <w:r>
        <w:rPr>
          <w:rFonts w:hint="eastAsia" w:ascii="宋体" w:hAnsi="宋体"/>
          <w:color w:val="auto"/>
          <w:szCs w:val="20"/>
          <w:highlight w:val="none"/>
        </w:rPr>
        <w:t>（1）</w:t>
      </w:r>
      <w:r>
        <w:rPr>
          <w:rFonts w:hint="eastAsia" w:hAnsi="宋体"/>
          <w:color w:val="auto"/>
          <w:szCs w:val="20"/>
          <w:highlight w:val="none"/>
        </w:rPr>
        <w:t>提供虚假材料谋取中标、成交的；</w:t>
      </w:r>
    </w:p>
    <w:p w14:paraId="4229BABE">
      <w:pPr>
        <w:pStyle w:val="12"/>
        <w:tabs>
          <w:tab w:val="left" w:pos="945"/>
        </w:tabs>
        <w:spacing w:line="360" w:lineRule="auto"/>
        <w:ind w:left="720" w:leftChars="0" w:hanging="720"/>
        <w:rPr>
          <w:rFonts w:hAnsi="宋体"/>
          <w:color w:val="auto"/>
          <w:szCs w:val="20"/>
          <w:highlight w:val="none"/>
        </w:rPr>
      </w:pPr>
      <w:r>
        <w:rPr>
          <w:rFonts w:hint="eastAsia" w:ascii="宋体" w:hAnsi="宋体"/>
          <w:color w:val="auto"/>
          <w:szCs w:val="20"/>
          <w:highlight w:val="none"/>
        </w:rPr>
        <w:t>（2）</w:t>
      </w:r>
      <w:r>
        <w:rPr>
          <w:rFonts w:hint="eastAsia" w:hAnsi="宋体"/>
          <w:color w:val="auto"/>
          <w:szCs w:val="20"/>
          <w:highlight w:val="none"/>
        </w:rPr>
        <w:t>采取不正当手段诋毁、排挤其他供应商的；</w:t>
      </w:r>
    </w:p>
    <w:p w14:paraId="3C5FF4E0">
      <w:pPr>
        <w:pStyle w:val="12"/>
        <w:tabs>
          <w:tab w:val="left" w:pos="945"/>
        </w:tabs>
        <w:spacing w:line="360" w:lineRule="auto"/>
        <w:ind w:left="720" w:leftChars="0" w:hanging="720"/>
        <w:rPr>
          <w:color w:val="auto"/>
          <w:szCs w:val="20"/>
          <w:highlight w:val="none"/>
        </w:rPr>
      </w:pPr>
      <w:r>
        <w:rPr>
          <w:rFonts w:hint="eastAsia" w:ascii="宋体" w:hAnsi="宋体"/>
          <w:color w:val="auto"/>
          <w:szCs w:val="20"/>
          <w:highlight w:val="none"/>
        </w:rPr>
        <w:t>（3）</w:t>
      </w:r>
      <w:r>
        <w:rPr>
          <w:rFonts w:hint="eastAsia" w:hAnsi="宋体"/>
          <w:color w:val="auto"/>
          <w:szCs w:val="20"/>
          <w:highlight w:val="none"/>
        </w:rPr>
        <w:t>与采购人、其他供应商或者采购代理机构恶意串通的；</w:t>
      </w:r>
    </w:p>
    <w:p w14:paraId="261EAC87">
      <w:pPr>
        <w:pStyle w:val="12"/>
        <w:tabs>
          <w:tab w:val="left" w:pos="945"/>
        </w:tabs>
        <w:spacing w:line="360" w:lineRule="auto"/>
        <w:ind w:left="720" w:leftChars="0" w:hanging="720"/>
        <w:rPr>
          <w:color w:val="auto"/>
          <w:szCs w:val="20"/>
          <w:highlight w:val="none"/>
        </w:rPr>
      </w:pPr>
      <w:r>
        <w:rPr>
          <w:rFonts w:hint="eastAsia" w:ascii="宋体" w:hAnsi="宋体"/>
          <w:color w:val="auto"/>
          <w:szCs w:val="20"/>
          <w:highlight w:val="none"/>
        </w:rPr>
        <w:t>（4）</w:t>
      </w:r>
      <w:r>
        <w:rPr>
          <w:rFonts w:hint="eastAsia" w:hAnsi="宋体"/>
          <w:color w:val="auto"/>
          <w:szCs w:val="20"/>
          <w:highlight w:val="none"/>
        </w:rPr>
        <w:t>向采购人、采购代理机构行贿或者提供其他不正当利益的；</w:t>
      </w:r>
    </w:p>
    <w:p w14:paraId="2647606A">
      <w:pPr>
        <w:pStyle w:val="12"/>
        <w:tabs>
          <w:tab w:val="left" w:pos="945"/>
        </w:tabs>
        <w:spacing w:line="360" w:lineRule="auto"/>
        <w:ind w:left="720" w:leftChars="0" w:hanging="720"/>
        <w:rPr>
          <w:color w:val="auto"/>
          <w:szCs w:val="20"/>
          <w:highlight w:val="none"/>
        </w:rPr>
      </w:pPr>
      <w:r>
        <w:rPr>
          <w:rFonts w:hint="eastAsia" w:ascii="宋体" w:hAnsi="宋体"/>
          <w:color w:val="auto"/>
          <w:szCs w:val="20"/>
          <w:highlight w:val="none"/>
        </w:rPr>
        <w:t>（5）</w:t>
      </w:r>
      <w:r>
        <w:rPr>
          <w:rFonts w:hint="eastAsia" w:hAnsi="宋体"/>
          <w:color w:val="auto"/>
          <w:szCs w:val="20"/>
          <w:highlight w:val="none"/>
        </w:rPr>
        <w:t>在采购过程中与采购人进行协商谈判的；</w:t>
      </w:r>
    </w:p>
    <w:p w14:paraId="27D32EC9">
      <w:pPr>
        <w:pStyle w:val="12"/>
        <w:tabs>
          <w:tab w:val="left" w:pos="945"/>
        </w:tabs>
        <w:spacing w:line="360" w:lineRule="auto"/>
        <w:ind w:left="720" w:leftChars="0" w:hanging="720"/>
        <w:rPr>
          <w:color w:val="auto"/>
          <w:szCs w:val="20"/>
          <w:highlight w:val="none"/>
        </w:rPr>
      </w:pPr>
      <w:r>
        <w:rPr>
          <w:rFonts w:hint="eastAsia" w:ascii="宋体" w:hAnsi="宋体"/>
          <w:color w:val="auto"/>
          <w:szCs w:val="20"/>
          <w:highlight w:val="none"/>
        </w:rPr>
        <w:t>（6）</w:t>
      </w:r>
      <w:r>
        <w:rPr>
          <w:rFonts w:hint="eastAsia" w:hAnsi="宋体"/>
          <w:color w:val="auto"/>
          <w:szCs w:val="20"/>
          <w:highlight w:val="none"/>
        </w:rPr>
        <w:t>拒绝有关部门监督检查或提供虚假情况的。</w:t>
      </w:r>
    </w:p>
    <w:p w14:paraId="22B2820D">
      <w:pPr>
        <w:pStyle w:val="12"/>
        <w:spacing w:line="360" w:lineRule="auto"/>
        <w:ind w:left="0" w:leftChars="0" w:firstLine="420"/>
        <w:rPr>
          <w:color w:val="auto"/>
          <w:szCs w:val="20"/>
          <w:highlight w:val="none"/>
        </w:rPr>
      </w:pPr>
      <w:r>
        <w:rPr>
          <w:rFonts w:hint="eastAsia" w:hAnsi="宋体" w:cs="宋体"/>
          <w:color w:val="auto"/>
          <w:szCs w:val="20"/>
          <w:highlight w:val="none"/>
        </w:rPr>
        <w:t>11.与本磋商有关的一切正式往来信函请寄</w:t>
      </w:r>
      <w:r>
        <w:rPr>
          <w:rFonts w:hint="eastAsia"/>
          <w:color w:val="auto"/>
          <w:szCs w:val="20"/>
          <w:highlight w:val="none"/>
        </w:rPr>
        <w:t>：</w:t>
      </w:r>
      <w:r>
        <w:rPr>
          <w:rFonts w:hint="eastAsia"/>
          <w:color w:val="auto"/>
          <w:szCs w:val="20"/>
          <w:highlight w:val="none"/>
          <w:u w:val="single"/>
        </w:rPr>
        <w:t xml:space="preserve"> </w:t>
      </w:r>
    </w:p>
    <w:p w14:paraId="4A5BBF65">
      <w:pPr>
        <w:pStyle w:val="12"/>
        <w:spacing w:line="360" w:lineRule="auto"/>
        <w:ind w:left="0" w:leftChars="0" w:firstLine="420"/>
        <w:rPr>
          <w:color w:val="auto"/>
          <w:szCs w:val="20"/>
          <w:highlight w:val="none"/>
        </w:rPr>
      </w:pPr>
      <w:r>
        <w:rPr>
          <w:rFonts w:hint="eastAsia"/>
          <w:color w:val="auto"/>
          <w:szCs w:val="20"/>
          <w:highlight w:val="none"/>
        </w:rPr>
        <w:t>地址：</w:t>
      </w:r>
      <w:r>
        <w:rPr>
          <w:rFonts w:hint="eastAsia"/>
          <w:color w:val="auto"/>
          <w:szCs w:val="20"/>
          <w:highlight w:val="none"/>
          <w:u w:val="single"/>
        </w:rPr>
        <w:t xml:space="preserve">                                                        </w:t>
      </w:r>
      <w:r>
        <w:rPr>
          <w:rFonts w:hint="eastAsia"/>
          <w:color w:val="auto"/>
          <w:szCs w:val="20"/>
          <w:highlight w:val="none"/>
        </w:rPr>
        <w:t xml:space="preserve"> </w:t>
      </w:r>
    </w:p>
    <w:p w14:paraId="4637BD50">
      <w:pPr>
        <w:pStyle w:val="12"/>
        <w:spacing w:line="360" w:lineRule="auto"/>
        <w:ind w:left="0" w:leftChars="0" w:firstLine="420"/>
        <w:rPr>
          <w:color w:val="auto"/>
          <w:szCs w:val="20"/>
          <w:highlight w:val="none"/>
          <w:u w:val="single"/>
        </w:rPr>
      </w:pPr>
      <w:r>
        <w:rPr>
          <w:rFonts w:hint="eastAsia"/>
          <w:color w:val="auto"/>
          <w:szCs w:val="20"/>
          <w:highlight w:val="none"/>
        </w:rPr>
        <w:t>电话：</w:t>
      </w:r>
      <w:r>
        <w:rPr>
          <w:rFonts w:hint="eastAsia"/>
          <w:color w:val="auto"/>
          <w:szCs w:val="20"/>
          <w:highlight w:val="none"/>
          <w:u w:val="single"/>
        </w:rPr>
        <w:t xml:space="preserve">                                      　　　　　　　　　</w:t>
      </w:r>
    </w:p>
    <w:p w14:paraId="6C8D7B19">
      <w:pPr>
        <w:pStyle w:val="12"/>
        <w:spacing w:line="360" w:lineRule="auto"/>
        <w:ind w:left="0" w:leftChars="0" w:firstLine="420"/>
        <w:rPr>
          <w:color w:val="auto"/>
          <w:szCs w:val="20"/>
          <w:highlight w:val="none"/>
        </w:rPr>
      </w:pPr>
      <w:r>
        <w:rPr>
          <w:rFonts w:hint="eastAsia"/>
          <w:color w:val="auto"/>
          <w:szCs w:val="20"/>
          <w:highlight w:val="none"/>
        </w:rPr>
        <w:t>传真：</w:t>
      </w:r>
      <w:r>
        <w:rPr>
          <w:rFonts w:hint="eastAsia"/>
          <w:color w:val="auto"/>
          <w:szCs w:val="20"/>
          <w:highlight w:val="none"/>
          <w:u w:val="single"/>
        </w:rPr>
        <w:t>　　　　　　　　　　　　　　　　　　　　　　　　　　　　</w:t>
      </w:r>
    </w:p>
    <w:p w14:paraId="3E3FFE48">
      <w:pPr>
        <w:pStyle w:val="12"/>
        <w:spacing w:line="360" w:lineRule="auto"/>
        <w:ind w:left="0" w:leftChars="0" w:firstLine="420"/>
        <w:rPr>
          <w:color w:val="auto"/>
          <w:szCs w:val="20"/>
          <w:highlight w:val="none"/>
          <w:u w:val="single"/>
        </w:rPr>
      </w:pPr>
      <w:r>
        <w:rPr>
          <w:rFonts w:hint="eastAsia"/>
          <w:color w:val="auto"/>
          <w:szCs w:val="20"/>
          <w:highlight w:val="none"/>
        </w:rPr>
        <w:t>邮政编码：</w:t>
      </w:r>
      <w:r>
        <w:rPr>
          <w:rFonts w:hint="eastAsia"/>
          <w:color w:val="auto"/>
          <w:szCs w:val="20"/>
          <w:highlight w:val="none"/>
          <w:u w:val="single"/>
        </w:rPr>
        <w:t xml:space="preserve">                                                    </w:t>
      </w:r>
    </w:p>
    <w:p w14:paraId="293A2208">
      <w:pPr>
        <w:pStyle w:val="12"/>
        <w:spacing w:line="360" w:lineRule="auto"/>
        <w:ind w:left="0" w:leftChars="0" w:firstLine="420"/>
        <w:rPr>
          <w:color w:val="auto"/>
          <w:szCs w:val="20"/>
          <w:highlight w:val="none"/>
          <w:u w:val="single"/>
        </w:rPr>
      </w:pPr>
      <w:r>
        <w:rPr>
          <w:rFonts w:hint="eastAsia"/>
          <w:color w:val="auto"/>
          <w:szCs w:val="20"/>
          <w:highlight w:val="none"/>
        </w:rPr>
        <w:t>开户名称：</w:t>
      </w:r>
      <w:r>
        <w:rPr>
          <w:rFonts w:hint="eastAsia"/>
          <w:color w:val="auto"/>
          <w:szCs w:val="20"/>
          <w:highlight w:val="none"/>
          <w:u w:val="single"/>
        </w:rPr>
        <w:t xml:space="preserve">                                                    </w:t>
      </w:r>
    </w:p>
    <w:p w14:paraId="2EA4B1EE">
      <w:pPr>
        <w:pStyle w:val="12"/>
        <w:spacing w:line="360" w:lineRule="auto"/>
        <w:ind w:left="0" w:leftChars="0" w:firstLine="420"/>
        <w:rPr>
          <w:color w:val="auto"/>
          <w:szCs w:val="20"/>
          <w:highlight w:val="none"/>
          <w:u w:val="single"/>
        </w:rPr>
      </w:pPr>
      <w:r>
        <w:rPr>
          <w:rFonts w:hint="eastAsia"/>
          <w:color w:val="auto"/>
          <w:szCs w:val="20"/>
          <w:highlight w:val="none"/>
        </w:rPr>
        <w:t>开户银行：</w:t>
      </w:r>
      <w:r>
        <w:rPr>
          <w:rFonts w:hint="eastAsia"/>
          <w:color w:val="auto"/>
          <w:szCs w:val="20"/>
          <w:highlight w:val="none"/>
          <w:u w:val="single"/>
        </w:rPr>
        <w:t xml:space="preserve">                                                    </w:t>
      </w:r>
    </w:p>
    <w:p w14:paraId="643C0780">
      <w:pPr>
        <w:pStyle w:val="12"/>
        <w:spacing w:line="360" w:lineRule="auto"/>
        <w:ind w:left="0" w:leftChars="0" w:firstLine="420"/>
        <w:rPr>
          <w:color w:val="auto"/>
          <w:szCs w:val="20"/>
          <w:highlight w:val="none"/>
          <w:u w:val="single"/>
        </w:rPr>
      </w:pPr>
      <w:r>
        <w:rPr>
          <w:rFonts w:hint="eastAsia"/>
          <w:color w:val="auto"/>
          <w:szCs w:val="20"/>
          <w:highlight w:val="none"/>
        </w:rPr>
        <w:t>银行账号：</w:t>
      </w:r>
      <w:r>
        <w:rPr>
          <w:rFonts w:hint="eastAsia"/>
          <w:color w:val="auto"/>
          <w:szCs w:val="20"/>
          <w:highlight w:val="none"/>
          <w:u w:val="single"/>
        </w:rPr>
        <w:t xml:space="preserve">                                                    </w:t>
      </w:r>
    </w:p>
    <w:p w14:paraId="5A0A2925">
      <w:pPr>
        <w:tabs>
          <w:tab w:val="left" w:pos="939"/>
        </w:tabs>
        <w:spacing w:line="360" w:lineRule="auto"/>
        <w:ind w:firstLine="300" w:firstLineChars="150"/>
        <w:rPr>
          <w:rFonts w:ascii="宋体" w:hAnsi="宋体" w:cs="宋体"/>
          <w:color w:val="auto"/>
          <w:sz w:val="20"/>
          <w:szCs w:val="20"/>
          <w:highlight w:val="none"/>
        </w:rPr>
      </w:pPr>
      <w:r>
        <w:rPr>
          <w:rFonts w:hint="eastAsia" w:ascii="宋体" w:hAnsi="宋体" w:cs="宋体"/>
          <w:color w:val="auto"/>
          <w:sz w:val="20"/>
          <w:szCs w:val="20"/>
          <w:highlight w:val="none"/>
        </w:rPr>
        <w:t>特此承诺。</w:t>
      </w:r>
    </w:p>
    <w:p w14:paraId="71B21A56">
      <w:pPr>
        <w:spacing w:line="360" w:lineRule="auto"/>
        <w:jc w:val="left"/>
        <w:rPr>
          <w:rFonts w:ascii="宋体" w:hAnsi="宋体" w:cs="宋体"/>
          <w:color w:val="auto"/>
          <w:szCs w:val="21"/>
          <w:highlight w:val="none"/>
        </w:rPr>
      </w:pPr>
    </w:p>
    <w:p w14:paraId="775CB429">
      <w:pPr>
        <w:autoSpaceDE w:val="0"/>
        <w:autoSpaceDN w:val="0"/>
        <w:spacing w:line="360" w:lineRule="auto"/>
        <w:ind w:left="4335" w:leftChars="1950" w:hanging="240" w:hangingChars="10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022AE64D">
      <w:pPr>
        <w:autoSpaceDE w:val="0"/>
        <w:autoSpaceDN w:val="0"/>
        <w:spacing w:line="360" w:lineRule="auto"/>
        <w:jc w:val="right"/>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  年  月   日</w:t>
      </w:r>
    </w:p>
    <w:p w14:paraId="3944C596">
      <w:pPr>
        <w:widowControl/>
        <w:spacing w:line="360" w:lineRule="auto"/>
        <w:jc w:val="left"/>
        <w:rPr>
          <w:rFonts w:ascii="仿宋_GB2312" w:hAnsi="仿宋" w:eastAsia="仿宋_GB2312" w:cs="仿宋_GB2312"/>
          <w:color w:val="auto"/>
          <w:kern w:val="0"/>
          <w:sz w:val="24"/>
          <w:highlight w:val="none"/>
          <w:lang w:val="zh-CN"/>
        </w:rPr>
        <w:sectPr>
          <w:pgSz w:w="11911" w:h="16838"/>
          <w:pgMar w:top="1417" w:right="1417" w:bottom="1417" w:left="1417" w:header="720" w:footer="720" w:gutter="0"/>
          <w:cols w:space="0" w:num="1"/>
        </w:sectPr>
      </w:pPr>
    </w:p>
    <w:p w14:paraId="755F69AB">
      <w:pPr>
        <w:autoSpaceDE w:val="0"/>
        <w:autoSpaceDN w:val="0"/>
        <w:spacing w:line="360" w:lineRule="auto"/>
        <w:ind w:firstLine="6480" w:firstLineChars="2700"/>
        <w:rPr>
          <w:rFonts w:ascii="仿宋_GB2312" w:hAnsi="仿宋" w:eastAsia="仿宋_GB2312" w:cs="仿宋_GB2312"/>
          <w:color w:val="auto"/>
          <w:kern w:val="0"/>
          <w:sz w:val="24"/>
          <w:highlight w:val="none"/>
          <w:lang w:val="zh-CN"/>
        </w:rPr>
      </w:pPr>
    </w:p>
    <w:p w14:paraId="10D64691">
      <w:pPr>
        <w:spacing w:line="520" w:lineRule="exact"/>
        <w:jc w:val="center"/>
        <w:rPr>
          <w:rFonts w:ascii="宋体" w:hAnsi="宋体"/>
          <w:b/>
          <w:bCs/>
          <w:color w:val="auto"/>
          <w:sz w:val="32"/>
          <w:szCs w:val="32"/>
          <w:highlight w:val="none"/>
        </w:rPr>
      </w:pPr>
      <w:r>
        <w:rPr>
          <w:rFonts w:hint="eastAsia"/>
          <w:color w:val="auto"/>
          <w:sz w:val="32"/>
          <w:szCs w:val="32"/>
          <w:highlight w:val="none"/>
        </w:rPr>
        <w:t>二</w:t>
      </w:r>
      <w:r>
        <w:rPr>
          <w:rFonts w:hint="eastAsia" w:ascii="宋体" w:hAnsi="宋体"/>
          <w:b/>
          <w:bCs/>
          <w:color w:val="auto"/>
          <w:sz w:val="32"/>
          <w:szCs w:val="32"/>
          <w:highlight w:val="none"/>
        </w:rPr>
        <w:t>、响应报价表</w:t>
      </w:r>
    </w:p>
    <w:p w14:paraId="75893DE7">
      <w:pPr>
        <w:snapToGrid w:val="0"/>
        <w:spacing w:before="50" w:after="50" w:line="360" w:lineRule="auto"/>
        <w:rPr>
          <w:rFonts w:ascii="宋体" w:hAnsi="宋体"/>
          <w:color w:val="auto"/>
          <w:sz w:val="24"/>
          <w:highlight w:val="none"/>
        </w:rPr>
      </w:pPr>
      <w:r>
        <w:rPr>
          <w:rFonts w:hint="eastAsia" w:ascii="宋体" w:hAnsi="宋体"/>
          <w:color w:val="auto"/>
          <w:sz w:val="24"/>
          <w:highlight w:val="none"/>
        </w:rPr>
        <w:t>项目名称：</w:t>
      </w:r>
      <w:r>
        <w:rPr>
          <w:rFonts w:hint="eastAsia" w:ascii="宋体" w:hAnsi="宋体"/>
          <w:color w:val="auto"/>
          <w:sz w:val="24"/>
          <w:highlight w:val="none"/>
          <w:u w:val="single"/>
          <w:lang w:eastAsia="zh-CN"/>
        </w:rPr>
        <w:t>南宁市青年人才驿站</w:t>
      </w:r>
      <w:r>
        <w:rPr>
          <w:rFonts w:hint="eastAsia" w:ascii="宋体" w:hAnsi="宋体"/>
          <w:color w:val="auto"/>
          <w:sz w:val="24"/>
          <w:highlight w:val="none"/>
        </w:rPr>
        <w:t xml:space="preserve">      </w:t>
      </w:r>
    </w:p>
    <w:p w14:paraId="3D339007">
      <w:pPr>
        <w:snapToGrid w:val="0"/>
        <w:spacing w:before="50" w:after="50" w:line="360" w:lineRule="auto"/>
        <w:rPr>
          <w:rFonts w:ascii="宋体" w:hAnsi="宋体"/>
          <w:color w:val="auto"/>
          <w:sz w:val="24"/>
          <w:highlight w:val="none"/>
          <w:u w:val="single"/>
        </w:rPr>
      </w:pPr>
      <w:r>
        <w:rPr>
          <w:rFonts w:hint="eastAsia" w:ascii="宋体" w:hAnsi="宋体"/>
          <w:color w:val="auto"/>
          <w:sz w:val="24"/>
          <w:highlight w:val="none"/>
        </w:rPr>
        <w:t>项目编号：</w:t>
      </w:r>
      <w:r>
        <w:rPr>
          <w:rFonts w:hint="eastAsia" w:ascii="宋体" w:hAnsi="宋体"/>
          <w:color w:val="auto"/>
          <w:sz w:val="24"/>
          <w:highlight w:val="none"/>
          <w:u w:val="single"/>
        </w:rPr>
        <w:t xml:space="preserve">                   </w:t>
      </w:r>
      <w:r>
        <w:rPr>
          <w:rFonts w:hint="eastAsia" w:ascii="宋体" w:hAnsi="宋体"/>
          <w:color w:val="auto"/>
          <w:sz w:val="24"/>
          <w:highlight w:val="none"/>
          <w:u w:val="single"/>
          <w:lang w:val="en-US" w:eastAsia="zh-CN"/>
        </w:rPr>
        <w:t xml:space="preserve">  </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标项：</w:t>
      </w:r>
      <w:r>
        <w:rPr>
          <w:rFonts w:hint="eastAsia" w:ascii="宋体" w:hAnsi="宋体"/>
          <w:color w:val="auto"/>
          <w:sz w:val="24"/>
          <w:highlight w:val="none"/>
          <w:u w:val="single"/>
        </w:rPr>
        <w:t xml:space="preserve">           </w:t>
      </w:r>
    </w:p>
    <w:p w14:paraId="746E26A0">
      <w:pPr>
        <w:snapToGrid w:val="0"/>
        <w:spacing w:before="50" w:after="50" w:line="360" w:lineRule="auto"/>
        <w:rPr>
          <w:rFonts w:ascii="宋体" w:hAnsi="宋体"/>
          <w:color w:val="auto"/>
          <w:sz w:val="24"/>
          <w:highlight w:val="none"/>
          <w:u w:val="single"/>
        </w:rPr>
      </w:pPr>
      <w:r>
        <w:rPr>
          <w:rFonts w:hint="eastAsia" w:hAnsi="宋体"/>
          <w:color w:val="auto"/>
          <w:sz w:val="24"/>
          <w:highlight w:val="none"/>
        </w:rPr>
        <w:t>供应商名称：</w:t>
      </w:r>
      <w:r>
        <w:rPr>
          <w:rFonts w:hAnsi="宋体"/>
          <w:color w:val="auto"/>
          <w:sz w:val="24"/>
          <w:highlight w:val="none"/>
          <w:u w:val="single"/>
        </w:rPr>
        <w:t xml:space="preserve">                     </w:t>
      </w:r>
      <w:r>
        <w:rPr>
          <w:rFonts w:hAnsi="宋体"/>
          <w:color w:val="auto"/>
          <w:sz w:val="24"/>
          <w:highlight w:val="none"/>
        </w:rPr>
        <w:t xml:space="preserve">  </w:t>
      </w:r>
      <w:r>
        <w:rPr>
          <w:rFonts w:hint="eastAsia" w:ascii="宋体" w:hAnsi="宋体" w:cs="仿宋_GB2312"/>
          <w:color w:val="auto"/>
          <w:sz w:val="24"/>
          <w:highlight w:val="none"/>
        </w:rPr>
        <w:t xml:space="preserve">                    </w:t>
      </w:r>
    </w:p>
    <w:tbl>
      <w:tblPr>
        <w:tblStyle w:val="23"/>
        <w:tblW w:w="9527"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1259"/>
        <w:gridCol w:w="2063"/>
        <w:gridCol w:w="1080"/>
        <w:gridCol w:w="1260"/>
        <w:gridCol w:w="1516"/>
        <w:gridCol w:w="957"/>
        <w:gridCol w:w="674"/>
      </w:tblGrid>
      <w:tr w14:paraId="1B90E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trPr>
        <w:tc>
          <w:tcPr>
            <w:tcW w:w="718" w:type="dxa"/>
            <w:tcBorders>
              <w:top w:val="single" w:color="auto" w:sz="4" w:space="0"/>
              <w:left w:val="single" w:color="auto" w:sz="4" w:space="0"/>
              <w:bottom w:val="single" w:color="auto" w:sz="4" w:space="0"/>
              <w:right w:val="single" w:color="auto" w:sz="4" w:space="0"/>
            </w:tcBorders>
            <w:noWrap/>
            <w:vAlign w:val="center"/>
          </w:tcPr>
          <w:p w14:paraId="4593AF38">
            <w:pPr>
              <w:snapToGrid w:val="0"/>
              <w:spacing w:before="50" w:after="50" w:line="360" w:lineRule="auto"/>
              <w:rPr>
                <w:rFonts w:hint="eastAsia" w:ascii="宋体" w:hAnsi="宋体" w:cs="Times New Roman"/>
                <w:color w:val="auto"/>
                <w:sz w:val="24"/>
                <w:highlight w:val="none"/>
                <w:u w:val="single"/>
                <w:lang w:eastAsia="zh-CN"/>
              </w:rPr>
            </w:pPr>
            <w:r>
              <w:rPr>
                <w:rFonts w:hint="eastAsia" w:ascii="宋体" w:hAnsi="宋体" w:cs="Times New Roman"/>
                <w:color w:val="auto"/>
                <w:sz w:val="24"/>
                <w:highlight w:val="none"/>
                <w:u w:val="single"/>
                <w:lang w:eastAsia="zh-CN"/>
              </w:rPr>
              <w:t>序号</w:t>
            </w:r>
          </w:p>
        </w:tc>
        <w:tc>
          <w:tcPr>
            <w:tcW w:w="1259" w:type="dxa"/>
            <w:tcBorders>
              <w:top w:val="single" w:color="auto" w:sz="4" w:space="0"/>
              <w:left w:val="single" w:color="auto" w:sz="4" w:space="0"/>
              <w:bottom w:val="single" w:color="auto" w:sz="4" w:space="0"/>
              <w:right w:val="single" w:color="auto" w:sz="4" w:space="0"/>
            </w:tcBorders>
            <w:noWrap/>
            <w:vAlign w:val="center"/>
          </w:tcPr>
          <w:p w14:paraId="194D4EB9">
            <w:pPr>
              <w:snapToGrid w:val="0"/>
              <w:spacing w:before="50" w:after="50" w:line="360" w:lineRule="auto"/>
              <w:rPr>
                <w:rFonts w:hint="eastAsia" w:ascii="宋体" w:hAnsi="宋体" w:cs="Times New Roman"/>
                <w:color w:val="auto"/>
                <w:sz w:val="24"/>
                <w:highlight w:val="none"/>
                <w:u w:val="single"/>
                <w:lang w:eastAsia="zh-CN"/>
              </w:rPr>
            </w:pPr>
            <w:r>
              <w:rPr>
                <w:rFonts w:hint="eastAsia" w:ascii="宋体" w:hAnsi="宋体" w:cs="Times New Roman"/>
                <w:color w:val="auto"/>
                <w:sz w:val="24"/>
                <w:highlight w:val="none"/>
                <w:u w:val="single"/>
                <w:lang w:eastAsia="zh-CN"/>
              </w:rPr>
              <w:t>服务名称</w:t>
            </w:r>
          </w:p>
        </w:tc>
        <w:tc>
          <w:tcPr>
            <w:tcW w:w="2063" w:type="dxa"/>
            <w:tcBorders>
              <w:top w:val="single" w:color="auto" w:sz="4" w:space="0"/>
              <w:left w:val="single" w:color="auto" w:sz="4" w:space="0"/>
              <w:bottom w:val="single" w:color="auto" w:sz="4" w:space="0"/>
              <w:right w:val="single" w:color="auto" w:sz="4" w:space="0"/>
            </w:tcBorders>
            <w:noWrap/>
            <w:vAlign w:val="center"/>
          </w:tcPr>
          <w:p w14:paraId="1F30A2B8">
            <w:pPr>
              <w:snapToGrid w:val="0"/>
              <w:spacing w:before="50" w:after="50" w:line="360" w:lineRule="auto"/>
              <w:rPr>
                <w:rFonts w:hint="eastAsia" w:ascii="宋体" w:hAnsi="宋体" w:cs="Times New Roman"/>
                <w:color w:val="auto"/>
                <w:sz w:val="24"/>
                <w:highlight w:val="none"/>
                <w:u w:val="single"/>
                <w:lang w:eastAsia="zh-CN"/>
              </w:rPr>
            </w:pPr>
            <w:r>
              <w:rPr>
                <w:rFonts w:hint="eastAsia" w:ascii="宋体" w:hAnsi="宋体" w:cs="Times New Roman"/>
                <w:color w:val="auto"/>
                <w:sz w:val="24"/>
                <w:highlight w:val="none"/>
                <w:u w:val="single"/>
                <w:lang w:eastAsia="zh-CN"/>
              </w:rPr>
              <w:t>具体服务内容（含具体服务范围、服务时间、服务标准等内容）</w:t>
            </w:r>
          </w:p>
        </w:tc>
        <w:tc>
          <w:tcPr>
            <w:tcW w:w="1080" w:type="dxa"/>
            <w:tcBorders>
              <w:top w:val="single" w:color="auto" w:sz="4" w:space="0"/>
              <w:left w:val="single" w:color="auto" w:sz="4" w:space="0"/>
              <w:bottom w:val="single" w:color="auto" w:sz="4" w:space="0"/>
              <w:right w:val="single" w:color="auto" w:sz="4" w:space="0"/>
            </w:tcBorders>
            <w:noWrap/>
            <w:vAlign w:val="center"/>
          </w:tcPr>
          <w:p w14:paraId="38DD1129">
            <w:pPr>
              <w:snapToGrid w:val="0"/>
              <w:spacing w:before="50" w:after="50" w:line="360" w:lineRule="auto"/>
              <w:rPr>
                <w:rFonts w:hint="eastAsia" w:ascii="宋体" w:hAnsi="宋体" w:cs="Times New Roman"/>
                <w:color w:val="auto"/>
                <w:sz w:val="24"/>
                <w:highlight w:val="none"/>
                <w:u w:val="single"/>
                <w:lang w:eastAsia="zh-CN"/>
              </w:rPr>
            </w:pPr>
            <w:r>
              <w:rPr>
                <w:rFonts w:hint="eastAsia" w:ascii="宋体" w:hAnsi="宋体" w:cs="Times New Roman"/>
                <w:color w:val="auto"/>
                <w:sz w:val="24"/>
                <w:highlight w:val="none"/>
                <w:u w:val="single"/>
                <w:lang w:eastAsia="zh-CN"/>
              </w:rPr>
              <w:t>数量①</w:t>
            </w:r>
          </w:p>
        </w:tc>
        <w:tc>
          <w:tcPr>
            <w:tcW w:w="1260" w:type="dxa"/>
            <w:tcBorders>
              <w:top w:val="single" w:color="auto" w:sz="4" w:space="0"/>
              <w:left w:val="single" w:color="auto" w:sz="4" w:space="0"/>
              <w:bottom w:val="single" w:color="auto" w:sz="4" w:space="0"/>
              <w:right w:val="single" w:color="auto" w:sz="4" w:space="0"/>
            </w:tcBorders>
            <w:noWrap/>
            <w:vAlign w:val="center"/>
          </w:tcPr>
          <w:p w14:paraId="207A5EC2">
            <w:pPr>
              <w:snapToGrid w:val="0"/>
              <w:spacing w:before="50" w:after="50" w:line="360" w:lineRule="auto"/>
              <w:rPr>
                <w:rFonts w:hint="eastAsia" w:ascii="宋体" w:hAnsi="宋体" w:cs="Times New Roman"/>
                <w:color w:val="auto"/>
                <w:sz w:val="24"/>
                <w:highlight w:val="none"/>
                <w:u w:val="single"/>
                <w:lang w:eastAsia="zh-CN"/>
              </w:rPr>
            </w:pPr>
            <w:r>
              <w:rPr>
                <w:rFonts w:hint="eastAsia" w:ascii="宋体" w:hAnsi="宋体" w:cs="Times New Roman"/>
                <w:color w:val="auto"/>
                <w:sz w:val="24"/>
                <w:highlight w:val="none"/>
                <w:u w:val="single"/>
                <w:lang w:eastAsia="zh-CN"/>
              </w:rPr>
              <w:t>单价(元)②</w:t>
            </w:r>
          </w:p>
        </w:tc>
        <w:tc>
          <w:tcPr>
            <w:tcW w:w="1516" w:type="dxa"/>
            <w:tcBorders>
              <w:top w:val="single" w:color="auto" w:sz="4" w:space="0"/>
              <w:left w:val="single" w:color="auto" w:sz="4" w:space="0"/>
              <w:bottom w:val="single" w:color="auto" w:sz="4" w:space="0"/>
              <w:right w:val="single" w:color="auto" w:sz="4" w:space="0"/>
            </w:tcBorders>
            <w:noWrap/>
            <w:vAlign w:val="center"/>
          </w:tcPr>
          <w:p w14:paraId="57DA9C09">
            <w:pPr>
              <w:snapToGrid w:val="0"/>
              <w:spacing w:before="50" w:after="50" w:line="360" w:lineRule="auto"/>
              <w:rPr>
                <w:rFonts w:hint="eastAsia" w:ascii="宋体" w:hAnsi="宋体" w:cs="Times New Roman"/>
                <w:color w:val="auto"/>
                <w:sz w:val="24"/>
                <w:highlight w:val="none"/>
                <w:u w:val="single"/>
                <w:lang w:eastAsia="zh-CN"/>
              </w:rPr>
            </w:pPr>
            <w:r>
              <w:rPr>
                <w:rFonts w:hint="eastAsia" w:ascii="宋体" w:hAnsi="宋体" w:cs="Times New Roman"/>
                <w:color w:val="auto"/>
                <w:sz w:val="24"/>
                <w:highlight w:val="none"/>
                <w:u w:val="single"/>
                <w:lang w:eastAsia="zh-CN"/>
              </w:rPr>
              <w:t>单项合价（元）</w:t>
            </w:r>
          </w:p>
          <w:p w14:paraId="51A42D0F">
            <w:pPr>
              <w:snapToGrid w:val="0"/>
              <w:spacing w:before="50" w:after="50" w:line="360" w:lineRule="auto"/>
              <w:rPr>
                <w:rFonts w:hint="eastAsia" w:ascii="宋体" w:hAnsi="宋体" w:cs="Times New Roman"/>
                <w:color w:val="auto"/>
                <w:sz w:val="24"/>
                <w:highlight w:val="none"/>
                <w:u w:val="single"/>
                <w:lang w:eastAsia="zh-CN"/>
              </w:rPr>
            </w:pPr>
            <w:r>
              <w:rPr>
                <w:rFonts w:hint="eastAsia" w:ascii="宋体" w:hAnsi="宋体" w:cs="Times New Roman"/>
                <w:color w:val="auto"/>
                <w:sz w:val="24"/>
                <w:highlight w:val="none"/>
                <w:u w:val="single"/>
                <w:lang w:eastAsia="zh-CN"/>
              </w:rPr>
              <w:t>③＝①×②/费率</w:t>
            </w:r>
          </w:p>
        </w:tc>
        <w:tc>
          <w:tcPr>
            <w:tcW w:w="957" w:type="dxa"/>
            <w:tcBorders>
              <w:top w:val="single" w:color="auto" w:sz="4" w:space="0"/>
              <w:left w:val="single" w:color="auto" w:sz="4" w:space="0"/>
              <w:bottom w:val="single" w:color="auto" w:sz="4" w:space="0"/>
              <w:right w:val="single" w:color="auto" w:sz="4" w:space="0"/>
            </w:tcBorders>
            <w:noWrap/>
            <w:vAlign w:val="top"/>
          </w:tcPr>
          <w:p w14:paraId="01A4630C">
            <w:pPr>
              <w:snapToGrid w:val="0"/>
              <w:spacing w:before="50" w:after="50" w:line="360" w:lineRule="auto"/>
              <w:rPr>
                <w:rFonts w:hint="eastAsia" w:ascii="宋体" w:hAnsi="宋体" w:cs="Times New Roman"/>
                <w:color w:val="auto"/>
                <w:sz w:val="24"/>
                <w:highlight w:val="none"/>
                <w:u w:val="single"/>
                <w:lang w:eastAsia="zh-CN"/>
              </w:rPr>
            </w:pPr>
            <w:r>
              <w:rPr>
                <w:rFonts w:hint="eastAsia" w:ascii="宋体" w:hAnsi="宋体" w:cs="Times New Roman"/>
                <w:color w:val="auto"/>
                <w:sz w:val="24"/>
                <w:highlight w:val="none"/>
                <w:u w:val="single"/>
                <w:lang w:eastAsia="zh-CN"/>
              </w:rPr>
              <w:t>服务要求（含服务期限）</w:t>
            </w:r>
          </w:p>
        </w:tc>
        <w:tc>
          <w:tcPr>
            <w:tcW w:w="674" w:type="dxa"/>
            <w:tcBorders>
              <w:top w:val="single" w:color="auto" w:sz="4" w:space="0"/>
              <w:left w:val="single" w:color="auto" w:sz="4" w:space="0"/>
              <w:bottom w:val="single" w:color="auto" w:sz="4" w:space="0"/>
              <w:right w:val="single" w:color="auto" w:sz="4" w:space="0"/>
            </w:tcBorders>
            <w:noWrap/>
            <w:vAlign w:val="center"/>
          </w:tcPr>
          <w:p w14:paraId="2B07C8C5">
            <w:pPr>
              <w:snapToGrid w:val="0"/>
              <w:spacing w:before="50" w:after="50" w:line="360" w:lineRule="auto"/>
              <w:rPr>
                <w:rFonts w:hint="eastAsia" w:ascii="宋体" w:hAnsi="宋体" w:cs="Times New Roman"/>
                <w:color w:val="auto"/>
                <w:sz w:val="24"/>
                <w:highlight w:val="none"/>
                <w:u w:val="single"/>
                <w:lang w:eastAsia="zh-CN"/>
              </w:rPr>
            </w:pPr>
            <w:r>
              <w:rPr>
                <w:rFonts w:hint="eastAsia" w:ascii="宋体" w:hAnsi="宋体" w:cs="Times New Roman"/>
                <w:color w:val="auto"/>
                <w:sz w:val="24"/>
                <w:highlight w:val="none"/>
                <w:u w:val="single"/>
                <w:lang w:eastAsia="zh-CN"/>
              </w:rPr>
              <w:t>备注</w:t>
            </w:r>
          </w:p>
        </w:tc>
      </w:tr>
      <w:tr w14:paraId="39395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718" w:type="dxa"/>
            <w:tcBorders>
              <w:top w:val="single" w:color="auto" w:sz="4" w:space="0"/>
              <w:left w:val="single" w:color="auto" w:sz="4" w:space="0"/>
              <w:bottom w:val="single" w:color="auto" w:sz="4" w:space="0"/>
              <w:right w:val="single" w:color="auto" w:sz="4" w:space="0"/>
            </w:tcBorders>
            <w:noWrap/>
            <w:vAlign w:val="center"/>
          </w:tcPr>
          <w:p w14:paraId="141A747F">
            <w:pPr>
              <w:snapToGrid w:val="0"/>
              <w:spacing w:before="50" w:after="50" w:line="360" w:lineRule="auto"/>
              <w:rPr>
                <w:rFonts w:hint="eastAsia" w:ascii="宋体" w:hAnsi="宋体" w:cs="Times New Roman"/>
                <w:color w:val="auto"/>
                <w:sz w:val="24"/>
                <w:highlight w:val="none"/>
                <w:u w:val="single"/>
                <w:lang w:eastAsia="zh-CN"/>
              </w:rPr>
            </w:pPr>
            <w:r>
              <w:rPr>
                <w:rFonts w:hint="eastAsia" w:ascii="宋体" w:hAnsi="宋体" w:cs="Times New Roman"/>
                <w:color w:val="auto"/>
                <w:sz w:val="24"/>
                <w:highlight w:val="none"/>
                <w:u w:val="single"/>
                <w:lang w:eastAsia="zh-CN"/>
              </w:rPr>
              <w:t>1</w:t>
            </w:r>
          </w:p>
        </w:tc>
        <w:tc>
          <w:tcPr>
            <w:tcW w:w="1259" w:type="dxa"/>
            <w:tcBorders>
              <w:top w:val="single" w:color="auto" w:sz="4" w:space="0"/>
              <w:left w:val="single" w:color="auto" w:sz="4" w:space="0"/>
              <w:bottom w:val="single" w:color="auto" w:sz="4" w:space="0"/>
              <w:right w:val="single" w:color="auto" w:sz="4" w:space="0"/>
            </w:tcBorders>
            <w:noWrap/>
            <w:vAlign w:val="center"/>
          </w:tcPr>
          <w:p w14:paraId="2EA3D515">
            <w:pPr>
              <w:snapToGrid w:val="0"/>
              <w:spacing w:before="50" w:after="50" w:line="360" w:lineRule="auto"/>
              <w:rPr>
                <w:rFonts w:hint="eastAsia" w:ascii="宋体" w:hAnsi="宋体" w:cs="Times New Roman"/>
                <w:color w:val="auto"/>
                <w:sz w:val="24"/>
                <w:highlight w:val="none"/>
                <w:u w:val="single"/>
                <w:lang w:eastAsia="zh-CN"/>
              </w:rPr>
            </w:pPr>
          </w:p>
        </w:tc>
        <w:tc>
          <w:tcPr>
            <w:tcW w:w="2063" w:type="dxa"/>
            <w:tcBorders>
              <w:top w:val="single" w:color="auto" w:sz="4" w:space="0"/>
              <w:left w:val="single" w:color="auto" w:sz="4" w:space="0"/>
              <w:bottom w:val="single" w:color="auto" w:sz="4" w:space="0"/>
              <w:right w:val="single" w:color="auto" w:sz="4" w:space="0"/>
            </w:tcBorders>
            <w:noWrap/>
            <w:vAlign w:val="center"/>
          </w:tcPr>
          <w:p w14:paraId="0EBBC216">
            <w:pPr>
              <w:snapToGrid w:val="0"/>
              <w:spacing w:before="50" w:after="50" w:line="360" w:lineRule="auto"/>
              <w:rPr>
                <w:rFonts w:hint="eastAsia" w:ascii="宋体" w:hAnsi="宋体" w:cs="Times New Roman"/>
                <w:color w:val="auto"/>
                <w:sz w:val="24"/>
                <w:highlight w:val="none"/>
                <w:u w:val="single"/>
                <w:lang w:eastAsia="zh-CN"/>
              </w:rPr>
            </w:pPr>
          </w:p>
        </w:tc>
        <w:tc>
          <w:tcPr>
            <w:tcW w:w="1080" w:type="dxa"/>
            <w:tcBorders>
              <w:top w:val="single" w:color="auto" w:sz="4" w:space="0"/>
              <w:left w:val="single" w:color="auto" w:sz="4" w:space="0"/>
              <w:bottom w:val="single" w:color="auto" w:sz="4" w:space="0"/>
              <w:right w:val="single" w:color="auto" w:sz="4" w:space="0"/>
            </w:tcBorders>
            <w:noWrap/>
            <w:vAlign w:val="center"/>
          </w:tcPr>
          <w:p w14:paraId="2C7AA5F9">
            <w:pPr>
              <w:snapToGrid w:val="0"/>
              <w:spacing w:before="50" w:after="50" w:line="360" w:lineRule="auto"/>
              <w:rPr>
                <w:rFonts w:hint="eastAsia" w:ascii="宋体" w:hAnsi="宋体" w:cs="Times New Roman"/>
                <w:color w:val="auto"/>
                <w:sz w:val="24"/>
                <w:highlight w:val="none"/>
                <w:u w:val="single"/>
                <w:lang w:eastAsia="zh-CN"/>
              </w:rPr>
            </w:pPr>
          </w:p>
        </w:tc>
        <w:tc>
          <w:tcPr>
            <w:tcW w:w="1260" w:type="dxa"/>
            <w:tcBorders>
              <w:top w:val="single" w:color="auto" w:sz="4" w:space="0"/>
              <w:left w:val="single" w:color="auto" w:sz="4" w:space="0"/>
              <w:bottom w:val="single" w:color="auto" w:sz="4" w:space="0"/>
              <w:right w:val="single" w:color="auto" w:sz="4" w:space="0"/>
            </w:tcBorders>
            <w:noWrap/>
            <w:vAlign w:val="center"/>
          </w:tcPr>
          <w:p w14:paraId="6A56CAA3">
            <w:pPr>
              <w:snapToGrid w:val="0"/>
              <w:spacing w:before="50" w:after="50" w:line="360" w:lineRule="auto"/>
              <w:rPr>
                <w:rFonts w:hint="eastAsia" w:ascii="宋体" w:hAnsi="宋体" w:cs="Times New Roman"/>
                <w:color w:val="auto"/>
                <w:sz w:val="24"/>
                <w:highlight w:val="none"/>
                <w:u w:val="single"/>
                <w:lang w:eastAsia="zh-CN"/>
              </w:rPr>
            </w:pPr>
          </w:p>
        </w:tc>
        <w:tc>
          <w:tcPr>
            <w:tcW w:w="1516" w:type="dxa"/>
            <w:tcBorders>
              <w:top w:val="single" w:color="auto" w:sz="4" w:space="0"/>
              <w:left w:val="single" w:color="auto" w:sz="4" w:space="0"/>
              <w:bottom w:val="single" w:color="auto" w:sz="4" w:space="0"/>
              <w:right w:val="single" w:color="auto" w:sz="4" w:space="0"/>
            </w:tcBorders>
            <w:noWrap/>
            <w:vAlign w:val="center"/>
          </w:tcPr>
          <w:p w14:paraId="2DCD23CB">
            <w:pPr>
              <w:snapToGrid w:val="0"/>
              <w:spacing w:before="50" w:after="50" w:line="360" w:lineRule="auto"/>
              <w:rPr>
                <w:rFonts w:hint="eastAsia" w:ascii="宋体" w:hAnsi="宋体" w:cs="Times New Roman"/>
                <w:color w:val="auto"/>
                <w:sz w:val="24"/>
                <w:highlight w:val="none"/>
                <w:u w:val="single"/>
                <w:lang w:eastAsia="zh-CN"/>
              </w:rPr>
            </w:pPr>
          </w:p>
        </w:tc>
        <w:tc>
          <w:tcPr>
            <w:tcW w:w="957" w:type="dxa"/>
            <w:tcBorders>
              <w:top w:val="single" w:color="auto" w:sz="4" w:space="0"/>
              <w:left w:val="single" w:color="auto" w:sz="4" w:space="0"/>
              <w:bottom w:val="single" w:color="auto" w:sz="4" w:space="0"/>
              <w:right w:val="single" w:color="auto" w:sz="4" w:space="0"/>
            </w:tcBorders>
            <w:noWrap/>
            <w:vAlign w:val="top"/>
          </w:tcPr>
          <w:p w14:paraId="622340C8">
            <w:pPr>
              <w:snapToGrid w:val="0"/>
              <w:spacing w:before="50" w:after="50" w:line="360" w:lineRule="auto"/>
              <w:rPr>
                <w:rFonts w:hint="eastAsia" w:ascii="宋体" w:hAnsi="宋体" w:cs="Times New Roman"/>
                <w:color w:val="auto"/>
                <w:sz w:val="24"/>
                <w:highlight w:val="none"/>
                <w:u w:val="single"/>
                <w:lang w:eastAsia="zh-CN"/>
              </w:rPr>
            </w:pPr>
          </w:p>
        </w:tc>
        <w:tc>
          <w:tcPr>
            <w:tcW w:w="674" w:type="dxa"/>
            <w:tcBorders>
              <w:top w:val="single" w:color="auto" w:sz="4" w:space="0"/>
              <w:left w:val="single" w:color="auto" w:sz="4" w:space="0"/>
              <w:bottom w:val="single" w:color="auto" w:sz="4" w:space="0"/>
              <w:right w:val="single" w:color="auto" w:sz="4" w:space="0"/>
            </w:tcBorders>
            <w:noWrap/>
            <w:vAlign w:val="center"/>
          </w:tcPr>
          <w:p w14:paraId="24924A15">
            <w:pPr>
              <w:snapToGrid w:val="0"/>
              <w:spacing w:before="50" w:after="50" w:line="360" w:lineRule="auto"/>
              <w:rPr>
                <w:rFonts w:hint="eastAsia" w:ascii="宋体" w:hAnsi="宋体" w:cs="Times New Roman"/>
                <w:color w:val="auto"/>
                <w:sz w:val="24"/>
                <w:highlight w:val="none"/>
                <w:u w:val="single"/>
                <w:lang w:eastAsia="zh-CN"/>
              </w:rPr>
            </w:pPr>
          </w:p>
        </w:tc>
      </w:tr>
      <w:tr w14:paraId="5207C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trPr>
        <w:tc>
          <w:tcPr>
            <w:tcW w:w="718" w:type="dxa"/>
            <w:tcBorders>
              <w:top w:val="single" w:color="auto" w:sz="4" w:space="0"/>
              <w:left w:val="single" w:color="auto" w:sz="4" w:space="0"/>
              <w:bottom w:val="single" w:color="auto" w:sz="4" w:space="0"/>
              <w:right w:val="single" w:color="auto" w:sz="4" w:space="0"/>
            </w:tcBorders>
            <w:noWrap/>
            <w:vAlign w:val="center"/>
          </w:tcPr>
          <w:p w14:paraId="04C68400">
            <w:pPr>
              <w:snapToGrid w:val="0"/>
              <w:spacing w:before="50" w:after="50" w:line="360" w:lineRule="auto"/>
              <w:rPr>
                <w:rFonts w:hint="eastAsia" w:ascii="宋体" w:hAnsi="宋体" w:cs="Times New Roman"/>
                <w:color w:val="auto"/>
                <w:sz w:val="24"/>
                <w:highlight w:val="none"/>
                <w:u w:val="single"/>
                <w:lang w:eastAsia="zh-CN"/>
              </w:rPr>
            </w:pPr>
            <w:r>
              <w:rPr>
                <w:rFonts w:hint="eastAsia" w:ascii="宋体" w:hAnsi="宋体" w:cs="Times New Roman"/>
                <w:color w:val="auto"/>
                <w:sz w:val="24"/>
                <w:highlight w:val="none"/>
                <w:u w:val="single"/>
                <w:lang w:eastAsia="zh-CN"/>
              </w:rPr>
              <w:t>2</w:t>
            </w:r>
          </w:p>
        </w:tc>
        <w:tc>
          <w:tcPr>
            <w:tcW w:w="1259" w:type="dxa"/>
            <w:tcBorders>
              <w:top w:val="single" w:color="auto" w:sz="4" w:space="0"/>
              <w:left w:val="single" w:color="auto" w:sz="4" w:space="0"/>
              <w:bottom w:val="single" w:color="auto" w:sz="4" w:space="0"/>
              <w:right w:val="single" w:color="auto" w:sz="4" w:space="0"/>
            </w:tcBorders>
            <w:noWrap/>
            <w:vAlign w:val="center"/>
          </w:tcPr>
          <w:p w14:paraId="0AAA764D">
            <w:pPr>
              <w:snapToGrid w:val="0"/>
              <w:spacing w:before="50" w:after="50" w:line="360" w:lineRule="auto"/>
              <w:rPr>
                <w:rFonts w:hint="eastAsia" w:ascii="宋体" w:hAnsi="宋体" w:cs="Times New Roman"/>
                <w:color w:val="auto"/>
                <w:sz w:val="24"/>
                <w:highlight w:val="none"/>
                <w:u w:val="single"/>
                <w:lang w:eastAsia="zh-CN"/>
              </w:rPr>
            </w:pPr>
          </w:p>
        </w:tc>
        <w:tc>
          <w:tcPr>
            <w:tcW w:w="2063" w:type="dxa"/>
            <w:tcBorders>
              <w:top w:val="single" w:color="auto" w:sz="4" w:space="0"/>
              <w:left w:val="single" w:color="auto" w:sz="4" w:space="0"/>
              <w:bottom w:val="single" w:color="auto" w:sz="4" w:space="0"/>
              <w:right w:val="single" w:color="auto" w:sz="4" w:space="0"/>
            </w:tcBorders>
            <w:noWrap/>
            <w:vAlign w:val="center"/>
          </w:tcPr>
          <w:p w14:paraId="2CD8C546">
            <w:pPr>
              <w:snapToGrid w:val="0"/>
              <w:spacing w:before="50" w:after="50" w:line="360" w:lineRule="auto"/>
              <w:rPr>
                <w:rFonts w:hint="eastAsia" w:ascii="宋体" w:hAnsi="宋体" w:cs="Times New Roman"/>
                <w:color w:val="auto"/>
                <w:sz w:val="24"/>
                <w:highlight w:val="none"/>
                <w:u w:val="single"/>
                <w:lang w:eastAsia="zh-CN"/>
              </w:rPr>
            </w:pPr>
          </w:p>
        </w:tc>
        <w:tc>
          <w:tcPr>
            <w:tcW w:w="1080" w:type="dxa"/>
            <w:tcBorders>
              <w:top w:val="single" w:color="auto" w:sz="4" w:space="0"/>
              <w:left w:val="single" w:color="auto" w:sz="4" w:space="0"/>
              <w:bottom w:val="single" w:color="auto" w:sz="4" w:space="0"/>
              <w:right w:val="single" w:color="auto" w:sz="4" w:space="0"/>
            </w:tcBorders>
            <w:noWrap/>
            <w:vAlign w:val="center"/>
          </w:tcPr>
          <w:p w14:paraId="004E6E8F">
            <w:pPr>
              <w:snapToGrid w:val="0"/>
              <w:spacing w:before="50" w:after="50" w:line="360" w:lineRule="auto"/>
              <w:rPr>
                <w:rFonts w:hint="eastAsia" w:ascii="宋体" w:hAnsi="宋体" w:cs="Times New Roman"/>
                <w:color w:val="auto"/>
                <w:sz w:val="24"/>
                <w:highlight w:val="none"/>
                <w:u w:val="single"/>
                <w:lang w:eastAsia="zh-CN"/>
              </w:rPr>
            </w:pPr>
          </w:p>
        </w:tc>
        <w:tc>
          <w:tcPr>
            <w:tcW w:w="1260" w:type="dxa"/>
            <w:tcBorders>
              <w:top w:val="single" w:color="auto" w:sz="4" w:space="0"/>
              <w:left w:val="single" w:color="auto" w:sz="4" w:space="0"/>
              <w:bottom w:val="single" w:color="auto" w:sz="4" w:space="0"/>
              <w:right w:val="single" w:color="auto" w:sz="4" w:space="0"/>
            </w:tcBorders>
            <w:noWrap/>
            <w:vAlign w:val="center"/>
          </w:tcPr>
          <w:p w14:paraId="25A8B727">
            <w:pPr>
              <w:snapToGrid w:val="0"/>
              <w:spacing w:before="50" w:after="50" w:line="360" w:lineRule="auto"/>
              <w:rPr>
                <w:rFonts w:hint="eastAsia" w:ascii="宋体" w:hAnsi="宋体" w:cs="Times New Roman"/>
                <w:color w:val="auto"/>
                <w:sz w:val="24"/>
                <w:highlight w:val="none"/>
                <w:u w:val="single"/>
                <w:lang w:eastAsia="zh-CN"/>
              </w:rPr>
            </w:pPr>
          </w:p>
        </w:tc>
        <w:tc>
          <w:tcPr>
            <w:tcW w:w="1516" w:type="dxa"/>
            <w:tcBorders>
              <w:top w:val="single" w:color="auto" w:sz="4" w:space="0"/>
              <w:left w:val="single" w:color="auto" w:sz="4" w:space="0"/>
              <w:bottom w:val="single" w:color="auto" w:sz="4" w:space="0"/>
              <w:right w:val="single" w:color="auto" w:sz="4" w:space="0"/>
            </w:tcBorders>
            <w:noWrap/>
            <w:vAlign w:val="center"/>
          </w:tcPr>
          <w:p w14:paraId="7AD36EF1">
            <w:pPr>
              <w:snapToGrid w:val="0"/>
              <w:spacing w:before="50" w:after="50" w:line="360" w:lineRule="auto"/>
              <w:rPr>
                <w:rFonts w:hint="eastAsia" w:ascii="宋体" w:hAnsi="宋体" w:cs="Times New Roman"/>
                <w:color w:val="auto"/>
                <w:sz w:val="24"/>
                <w:highlight w:val="none"/>
                <w:u w:val="single"/>
                <w:lang w:eastAsia="zh-CN"/>
              </w:rPr>
            </w:pPr>
          </w:p>
        </w:tc>
        <w:tc>
          <w:tcPr>
            <w:tcW w:w="957" w:type="dxa"/>
            <w:tcBorders>
              <w:top w:val="single" w:color="auto" w:sz="4" w:space="0"/>
              <w:left w:val="single" w:color="auto" w:sz="4" w:space="0"/>
              <w:bottom w:val="single" w:color="auto" w:sz="4" w:space="0"/>
              <w:right w:val="single" w:color="auto" w:sz="4" w:space="0"/>
            </w:tcBorders>
            <w:noWrap/>
            <w:vAlign w:val="top"/>
          </w:tcPr>
          <w:p w14:paraId="26A131DA">
            <w:pPr>
              <w:snapToGrid w:val="0"/>
              <w:spacing w:before="50" w:after="50" w:line="360" w:lineRule="auto"/>
              <w:rPr>
                <w:rFonts w:hint="eastAsia" w:ascii="宋体" w:hAnsi="宋体" w:cs="Times New Roman"/>
                <w:color w:val="auto"/>
                <w:sz w:val="24"/>
                <w:highlight w:val="none"/>
                <w:u w:val="single"/>
                <w:lang w:eastAsia="zh-CN"/>
              </w:rPr>
            </w:pPr>
          </w:p>
        </w:tc>
        <w:tc>
          <w:tcPr>
            <w:tcW w:w="674" w:type="dxa"/>
            <w:tcBorders>
              <w:top w:val="single" w:color="auto" w:sz="4" w:space="0"/>
              <w:left w:val="single" w:color="auto" w:sz="4" w:space="0"/>
              <w:bottom w:val="single" w:color="auto" w:sz="4" w:space="0"/>
              <w:right w:val="single" w:color="auto" w:sz="4" w:space="0"/>
            </w:tcBorders>
            <w:noWrap/>
            <w:vAlign w:val="center"/>
          </w:tcPr>
          <w:p w14:paraId="147721E4">
            <w:pPr>
              <w:snapToGrid w:val="0"/>
              <w:spacing w:before="50" w:after="50" w:line="360" w:lineRule="auto"/>
              <w:rPr>
                <w:rFonts w:hint="eastAsia" w:ascii="宋体" w:hAnsi="宋体" w:cs="Times New Roman"/>
                <w:color w:val="auto"/>
                <w:sz w:val="24"/>
                <w:highlight w:val="none"/>
                <w:u w:val="single"/>
                <w:lang w:eastAsia="zh-CN"/>
              </w:rPr>
            </w:pPr>
          </w:p>
        </w:tc>
      </w:tr>
      <w:tr w14:paraId="251EB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trPr>
        <w:tc>
          <w:tcPr>
            <w:tcW w:w="718" w:type="dxa"/>
            <w:tcBorders>
              <w:top w:val="single" w:color="auto" w:sz="4" w:space="0"/>
              <w:left w:val="single" w:color="auto" w:sz="4" w:space="0"/>
              <w:bottom w:val="single" w:color="auto" w:sz="4" w:space="0"/>
              <w:right w:val="single" w:color="auto" w:sz="4" w:space="0"/>
            </w:tcBorders>
            <w:noWrap/>
            <w:vAlign w:val="center"/>
          </w:tcPr>
          <w:p w14:paraId="297C37B1">
            <w:pPr>
              <w:snapToGrid w:val="0"/>
              <w:spacing w:before="50" w:after="50" w:line="360" w:lineRule="auto"/>
              <w:rPr>
                <w:rFonts w:hint="eastAsia" w:ascii="宋体" w:hAnsi="宋体" w:cs="Times New Roman"/>
                <w:color w:val="auto"/>
                <w:sz w:val="24"/>
                <w:highlight w:val="none"/>
                <w:u w:val="single"/>
                <w:lang w:eastAsia="zh-CN"/>
              </w:rPr>
            </w:pPr>
            <w:r>
              <w:rPr>
                <w:rFonts w:hint="eastAsia" w:ascii="宋体" w:hAnsi="宋体" w:cs="Times New Roman"/>
                <w:color w:val="auto"/>
                <w:sz w:val="24"/>
                <w:highlight w:val="none"/>
                <w:u w:val="single"/>
                <w:lang w:eastAsia="zh-CN"/>
              </w:rPr>
              <w:t>...</w:t>
            </w:r>
          </w:p>
        </w:tc>
        <w:tc>
          <w:tcPr>
            <w:tcW w:w="1259" w:type="dxa"/>
            <w:tcBorders>
              <w:top w:val="single" w:color="auto" w:sz="4" w:space="0"/>
              <w:left w:val="single" w:color="auto" w:sz="4" w:space="0"/>
              <w:bottom w:val="single" w:color="auto" w:sz="4" w:space="0"/>
              <w:right w:val="single" w:color="auto" w:sz="4" w:space="0"/>
            </w:tcBorders>
            <w:noWrap/>
            <w:vAlign w:val="center"/>
          </w:tcPr>
          <w:p w14:paraId="031E09F5">
            <w:pPr>
              <w:snapToGrid w:val="0"/>
              <w:spacing w:before="50" w:after="50" w:line="360" w:lineRule="auto"/>
              <w:rPr>
                <w:rFonts w:hint="eastAsia" w:ascii="宋体" w:hAnsi="宋体" w:cs="Times New Roman"/>
                <w:color w:val="auto"/>
                <w:sz w:val="24"/>
                <w:highlight w:val="none"/>
                <w:u w:val="single"/>
                <w:lang w:eastAsia="zh-CN"/>
              </w:rPr>
            </w:pPr>
          </w:p>
        </w:tc>
        <w:tc>
          <w:tcPr>
            <w:tcW w:w="2063" w:type="dxa"/>
            <w:tcBorders>
              <w:top w:val="single" w:color="auto" w:sz="4" w:space="0"/>
              <w:left w:val="single" w:color="auto" w:sz="4" w:space="0"/>
              <w:bottom w:val="single" w:color="auto" w:sz="4" w:space="0"/>
              <w:right w:val="single" w:color="auto" w:sz="4" w:space="0"/>
            </w:tcBorders>
            <w:noWrap/>
            <w:vAlign w:val="center"/>
          </w:tcPr>
          <w:p w14:paraId="01F0840E">
            <w:pPr>
              <w:snapToGrid w:val="0"/>
              <w:spacing w:before="50" w:after="50" w:line="360" w:lineRule="auto"/>
              <w:rPr>
                <w:rFonts w:hint="eastAsia" w:ascii="宋体" w:hAnsi="宋体" w:cs="Times New Roman"/>
                <w:color w:val="auto"/>
                <w:sz w:val="24"/>
                <w:highlight w:val="none"/>
                <w:u w:val="single"/>
                <w:lang w:eastAsia="zh-CN"/>
              </w:rPr>
            </w:pPr>
          </w:p>
        </w:tc>
        <w:tc>
          <w:tcPr>
            <w:tcW w:w="1080" w:type="dxa"/>
            <w:tcBorders>
              <w:top w:val="single" w:color="auto" w:sz="4" w:space="0"/>
              <w:left w:val="single" w:color="auto" w:sz="4" w:space="0"/>
              <w:bottom w:val="single" w:color="auto" w:sz="4" w:space="0"/>
              <w:right w:val="single" w:color="auto" w:sz="4" w:space="0"/>
            </w:tcBorders>
            <w:noWrap/>
            <w:vAlign w:val="center"/>
          </w:tcPr>
          <w:p w14:paraId="036CB698">
            <w:pPr>
              <w:snapToGrid w:val="0"/>
              <w:spacing w:before="50" w:after="50" w:line="360" w:lineRule="auto"/>
              <w:rPr>
                <w:rFonts w:hint="eastAsia" w:ascii="宋体" w:hAnsi="宋体" w:cs="Times New Roman"/>
                <w:color w:val="auto"/>
                <w:sz w:val="24"/>
                <w:highlight w:val="none"/>
                <w:u w:val="single"/>
                <w:lang w:eastAsia="zh-CN"/>
              </w:rPr>
            </w:pPr>
          </w:p>
        </w:tc>
        <w:tc>
          <w:tcPr>
            <w:tcW w:w="1260" w:type="dxa"/>
            <w:tcBorders>
              <w:top w:val="single" w:color="auto" w:sz="4" w:space="0"/>
              <w:left w:val="single" w:color="auto" w:sz="4" w:space="0"/>
              <w:bottom w:val="single" w:color="auto" w:sz="4" w:space="0"/>
              <w:right w:val="single" w:color="auto" w:sz="4" w:space="0"/>
            </w:tcBorders>
            <w:noWrap/>
            <w:vAlign w:val="center"/>
          </w:tcPr>
          <w:p w14:paraId="25C89EB5">
            <w:pPr>
              <w:snapToGrid w:val="0"/>
              <w:spacing w:before="50" w:after="50" w:line="360" w:lineRule="auto"/>
              <w:rPr>
                <w:rFonts w:hint="eastAsia" w:ascii="宋体" w:hAnsi="宋体" w:cs="Times New Roman"/>
                <w:color w:val="auto"/>
                <w:sz w:val="24"/>
                <w:highlight w:val="none"/>
                <w:u w:val="single"/>
                <w:lang w:eastAsia="zh-CN"/>
              </w:rPr>
            </w:pPr>
          </w:p>
        </w:tc>
        <w:tc>
          <w:tcPr>
            <w:tcW w:w="1516" w:type="dxa"/>
            <w:tcBorders>
              <w:top w:val="single" w:color="auto" w:sz="4" w:space="0"/>
              <w:left w:val="single" w:color="auto" w:sz="4" w:space="0"/>
              <w:bottom w:val="single" w:color="auto" w:sz="4" w:space="0"/>
              <w:right w:val="single" w:color="auto" w:sz="4" w:space="0"/>
            </w:tcBorders>
            <w:noWrap/>
            <w:vAlign w:val="center"/>
          </w:tcPr>
          <w:p w14:paraId="597017D0">
            <w:pPr>
              <w:snapToGrid w:val="0"/>
              <w:spacing w:before="50" w:after="50" w:line="360" w:lineRule="auto"/>
              <w:rPr>
                <w:rFonts w:hint="eastAsia" w:ascii="宋体" w:hAnsi="宋体" w:cs="Times New Roman"/>
                <w:color w:val="auto"/>
                <w:sz w:val="24"/>
                <w:highlight w:val="none"/>
                <w:u w:val="single"/>
                <w:lang w:eastAsia="zh-CN"/>
              </w:rPr>
            </w:pPr>
          </w:p>
        </w:tc>
        <w:tc>
          <w:tcPr>
            <w:tcW w:w="957" w:type="dxa"/>
            <w:tcBorders>
              <w:top w:val="single" w:color="auto" w:sz="4" w:space="0"/>
              <w:left w:val="single" w:color="auto" w:sz="4" w:space="0"/>
              <w:bottom w:val="single" w:color="auto" w:sz="4" w:space="0"/>
              <w:right w:val="single" w:color="auto" w:sz="4" w:space="0"/>
            </w:tcBorders>
            <w:noWrap/>
            <w:vAlign w:val="top"/>
          </w:tcPr>
          <w:p w14:paraId="13F2B1FD">
            <w:pPr>
              <w:snapToGrid w:val="0"/>
              <w:spacing w:before="50" w:after="50" w:line="360" w:lineRule="auto"/>
              <w:rPr>
                <w:rFonts w:hint="eastAsia" w:ascii="宋体" w:hAnsi="宋体" w:cs="Times New Roman"/>
                <w:color w:val="auto"/>
                <w:sz w:val="24"/>
                <w:highlight w:val="none"/>
                <w:u w:val="single"/>
                <w:lang w:eastAsia="zh-CN"/>
              </w:rPr>
            </w:pPr>
          </w:p>
        </w:tc>
        <w:tc>
          <w:tcPr>
            <w:tcW w:w="674" w:type="dxa"/>
            <w:tcBorders>
              <w:top w:val="single" w:color="auto" w:sz="4" w:space="0"/>
              <w:left w:val="single" w:color="auto" w:sz="4" w:space="0"/>
              <w:bottom w:val="single" w:color="auto" w:sz="4" w:space="0"/>
              <w:right w:val="single" w:color="auto" w:sz="4" w:space="0"/>
            </w:tcBorders>
            <w:noWrap/>
            <w:vAlign w:val="center"/>
          </w:tcPr>
          <w:p w14:paraId="7D86B534">
            <w:pPr>
              <w:snapToGrid w:val="0"/>
              <w:spacing w:before="50" w:after="50" w:line="360" w:lineRule="auto"/>
              <w:rPr>
                <w:rFonts w:hint="eastAsia" w:ascii="宋体" w:hAnsi="宋体" w:cs="Times New Roman"/>
                <w:color w:val="auto"/>
                <w:sz w:val="24"/>
                <w:highlight w:val="none"/>
                <w:u w:val="single"/>
                <w:lang w:eastAsia="zh-CN"/>
              </w:rPr>
            </w:pPr>
          </w:p>
        </w:tc>
      </w:tr>
      <w:tr w14:paraId="12501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527" w:type="dxa"/>
            <w:gridSpan w:val="8"/>
            <w:tcBorders>
              <w:top w:val="single" w:color="auto" w:sz="4" w:space="0"/>
              <w:left w:val="single" w:color="auto" w:sz="4" w:space="0"/>
              <w:bottom w:val="single" w:color="auto" w:sz="4" w:space="0"/>
              <w:right w:val="single" w:color="auto" w:sz="4" w:space="0"/>
            </w:tcBorders>
            <w:noWrap/>
            <w:vAlign w:val="top"/>
          </w:tcPr>
          <w:p w14:paraId="7565DAF1">
            <w:pPr>
              <w:snapToGrid w:val="0"/>
              <w:spacing w:before="50" w:after="50" w:line="360" w:lineRule="auto"/>
              <w:rPr>
                <w:rFonts w:hint="eastAsia" w:ascii="宋体" w:hAnsi="宋体" w:cs="Times New Roman"/>
                <w:color w:val="auto"/>
                <w:sz w:val="24"/>
                <w:highlight w:val="none"/>
                <w:u w:val="single"/>
                <w:lang w:eastAsia="zh-CN"/>
              </w:rPr>
            </w:pPr>
            <w:r>
              <w:rPr>
                <w:rFonts w:hint="eastAsia" w:ascii="宋体" w:hAnsi="宋体" w:cs="Times New Roman"/>
                <w:color w:val="auto"/>
                <w:sz w:val="24"/>
                <w:highlight w:val="none"/>
                <w:u w:val="single"/>
                <w:lang w:eastAsia="zh-CN"/>
              </w:rPr>
              <w:t>报价合计（包含税费等所有费用）：（大写）人民币                                       （￥                元）</w:t>
            </w:r>
          </w:p>
        </w:tc>
      </w:tr>
      <w:tr w14:paraId="0F4FF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527" w:type="dxa"/>
            <w:gridSpan w:val="8"/>
            <w:tcBorders>
              <w:top w:val="single" w:color="auto" w:sz="4" w:space="0"/>
              <w:left w:val="single" w:color="auto" w:sz="4" w:space="0"/>
              <w:bottom w:val="single" w:color="auto" w:sz="4" w:space="0"/>
              <w:right w:val="single" w:color="auto" w:sz="4" w:space="0"/>
            </w:tcBorders>
            <w:noWrap/>
            <w:vAlign w:val="top"/>
          </w:tcPr>
          <w:p w14:paraId="748BA62C">
            <w:pPr>
              <w:snapToGrid w:val="0"/>
              <w:spacing w:before="50" w:after="50" w:line="360" w:lineRule="auto"/>
              <w:rPr>
                <w:rFonts w:hint="eastAsia" w:ascii="宋体" w:hAnsi="宋体" w:cs="Times New Roman"/>
                <w:color w:val="auto"/>
                <w:sz w:val="24"/>
                <w:highlight w:val="none"/>
                <w:u w:val="single"/>
                <w:lang w:eastAsia="zh-CN"/>
              </w:rPr>
            </w:pPr>
            <w:r>
              <w:rPr>
                <w:rFonts w:hint="eastAsia" w:ascii="宋体" w:hAnsi="宋体" w:cs="Times New Roman"/>
                <w:color w:val="auto"/>
                <w:sz w:val="24"/>
                <w:highlight w:val="none"/>
                <w:u w:val="single"/>
                <w:lang w:eastAsia="zh-CN"/>
              </w:rPr>
              <w:t>　　分标（此处有分标时填写具体分标号，无分标时填写“无”）</w:t>
            </w:r>
          </w:p>
        </w:tc>
      </w:tr>
      <w:tr w14:paraId="5B0C4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527" w:type="dxa"/>
            <w:gridSpan w:val="8"/>
            <w:tcBorders>
              <w:top w:val="single" w:color="auto" w:sz="4" w:space="0"/>
              <w:left w:val="single" w:color="auto" w:sz="4" w:space="0"/>
              <w:bottom w:val="single" w:color="auto" w:sz="4" w:space="0"/>
              <w:right w:val="single" w:color="auto" w:sz="4" w:space="0"/>
            </w:tcBorders>
            <w:noWrap/>
            <w:vAlign w:val="top"/>
          </w:tcPr>
          <w:p w14:paraId="1CC56335">
            <w:pPr>
              <w:snapToGrid w:val="0"/>
              <w:spacing w:before="50" w:after="50" w:line="360" w:lineRule="auto"/>
              <w:rPr>
                <w:rFonts w:hint="eastAsia" w:ascii="宋体" w:hAnsi="宋体" w:cs="Times New Roman"/>
                <w:color w:val="auto"/>
                <w:sz w:val="24"/>
                <w:highlight w:val="none"/>
                <w:u w:val="single"/>
                <w:lang w:eastAsia="zh-CN"/>
              </w:rPr>
            </w:pPr>
            <w:r>
              <w:rPr>
                <w:rFonts w:hint="eastAsia" w:ascii="宋体" w:hAnsi="宋体" w:cs="Times New Roman"/>
                <w:color w:val="auto"/>
                <w:sz w:val="24"/>
                <w:highlight w:val="none"/>
                <w:u w:val="single"/>
                <w:lang w:eastAsia="zh-CN"/>
              </w:rPr>
              <w:t>验收标准：</w:t>
            </w:r>
          </w:p>
        </w:tc>
      </w:tr>
      <w:tr w14:paraId="38A8F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527" w:type="dxa"/>
            <w:gridSpan w:val="8"/>
            <w:tcBorders>
              <w:top w:val="single" w:color="auto" w:sz="4" w:space="0"/>
              <w:left w:val="single" w:color="auto" w:sz="4" w:space="0"/>
              <w:bottom w:val="single" w:color="auto" w:sz="4" w:space="0"/>
              <w:right w:val="single" w:color="auto" w:sz="4" w:space="0"/>
            </w:tcBorders>
            <w:noWrap/>
            <w:vAlign w:val="top"/>
          </w:tcPr>
          <w:p w14:paraId="6D15D82A">
            <w:pPr>
              <w:snapToGrid w:val="0"/>
              <w:spacing w:before="50" w:after="50" w:line="360" w:lineRule="auto"/>
              <w:rPr>
                <w:rFonts w:hint="eastAsia" w:ascii="宋体" w:hAnsi="宋体" w:cs="Times New Roman"/>
                <w:color w:val="auto"/>
                <w:sz w:val="24"/>
                <w:highlight w:val="none"/>
                <w:u w:val="single"/>
                <w:lang w:eastAsia="zh-CN"/>
              </w:rPr>
            </w:pPr>
            <w:r>
              <w:rPr>
                <w:rFonts w:hint="eastAsia" w:ascii="宋体" w:hAnsi="宋体" w:cs="Times New Roman"/>
                <w:color w:val="auto"/>
                <w:sz w:val="24"/>
                <w:highlight w:val="none"/>
                <w:u w:val="single"/>
                <w:lang w:eastAsia="zh-CN"/>
              </w:rPr>
              <w:t>优惠及其它：</w:t>
            </w:r>
          </w:p>
        </w:tc>
      </w:tr>
    </w:tbl>
    <w:p w14:paraId="5730C193">
      <w:pPr>
        <w:snapToGrid w:val="0"/>
        <w:spacing w:before="50" w:after="50"/>
        <w:ind w:firstLine="480" w:firstLineChars="200"/>
        <w:jc w:val="left"/>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 xml:space="preserve">注： </w:t>
      </w:r>
    </w:p>
    <w:p w14:paraId="3A8995B8">
      <w:pPr>
        <w:snapToGrid w:val="0"/>
        <w:spacing w:before="50" w:after="50"/>
        <w:ind w:firstLine="480" w:firstLineChars="200"/>
        <w:jc w:val="left"/>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1、 供应商需按本表格式填写，不得自行更改，也不得留空, 如有多标项，按标项分别提供响应报价表</w:t>
      </w:r>
      <w:r>
        <w:rPr>
          <w:rFonts w:hint="eastAsia" w:ascii="仿宋_GB2312" w:hAnsi="仿宋" w:eastAsia="仿宋_GB2312" w:cs="仿宋_GB2312"/>
          <w:b/>
          <w:color w:val="auto"/>
          <w:kern w:val="0"/>
          <w:sz w:val="24"/>
          <w:highlight w:val="none"/>
          <w:lang w:val="zh-CN"/>
        </w:rPr>
        <w:t>。</w:t>
      </w:r>
    </w:p>
    <w:p w14:paraId="0188AFDF">
      <w:pPr>
        <w:snapToGrid w:val="0"/>
        <w:spacing w:before="50" w:after="50"/>
        <w:ind w:firstLine="480" w:firstLineChars="200"/>
        <w:jc w:val="left"/>
        <w:rPr>
          <w:rFonts w:ascii="仿宋_GB2312" w:hAnsi="仿宋" w:eastAsia="仿宋_GB2312" w:cs="仿宋_GB2312"/>
          <w:b/>
          <w:color w:val="auto"/>
          <w:kern w:val="0"/>
          <w:sz w:val="24"/>
          <w:highlight w:val="none"/>
          <w:lang w:val="zh-CN"/>
        </w:rPr>
      </w:pPr>
      <w:r>
        <w:rPr>
          <w:rFonts w:hint="eastAsia" w:ascii="仿宋_GB2312" w:hAnsi="仿宋" w:eastAsia="仿宋_GB2312" w:cs="仿宋_GB2312"/>
          <w:color w:val="auto"/>
          <w:kern w:val="0"/>
          <w:sz w:val="24"/>
          <w:highlight w:val="none"/>
          <w:lang w:val="zh-CN"/>
        </w:rPr>
        <w:t>2、如为联合体响应的，“供应商名称”处必须列明联合体各方名称，并标注联合体牵头人名称，且盖章处须加盖联合体各方公章</w:t>
      </w:r>
      <w:r>
        <w:rPr>
          <w:rFonts w:hint="eastAsia" w:ascii="仿宋_GB2312" w:hAnsi="仿宋" w:eastAsia="仿宋_GB2312" w:cs="仿宋_GB2312"/>
          <w:b/>
          <w:color w:val="auto"/>
          <w:kern w:val="0"/>
          <w:sz w:val="24"/>
          <w:highlight w:val="none"/>
          <w:lang w:val="zh-CN"/>
        </w:rPr>
        <w:t>。</w:t>
      </w:r>
    </w:p>
    <w:p w14:paraId="283A8D5B">
      <w:pPr>
        <w:snapToGrid w:val="0"/>
        <w:spacing w:before="50" w:after="50"/>
        <w:ind w:firstLine="480" w:firstLineChars="200"/>
        <w:jc w:val="left"/>
        <w:rPr>
          <w:rFonts w:ascii="仿宋_GB2312" w:hAnsi="仿宋" w:eastAsia="仿宋_GB2312" w:cs="仿宋_GB2312"/>
          <w:b/>
          <w:color w:val="auto"/>
          <w:kern w:val="0"/>
          <w:sz w:val="24"/>
          <w:highlight w:val="none"/>
          <w:lang w:val="zh-CN"/>
        </w:rPr>
      </w:pPr>
      <w:r>
        <w:rPr>
          <w:rFonts w:hint="eastAsia" w:ascii="仿宋_GB2312" w:hAnsi="仿宋" w:eastAsia="仿宋_GB2312" w:cs="仿宋_GB2312"/>
          <w:color w:val="auto"/>
          <w:kern w:val="0"/>
          <w:sz w:val="24"/>
          <w:highlight w:val="none"/>
          <w:lang w:val="zh-CN"/>
        </w:rPr>
        <w:t>3、以上表格要求细分项目及报价</w:t>
      </w:r>
      <w:r>
        <w:rPr>
          <w:rFonts w:hint="eastAsia" w:ascii="仿宋_GB2312" w:hAnsi="仿宋" w:eastAsia="仿宋_GB2312" w:cs="仿宋_GB2312"/>
          <w:b/>
          <w:color w:val="auto"/>
          <w:kern w:val="0"/>
          <w:sz w:val="24"/>
          <w:highlight w:val="none"/>
          <w:lang w:val="zh-CN"/>
        </w:rPr>
        <w:t>。</w:t>
      </w:r>
    </w:p>
    <w:p w14:paraId="01A2C916">
      <w:pPr>
        <w:snapToGrid w:val="0"/>
        <w:ind w:firstLine="480" w:firstLineChars="200"/>
        <w:jc w:val="left"/>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4、特别提示：采购机构将对项目名称和项目编号，成交供应商名称、地址和成交金额，主要成交标的的名称、服务范围、服务要求、服务时间、服务标准等予以公示。</w:t>
      </w:r>
    </w:p>
    <w:p w14:paraId="2F8F460D">
      <w:pPr>
        <w:snapToGrid w:val="0"/>
        <w:ind w:firstLine="480" w:firstLineChars="200"/>
        <w:jc w:val="left"/>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szCs w:val="22"/>
          <w:highlight w:val="none"/>
          <w:lang w:val="zh-CN"/>
        </w:rPr>
        <w:t>5、</w:t>
      </w:r>
      <w:r>
        <w:rPr>
          <w:rFonts w:hint="eastAsia" w:ascii="仿宋_GB2312" w:hAnsi="仿宋" w:eastAsia="仿宋_GB2312" w:cs="仿宋_GB2312"/>
          <w:color w:val="auto"/>
          <w:kern w:val="0"/>
          <w:sz w:val="24"/>
          <w:highlight w:val="none"/>
          <w:lang w:val="zh-CN"/>
        </w:rPr>
        <w:t>符合采购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14:paraId="76B47698">
      <w:pPr>
        <w:autoSpaceDE w:val="0"/>
        <w:autoSpaceDN w:val="0"/>
        <w:spacing w:line="360" w:lineRule="auto"/>
        <w:ind w:left="4335" w:leftChars="1950" w:hanging="240" w:hangingChars="10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520A15D6">
      <w:pPr>
        <w:widowControl/>
        <w:spacing w:line="360" w:lineRule="auto"/>
        <w:jc w:val="right"/>
        <w:rPr>
          <w:rFonts w:ascii="宋体" w:hAnsi="宋体"/>
          <w:b/>
          <w:bCs/>
          <w:color w:val="auto"/>
          <w:sz w:val="32"/>
          <w:szCs w:val="32"/>
          <w:highlight w:val="none"/>
        </w:rPr>
        <w:sectPr>
          <w:pgSz w:w="11911" w:h="16838"/>
          <w:pgMar w:top="1417" w:right="1417" w:bottom="1417" w:left="1417" w:header="720" w:footer="720" w:gutter="0"/>
          <w:cols w:space="0" w:num="1"/>
        </w:sectPr>
      </w:pPr>
      <w:r>
        <w:rPr>
          <w:rFonts w:hint="eastAsia" w:ascii="仿宋_GB2312" w:hAnsi="仿宋" w:eastAsia="仿宋_GB2312" w:cs="仿宋_GB2312"/>
          <w:color w:val="auto"/>
          <w:sz w:val="24"/>
          <w:highlight w:val="none"/>
          <w:lang w:val="zh-CN"/>
        </w:rPr>
        <w:t>日期：  年  月   日</w:t>
      </w:r>
    </w:p>
    <w:p w14:paraId="0D34CF9C">
      <w:pPr>
        <w:pStyle w:val="3"/>
        <w:jc w:val="center"/>
        <w:rPr>
          <w:rFonts w:ascii="宋体" w:hAnsi="宋体" w:cs="宋体"/>
          <w:b w:val="0"/>
          <w:color w:val="auto"/>
          <w:highlight w:val="none"/>
        </w:rPr>
      </w:pPr>
      <w:bookmarkStart w:id="77" w:name="_Toc31723070"/>
      <w:bookmarkEnd w:id="77"/>
      <w:bookmarkStart w:id="78" w:name="_Toc35611438"/>
      <w:bookmarkEnd w:id="78"/>
      <w:bookmarkStart w:id="79" w:name="_Toc31728084"/>
      <w:bookmarkEnd w:id="79"/>
      <w:bookmarkStart w:id="80" w:name="_Toc35611516"/>
      <w:bookmarkEnd w:id="80"/>
      <w:bookmarkStart w:id="81" w:name="_Toc44229899"/>
      <w:bookmarkEnd w:id="81"/>
      <w:bookmarkStart w:id="82" w:name="_Toc80205942"/>
      <w:bookmarkStart w:id="83" w:name="_Toc21156"/>
      <w:r>
        <w:rPr>
          <w:rFonts w:hint="eastAsia" w:ascii="宋体" w:hAnsi="宋体"/>
          <w:color w:val="auto"/>
          <w:highlight w:val="none"/>
        </w:rPr>
        <w:t>第五节 其他文书、文件格式</w:t>
      </w:r>
      <w:bookmarkEnd w:id="82"/>
      <w:bookmarkEnd w:id="83"/>
    </w:p>
    <w:p w14:paraId="6A0059DC">
      <w:pPr>
        <w:jc w:val="center"/>
        <w:rPr>
          <w:rFonts w:ascii="宋体" w:hAnsi="宋体" w:cs="宋体"/>
          <w:b/>
          <w:bCs/>
          <w:color w:val="auto"/>
          <w:sz w:val="32"/>
          <w:szCs w:val="32"/>
          <w:highlight w:val="none"/>
          <w:lang w:val="en"/>
        </w:rPr>
      </w:pPr>
      <w:r>
        <w:rPr>
          <w:rFonts w:hint="eastAsia" w:ascii="宋体" w:hAnsi="宋体" w:cs="宋体"/>
          <w:b/>
          <w:bCs/>
          <w:color w:val="auto"/>
          <w:sz w:val="32"/>
          <w:szCs w:val="32"/>
          <w:highlight w:val="none"/>
          <w:lang w:val="en"/>
        </w:rPr>
        <w:t>知识产权合规性声明</w:t>
      </w:r>
    </w:p>
    <w:p w14:paraId="456D15CA">
      <w:pPr>
        <w:rPr>
          <w:rFonts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 xml:space="preserve">    </w:t>
      </w:r>
    </w:p>
    <w:p w14:paraId="6A3FDBD3">
      <w:pPr>
        <w:rPr>
          <w:rFonts w:ascii="仿宋_GB2312" w:hAnsi="仿宋_GB2312" w:eastAsia="仿宋_GB2312" w:cs="仿宋_GB2312"/>
          <w:color w:val="auto"/>
          <w:sz w:val="30"/>
          <w:szCs w:val="30"/>
          <w:highlight w:val="none"/>
          <w:lang w:val="en"/>
        </w:rPr>
      </w:pPr>
      <w:r>
        <w:rPr>
          <w:rFonts w:hint="eastAsia" w:ascii="仿宋_GB2312" w:hAnsi="仿宋_GB2312" w:eastAsia="仿宋_GB2312" w:cs="仿宋_GB2312"/>
          <w:color w:val="auto"/>
          <w:sz w:val="30"/>
          <w:szCs w:val="30"/>
          <w:highlight w:val="none"/>
        </w:rPr>
        <w:t xml:space="preserve">    本</w:t>
      </w:r>
      <w:r>
        <w:rPr>
          <w:rFonts w:hint="eastAsia" w:ascii="仿宋_GB2312" w:hAnsi="仿宋_GB2312" w:eastAsia="仿宋_GB2312" w:cs="仿宋_GB2312"/>
          <w:color w:val="auto"/>
          <w:sz w:val="30"/>
          <w:szCs w:val="30"/>
          <w:highlight w:val="none"/>
          <w:lang w:val="en"/>
        </w:rPr>
        <w:t>企业（单位）自愿参与政府投资政府采购的</w:t>
      </w:r>
      <w:r>
        <w:rPr>
          <w:rFonts w:hint="eastAsia" w:ascii="仿宋_GB2312" w:hAnsi="仿宋_GB2312" w:eastAsia="仿宋_GB2312" w:cs="仿宋_GB2312"/>
          <w:color w:val="auto"/>
          <w:sz w:val="30"/>
          <w:szCs w:val="30"/>
          <w:highlight w:val="none"/>
          <w:u w:val="single"/>
          <w:lang w:val="en" w:eastAsia="zh-CN"/>
        </w:rPr>
        <w:t>南宁市青年人才驿站</w:t>
      </w:r>
      <w:r>
        <w:rPr>
          <w:rFonts w:hint="eastAsia" w:ascii="仿宋_GB2312" w:hAnsi="仿宋_GB2312" w:eastAsia="仿宋_GB2312" w:cs="仿宋_GB2312"/>
          <w:color w:val="auto"/>
          <w:sz w:val="30"/>
          <w:szCs w:val="30"/>
          <w:highlight w:val="none"/>
          <w:lang w:val="en"/>
        </w:rPr>
        <w:t>，</w:t>
      </w:r>
      <w:r>
        <w:rPr>
          <w:rFonts w:hint="eastAsia" w:ascii="仿宋_GB2312" w:hAnsi="仿宋_GB2312" w:eastAsia="仿宋_GB2312" w:cs="仿宋_GB2312"/>
          <w:b/>
          <w:bCs/>
          <w:color w:val="auto"/>
          <w:sz w:val="30"/>
          <w:szCs w:val="30"/>
          <w:highlight w:val="none"/>
          <w:lang w:val="en"/>
        </w:rPr>
        <w:t>在此郑重承诺：</w:t>
      </w:r>
      <w:r>
        <w:rPr>
          <w:rFonts w:hint="eastAsia" w:ascii="仿宋_GB2312" w:hAnsi="仿宋_GB2312" w:eastAsia="仿宋_GB2312" w:cs="仿宋_GB2312"/>
          <w:color w:val="auto"/>
          <w:sz w:val="30"/>
          <w:szCs w:val="30"/>
          <w:highlight w:val="none"/>
          <w:lang w:val="en"/>
        </w:rPr>
        <w:t>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w:t>
      </w:r>
      <w:r>
        <w:rPr>
          <w:rFonts w:hint="eastAsia" w:ascii="仿宋_GB2312" w:hAnsi="仿宋_GB2312" w:eastAsia="仿宋_GB2312" w:cs="仿宋_GB2312"/>
          <w:color w:val="auto"/>
          <w:sz w:val="30"/>
          <w:szCs w:val="30"/>
          <w:highlight w:val="none"/>
        </w:rPr>
        <w:t>单位</w:t>
      </w:r>
      <w:r>
        <w:rPr>
          <w:rFonts w:hint="eastAsia" w:ascii="仿宋_GB2312" w:hAnsi="仿宋_GB2312" w:eastAsia="仿宋_GB2312" w:cs="仿宋_GB2312"/>
          <w:color w:val="auto"/>
          <w:sz w:val="30"/>
          <w:szCs w:val="30"/>
          <w:highlight w:val="none"/>
          <w:lang w:val="en"/>
        </w:rPr>
        <w:t>）将承担由此产生的全部责任。</w:t>
      </w:r>
    </w:p>
    <w:p w14:paraId="53CB1972">
      <w:pPr>
        <w:snapToGrid w:val="0"/>
        <w:spacing w:line="360" w:lineRule="auto"/>
        <w:ind w:left="5137" w:leftChars="1736" w:hanging="1491" w:hangingChars="825"/>
        <w:rPr>
          <w:b/>
          <w:color w:val="auto"/>
          <w:sz w:val="18"/>
          <w:szCs w:val="18"/>
          <w:highlight w:val="none"/>
        </w:rPr>
      </w:pPr>
      <w:r>
        <w:rPr>
          <w:b/>
          <w:color w:val="auto"/>
          <w:sz w:val="18"/>
          <w:szCs w:val="18"/>
          <w:highlight w:val="none"/>
        </w:rPr>
        <w:t xml:space="preserve">           </w:t>
      </w:r>
    </w:p>
    <w:p w14:paraId="2DFCDCA3">
      <w:pPr>
        <w:snapToGrid w:val="0"/>
        <w:spacing w:line="360" w:lineRule="auto"/>
        <w:ind w:left="5137" w:leftChars="1736" w:hanging="1491" w:hangingChars="825"/>
        <w:rPr>
          <w:b/>
          <w:color w:val="auto"/>
          <w:sz w:val="18"/>
          <w:szCs w:val="18"/>
          <w:highlight w:val="none"/>
        </w:rPr>
      </w:pPr>
    </w:p>
    <w:p w14:paraId="725F37D4">
      <w:pPr>
        <w:snapToGrid w:val="0"/>
        <w:spacing w:line="360" w:lineRule="auto"/>
        <w:ind w:left="5137" w:leftChars="1736" w:hanging="1491" w:hangingChars="825"/>
        <w:rPr>
          <w:b/>
          <w:color w:val="auto"/>
          <w:sz w:val="18"/>
          <w:szCs w:val="18"/>
          <w:highlight w:val="none"/>
        </w:rPr>
      </w:pPr>
    </w:p>
    <w:p w14:paraId="5C2EF933">
      <w:pPr>
        <w:snapToGrid w:val="0"/>
        <w:spacing w:line="360" w:lineRule="auto"/>
        <w:ind w:left="5137" w:leftChars="1736" w:hanging="1491" w:hangingChars="825"/>
        <w:rPr>
          <w:b/>
          <w:color w:val="auto"/>
          <w:sz w:val="18"/>
          <w:szCs w:val="18"/>
          <w:highlight w:val="none"/>
        </w:rPr>
      </w:pPr>
    </w:p>
    <w:p w14:paraId="6EC92048">
      <w:pPr>
        <w:snapToGrid w:val="0"/>
        <w:spacing w:line="360" w:lineRule="auto"/>
        <w:ind w:left="5137" w:leftChars="1736" w:hanging="1491" w:hangingChars="825"/>
        <w:rPr>
          <w:rFonts w:ascii="仿宋_GB2312" w:hAnsi="仿宋" w:eastAsia="仿宋_GB2312" w:cs="仿宋_GB2312"/>
          <w:color w:val="auto"/>
          <w:kern w:val="0"/>
          <w:sz w:val="24"/>
          <w:highlight w:val="none"/>
        </w:rPr>
      </w:pPr>
      <w:r>
        <w:rPr>
          <w:b/>
          <w:color w:val="auto"/>
          <w:sz w:val="18"/>
          <w:szCs w:val="18"/>
          <w:highlight w:val="none"/>
        </w:rPr>
        <w:t xml:space="preserve">      </w:t>
      </w:r>
      <w:r>
        <w:rPr>
          <w:rFonts w:hint="eastAsia" w:ascii="仿宋_GB2312" w:hAnsi="仿宋" w:eastAsia="仿宋_GB2312" w:cs="仿宋_GB2312"/>
          <w:color w:val="auto"/>
          <w:kern w:val="0"/>
          <w:sz w:val="24"/>
          <w:highlight w:val="none"/>
          <w:lang w:val="zh-CN"/>
        </w:rPr>
        <w:t>供应商名称(电子签章)：</w:t>
      </w:r>
    </w:p>
    <w:p w14:paraId="4F14BAA4">
      <w:pPr>
        <w:snapToGrid w:val="0"/>
        <w:spacing w:line="360" w:lineRule="auto"/>
        <w:ind w:firstLine="5160" w:firstLineChars="215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w:t>
      </w:r>
      <w:r>
        <w:rPr>
          <w:rFonts w:hint="eastAsia"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w:t>
      </w:r>
    </w:p>
    <w:p w14:paraId="054AAC4C">
      <w:pPr>
        <w:widowControl/>
        <w:jc w:val="left"/>
        <w:rPr>
          <w:rFonts w:ascii="宋体" w:hAnsi="宋体" w:cs="仿宋_GB2312"/>
          <w:color w:val="auto"/>
          <w:sz w:val="24"/>
          <w:highlight w:val="none"/>
        </w:rPr>
        <w:sectPr>
          <w:pgSz w:w="11911" w:h="16838"/>
          <w:pgMar w:top="1417" w:right="1417" w:bottom="1417" w:left="1417" w:header="720" w:footer="720" w:gutter="0"/>
          <w:cols w:space="0" w:num="1"/>
          <w:docGrid w:linePitch="331" w:charSpace="0"/>
        </w:sectPr>
      </w:pPr>
    </w:p>
    <w:p w14:paraId="3F86BFC9">
      <w:pPr>
        <w:pStyle w:val="13"/>
        <w:jc w:val="center"/>
        <w:rPr>
          <w:rFonts w:hint="default" w:ascii="Times New Roman" w:hAnsi="Times New Roman"/>
          <w:b/>
          <w:color w:val="auto"/>
          <w:sz w:val="30"/>
          <w:szCs w:val="30"/>
          <w:highlight w:val="none"/>
        </w:rPr>
      </w:pPr>
      <w:r>
        <w:rPr>
          <w:rFonts w:ascii="Times New Roman" w:hAnsi="Times New Roman"/>
          <w:b/>
          <w:color w:val="auto"/>
          <w:sz w:val="30"/>
          <w:szCs w:val="30"/>
          <w:highlight w:val="none"/>
        </w:rPr>
        <w:t>中小企业声明函</w:t>
      </w:r>
    </w:p>
    <w:p w14:paraId="7680EA7A">
      <w:pPr>
        <w:spacing w:line="300" w:lineRule="auto"/>
        <w:ind w:firstLine="2200" w:firstLineChars="500"/>
        <w:rPr>
          <w:rFonts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中小企业声明函（服务）</w:t>
      </w:r>
    </w:p>
    <w:p w14:paraId="6692C265">
      <w:pPr>
        <w:spacing w:line="360" w:lineRule="auto"/>
        <w:ind w:firstLine="420"/>
        <w:rPr>
          <w:rFonts w:ascii="仿宋" w:hAnsi="仿宋" w:eastAsia="仿宋" w:cs="仿宋"/>
          <w:bCs/>
          <w:color w:val="auto"/>
          <w:szCs w:val="21"/>
          <w:highlight w:val="none"/>
        </w:rPr>
      </w:pPr>
      <w:r>
        <w:rPr>
          <w:rFonts w:hint="eastAsia" w:ascii="仿宋" w:hAnsi="仿宋" w:eastAsia="仿宋" w:cs="仿宋"/>
          <w:bCs/>
          <w:color w:val="auto"/>
          <w:szCs w:val="21"/>
          <w:highlight w:val="none"/>
          <w:lang w:bidi="ar"/>
        </w:rPr>
        <w:t>本公司（联合体）郑重声明，根据《政府采购促进中小企业发展管理办法》（财库﹝2020﹞46 号）的规定，本公司（联合体）参加</w:t>
      </w:r>
      <w:r>
        <w:rPr>
          <w:rFonts w:hint="eastAsia" w:ascii="仿宋" w:hAnsi="仿宋" w:eastAsia="仿宋" w:cs="仿宋"/>
          <w:bCs/>
          <w:color w:val="auto"/>
          <w:szCs w:val="21"/>
          <w:highlight w:val="none"/>
          <w:u w:val="single"/>
          <w:lang w:bidi="ar"/>
        </w:rPr>
        <w:t>（单位名称）</w:t>
      </w:r>
      <w:r>
        <w:rPr>
          <w:rFonts w:hint="eastAsia" w:ascii="仿宋" w:hAnsi="仿宋" w:eastAsia="仿宋" w:cs="仿宋"/>
          <w:bCs/>
          <w:color w:val="auto"/>
          <w:szCs w:val="21"/>
          <w:highlight w:val="none"/>
          <w:lang w:bidi="ar"/>
        </w:rPr>
        <w:t>的</w:t>
      </w:r>
      <w:r>
        <w:rPr>
          <w:rFonts w:hint="eastAsia" w:ascii="仿宋" w:hAnsi="仿宋" w:eastAsia="仿宋" w:cs="仿宋"/>
          <w:bCs/>
          <w:color w:val="auto"/>
          <w:szCs w:val="21"/>
          <w:highlight w:val="none"/>
          <w:u w:val="single"/>
          <w:lang w:bidi="ar"/>
        </w:rPr>
        <w:t>（项目名称）</w:t>
      </w:r>
      <w:r>
        <w:rPr>
          <w:rFonts w:hint="eastAsia" w:ascii="仿宋" w:hAnsi="仿宋" w:eastAsia="仿宋" w:cs="仿宋"/>
          <w:bCs/>
          <w:color w:val="auto"/>
          <w:szCs w:val="21"/>
          <w:highlight w:val="none"/>
          <w:lang w:bidi="ar"/>
        </w:rPr>
        <w:t>采购活动，服务全部由符合政策要求的中小企业承接。相关企业（含联合体中的中小企业、签订分包意向协议的中小企业） 的具体情况如下：</w:t>
      </w:r>
    </w:p>
    <w:p w14:paraId="3BAB1BBA">
      <w:pPr>
        <w:spacing w:line="360" w:lineRule="auto"/>
        <w:ind w:firstLine="420"/>
        <w:rPr>
          <w:rFonts w:ascii="仿宋" w:hAnsi="仿宋" w:eastAsia="仿宋" w:cs="仿宋"/>
          <w:bCs/>
          <w:color w:val="auto"/>
          <w:szCs w:val="21"/>
          <w:highlight w:val="none"/>
        </w:rPr>
      </w:pPr>
      <w:r>
        <w:rPr>
          <w:rFonts w:hint="eastAsia" w:ascii="仿宋" w:hAnsi="仿宋" w:eastAsia="仿宋" w:cs="仿宋"/>
          <w:bCs/>
          <w:color w:val="auto"/>
          <w:szCs w:val="21"/>
          <w:highlight w:val="none"/>
          <w:lang w:bidi="ar"/>
        </w:rPr>
        <w:t>1.</w:t>
      </w:r>
      <w:r>
        <w:rPr>
          <w:rFonts w:hint="eastAsia" w:ascii="仿宋" w:hAnsi="仿宋" w:eastAsia="仿宋" w:cs="仿宋"/>
          <w:bCs/>
          <w:color w:val="auto"/>
          <w:szCs w:val="21"/>
          <w:highlight w:val="none"/>
          <w:u w:val="single"/>
          <w:lang w:bidi="ar"/>
        </w:rPr>
        <w:t>（标的名称）</w:t>
      </w:r>
      <w:r>
        <w:rPr>
          <w:rFonts w:hint="eastAsia" w:ascii="仿宋" w:hAnsi="仿宋" w:eastAsia="仿宋" w:cs="仿宋"/>
          <w:bCs/>
          <w:color w:val="auto"/>
          <w:szCs w:val="21"/>
          <w:highlight w:val="none"/>
          <w:lang w:bidi="ar"/>
        </w:rPr>
        <w:t>，属于</w:t>
      </w:r>
      <w:r>
        <w:rPr>
          <w:rFonts w:hint="eastAsia" w:ascii="仿宋" w:hAnsi="仿宋" w:eastAsia="仿宋" w:cs="仿宋"/>
          <w:bCs/>
          <w:color w:val="auto"/>
          <w:szCs w:val="21"/>
          <w:highlight w:val="none"/>
          <w:u w:val="single"/>
          <w:lang w:bidi="ar"/>
        </w:rPr>
        <w:t>（采购文件中明确的所属行业）</w:t>
      </w:r>
      <w:r>
        <w:rPr>
          <w:rFonts w:hint="eastAsia" w:ascii="仿宋" w:hAnsi="仿宋" w:eastAsia="仿宋" w:cs="仿宋"/>
          <w:bCs/>
          <w:color w:val="auto"/>
          <w:szCs w:val="21"/>
          <w:highlight w:val="none"/>
          <w:lang w:bidi="ar"/>
        </w:rPr>
        <w:t>行业；承接企业为</w:t>
      </w:r>
      <w:r>
        <w:rPr>
          <w:rFonts w:hint="eastAsia" w:ascii="仿宋" w:hAnsi="仿宋" w:eastAsia="仿宋" w:cs="仿宋"/>
          <w:bCs/>
          <w:color w:val="auto"/>
          <w:szCs w:val="21"/>
          <w:highlight w:val="none"/>
          <w:u w:val="single"/>
          <w:lang w:bidi="ar"/>
        </w:rPr>
        <w:t>（企业名称）</w:t>
      </w:r>
      <w:r>
        <w:rPr>
          <w:rFonts w:hint="eastAsia" w:ascii="仿宋" w:hAnsi="仿宋" w:eastAsia="仿宋" w:cs="仿宋"/>
          <w:bCs/>
          <w:color w:val="auto"/>
          <w:szCs w:val="21"/>
          <w:highlight w:val="none"/>
          <w:lang w:bidi="ar"/>
        </w:rPr>
        <w:t>，从业人员</w:t>
      </w:r>
      <w:r>
        <w:rPr>
          <w:rFonts w:hint="eastAsia" w:ascii="仿宋" w:hAnsi="仿宋" w:eastAsia="仿宋" w:cs="仿宋"/>
          <w:bCs/>
          <w:color w:val="auto"/>
          <w:szCs w:val="21"/>
          <w:highlight w:val="none"/>
          <w:u w:val="single"/>
          <w:lang w:bidi="ar"/>
        </w:rPr>
        <w:t xml:space="preserve">    </w:t>
      </w:r>
      <w:r>
        <w:rPr>
          <w:rFonts w:hint="eastAsia" w:ascii="仿宋" w:hAnsi="仿宋" w:eastAsia="仿宋" w:cs="仿宋"/>
          <w:bCs/>
          <w:color w:val="auto"/>
          <w:szCs w:val="21"/>
          <w:highlight w:val="none"/>
          <w:lang w:bidi="ar"/>
        </w:rPr>
        <w:t>人，营业收入为</w:t>
      </w:r>
      <w:r>
        <w:rPr>
          <w:rFonts w:hint="eastAsia" w:ascii="仿宋" w:hAnsi="仿宋" w:eastAsia="仿宋" w:cs="仿宋"/>
          <w:bCs/>
          <w:color w:val="auto"/>
          <w:szCs w:val="21"/>
          <w:highlight w:val="none"/>
          <w:u w:val="single"/>
          <w:lang w:bidi="ar"/>
        </w:rPr>
        <w:t xml:space="preserve">    </w:t>
      </w:r>
      <w:r>
        <w:rPr>
          <w:rFonts w:hint="eastAsia" w:ascii="仿宋" w:hAnsi="仿宋" w:eastAsia="仿宋" w:cs="仿宋"/>
          <w:bCs/>
          <w:color w:val="auto"/>
          <w:szCs w:val="21"/>
          <w:highlight w:val="none"/>
          <w:lang w:bidi="ar"/>
        </w:rPr>
        <w:t>万元，资产总额为</w:t>
      </w:r>
      <w:r>
        <w:rPr>
          <w:rFonts w:hint="eastAsia" w:ascii="仿宋" w:hAnsi="仿宋" w:eastAsia="仿宋" w:cs="仿宋"/>
          <w:bCs/>
          <w:color w:val="auto"/>
          <w:szCs w:val="21"/>
          <w:highlight w:val="none"/>
          <w:u w:val="single"/>
          <w:lang w:bidi="ar"/>
        </w:rPr>
        <w:t xml:space="preserve">    </w:t>
      </w:r>
      <w:r>
        <w:rPr>
          <w:rFonts w:hint="eastAsia" w:ascii="仿宋" w:hAnsi="仿宋" w:eastAsia="仿宋" w:cs="仿宋"/>
          <w:bCs/>
          <w:color w:val="auto"/>
          <w:szCs w:val="21"/>
          <w:highlight w:val="none"/>
          <w:lang w:bidi="ar"/>
        </w:rPr>
        <w:t>万元，属于</w:t>
      </w:r>
      <w:r>
        <w:rPr>
          <w:rFonts w:hint="eastAsia" w:ascii="仿宋" w:hAnsi="仿宋" w:eastAsia="仿宋" w:cs="仿宋"/>
          <w:bCs/>
          <w:color w:val="auto"/>
          <w:szCs w:val="21"/>
          <w:highlight w:val="none"/>
          <w:u w:val="single"/>
          <w:lang w:bidi="ar"/>
        </w:rPr>
        <w:t>（中型企业、小型企业、微型企业）</w:t>
      </w:r>
      <w:r>
        <w:rPr>
          <w:rFonts w:hint="eastAsia" w:ascii="仿宋" w:hAnsi="仿宋" w:eastAsia="仿宋" w:cs="仿宋"/>
          <w:bCs/>
          <w:color w:val="auto"/>
          <w:szCs w:val="21"/>
          <w:highlight w:val="none"/>
          <w:lang w:bidi="ar"/>
        </w:rPr>
        <w:t>；</w:t>
      </w:r>
    </w:p>
    <w:p w14:paraId="1C7D27F6">
      <w:pPr>
        <w:spacing w:line="360" w:lineRule="auto"/>
        <w:ind w:firstLine="420"/>
        <w:rPr>
          <w:rFonts w:ascii="仿宋" w:hAnsi="仿宋" w:eastAsia="仿宋" w:cs="仿宋"/>
          <w:bCs/>
          <w:color w:val="auto"/>
          <w:szCs w:val="21"/>
          <w:highlight w:val="none"/>
        </w:rPr>
      </w:pPr>
      <w:r>
        <w:rPr>
          <w:rFonts w:hint="eastAsia" w:ascii="仿宋" w:hAnsi="仿宋" w:eastAsia="仿宋" w:cs="仿宋"/>
          <w:bCs/>
          <w:color w:val="auto"/>
          <w:szCs w:val="21"/>
          <w:highlight w:val="none"/>
          <w:lang w:bidi="ar"/>
        </w:rPr>
        <w:t>2.</w:t>
      </w:r>
      <w:r>
        <w:rPr>
          <w:rFonts w:hint="eastAsia" w:ascii="仿宋" w:hAnsi="仿宋" w:eastAsia="仿宋" w:cs="仿宋"/>
          <w:bCs/>
          <w:color w:val="auto"/>
          <w:szCs w:val="21"/>
          <w:highlight w:val="none"/>
          <w:u w:val="single"/>
          <w:lang w:bidi="ar"/>
        </w:rPr>
        <w:t>（标的名称）</w:t>
      </w:r>
      <w:r>
        <w:rPr>
          <w:rFonts w:hint="eastAsia" w:ascii="仿宋" w:hAnsi="仿宋" w:eastAsia="仿宋" w:cs="仿宋"/>
          <w:bCs/>
          <w:color w:val="auto"/>
          <w:szCs w:val="21"/>
          <w:highlight w:val="none"/>
          <w:lang w:bidi="ar"/>
        </w:rPr>
        <w:t>，属于</w:t>
      </w:r>
      <w:r>
        <w:rPr>
          <w:rFonts w:hint="eastAsia" w:ascii="仿宋" w:hAnsi="仿宋" w:eastAsia="仿宋" w:cs="仿宋"/>
          <w:bCs/>
          <w:color w:val="auto"/>
          <w:szCs w:val="21"/>
          <w:highlight w:val="none"/>
          <w:u w:val="single"/>
          <w:lang w:bidi="ar"/>
        </w:rPr>
        <w:t>（采购文件中明确的所属行业）</w:t>
      </w:r>
      <w:r>
        <w:rPr>
          <w:rFonts w:hint="eastAsia" w:ascii="仿宋" w:hAnsi="仿宋" w:eastAsia="仿宋" w:cs="仿宋"/>
          <w:bCs/>
          <w:color w:val="auto"/>
          <w:szCs w:val="21"/>
          <w:highlight w:val="none"/>
          <w:lang w:bidi="ar"/>
        </w:rPr>
        <w:t>行业；承接企业为</w:t>
      </w:r>
      <w:r>
        <w:rPr>
          <w:rFonts w:hint="eastAsia" w:ascii="仿宋" w:hAnsi="仿宋" w:eastAsia="仿宋" w:cs="仿宋"/>
          <w:bCs/>
          <w:color w:val="auto"/>
          <w:szCs w:val="21"/>
          <w:highlight w:val="none"/>
          <w:u w:val="single"/>
          <w:lang w:bidi="ar"/>
        </w:rPr>
        <w:t>（企业名称）</w:t>
      </w:r>
      <w:r>
        <w:rPr>
          <w:rFonts w:hint="eastAsia" w:ascii="仿宋" w:hAnsi="仿宋" w:eastAsia="仿宋" w:cs="仿宋"/>
          <w:bCs/>
          <w:color w:val="auto"/>
          <w:szCs w:val="21"/>
          <w:highlight w:val="none"/>
          <w:lang w:bidi="ar"/>
        </w:rPr>
        <w:t>，从业人员</w:t>
      </w:r>
      <w:r>
        <w:rPr>
          <w:rFonts w:hint="eastAsia" w:ascii="仿宋" w:hAnsi="仿宋" w:eastAsia="仿宋" w:cs="仿宋"/>
          <w:bCs/>
          <w:color w:val="auto"/>
          <w:szCs w:val="21"/>
          <w:highlight w:val="none"/>
          <w:u w:val="single"/>
          <w:lang w:bidi="ar"/>
        </w:rPr>
        <w:t xml:space="preserve">       </w:t>
      </w:r>
      <w:r>
        <w:rPr>
          <w:rFonts w:hint="eastAsia" w:ascii="仿宋" w:hAnsi="仿宋" w:eastAsia="仿宋" w:cs="仿宋"/>
          <w:bCs/>
          <w:color w:val="auto"/>
          <w:szCs w:val="21"/>
          <w:highlight w:val="none"/>
          <w:lang w:bidi="ar"/>
        </w:rPr>
        <w:t>人，营业收入为</w:t>
      </w:r>
      <w:r>
        <w:rPr>
          <w:rFonts w:hint="eastAsia" w:ascii="仿宋" w:hAnsi="仿宋" w:eastAsia="仿宋" w:cs="仿宋"/>
          <w:bCs/>
          <w:color w:val="auto"/>
          <w:szCs w:val="21"/>
          <w:highlight w:val="none"/>
          <w:u w:val="single"/>
          <w:lang w:bidi="ar"/>
        </w:rPr>
        <w:t xml:space="preserve">     </w:t>
      </w:r>
      <w:r>
        <w:rPr>
          <w:rFonts w:hint="eastAsia" w:ascii="仿宋" w:hAnsi="仿宋" w:eastAsia="仿宋" w:cs="仿宋"/>
          <w:bCs/>
          <w:color w:val="auto"/>
          <w:szCs w:val="21"/>
          <w:highlight w:val="none"/>
          <w:lang w:bidi="ar"/>
        </w:rPr>
        <w:t>万元，资产总额为</w:t>
      </w:r>
      <w:r>
        <w:rPr>
          <w:rFonts w:hint="eastAsia" w:ascii="仿宋" w:hAnsi="仿宋" w:eastAsia="仿宋" w:cs="仿宋"/>
          <w:bCs/>
          <w:color w:val="auto"/>
          <w:szCs w:val="21"/>
          <w:highlight w:val="none"/>
          <w:u w:val="single"/>
          <w:lang w:bidi="ar"/>
        </w:rPr>
        <w:t xml:space="preserve">       </w:t>
      </w:r>
      <w:r>
        <w:rPr>
          <w:rFonts w:hint="eastAsia" w:ascii="仿宋" w:hAnsi="仿宋" w:eastAsia="仿宋" w:cs="仿宋"/>
          <w:bCs/>
          <w:color w:val="auto"/>
          <w:szCs w:val="21"/>
          <w:highlight w:val="none"/>
          <w:lang w:bidi="ar"/>
        </w:rPr>
        <w:t>万元，属于</w:t>
      </w:r>
      <w:r>
        <w:rPr>
          <w:rFonts w:hint="eastAsia" w:ascii="仿宋" w:hAnsi="仿宋" w:eastAsia="仿宋" w:cs="仿宋"/>
          <w:bCs/>
          <w:color w:val="auto"/>
          <w:szCs w:val="21"/>
          <w:highlight w:val="none"/>
          <w:u w:val="single"/>
          <w:lang w:bidi="ar"/>
        </w:rPr>
        <w:t>（中型企业、小型企业、微型企业）</w:t>
      </w:r>
      <w:r>
        <w:rPr>
          <w:rFonts w:hint="eastAsia" w:ascii="仿宋" w:hAnsi="仿宋" w:eastAsia="仿宋" w:cs="仿宋"/>
          <w:bCs/>
          <w:color w:val="auto"/>
          <w:szCs w:val="21"/>
          <w:highlight w:val="none"/>
          <w:lang w:bidi="ar"/>
        </w:rPr>
        <w:t>；</w:t>
      </w:r>
    </w:p>
    <w:p w14:paraId="4A233C72">
      <w:pPr>
        <w:spacing w:line="360" w:lineRule="auto"/>
        <w:ind w:firstLine="420"/>
        <w:rPr>
          <w:rFonts w:ascii="仿宋" w:hAnsi="仿宋" w:eastAsia="仿宋" w:cs="仿宋"/>
          <w:bCs/>
          <w:color w:val="auto"/>
          <w:szCs w:val="21"/>
          <w:highlight w:val="none"/>
        </w:rPr>
      </w:pPr>
      <w:r>
        <w:rPr>
          <w:rFonts w:hint="eastAsia" w:ascii="仿宋" w:hAnsi="仿宋" w:eastAsia="仿宋" w:cs="仿宋"/>
          <w:bCs/>
          <w:color w:val="auto"/>
          <w:szCs w:val="21"/>
          <w:highlight w:val="none"/>
          <w:lang w:bidi="ar"/>
        </w:rPr>
        <w:t>……</w:t>
      </w:r>
    </w:p>
    <w:p w14:paraId="0F846A29">
      <w:pPr>
        <w:spacing w:line="360" w:lineRule="auto"/>
        <w:ind w:firstLine="420"/>
        <w:rPr>
          <w:rFonts w:ascii="仿宋" w:hAnsi="仿宋" w:eastAsia="仿宋" w:cs="仿宋"/>
          <w:bCs/>
          <w:color w:val="auto"/>
          <w:szCs w:val="21"/>
          <w:highlight w:val="none"/>
        </w:rPr>
      </w:pPr>
      <w:r>
        <w:rPr>
          <w:rFonts w:hint="eastAsia" w:ascii="仿宋" w:hAnsi="仿宋" w:eastAsia="仿宋" w:cs="仿宋"/>
          <w:bCs/>
          <w:color w:val="auto"/>
          <w:szCs w:val="21"/>
          <w:highlight w:val="none"/>
          <w:lang w:bidi="ar"/>
        </w:rPr>
        <w:t>以上企业，不属于大企业的分支机构，不存在控股股东为大企业的情形，也不存在与大企业的负责人为同一人的情形。</w:t>
      </w:r>
    </w:p>
    <w:p w14:paraId="1B31C7B0">
      <w:pPr>
        <w:widowControl/>
        <w:jc w:val="left"/>
        <w:rPr>
          <w:rFonts w:ascii="仿宋" w:hAnsi="仿宋" w:eastAsia="仿宋" w:cs="仿宋"/>
          <w:color w:val="auto"/>
          <w:sz w:val="24"/>
          <w:highlight w:val="none"/>
        </w:rPr>
      </w:pPr>
      <w:r>
        <w:rPr>
          <w:rFonts w:hint="eastAsia" w:ascii="仿宋" w:hAnsi="仿宋" w:eastAsia="仿宋" w:cs="仿宋"/>
          <w:bCs/>
          <w:color w:val="auto"/>
          <w:szCs w:val="21"/>
          <w:highlight w:val="none"/>
          <w:lang w:bidi="ar"/>
        </w:rPr>
        <w:t>本企业对上述声明内容的真实性负责。如有虚假，将依法承担相应责任</w:t>
      </w:r>
      <w:r>
        <w:rPr>
          <w:rFonts w:hint="eastAsia" w:ascii="仿宋" w:hAnsi="仿宋" w:eastAsia="仿宋" w:cs="仿宋"/>
          <w:color w:val="auto"/>
          <w:sz w:val="24"/>
          <w:highlight w:val="none"/>
        </w:rPr>
        <w:t>。</w:t>
      </w:r>
    </w:p>
    <w:p w14:paraId="5E122E87">
      <w:pPr>
        <w:pStyle w:val="9"/>
        <w:spacing w:after="0" w:line="380" w:lineRule="exact"/>
        <w:ind w:left="3960" w:right="1808"/>
        <w:contextualSpacing/>
        <w:rPr>
          <w:rFonts w:ascii="仿宋" w:hAnsi="仿宋" w:eastAsia="仿宋" w:cs="仿宋"/>
          <w:color w:val="auto"/>
          <w:sz w:val="24"/>
          <w:highlight w:val="none"/>
        </w:rPr>
      </w:pPr>
    </w:p>
    <w:p w14:paraId="0728E68F">
      <w:pPr>
        <w:autoSpaceDE w:val="0"/>
        <w:autoSpaceDN w:val="0"/>
        <w:spacing w:line="380" w:lineRule="exact"/>
        <w:ind w:left="4335" w:leftChars="1950" w:hanging="240" w:hangingChars="1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供应商名称（电子签章）：</w:t>
      </w:r>
    </w:p>
    <w:p w14:paraId="5FE4C9E1">
      <w:pPr>
        <w:autoSpaceDE w:val="0"/>
        <w:autoSpaceDN w:val="0"/>
        <w:spacing w:line="380" w:lineRule="exact"/>
        <w:jc w:val="right"/>
        <w:rPr>
          <w:rFonts w:ascii="宋体" w:hAnsi="宋体" w:cs="宋体"/>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1F4FC6BD">
      <w:pPr>
        <w:pStyle w:val="9"/>
        <w:spacing w:after="0" w:line="380" w:lineRule="exact"/>
        <w:ind w:left="3960" w:right="1808"/>
        <w:contextualSpacing/>
        <w:rPr>
          <w:color w:val="auto"/>
          <w:highlight w:val="none"/>
        </w:rPr>
      </w:pPr>
    </w:p>
    <w:p w14:paraId="70D06A77">
      <w:pPr>
        <w:spacing w:line="380" w:lineRule="exact"/>
        <w:jc w:val="left"/>
        <w:rPr>
          <w:rFonts w:ascii="仿宋_GB2312" w:hAnsi="仿宋" w:eastAsia="仿宋_GB2312" w:cs="仿宋_GB2312"/>
          <w:color w:val="auto"/>
          <w:kern w:val="0"/>
          <w:sz w:val="24"/>
          <w:highlight w:val="none"/>
        </w:rPr>
      </w:pPr>
      <w:r>
        <w:rPr>
          <w:rFonts w:hint="eastAsia" w:ascii="宋体" w:hAnsi="宋体" w:cs="仿宋_GB2312"/>
          <w:color w:val="auto"/>
          <w:sz w:val="24"/>
          <w:highlight w:val="none"/>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14:paraId="3279F03D">
      <w:pPr>
        <w:widowControl/>
        <w:spacing w:line="360" w:lineRule="auto"/>
        <w:jc w:val="left"/>
        <w:rPr>
          <w:color w:val="auto"/>
          <w:sz w:val="20"/>
          <w:highlight w:val="none"/>
        </w:rPr>
        <w:sectPr>
          <w:pgSz w:w="11911" w:h="16838"/>
          <w:pgMar w:top="1417" w:right="1417" w:bottom="1417" w:left="1417" w:header="720" w:footer="720" w:gutter="0"/>
          <w:cols w:space="0" w:num="1"/>
          <w:docGrid w:linePitch="331" w:charSpace="0"/>
        </w:sectPr>
      </w:pPr>
    </w:p>
    <w:p w14:paraId="1D957C92">
      <w:pPr>
        <w:pStyle w:val="13"/>
        <w:spacing w:line="360" w:lineRule="auto"/>
        <w:jc w:val="center"/>
        <w:rPr>
          <w:rFonts w:hint="default"/>
          <w:b/>
          <w:color w:val="auto"/>
          <w:sz w:val="30"/>
          <w:szCs w:val="30"/>
          <w:highlight w:val="none"/>
        </w:rPr>
      </w:pPr>
      <w:r>
        <w:rPr>
          <w:b/>
          <w:color w:val="auto"/>
          <w:sz w:val="30"/>
          <w:szCs w:val="30"/>
          <w:highlight w:val="none"/>
        </w:rPr>
        <w:t>残疾人福利性单位声明函（格式）</w:t>
      </w:r>
    </w:p>
    <w:p w14:paraId="35DA224D">
      <w:pPr>
        <w:pStyle w:val="13"/>
        <w:spacing w:line="360" w:lineRule="auto"/>
        <w:jc w:val="center"/>
        <w:rPr>
          <w:rFonts w:hint="default"/>
          <w:b/>
          <w:color w:val="auto"/>
          <w:sz w:val="30"/>
          <w:szCs w:val="30"/>
          <w:highlight w:val="none"/>
        </w:rPr>
      </w:pPr>
    </w:p>
    <w:p w14:paraId="62EA1BFE">
      <w:pPr>
        <w:spacing w:line="360" w:lineRule="auto"/>
        <w:ind w:firstLine="600" w:firstLineChars="200"/>
        <w:rPr>
          <w:rFonts w:ascii="仿宋_GB2312" w:hAnsi="宋体" w:eastAsia="仿宋_GB2312" w:cs="仿宋_GB2312"/>
          <w:color w:val="auto"/>
          <w:sz w:val="24"/>
          <w:highlight w:val="none"/>
        </w:rPr>
      </w:pPr>
      <w:r>
        <w:rPr>
          <w:rFonts w:hint="eastAsia"/>
          <w:color w:val="auto"/>
          <w:sz w:val="30"/>
          <w:szCs w:val="30"/>
          <w:highlight w:val="none"/>
        </w:rPr>
        <w:t xml:space="preserve">   </w:t>
      </w:r>
      <w:r>
        <w:rPr>
          <w:rFonts w:hint="eastAsia" w:ascii="仿宋_GB2312" w:hAnsi="宋体" w:eastAsia="仿宋_GB2312" w:cs="仿宋_GB2312"/>
          <w:color w:val="auto"/>
          <w:sz w:val="24"/>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仿宋_GB2312" w:hAnsi="宋体" w:eastAsia="仿宋_GB2312" w:cs="仿宋_GB2312"/>
          <w:color w:val="auto"/>
          <w:sz w:val="24"/>
          <w:highlight w:val="none"/>
          <w:u w:val="single"/>
        </w:rPr>
        <w:t xml:space="preserve"> </w:t>
      </w:r>
      <w:r>
        <w:rPr>
          <w:rFonts w:hint="eastAsia" w:ascii="仿宋_GB2312" w:hAnsi="宋体" w:eastAsia="仿宋_GB2312" w:cs="仿宋_GB2312"/>
          <w:color w:val="auto"/>
          <w:sz w:val="24"/>
          <w:highlight w:val="none"/>
          <w:u w:val="single"/>
          <w:lang w:eastAsia="zh-CN"/>
        </w:rPr>
        <w:t>南宁市财政局</w:t>
      </w:r>
      <w:r>
        <w:rPr>
          <w:rFonts w:hint="eastAsia" w:ascii="仿宋_GB2312" w:hAnsi="宋体" w:eastAsia="仿宋_GB2312" w:cs="仿宋_GB2312"/>
          <w:color w:val="auto"/>
          <w:sz w:val="24"/>
          <w:highlight w:val="none"/>
        </w:rPr>
        <w:t>单位的</w:t>
      </w:r>
      <w:r>
        <w:rPr>
          <w:rFonts w:hint="eastAsia" w:ascii="仿宋_GB2312" w:hAnsi="宋体" w:eastAsia="仿宋_GB2312" w:cs="仿宋_GB2312"/>
          <w:color w:val="auto"/>
          <w:sz w:val="24"/>
          <w:highlight w:val="none"/>
          <w:u w:val="single"/>
        </w:rPr>
        <w:t xml:space="preserve"> </w:t>
      </w:r>
      <w:r>
        <w:rPr>
          <w:rFonts w:hint="eastAsia" w:ascii="仿宋_GB2312" w:hAnsi="宋体" w:eastAsia="仿宋_GB2312" w:cs="仿宋_GB2312"/>
          <w:color w:val="auto"/>
          <w:sz w:val="24"/>
          <w:highlight w:val="none"/>
          <w:u w:val="single"/>
          <w:lang w:eastAsia="zh-CN"/>
        </w:rPr>
        <w:t>南宁市青年人才驿站</w:t>
      </w:r>
      <w:r>
        <w:rPr>
          <w:rFonts w:hint="eastAsia" w:ascii="仿宋_GB2312" w:hAnsi="宋体" w:eastAsia="仿宋_GB2312" w:cs="仿宋_GB2312"/>
          <w:color w:val="auto"/>
          <w:sz w:val="24"/>
          <w:highlight w:val="none"/>
          <w:u w:val="single"/>
        </w:rPr>
        <w:t>（   分标）</w:t>
      </w:r>
      <w:r>
        <w:rPr>
          <w:rFonts w:hint="eastAsia" w:ascii="仿宋_GB2312" w:hAnsi="宋体" w:eastAsia="仿宋_GB2312" w:cs="仿宋_GB2312"/>
          <w:color w:val="auto"/>
          <w:sz w:val="24"/>
          <w:highlight w:val="none"/>
        </w:rPr>
        <w:t>采购活动由本单位提供服务。</w:t>
      </w:r>
    </w:p>
    <w:p w14:paraId="2F9364CB">
      <w:pPr>
        <w:spacing w:line="360" w:lineRule="auto"/>
        <w:ind w:firstLine="480" w:firstLineChars="200"/>
        <w:rPr>
          <w:rFonts w:ascii="仿宋_GB2312" w:hAnsi="宋体" w:eastAsia="仿宋_GB2312" w:cs="仿宋_GB2312"/>
          <w:color w:val="auto"/>
          <w:sz w:val="24"/>
          <w:highlight w:val="none"/>
        </w:rPr>
      </w:pPr>
      <w:r>
        <w:rPr>
          <w:rFonts w:hint="eastAsia" w:ascii="仿宋_GB2312" w:hAnsi="宋体" w:eastAsia="仿宋_GB2312" w:cs="仿宋_GB2312"/>
          <w:color w:val="auto"/>
          <w:sz w:val="24"/>
          <w:highlight w:val="none"/>
        </w:rPr>
        <w:t>本单位对上述声明的真实性负责。如有虚假，将依法承担相应责任。</w:t>
      </w:r>
    </w:p>
    <w:p w14:paraId="4853969D">
      <w:pPr>
        <w:pStyle w:val="13"/>
        <w:spacing w:line="360" w:lineRule="auto"/>
        <w:rPr>
          <w:rFonts w:hint="default"/>
          <w:b/>
          <w:color w:val="auto"/>
          <w:sz w:val="21"/>
          <w:szCs w:val="21"/>
          <w:highlight w:val="none"/>
        </w:rPr>
      </w:pPr>
    </w:p>
    <w:p w14:paraId="27194BA2">
      <w:pPr>
        <w:pStyle w:val="13"/>
        <w:spacing w:line="360" w:lineRule="auto"/>
        <w:rPr>
          <w:rFonts w:hint="default"/>
          <w:b/>
          <w:color w:val="auto"/>
          <w:szCs w:val="21"/>
          <w:highlight w:val="none"/>
        </w:rPr>
      </w:pPr>
    </w:p>
    <w:p w14:paraId="182B2DD3">
      <w:pPr>
        <w:snapToGrid w:val="0"/>
        <w:spacing w:line="360" w:lineRule="auto"/>
        <w:ind w:left="5137" w:leftChars="1736" w:hanging="1491" w:hangingChars="825"/>
        <w:rPr>
          <w:rFonts w:ascii="仿宋_GB2312" w:hAnsi="仿宋" w:eastAsia="仿宋_GB2312" w:cs="仿宋_GB2312"/>
          <w:color w:val="auto"/>
          <w:kern w:val="0"/>
          <w:sz w:val="24"/>
          <w:highlight w:val="none"/>
        </w:rPr>
      </w:pPr>
      <w:r>
        <w:rPr>
          <w:b/>
          <w:color w:val="auto"/>
          <w:sz w:val="18"/>
          <w:szCs w:val="18"/>
          <w:highlight w:val="none"/>
        </w:rPr>
        <w:t xml:space="preserve">                                                                    </w:t>
      </w:r>
      <w:r>
        <w:rPr>
          <w:rFonts w:hint="eastAsia" w:ascii="仿宋_GB2312" w:hAnsi="仿宋" w:eastAsia="仿宋_GB2312" w:cs="仿宋_GB2312"/>
          <w:color w:val="auto"/>
          <w:kern w:val="0"/>
          <w:sz w:val="24"/>
          <w:highlight w:val="none"/>
          <w:lang w:val="zh-CN"/>
        </w:rPr>
        <w:t>投标人名称(电子签章)：</w:t>
      </w:r>
    </w:p>
    <w:p w14:paraId="12485A97">
      <w:pPr>
        <w:snapToGrid w:val="0"/>
        <w:spacing w:line="360" w:lineRule="auto"/>
        <w:ind w:firstLine="5160" w:firstLineChars="215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w:t>
      </w:r>
      <w:r>
        <w:rPr>
          <w:rFonts w:hint="eastAsia"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w:t>
      </w:r>
    </w:p>
    <w:p w14:paraId="57476EB1">
      <w:pPr>
        <w:pStyle w:val="13"/>
        <w:spacing w:line="360" w:lineRule="auto"/>
        <w:ind w:left="5132" w:leftChars="1979" w:hanging="976" w:hangingChars="488"/>
        <w:rPr>
          <w:rFonts w:hint="default"/>
          <w:color w:val="auto"/>
          <w:kern w:val="2"/>
          <w:sz w:val="20"/>
          <w:highlight w:val="none"/>
        </w:rPr>
      </w:pPr>
    </w:p>
    <w:p w14:paraId="2B2961E9">
      <w:pPr>
        <w:autoSpaceDE w:val="0"/>
        <w:autoSpaceDN w:val="0"/>
        <w:adjustRightInd w:val="0"/>
        <w:spacing w:line="360" w:lineRule="auto"/>
        <w:jc w:val="left"/>
        <w:rPr>
          <w:rFonts w:hAnsi="宋体"/>
          <w:color w:val="auto"/>
          <w:szCs w:val="21"/>
          <w:highlight w:val="none"/>
        </w:rPr>
      </w:pPr>
      <w:r>
        <w:rPr>
          <w:rFonts w:hint="eastAsia" w:ascii="仿宋_GB2312" w:hAnsi="仿宋" w:eastAsia="仿宋_GB2312" w:cs="仿宋_GB2312"/>
          <w:color w:val="auto"/>
          <w:sz w:val="24"/>
          <w:highlight w:val="none"/>
        </w:rPr>
        <w:t>注：请根据自己的真实情况出具《残疾人福利性单位声明函》。依法享受中小企业优惠政策的，采购人或者采购代理机构在公告中标结果时，同时公告其《残疾人福利性单位声明函》，接受社会监督；根据《关于政府采购支持监狱企业发展有关问题的通知》（财库[2014]68号）的规定，投标人提供由省级以上监狱管理局、戒毒管理局（含新疆生产建设兵团）出具的属于监狱企业证明文件的，视同为小型和微型企业。</w:t>
      </w:r>
    </w:p>
    <w:p w14:paraId="49003F28">
      <w:pPr>
        <w:widowControl/>
        <w:spacing w:line="360" w:lineRule="auto"/>
        <w:jc w:val="left"/>
        <w:rPr>
          <w:rFonts w:hAnsi="宋体"/>
          <w:color w:val="auto"/>
          <w:szCs w:val="21"/>
          <w:highlight w:val="none"/>
        </w:rPr>
      </w:pPr>
    </w:p>
    <w:p w14:paraId="248890F2">
      <w:pPr>
        <w:widowControl/>
        <w:spacing w:line="360" w:lineRule="auto"/>
        <w:jc w:val="left"/>
        <w:rPr>
          <w:rFonts w:hAnsi="宋体"/>
          <w:color w:val="auto"/>
          <w:szCs w:val="21"/>
          <w:highlight w:val="none"/>
        </w:rPr>
      </w:pPr>
    </w:p>
    <w:p w14:paraId="5D3DE12B">
      <w:pPr>
        <w:widowControl/>
        <w:spacing w:line="360" w:lineRule="auto"/>
        <w:jc w:val="left"/>
        <w:rPr>
          <w:rFonts w:hAnsi="宋体"/>
          <w:b/>
          <w:color w:val="auto"/>
          <w:szCs w:val="21"/>
          <w:highlight w:val="none"/>
        </w:rPr>
      </w:pPr>
      <w:r>
        <w:rPr>
          <w:rFonts w:hint="eastAsia" w:hAnsi="宋体"/>
          <w:b/>
          <w:color w:val="auto"/>
          <w:szCs w:val="21"/>
          <w:highlight w:val="none"/>
        </w:rPr>
        <w:t>注：供应商提供的中小企业声明函内容不实的，属于提供虚假材料谋取中标、成交，</w:t>
      </w:r>
    </w:p>
    <w:p w14:paraId="4BAF214B">
      <w:pPr>
        <w:spacing w:line="520" w:lineRule="exact"/>
        <w:rPr>
          <w:rFonts w:ascii="宋体" w:hAnsi="宋体" w:cs="仿宋_GB2312"/>
          <w:color w:val="auto"/>
          <w:sz w:val="24"/>
          <w:highlight w:val="none"/>
        </w:rPr>
      </w:pPr>
      <w:r>
        <w:rPr>
          <w:rFonts w:hint="eastAsia" w:hAnsi="宋体"/>
          <w:b/>
          <w:color w:val="auto"/>
          <w:szCs w:val="21"/>
          <w:highlight w:val="none"/>
        </w:rPr>
        <w:t>依照《中华人民共和国政府采购法》等国家有关规定追究相应责任。</w:t>
      </w:r>
    </w:p>
    <w:p w14:paraId="43F9FB67">
      <w:pPr>
        <w:spacing w:line="360" w:lineRule="auto"/>
        <w:rPr>
          <w:rFonts w:ascii="宋体" w:hAnsi="宋体" w:cs="仿宋_GB2312"/>
          <w:color w:val="auto"/>
          <w:sz w:val="24"/>
          <w:highlight w:val="none"/>
        </w:rPr>
      </w:pPr>
    </w:p>
    <w:p w14:paraId="1232D57A">
      <w:pPr>
        <w:spacing w:line="360" w:lineRule="auto"/>
        <w:rPr>
          <w:rFonts w:ascii="宋体" w:hAnsi="宋体" w:cs="仿宋_GB2312"/>
          <w:color w:val="auto"/>
          <w:sz w:val="24"/>
          <w:highlight w:val="none"/>
        </w:rPr>
      </w:pPr>
    </w:p>
    <w:p w14:paraId="4A82BA63">
      <w:pPr>
        <w:spacing w:line="360" w:lineRule="auto"/>
        <w:rPr>
          <w:rFonts w:ascii="宋体" w:hAnsi="宋体" w:cs="仿宋_GB2312"/>
          <w:color w:val="auto"/>
          <w:sz w:val="24"/>
          <w:highlight w:val="none"/>
        </w:rPr>
      </w:pPr>
    </w:p>
    <w:p w14:paraId="2F4103A1">
      <w:pPr>
        <w:spacing w:line="520" w:lineRule="exact"/>
        <w:jc w:val="center"/>
        <w:rPr>
          <w:rFonts w:ascii="宋体" w:hAnsi="宋体"/>
          <w:color w:val="auto"/>
          <w:sz w:val="24"/>
          <w:highlight w:val="none"/>
        </w:rPr>
      </w:pPr>
    </w:p>
    <w:p w14:paraId="1C3D8E0E">
      <w:pPr>
        <w:spacing w:line="520" w:lineRule="exact"/>
        <w:jc w:val="center"/>
        <w:rPr>
          <w:rFonts w:ascii="宋体" w:hAnsi="宋体"/>
          <w:color w:val="auto"/>
          <w:sz w:val="24"/>
          <w:highlight w:val="none"/>
        </w:rPr>
      </w:pPr>
    </w:p>
    <w:p w14:paraId="48FEEF49">
      <w:pPr>
        <w:spacing w:line="520" w:lineRule="exact"/>
        <w:jc w:val="center"/>
        <w:rPr>
          <w:rFonts w:ascii="宋体" w:hAnsi="宋体"/>
          <w:color w:val="auto"/>
          <w:sz w:val="24"/>
          <w:highlight w:val="none"/>
        </w:rPr>
      </w:pPr>
    </w:p>
    <w:p w14:paraId="5BEA264E">
      <w:pPr>
        <w:spacing w:line="520" w:lineRule="exact"/>
        <w:jc w:val="center"/>
        <w:rPr>
          <w:rFonts w:ascii="宋体" w:hAnsi="宋体"/>
          <w:color w:val="auto"/>
          <w:sz w:val="24"/>
          <w:highlight w:val="none"/>
        </w:rPr>
      </w:pPr>
    </w:p>
    <w:p w14:paraId="01C30525">
      <w:pPr>
        <w:spacing w:line="520" w:lineRule="exact"/>
        <w:jc w:val="center"/>
        <w:rPr>
          <w:rFonts w:ascii="宋体" w:hAnsi="宋体"/>
          <w:color w:val="auto"/>
          <w:sz w:val="24"/>
          <w:highlight w:val="none"/>
        </w:rPr>
      </w:pPr>
    </w:p>
    <w:p w14:paraId="58410C17">
      <w:pPr>
        <w:spacing w:line="520" w:lineRule="exact"/>
        <w:jc w:val="center"/>
        <w:rPr>
          <w:rFonts w:ascii="宋体" w:hAnsi="宋体"/>
          <w:color w:val="auto"/>
          <w:sz w:val="24"/>
          <w:highlight w:val="none"/>
        </w:rPr>
      </w:pPr>
    </w:p>
    <w:p w14:paraId="5F248A56">
      <w:pPr>
        <w:spacing w:line="520" w:lineRule="exact"/>
        <w:jc w:val="center"/>
        <w:rPr>
          <w:rFonts w:ascii="宋体" w:hAnsi="宋体"/>
          <w:color w:val="auto"/>
          <w:sz w:val="24"/>
          <w:highlight w:val="none"/>
        </w:rPr>
      </w:pPr>
    </w:p>
    <w:p w14:paraId="28BFDB37">
      <w:pPr>
        <w:spacing w:line="520" w:lineRule="exact"/>
        <w:jc w:val="center"/>
        <w:rPr>
          <w:rFonts w:ascii="宋体" w:hAnsi="宋体"/>
          <w:color w:val="auto"/>
          <w:sz w:val="24"/>
          <w:highlight w:val="none"/>
        </w:rPr>
      </w:pPr>
    </w:p>
    <w:p w14:paraId="5A337F64">
      <w:pPr>
        <w:spacing w:line="520" w:lineRule="exact"/>
        <w:jc w:val="center"/>
        <w:rPr>
          <w:rFonts w:ascii="宋体" w:hAnsi="宋体"/>
          <w:color w:val="auto"/>
          <w:sz w:val="24"/>
          <w:highlight w:val="none"/>
        </w:rPr>
      </w:pPr>
    </w:p>
    <w:p w14:paraId="27B45CA6">
      <w:pPr>
        <w:spacing w:line="520" w:lineRule="exact"/>
        <w:jc w:val="center"/>
        <w:rPr>
          <w:rFonts w:ascii="宋体" w:hAnsi="宋体"/>
          <w:color w:val="auto"/>
          <w:sz w:val="24"/>
          <w:highlight w:val="none"/>
        </w:rPr>
      </w:pPr>
    </w:p>
    <w:p w14:paraId="58CC22E2">
      <w:pPr>
        <w:spacing w:line="520" w:lineRule="exact"/>
        <w:jc w:val="center"/>
        <w:rPr>
          <w:rFonts w:ascii="宋体" w:hAnsi="宋体"/>
          <w:color w:val="auto"/>
          <w:sz w:val="24"/>
          <w:highlight w:val="none"/>
        </w:rPr>
      </w:pPr>
    </w:p>
    <w:p w14:paraId="4B5C43FA">
      <w:pPr>
        <w:spacing w:line="520" w:lineRule="exact"/>
        <w:jc w:val="both"/>
        <w:rPr>
          <w:rFonts w:ascii="宋体" w:hAnsi="宋体"/>
          <w:color w:val="auto"/>
          <w:sz w:val="24"/>
          <w:highlight w:val="none"/>
        </w:rPr>
      </w:pPr>
    </w:p>
    <w:p w14:paraId="5C433EB8">
      <w:pPr>
        <w:spacing w:line="360" w:lineRule="auto"/>
        <w:ind w:firstLine="3080" w:firstLineChars="700"/>
        <w:rPr>
          <w:rFonts w:hint="eastAsia" w:ascii="宋体" w:hAnsi="宋体" w:cs="宋体"/>
          <w:color w:val="auto"/>
          <w:sz w:val="24"/>
          <w:highlight w:val="none"/>
          <w:u w:val="single"/>
        </w:rPr>
      </w:pPr>
      <w:bookmarkStart w:id="84" w:name="_Toc18784"/>
      <w:r>
        <w:rPr>
          <w:rFonts w:hint="eastAsia" w:ascii="宋体" w:hAnsi="宋体"/>
          <w:b w:val="0"/>
          <w:bCs w:val="0"/>
          <w:color w:val="auto"/>
          <w:sz w:val="44"/>
          <w:szCs w:val="52"/>
        </w:rPr>
        <w:t>第六章  合同文本</w:t>
      </w:r>
      <w:r>
        <w:rPr>
          <w:rFonts w:hint="eastAsia" w:ascii="宋体" w:hAnsi="宋体"/>
          <w:b w:val="0"/>
          <w:bCs w:val="0"/>
          <w:color w:val="auto"/>
          <w:sz w:val="44"/>
          <w:szCs w:val="52"/>
        </w:rPr>
        <w:br w:type="page"/>
      </w:r>
      <w:bookmarkEnd w:id="84"/>
      <w:r>
        <w:rPr>
          <w:rFonts w:hint="eastAsia" w:ascii="宋体" w:hAnsi="宋体" w:cs="宋体"/>
          <w:color w:val="auto"/>
          <w:sz w:val="24"/>
          <w:highlight w:val="none"/>
        </w:rPr>
        <w:t>广西政府采购云平台合同编号：</w:t>
      </w:r>
      <w:r>
        <w:rPr>
          <w:rFonts w:hint="eastAsia" w:ascii="宋体" w:hAnsi="宋体" w:cs="宋体"/>
          <w:color w:val="auto"/>
          <w:sz w:val="24"/>
          <w:highlight w:val="none"/>
          <w:u w:val="single"/>
        </w:rPr>
        <w:t xml:space="preserve">           </w:t>
      </w:r>
    </w:p>
    <w:p w14:paraId="550B77FA">
      <w:pPr>
        <w:spacing w:line="360" w:lineRule="auto"/>
        <w:jc w:val="center"/>
        <w:rPr>
          <w:rFonts w:hint="eastAsia" w:ascii="宋体" w:hAnsi="宋体" w:cs="宋体"/>
          <w:b/>
          <w:bCs/>
          <w:color w:val="auto"/>
          <w:sz w:val="52"/>
          <w:highlight w:val="none"/>
        </w:rPr>
      </w:pPr>
    </w:p>
    <w:p w14:paraId="2D3F678B">
      <w:pPr>
        <w:spacing w:line="360" w:lineRule="auto"/>
        <w:jc w:val="center"/>
        <w:rPr>
          <w:rFonts w:hint="eastAsia" w:ascii="宋体" w:hAnsi="宋体" w:cs="宋体"/>
          <w:b/>
          <w:bCs/>
          <w:color w:val="auto"/>
          <w:sz w:val="52"/>
          <w:highlight w:val="none"/>
        </w:rPr>
      </w:pPr>
      <w:r>
        <w:rPr>
          <w:rFonts w:hint="eastAsia" w:ascii="宋体" w:hAnsi="宋体" w:cs="宋体"/>
          <w:b/>
          <w:bCs/>
          <w:color w:val="auto"/>
          <w:sz w:val="52"/>
          <w:highlight w:val="none"/>
        </w:rPr>
        <w:t>南 宁 市 政 府 采 购</w:t>
      </w:r>
    </w:p>
    <w:p w14:paraId="27BB3304">
      <w:pPr>
        <w:spacing w:line="360" w:lineRule="auto"/>
        <w:ind w:firstLine="420" w:firstLineChars="200"/>
        <w:rPr>
          <w:rFonts w:hint="eastAsia" w:ascii="宋体" w:hAnsi="宋体" w:cs="宋体"/>
          <w:color w:val="auto"/>
          <w:highlight w:val="none"/>
        </w:rPr>
      </w:pPr>
    </w:p>
    <w:p w14:paraId="4CDD8E39">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 xml:space="preserve">                                                 </w:t>
      </w:r>
    </w:p>
    <w:p w14:paraId="4B298405">
      <w:pPr>
        <w:spacing w:line="360" w:lineRule="auto"/>
        <w:jc w:val="center"/>
        <w:rPr>
          <w:rFonts w:hint="eastAsia" w:ascii="宋体" w:hAnsi="宋体" w:cs="宋体"/>
          <w:b/>
          <w:bCs/>
          <w:color w:val="auto"/>
          <w:sz w:val="44"/>
          <w:highlight w:val="none"/>
        </w:rPr>
      </w:pPr>
      <w:r>
        <w:rPr>
          <w:rFonts w:hint="eastAsia" w:ascii="宋体" w:hAnsi="宋体" w:cs="宋体"/>
          <w:b/>
          <w:bCs/>
          <w:color w:val="auto"/>
          <w:sz w:val="44"/>
          <w:highlight w:val="none"/>
          <w:u w:val="single"/>
        </w:rPr>
        <w:t xml:space="preserve">         （项目名称）         </w:t>
      </w:r>
      <w:r>
        <w:rPr>
          <w:rFonts w:hint="eastAsia" w:ascii="宋体" w:hAnsi="宋体" w:cs="宋体"/>
          <w:b/>
          <w:bCs/>
          <w:color w:val="auto"/>
          <w:sz w:val="44"/>
          <w:highlight w:val="none"/>
        </w:rPr>
        <w:t>合同</w:t>
      </w:r>
    </w:p>
    <w:p w14:paraId="0A3A22E5">
      <w:pPr>
        <w:spacing w:line="360" w:lineRule="auto"/>
        <w:jc w:val="center"/>
        <w:rPr>
          <w:rFonts w:hint="eastAsia" w:ascii="宋体" w:hAnsi="宋体" w:cs="宋体"/>
          <w:b/>
          <w:bCs/>
          <w:color w:val="auto"/>
          <w:sz w:val="44"/>
          <w:highlight w:val="none"/>
        </w:rPr>
      </w:pPr>
    </w:p>
    <w:p w14:paraId="1793A99D">
      <w:pPr>
        <w:spacing w:line="360" w:lineRule="auto"/>
        <w:jc w:val="center"/>
        <w:rPr>
          <w:rFonts w:hint="eastAsia" w:ascii="宋体" w:hAnsi="宋体" w:cs="宋体"/>
          <w:b/>
          <w:bCs/>
          <w:color w:val="auto"/>
          <w:sz w:val="44"/>
          <w:highlight w:val="none"/>
        </w:rPr>
      </w:pPr>
    </w:p>
    <w:p w14:paraId="7ACBB39D">
      <w:pPr>
        <w:spacing w:line="360" w:lineRule="auto"/>
        <w:ind w:firstLine="3507" w:firstLineChars="794"/>
        <w:rPr>
          <w:rFonts w:hint="eastAsia" w:ascii="宋体" w:hAnsi="宋体" w:cs="宋体"/>
          <w:b/>
          <w:bCs/>
          <w:color w:val="auto"/>
          <w:sz w:val="44"/>
          <w:highlight w:val="none"/>
        </w:rPr>
      </w:pPr>
    </w:p>
    <w:p w14:paraId="0E766555">
      <w:pPr>
        <w:spacing w:line="360" w:lineRule="auto"/>
        <w:ind w:firstLine="3507" w:firstLineChars="794"/>
        <w:rPr>
          <w:rFonts w:hint="eastAsia" w:ascii="宋体" w:hAnsi="宋体" w:cs="宋体"/>
          <w:b/>
          <w:bCs/>
          <w:color w:val="auto"/>
          <w:sz w:val="44"/>
          <w:highlight w:val="none"/>
        </w:rPr>
      </w:pPr>
    </w:p>
    <w:p w14:paraId="399E7CFA">
      <w:pPr>
        <w:ind w:firstLine="1995" w:firstLineChars="552"/>
        <w:rPr>
          <w:rFonts w:hint="eastAsia" w:ascii="宋体" w:hAnsi="宋体" w:cs="宋体"/>
          <w:b/>
          <w:color w:val="auto"/>
          <w:sz w:val="36"/>
          <w:szCs w:val="36"/>
          <w:highlight w:val="none"/>
        </w:rPr>
      </w:pPr>
      <w:r>
        <w:rPr>
          <w:rFonts w:hint="eastAsia" w:ascii="宋体" w:hAnsi="宋体" w:cs="宋体"/>
          <w:b/>
          <w:color w:val="auto"/>
          <w:sz w:val="36"/>
          <w:szCs w:val="36"/>
          <w:highlight w:val="none"/>
        </w:rPr>
        <w:t>项目编号：</w:t>
      </w:r>
      <w:r>
        <w:rPr>
          <w:rFonts w:hint="eastAsia" w:ascii="宋体" w:hAnsi="宋体" w:cs="宋体"/>
          <w:b/>
          <w:color w:val="auto"/>
          <w:sz w:val="36"/>
          <w:szCs w:val="36"/>
          <w:highlight w:val="none"/>
          <w:u w:val="single"/>
        </w:rPr>
        <w:t xml:space="preserve">                     </w:t>
      </w:r>
    </w:p>
    <w:p w14:paraId="6F8CA455">
      <w:pPr>
        <w:ind w:firstLine="1995" w:firstLineChars="552"/>
        <w:rPr>
          <w:rFonts w:hint="eastAsia" w:ascii="宋体" w:hAnsi="宋体" w:cs="宋体"/>
          <w:b/>
          <w:color w:val="auto"/>
          <w:sz w:val="36"/>
          <w:szCs w:val="36"/>
          <w:highlight w:val="none"/>
        </w:rPr>
      </w:pPr>
      <w:r>
        <w:rPr>
          <w:rFonts w:hint="eastAsia" w:ascii="宋体" w:hAnsi="宋体" w:cs="宋体"/>
          <w:b/>
          <w:color w:val="auto"/>
          <w:sz w:val="36"/>
          <w:szCs w:val="36"/>
          <w:highlight w:val="none"/>
        </w:rPr>
        <w:t>计划编号：</w:t>
      </w:r>
      <w:r>
        <w:rPr>
          <w:rFonts w:hint="eastAsia" w:ascii="宋体" w:hAnsi="宋体" w:cs="宋体"/>
          <w:b/>
          <w:color w:val="auto"/>
          <w:sz w:val="36"/>
          <w:szCs w:val="36"/>
          <w:highlight w:val="none"/>
          <w:u w:val="single"/>
        </w:rPr>
        <w:t xml:space="preserve">                     </w:t>
      </w:r>
    </w:p>
    <w:p w14:paraId="4FF4B17B">
      <w:pPr>
        <w:ind w:firstLine="1995" w:firstLineChars="552"/>
        <w:rPr>
          <w:rFonts w:hint="eastAsia" w:ascii="宋体" w:hAnsi="宋体" w:cs="宋体"/>
          <w:b/>
          <w:color w:val="auto"/>
          <w:sz w:val="36"/>
          <w:szCs w:val="36"/>
          <w:highlight w:val="none"/>
          <w:u w:val="single"/>
        </w:rPr>
      </w:pPr>
    </w:p>
    <w:p w14:paraId="7A3C8975">
      <w:pPr>
        <w:tabs>
          <w:tab w:val="left" w:pos="7200"/>
        </w:tabs>
        <w:spacing w:line="360" w:lineRule="auto"/>
        <w:ind w:firstLine="1995" w:firstLineChars="552"/>
        <w:rPr>
          <w:rFonts w:hint="eastAsia" w:ascii="宋体" w:hAnsi="宋体" w:cs="宋体"/>
          <w:b/>
          <w:color w:val="auto"/>
          <w:sz w:val="36"/>
          <w:szCs w:val="36"/>
          <w:highlight w:val="none"/>
          <w:u w:val="single"/>
        </w:rPr>
      </w:pPr>
      <w:r>
        <w:rPr>
          <w:rFonts w:hint="eastAsia" w:ascii="宋体" w:hAnsi="宋体" w:cs="宋体"/>
          <w:b/>
          <w:color w:val="auto"/>
          <w:sz w:val="36"/>
          <w:szCs w:val="36"/>
          <w:highlight w:val="none"/>
        </w:rPr>
        <w:t>采购人：</w:t>
      </w:r>
      <w:r>
        <w:rPr>
          <w:rFonts w:hint="eastAsia" w:ascii="宋体" w:hAnsi="宋体" w:cs="宋体"/>
          <w:b/>
          <w:color w:val="auto"/>
          <w:sz w:val="36"/>
          <w:szCs w:val="36"/>
          <w:highlight w:val="none"/>
          <w:u w:val="single"/>
        </w:rPr>
        <w:t xml:space="preserve">                       </w:t>
      </w:r>
    </w:p>
    <w:p w14:paraId="53C402B6">
      <w:pPr>
        <w:tabs>
          <w:tab w:val="left" w:pos="7380"/>
        </w:tabs>
        <w:spacing w:line="360" w:lineRule="auto"/>
        <w:ind w:firstLine="1995" w:firstLineChars="552"/>
        <w:rPr>
          <w:rFonts w:hint="eastAsia" w:ascii="宋体" w:hAnsi="宋体" w:cs="宋体"/>
          <w:b/>
          <w:bCs/>
          <w:color w:val="auto"/>
          <w:sz w:val="44"/>
          <w:highlight w:val="none"/>
        </w:rPr>
      </w:pPr>
      <w:r>
        <w:rPr>
          <w:rFonts w:hint="eastAsia" w:ascii="宋体" w:hAnsi="宋体" w:cs="宋体"/>
          <w:b/>
          <w:color w:val="auto"/>
          <w:sz w:val="36"/>
          <w:szCs w:val="36"/>
          <w:highlight w:val="none"/>
          <w:lang w:val="en-US" w:eastAsia="zh-CN"/>
        </w:rPr>
        <w:t>成交</w:t>
      </w:r>
      <w:r>
        <w:rPr>
          <w:rFonts w:hint="eastAsia" w:ascii="宋体" w:hAnsi="宋体" w:cs="宋体"/>
          <w:b/>
          <w:color w:val="auto"/>
          <w:sz w:val="36"/>
          <w:szCs w:val="36"/>
          <w:highlight w:val="none"/>
        </w:rPr>
        <w:t>供应商：</w:t>
      </w:r>
      <w:r>
        <w:rPr>
          <w:rFonts w:hint="eastAsia" w:ascii="宋体" w:hAnsi="宋体" w:cs="宋体"/>
          <w:b/>
          <w:color w:val="auto"/>
          <w:sz w:val="36"/>
          <w:szCs w:val="36"/>
          <w:highlight w:val="none"/>
          <w:u w:val="single"/>
        </w:rPr>
        <w:t xml:space="preserve">                   </w:t>
      </w:r>
    </w:p>
    <w:p w14:paraId="7C4639BA">
      <w:pPr>
        <w:tabs>
          <w:tab w:val="left" w:pos="7380"/>
        </w:tabs>
        <w:spacing w:line="360" w:lineRule="auto"/>
        <w:rPr>
          <w:rFonts w:hint="eastAsia" w:ascii="宋体" w:hAnsi="宋体" w:cs="宋体"/>
          <w:b/>
          <w:bCs/>
          <w:color w:val="auto"/>
          <w:sz w:val="44"/>
          <w:highlight w:val="none"/>
        </w:rPr>
      </w:pPr>
    </w:p>
    <w:p w14:paraId="54DC5204">
      <w:pPr>
        <w:spacing w:before="120" w:line="360" w:lineRule="auto"/>
        <w:ind w:firstLine="960" w:firstLineChars="400"/>
        <w:rPr>
          <w:rFonts w:hint="eastAsia" w:ascii="宋体" w:hAnsi="宋体" w:cs="宋体"/>
          <w:color w:val="auto"/>
          <w:sz w:val="24"/>
          <w:highlight w:val="none"/>
        </w:rPr>
      </w:pPr>
    </w:p>
    <w:p w14:paraId="1A80A146">
      <w:pPr>
        <w:spacing w:before="120" w:line="360" w:lineRule="auto"/>
        <w:ind w:firstLine="960" w:firstLineChars="400"/>
        <w:rPr>
          <w:rFonts w:hint="eastAsia" w:ascii="宋体" w:hAnsi="宋体" w:cs="宋体"/>
          <w:color w:val="auto"/>
          <w:sz w:val="24"/>
          <w:highlight w:val="none"/>
        </w:rPr>
      </w:pPr>
    </w:p>
    <w:p w14:paraId="4E98DB8C">
      <w:pPr>
        <w:spacing w:before="120" w:line="360" w:lineRule="auto"/>
        <w:ind w:firstLine="2280" w:firstLineChars="950"/>
        <w:rPr>
          <w:rFonts w:hint="eastAsia" w:ascii="宋体" w:hAnsi="宋体" w:cs="宋体"/>
          <w:color w:val="auto"/>
          <w:sz w:val="24"/>
          <w:highlight w:val="none"/>
          <w:u w:val="single"/>
        </w:rPr>
      </w:pPr>
      <w:r>
        <w:rPr>
          <w:rFonts w:hint="eastAsia" w:ascii="宋体" w:hAnsi="宋体" w:cs="宋体"/>
          <w:color w:val="auto"/>
          <w:sz w:val="24"/>
          <w:highlight w:val="none"/>
        </w:rPr>
        <w:t>签订日期：</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w:t>
      </w:r>
    </w:p>
    <w:p w14:paraId="2D72D929">
      <w:pPr>
        <w:autoSpaceDE w:val="0"/>
        <w:autoSpaceDN w:val="0"/>
        <w:adjustRightInd w:val="0"/>
        <w:snapToGrid w:val="0"/>
        <w:spacing w:after="120" w:line="360" w:lineRule="auto"/>
        <w:ind w:left="420" w:leftChars="200" w:firstLine="883" w:firstLineChars="200"/>
        <w:jc w:val="center"/>
        <w:rPr>
          <w:rFonts w:hint="eastAsia" w:ascii="宋体" w:hAnsi="宋体" w:cs="宋体"/>
          <w:b/>
          <w:bCs/>
          <w:color w:val="auto"/>
          <w:sz w:val="44"/>
          <w:szCs w:val="21"/>
          <w:highlight w:val="none"/>
        </w:rPr>
      </w:pPr>
    </w:p>
    <w:p w14:paraId="30433331">
      <w:pPr>
        <w:snapToGrid w:val="0"/>
        <w:spacing w:line="360" w:lineRule="auto"/>
        <w:jc w:val="center"/>
        <w:rPr>
          <w:rFonts w:hint="eastAsia" w:ascii="宋体" w:hAnsi="宋体" w:cs="宋体"/>
          <w:b/>
          <w:bCs/>
          <w:color w:val="auto"/>
          <w:sz w:val="44"/>
          <w:highlight w:val="none"/>
        </w:rPr>
      </w:pPr>
      <w:r>
        <w:rPr>
          <w:rFonts w:hint="eastAsia" w:ascii="宋体" w:hAnsi="宋体" w:cs="宋体"/>
          <w:b/>
          <w:bCs/>
          <w:color w:val="auto"/>
          <w:sz w:val="44"/>
          <w:highlight w:val="none"/>
        </w:rPr>
        <w:br w:type="page"/>
      </w:r>
    </w:p>
    <w:p w14:paraId="16869865">
      <w:pPr>
        <w:snapToGrid w:val="0"/>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合同目录</w:t>
      </w:r>
    </w:p>
    <w:p w14:paraId="477E1E23">
      <w:pPr>
        <w:snapToGrid w:val="0"/>
        <w:spacing w:line="360" w:lineRule="auto"/>
        <w:jc w:val="center"/>
        <w:rPr>
          <w:rFonts w:hint="eastAsia" w:ascii="宋体" w:hAnsi="宋体" w:cs="宋体"/>
          <w:b/>
          <w:bCs/>
          <w:color w:val="auto"/>
          <w:sz w:val="44"/>
          <w:highlight w:val="none"/>
        </w:rPr>
      </w:pPr>
    </w:p>
    <w:p w14:paraId="31BC0587">
      <w:pPr>
        <w:snapToGrid w:val="0"/>
        <w:spacing w:line="36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一、</w:t>
      </w:r>
      <w:r>
        <w:rPr>
          <w:rFonts w:hint="eastAsia" w:ascii="宋体" w:hAnsi="宋体" w:cs="宋体"/>
          <w:color w:val="auto"/>
          <w:sz w:val="24"/>
          <w:highlight w:val="none"/>
        </w:rPr>
        <w:t>第一部分 合同书</w:t>
      </w:r>
      <w:r>
        <w:rPr>
          <w:rFonts w:hint="eastAsia" w:ascii="宋体" w:hAnsi="宋体" w:cs="宋体"/>
          <w:color w:val="auto"/>
          <w:kern w:val="0"/>
          <w:sz w:val="24"/>
          <w:highlight w:val="none"/>
        </w:rPr>
        <w:t>……………………………………………………………（页码）</w:t>
      </w:r>
    </w:p>
    <w:p w14:paraId="027CFF25">
      <w:pPr>
        <w:snapToGrid w:val="0"/>
        <w:spacing w:line="36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二、第二部分 合同一般条款……………………………………………………（页码）</w:t>
      </w:r>
    </w:p>
    <w:p w14:paraId="36E5DAD9">
      <w:pPr>
        <w:snapToGrid w:val="0"/>
        <w:spacing w:line="36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三、第三部分 合同专用条款……………………………………………………（页码）</w:t>
      </w:r>
    </w:p>
    <w:p w14:paraId="513712CA">
      <w:pPr>
        <w:snapToGrid w:val="0"/>
        <w:spacing w:line="36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四、</w:t>
      </w:r>
      <w:r>
        <w:rPr>
          <w:rFonts w:hint="eastAsia" w:ascii="宋体" w:hAnsi="宋体" w:cs="宋体"/>
          <w:color w:val="auto"/>
          <w:sz w:val="24"/>
          <w:highlight w:val="none"/>
        </w:rPr>
        <w:t>第四部分 合同附件</w:t>
      </w:r>
      <w:r>
        <w:rPr>
          <w:rFonts w:hint="eastAsia" w:ascii="宋体" w:hAnsi="宋体" w:cs="宋体"/>
          <w:color w:val="auto"/>
          <w:kern w:val="0"/>
          <w:sz w:val="24"/>
          <w:highlight w:val="none"/>
        </w:rPr>
        <w:t>…………………………………………………………（页码）</w:t>
      </w:r>
    </w:p>
    <w:p w14:paraId="33AA84E0">
      <w:pPr>
        <w:snapToGrid w:val="0"/>
        <w:spacing w:line="36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4.1中标通知书 …………………………………………………………………（页码）</w:t>
      </w:r>
    </w:p>
    <w:p w14:paraId="385EAB3E">
      <w:pPr>
        <w:snapToGrid w:val="0"/>
        <w:spacing w:line="36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4.2招标文件服务需求一览表 …………………………………………………（页码）</w:t>
      </w:r>
    </w:p>
    <w:p w14:paraId="3E4A75D9">
      <w:pPr>
        <w:snapToGrid w:val="0"/>
        <w:spacing w:line="36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4.3招标文件的更改通知（如有） ……………………………………………（页码）</w:t>
      </w:r>
    </w:p>
    <w:p w14:paraId="7A06970F">
      <w:pPr>
        <w:snapToGrid w:val="0"/>
        <w:spacing w:line="36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4.4投标函 ………………………………………………………………………（页码）</w:t>
      </w:r>
    </w:p>
    <w:p w14:paraId="69FC0EF0">
      <w:pPr>
        <w:snapToGrid w:val="0"/>
        <w:spacing w:line="36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4.5报价表（开标一览表） ……………………………………………………（页码）</w:t>
      </w:r>
    </w:p>
    <w:p w14:paraId="189A176E">
      <w:pPr>
        <w:snapToGrid w:val="0"/>
        <w:spacing w:line="36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4.6投标服务技术资料表（服务需求、技术需求偏离表） …………………（页码）</w:t>
      </w:r>
    </w:p>
    <w:p w14:paraId="3F0544EF">
      <w:pPr>
        <w:snapToGrid w:val="0"/>
        <w:spacing w:line="36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4.7商务条款偏离表 ……………………………………………………………（页码）</w:t>
      </w:r>
    </w:p>
    <w:p w14:paraId="2EA2BE4A">
      <w:pPr>
        <w:snapToGrid w:val="0"/>
        <w:spacing w:line="36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4.8中标供应商澄清函（如有请提供） ………………………………………（页码）</w:t>
      </w:r>
    </w:p>
    <w:p w14:paraId="38CCB54D">
      <w:pPr>
        <w:snapToGrid w:val="0"/>
        <w:spacing w:line="36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4.9其他与本合同相关的资料（如有请提供） ………………………………（页码）</w:t>
      </w:r>
    </w:p>
    <w:p w14:paraId="0B854EA4">
      <w:pPr>
        <w:snapToGrid w:val="0"/>
        <w:spacing w:line="360" w:lineRule="auto"/>
        <w:rPr>
          <w:rFonts w:hint="eastAsia" w:ascii="宋体" w:hAnsi="宋体" w:cs="宋体"/>
          <w:color w:val="auto"/>
          <w:kern w:val="0"/>
          <w:sz w:val="24"/>
          <w:highlight w:val="none"/>
        </w:rPr>
      </w:pPr>
    </w:p>
    <w:p w14:paraId="19880245">
      <w:pPr>
        <w:widowControl/>
        <w:jc w:val="left"/>
        <w:rPr>
          <w:rFonts w:hint="eastAsia" w:ascii="宋体" w:hAnsi="宋体" w:cs="宋体"/>
          <w:color w:val="auto"/>
          <w:spacing w:val="-4"/>
          <w:sz w:val="24"/>
          <w:highlight w:val="none"/>
        </w:rPr>
        <w:sectPr>
          <w:pgSz w:w="11906" w:h="16838"/>
          <w:pgMar w:top="1134" w:right="1134" w:bottom="1134" w:left="1134" w:header="720" w:footer="720" w:gutter="0"/>
          <w:cols w:space="720" w:num="1"/>
          <w:docGrid w:type="lines" w:linePitch="331" w:charSpace="0"/>
        </w:sectPr>
      </w:pPr>
    </w:p>
    <w:p w14:paraId="396C0937">
      <w:pPr>
        <w:autoSpaceDE w:val="0"/>
        <w:autoSpaceDN w:val="0"/>
        <w:adjustRightInd w:val="0"/>
        <w:snapToGrid w:val="0"/>
        <w:spacing w:after="120" w:line="360" w:lineRule="auto"/>
        <w:jc w:val="center"/>
        <w:outlineLvl w:val="1"/>
        <w:rPr>
          <w:rFonts w:hint="eastAsia" w:ascii="仿宋_GB2312" w:hAnsi="楷体" w:eastAsia="仿宋_GB2312"/>
          <w:b/>
          <w:color w:val="auto"/>
          <w:sz w:val="24"/>
          <w:highlight w:val="none"/>
        </w:rPr>
      </w:pPr>
      <w:r>
        <w:rPr>
          <w:rFonts w:hint="eastAsia" w:ascii="仿宋_GB2312" w:hAnsi="楷体" w:eastAsia="仿宋_GB2312"/>
          <w:b/>
          <w:color w:val="auto"/>
          <w:sz w:val="24"/>
          <w:highlight w:val="none"/>
        </w:rPr>
        <w:t>第一部分 合同书</w:t>
      </w:r>
    </w:p>
    <w:p w14:paraId="1A69F098">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u w:val="single"/>
          <w:lang w:val="zh-CN"/>
        </w:rPr>
        <w:t xml:space="preserve">     </w:t>
      </w:r>
      <w:r>
        <w:rPr>
          <w:rFonts w:hint="eastAsia" w:ascii="仿宋_GB2312" w:hAnsi="楷体" w:eastAsia="仿宋_GB2312"/>
          <w:color w:val="auto"/>
          <w:sz w:val="24"/>
          <w:highlight w:val="none"/>
          <w:lang w:val="zh-CN"/>
        </w:rPr>
        <w:t>年</w:t>
      </w:r>
      <w:r>
        <w:rPr>
          <w:rFonts w:hint="eastAsia" w:ascii="仿宋_GB2312" w:hAnsi="楷体" w:eastAsia="仿宋_GB2312"/>
          <w:color w:val="auto"/>
          <w:sz w:val="24"/>
          <w:highlight w:val="none"/>
          <w:u w:val="single"/>
          <w:lang w:val="zh-CN"/>
        </w:rPr>
        <w:t xml:space="preserve">    </w:t>
      </w:r>
      <w:r>
        <w:rPr>
          <w:rFonts w:hint="eastAsia" w:ascii="仿宋_GB2312" w:hAnsi="楷体" w:eastAsia="仿宋_GB2312"/>
          <w:color w:val="auto"/>
          <w:sz w:val="24"/>
          <w:highlight w:val="none"/>
          <w:lang w:val="zh-CN"/>
        </w:rPr>
        <w:t>月</w:t>
      </w:r>
      <w:r>
        <w:rPr>
          <w:rFonts w:hint="eastAsia" w:ascii="仿宋_GB2312" w:hAnsi="楷体" w:eastAsia="仿宋_GB2312"/>
          <w:color w:val="auto"/>
          <w:sz w:val="24"/>
          <w:highlight w:val="none"/>
          <w:u w:val="single"/>
          <w:lang w:val="zh-CN"/>
        </w:rPr>
        <w:t xml:space="preserve">    </w:t>
      </w:r>
      <w:r>
        <w:rPr>
          <w:rFonts w:hint="eastAsia" w:ascii="仿宋_GB2312" w:hAnsi="楷体" w:eastAsia="仿宋_GB2312"/>
          <w:color w:val="auto"/>
          <w:sz w:val="24"/>
          <w:highlight w:val="none"/>
          <w:lang w:val="zh-CN"/>
        </w:rPr>
        <w:t>日</w:t>
      </w:r>
      <w:r>
        <w:rPr>
          <w:rFonts w:hint="eastAsia" w:ascii="仿宋_GB2312" w:hAnsi="楷体" w:eastAsia="仿宋_GB2312"/>
          <w:color w:val="auto"/>
          <w:sz w:val="24"/>
          <w:highlight w:val="none"/>
        </w:rPr>
        <w:t>，</w:t>
      </w:r>
      <w:r>
        <w:rPr>
          <w:rFonts w:hint="eastAsia" w:ascii="仿宋_GB2312" w:hAnsi="楷体" w:eastAsia="仿宋_GB2312"/>
          <w:color w:val="auto"/>
          <w:sz w:val="24"/>
          <w:highlight w:val="none"/>
          <w:u w:val="single"/>
        </w:rPr>
        <w:t>中国共产主义青年团南宁市委员会</w:t>
      </w:r>
      <w:r>
        <w:rPr>
          <w:rFonts w:hint="eastAsia" w:ascii="仿宋_GB2312" w:hAnsi="仿宋" w:eastAsia="仿宋_GB2312"/>
          <w:color w:val="auto"/>
          <w:sz w:val="24"/>
          <w:highlight w:val="none"/>
        </w:rPr>
        <w:t>以</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u w:val="single"/>
          <w:lang w:val="en-US" w:eastAsia="zh-CN"/>
        </w:rPr>
        <w:t>竞争性磋商</w:t>
      </w:r>
      <w:r>
        <w:rPr>
          <w:rFonts w:hint="eastAsia" w:ascii="仿宋_GB2312" w:hAnsi="仿宋" w:eastAsia="仿宋_GB2312"/>
          <w:color w:val="auto"/>
          <w:sz w:val="24"/>
          <w:highlight w:val="none"/>
          <w:u w:val="single"/>
        </w:rPr>
        <w:t xml:space="preserve">方式  </w:t>
      </w:r>
      <w:r>
        <w:rPr>
          <w:rFonts w:hint="eastAsia" w:ascii="仿宋_GB2312" w:hAnsi="仿宋" w:eastAsia="仿宋_GB2312"/>
          <w:color w:val="auto"/>
          <w:sz w:val="24"/>
          <w:highlight w:val="none"/>
        </w:rPr>
        <w:t>对</w:t>
      </w:r>
      <w:r>
        <w:rPr>
          <w:rFonts w:hint="eastAsia" w:ascii="仿宋_GB2312" w:hAnsi="仿宋" w:eastAsia="仿宋_GB2312"/>
          <w:color w:val="auto"/>
          <w:sz w:val="24"/>
          <w:highlight w:val="none"/>
          <w:u w:val="single"/>
        </w:rPr>
        <w:t>南宁市青年人才驿站</w:t>
      </w:r>
      <w:r>
        <w:rPr>
          <w:rFonts w:hint="eastAsia" w:ascii="仿宋_GB2312" w:hAnsi="楷体" w:eastAsia="仿宋_GB2312"/>
          <w:color w:val="auto"/>
          <w:sz w:val="24"/>
          <w:highlight w:val="none"/>
        </w:rPr>
        <w:t>进行了采购。经</w:t>
      </w:r>
      <w:r>
        <w:rPr>
          <w:rFonts w:hint="eastAsia" w:ascii="仿宋_GB2312" w:hAnsi="楷体" w:eastAsia="仿宋_GB2312"/>
          <w:color w:val="auto"/>
          <w:sz w:val="24"/>
          <w:highlight w:val="none"/>
          <w:u w:val="single"/>
        </w:rPr>
        <w:t xml:space="preserve">   （相关评定主体名称）   </w:t>
      </w:r>
      <w:r>
        <w:rPr>
          <w:rFonts w:hint="eastAsia" w:ascii="仿宋_GB2312" w:hAnsi="楷体" w:eastAsia="仿宋_GB2312"/>
          <w:color w:val="auto"/>
          <w:sz w:val="24"/>
          <w:highlight w:val="none"/>
        </w:rPr>
        <w:t>评定，</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u w:val="single"/>
          <w:lang w:val="en-US" w:eastAsia="zh-CN"/>
        </w:rPr>
        <w:t>成交供应商</w:t>
      </w:r>
      <w:r>
        <w:rPr>
          <w:rFonts w:hint="eastAsia" w:ascii="仿宋_GB2312" w:hAnsi="楷体" w:eastAsia="仿宋_GB2312"/>
          <w:color w:val="auto"/>
          <w:sz w:val="24"/>
          <w:highlight w:val="none"/>
          <w:u w:val="single"/>
        </w:rPr>
        <w:t>名称）</w:t>
      </w:r>
      <w:r>
        <w:rPr>
          <w:rFonts w:hint="eastAsia" w:ascii="仿宋_GB2312" w:hAnsi="楷体" w:eastAsia="仿宋_GB2312"/>
          <w:color w:val="auto"/>
          <w:sz w:val="24"/>
          <w:highlight w:val="none"/>
        </w:rPr>
        <w:t>为该项目</w:t>
      </w:r>
      <w:r>
        <w:rPr>
          <w:rFonts w:hint="eastAsia" w:ascii="仿宋_GB2312" w:hAnsi="楷体" w:eastAsia="仿宋_GB2312"/>
          <w:color w:val="auto"/>
          <w:sz w:val="24"/>
          <w:highlight w:val="none"/>
          <w:lang w:val="en-US" w:eastAsia="zh-CN"/>
        </w:rPr>
        <w:t>成交供应商</w:t>
      </w:r>
      <w:r>
        <w:rPr>
          <w:rFonts w:hint="eastAsia" w:ascii="仿宋_GB2312" w:hAnsi="楷体" w:eastAsia="仿宋_GB2312"/>
          <w:color w:val="auto"/>
          <w:sz w:val="24"/>
          <w:highlight w:val="none"/>
        </w:rPr>
        <w:t>。现于</w:t>
      </w:r>
      <w:r>
        <w:rPr>
          <w:rFonts w:hint="eastAsia" w:ascii="仿宋_GB2312" w:hAnsi="楷体" w:eastAsia="仿宋_GB2312"/>
          <w:color w:val="auto"/>
          <w:sz w:val="24"/>
          <w:highlight w:val="none"/>
          <w:lang w:val="en-US" w:eastAsia="zh-CN"/>
        </w:rPr>
        <w:t>成交</w:t>
      </w:r>
      <w:r>
        <w:rPr>
          <w:rFonts w:hint="eastAsia" w:ascii="仿宋_GB2312" w:hAnsi="楷体" w:eastAsia="仿宋_GB2312"/>
          <w:color w:val="auto"/>
          <w:sz w:val="24"/>
          <w:highlight w:val="none"/>
        </w:rPr>
        <w:t>通知书发出之日起</w:t>
      </w:r>
      <w:r>
        <w:rPr>
          <w:rFonts w:hint="eastAsia" w:ascii="仿宋_GB2312" w:hAnsi="楷体" w:eastAsia="仿宋_GB2312"/>
          <w:color w:val="auto"/>
          <w:sz w:val="24"/>
          <w:highlight w:val="none"/>
          <w:u w:val="single"/>
          <w:lang w:val="en-US" w:eastAsia="zh-CN"/>
        </w:rPr>
        <w:t>20日</w:t>
      </w:r>
      <w:r>
        <w:rPr>
          <w:rFonts w:hint="eastAsia" w:ascii="仿宋_GB2312" w:hAnsi="楷体" w:eastAsia="仿宋_GB2312"/>
          <w:color w:val="auto"/>
          <w:sz w:val="24"/>
          <w:highlight w:val="none"/>
        </w:rPr>
        <w:t>内，按照采购文件确定的事项签订本合同。</w:t>
      </w:r>
    </w:p>
    <w:p w14:paraId="19FEAC97">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lang w:val="zh-CN"/>
        </w:rPr>
        <w:t>根据《中华人民共和国民法典》、《中华人民共和国政府采购法》等相关法律法规之规定，按照平等、自愿、公平和诚实信用的原则，经</w:t>
      </w:r>
      <w:r>
        <w:rPr>
          <w:rFonts w:hint="eastAsia" w:ascii="仿宋_GB2312" w:hAnsi="楷体" w:eastAsia="仿宋_GB2312"/>
          <w:color w:val="auto"/>
          <w:sz w:val="24"/>
          <w:highlight w:val="none"/>
          <w:u w:val="single"/>
        </w:rPr>
        <w:t>中国共产主义青年团南宁市委员会</w:t>
      </w:r>
      <w:r>
        <w:rPr>
          <w:rFonts w:hint="eastAsia" w:ascii="仿宋_GB2312" w:hAnsi="楷体" w:eastAsia="仿宋_GB2312"/>
          <w:color w:val="auto"/>
          <w:sz w:val="24"/>
          <w:highlight w:val="none"/>
          <w:lang w:val="zh-CN"/>
        </w:rPr>
        <w:t>(以下简称：甲方)和</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u w:val="single"/>
          <w:lang w:val="en-US" w:eastAsia="zh-CN"/>
        </w:rPr>
        <w:t>成交供应商</w:t>
      </w:r>
      <w:r>
        <w:rPr>
          <w:rFonts w:hint="eastAsia" w:ascii="仿宋_GB2312" w:hAnsi="楷体" w:eastAsia="仿宋_GB2312"/>
          <w:color w:val="auto"/>
          <w:sz w:val="24"/>
          <w:highlight w:val="none"/>
          <w:u w:val="single"/>
        </w:rPr>
        <w:t xml:space="preserve">名称）   </w:t>
      </w:r>
      <w:r>
        <w:rPr>
          <w:rFonts w:hint="eastAsia" w:ascii="仿宋_GB2312" w:hAnsi="楷体" w:eastAsia="仿宋_GB2312"/>
          <w:color w:val="auto"/>
          <w:sz w:val="24"/>
          <w:highlight w:val="none"/>
          <w:lang w:val="zh-CN"/>
        </w:rPr>
        <w:t>(以下简称：乙方)协商一致，约定以下合同</w:t>
      </w:r>
      <w:r>
        <w:rPr>
          <w:rFonts w:hint="eastAsia" w:ascii="仿宋_GB2312" w:hAnsi="楷体" w:eastAsia="仿宋_GB2312"/>
          <w:color w:val="auto"/>
          <w:sz w:val="24"/>
          <w:highlight w:val="none"/>
        </w:rPr>
        <w:t>条款，以兹共同遵守、全面履行。</w:t>
      </w:r>
    </w:p>
    <w:p w14:paraId="3D49373E">
      <w:pPr>
        <w:spacing w:line="360" w:lineRule="auto"/>
        <w:ind w:firstLine="482" w:firstLineChars="200"/>
        <w:rPr>
          <w:rFonts w:hint="eastAsia" w:ascii="仿宋_GB2312" w:hAnsi="楷体" w:eastAsia="仿宋_GB2312"/>
          <w:b/>
          <w:color w:val="auto"/>
          <w:sz w:val="24"/>
          <w:highlight w:val="none"/>
        </w:rPr>
      </w:pPr>
      <w:r>
        <w:rPr>
          <w:rFonts w:hint="eastAsia" w:ascii="仿宋_GB2312" w:hAnsi="楷体" w:eastAsia="仿宋_GB2312"/>
          <w:b/>
          <w:color w:val="auto"/>
          <w:sz w:val="24"/>
          <w:highlight w:val="none"/>
        </w:rPr>
        <w:t>1.1 合同组成部分</w:t>
      </w:r>
    </w:p>
    <w:p w14:paraId="13538FB0">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下列文件为本合同的组成部分，并构成一个整体，需综合解释、相互补充。如果下列文件内容出现不一致的情形，在保证按照采购文件确定的事项的前提下，组成本合同的多个文件的优先适用顺序如下：</w:t>
      </w:r>
    </w:p>
    <w:p w14:paraId="7B231FF0">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1.1.1 本合同及其补充合同、变更协议；</w:t>
      </w:r>
    </w:p>
    <w:p w14:paraId="793B0921">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 xml:space="preserve">1.1.2 </w:t>
      </w:r>
      <w:r>
        <w:rPr>
          <w:rFonts w:hint="eastAsia" w:ascii="仿宋_GB2312" w:hAnsi="楷体" w:eastAsia="仿宋_GB2312"/>
          <w:color w:val="auto"/>
          <w:sz w:val="24"/>
          <w:highlight w:val="none"/>
          <w:lang w:val="en-US" w:eastAsia="zh-CN"/>
        </w:rPr>
        <w:t>成交</w:t>
      </w:r>
      <w:r>
        <w:rPr>
          <w:rFonts w:hint="eastAsia" w:ascii="仿宋_GB2312" w:hAnsi="楷体" w:eastAsia="仿宋_GB2312"/>
          <w:color w:val="auto"/>
          <w:sz w:val="24"/>
          <w:highlight w:val="none"/>
        </w:rPr>
        <w:t>通知书；</w:t>
      </w:r>
    </w:p>
    <w:p w14:paraId="3A747B45">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 xml:space="preserve">1.1.3 </w:t>
      </w:r>
      <w:r>
        <w:rPr>
          <w:rFonts w:hint="eastAsia" w:ascii="仿宋_GB2312" w:hAnsi="楷体" w:eastAsia="仿宋_GB2312"/>
          <w:color w:val="auto"/>
          <w:sz w:val="24"/>
          <w:highlight w:val="none"/>
          <w:lang w:val="en-US" w:eastAsia="zh-CN"/>
        </w:rPr>
        <w:t>响应</w:t>
      </w:r>
      <w:r>
        <w:rPr>
          <w:rFonts w:hint="eastAsia" w:ascii="仿宋_GB2312" w:hAnsi="楷体" w:eastAsia="仿宋_GB2312"/>
          <w:color w:val="auto"/>
          <w:sz w:val="24"/>
          <w:highlight w:val="none"/>
        </w:rPr>
        <w:t>文件及“</w:t>
      </w:r>
      <w:r>
        <w:rPr>
          <w:rFonts w:hint="eastAsia" w:ascii="仿宋_GB2312" w:hAnsi="楷体" w:eastAsia="仿宋_GB2312"/>
          <w:color w:val="auto"/>
          <w:sz w:val="24"/>
          <w:highlight w:val="none"/>
          <w:lang w:val="en-US" w:eastAsia="zh-CN"/>
        </w:rPr>
        <w:t>响应</w:t>
      </w:r>
      <w:r>
        <w:rPr>
          <w:rFonts w:hint="eastAsia" w:ascii="仿宋_GB2312" w:hAnsi="楷体" w:eastAsia="仿宋_GB2312"/>
          <w:color w:val="auto"/>
          <w:sz w:val="24"/>
          <w:highlight w:val="none"/>
        </w:rPr>
        <w:t>报价”（含澄清或者说明文件）；</w:t>
      </w:r>
    </w:p>
    <w:p w14:paraId="3C9F85D1">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 xml:space="preserve">1.1.4 </w:t>
      </w:r>
      <w:r>
        <w:rPr>
          <w:rFonts w:hint="eastAsia" w:ascii="仿宋_GB2312" w:hAnsi="楷体" w:eastAsia="仿宋_GB2312"/>
          <w:color w:val="auto"/>
          <w:sz w:val="24"/>
          <w:highlight w:val="none"/>
          <w:lang w:val="en-US" w:eastAsia="zh-CN"/>
        </w:rPr>
        <w:t>竞争性磋商</w:t>
      </w:r>
      <w:r>
        <w:rPr>
          <w:rFonts w:hint="eastAsia" w:ascii="仿宋_GB2312" w:hAnsi="楷体" w:eastAsia="仿宋_GB2312"/>
          <w:color w:val="auto"/>
          <w:sz w:val="24"/>
          <w:highlight w:val="none"/>
        </w:rPr>
        <w:t>文件（含澄清或者修改文件）；</w:t>
      </w:r>
    </w:p>
    <w:p w14:paraId="35E1007D">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1.1.5 其他相关采购文件。</w:t>
      </w:r>
    </w:p>
    <w:p w14:paraId="3442BF5C">
      <w:pPr>
        <w:spacing w:line="360" w:lineRule="auto"/>
        <w:ind w:firstLine="482" w:firstLineChars="200"/>
        <w:rPr>
          <w:rFonts w:hint="eastAsia" w:ascii="仿宋_GB2312" w:hAnsi="楷体" w:eastAsia="仿宋_GB2312"/>
          <w:b/>
          <w:color w:val="auto"/>
          <w:sz w:val="24"/>
          <w:highlight w:val="none"/>
        </w:rPr>
      </w:pPr>
      <w:r>
        <w:rPr>
          <w:rFonts w:hint="eastAsia" w:ascii="仿宋_GB2312" w:hAnsi="楷体" w:eastAsia="仿宋_GB2312"/>
          <w:b/>
          <w:color w:val="auto"/>
          <w:sz w:val="24"/>
          <w:highlight w:val="none"/>
        </w:rPr>
        <w:t>1.2 标的物</w:t>
      </w:r>
    </w:p>
    <w:p w14:paraId="273E6510">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1.2.1 标的物1信息</w:t>
      </w:r>
    </w:p>
    <w:p w14:paraId="650B222F">
      <w:pPr>
        <w:spacing w:line="360" w:lineRule="auto"/>
        <w:ind w:firstLine="480" w:firstLineChars="200"/>
        <w:rPr>
          <w:rFonts w:hint="eastAsia" w:ascii="仿宋_GB2312" w:hAnsi="楷体" w:eastAsia="仿宋_GB2312"/>
          <w:color w:val="auto"/>
          <w:sz w:val="24"/>
          <w:highlight w:val="none"/>
          <w:u w:val="single"/>
        </w:rPr>
      </w:pPr>
      <w:r>
        <w:rPr>
          <w:rFonts w:hint="eastAsia" w:ascii="仿宋_GB2312" w:hAnsi="楷体" w:eastAsia="仿宋_GB2312"/>
          <w:color w:val="auto"/>
          <w:sz w:val="24"/>
          <w:highlight w:val="none"/>
        </w:rPr>
        <w:t>1.2.1.1名称：</w:t>
      </w:r>
      <w:r>
        <w:rPr>
          <w:rFonts w:hint="eastAsia" w:ascii="仿宋_GB2312" w:hAnsi="楷体" w:eastAsia="仿宋_GB2312"/>
          <w:color w:val="auto"/>
          <w:sz w:val="24"/>
          <w:highlight w:val="none"/>
          <w:u w:val="single"/>
        </w:rPr>
        <w:t>南宁市青年人才驿站</w:t>
      </w:r>
      <w:r>
        <w:rPr>
          <w:rFonts w:hint="eastAsia" w:ascii="仿宋_GB2312" w:hAnsi="楷体" w:eastAsia="仿宋_GB2312"/>
          <w:color w:val="auto"/>
          <w:sz w:val="24"/>
          <w:highlight w:val="none"/>
        </w:rPr>
        <w:t>；</w:t>
      </w:r>
    </w:p>
    <w:p w14:paraId="51ACCE6A">
      <w:pPr>
        <w:spacing w:line="360" w:lineRule="auto"/>
        <w:ind w:firstLine="480" w:firstLineChars="200"/>
        <w:rPr>
          <w:rFonts w:hint="eastAsia" w:ascii="仿宋_GB2312" w:hAnsi="楷体" w:eastAsia="仿宋_GB2312"/>
          <w:color w:val="auto"/>
          <w:sz w:val="24"/>
          <w:highlight w:val="none"/>
          <w:u w:val="single"/>
        </w:rPr>
      </w:pPr>
      <w:r>
        <w:rPr>
          <w:rFonts w:hint="eastAsia" w:ascii="仿宋_GB2312" w:hAnsi="楷体" w:eastAsia="仿宋_GB2312"/>
          <w:color w:val="auto"/>
          <w:sz w:val="24"/>
          <w:highlight w:val="none"/>
        </w:rPr>
        <w:t>1.2.1.2数量：</w:t>
      </w:r>
      <w:r>
        <w:rPr>
          <w:rFonts w:hint="eastAsia" w:ascii="仿宋_GB2312" w:hAnsi="楷体" w:eastAsia="仿宋_GB2312"/>
          <w:color w:val="auto"/>
          <w:sz w:val="24"/>
          <w:highlight w:val="none"/>
          <w:u w:val="single"/>
        </w:rPr>
        <w:t xml:space="preserve">  1项                             </w:t>
      </w:r>
      <w:r>
        <w:rPr>
          <w:rFonts w:hint="eastAsia" w:ascii="仿宋_GB2312" w:hAnsi="楷体" w:eastAsia="仿宋_GB2312"/>
          <w:color w:val="auto"/>
          <w:sz w:val="24"/>
          <w:highlight w:val="none"/>
        </w:rPr>
        <w:t>；</w:t>
      </w:r>
    </w:p>
    <w:p w14:paraId="336A0C08">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1.2.1.3质量：</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rPr>
        <w:t>。</w:t>
      </w:r>
    </w:p>
    <w:p w14:paraId="6762CC39">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w:t>
      </w:r>
    </w:p>
    <w:p w14:paraId="46103452">
      <w:pPr>
        <w:spacing w:line="360" w:lineRule="auto"/>
        <w:ind w:firstLine="482" w:firstLineChars="200"/>
        <w:rPr>
          <w:rFonts w:hint="eastAsia" w:ascii="仿宋_GB2312" w:hAnsi="楷体" w:eastAsia="仿宋_GB2312"/>
          <w:b/>
          <w:color w:val="auto"/>
          <w:sz w:val="24"/>
          <w:highlight w:val="none"/>
        </w:rPr>
      </w:pPr>
      <w:r>
        <w:rPr>
          <w:rFonts w:hint="eastAsia" w:ascii="仿宋_GB2312" w:hAnsi="楷体" w:eastAsia="仿宋_GB2312"/>
          <w:b/>
          <w:color w:val="auto"/>
          <w:sz w:val="24"/>
          <w:highlight w:val="none"/>
        </w:rPr>
        <w:t>1.3 价款</w:t>
      </w:r>
    </w:p>
    <w:p w14:paraId="65432F4F">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本合同总价为：人民币</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rPr>
        <w:t>元（大写：</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rPr>
        <w:t>元人民币，含税），其中增值税税款为</w:t>
      </w:r>
      <w:r>
        <w:rPr>
          <w:rFonts w:ascii="仿宋_GB2312" w:hAnsi="楷体" w:eastAsia="仿宋_GB2312"/>
          <w:color w:val="auto"/>
          <w:sz w:val="24"/>
          <w:highlight w:val="none"/>
        </w:rPr>
        <w:t xml:space="preserve">          </w:t>
      </w:r>
      <w:r>
        <w:rPr>
          <w:rFonts w:hint="eastAsia" w:ascii="仿宋_GB2312" w:hAnsi="楷体" w:eastAsia="仿宋_GB2312"/>
          <w:color w:val="auto"/>
          <w:sz w:val="24"/>
          <w:highlight w:val="none"/>
        </w:rPr>
        <w:t>元。如国家税收政策变化，导致增值税税率调整的，则按照调整后的税率开具增值税发票。</w:t>
      </w:r>
    </w:p>
    <w:p w14:paraId="54D09380">
      <w:pPr>
        <w:spacing w:line="360" w:lineRule="auto"/>
        <w:ind w:firstLine="482" w:firstLineChars="200"/>
        <w:rPr>
          <w:rFonts w:hint="eastAsia" w:ascii="仿宋_GB2312" w:hAnsi="楷体" w:eastAsia="仿宋_GB2312"/>
          <w:b/>
          <w:color w:val="auto"/>
          <w:sz w:val="24"/>
          <w:highlight w:val="none"/>
        </w:rPr>
      </w:pPr>
      <w:r>
        <w:rPr>
          <w:rFonts w:hint="eastAsia" w:ascii="仿宋_GB2312" w:hAnsi="楷体" w:eastAsia="仿宋_GB2312"/>
          <w:b/>
          <w:color w:val="auto"/>
          <w:sz w:val="24"/>
          <w:highlight w:val="none"/>
        </w:rPr>
        <w:t>1.4 付款方式和发票开具方式</w:t>
      </w:r>
    </w:p>
    <w:p w14:paraId="6A9418E9">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1.4.1 付款方式：</w:t>
      </w:r>
    </w:p>
    <w:p w14:paraId="6B488917">
      <w:pPr>
        <w:spacing w:line="360" w:lineRule="auto"/>
        <w:ind w:firstLine="480" w:firstLineChars="200"/>
        <w:rPr>
          <w:rFonts w:hint="eastAsia" w:ascii="仿宋_GB2312" w:hAnsi="楷体" w:eastAsia="仿宋_GB2312"/>
          <w:color w:val="auto"/>
          <w:sz w:val="24"/>
          <w:highlight w:val="none"/>
          <w:lang w:val="en-US" w:eastAsia="zh-CN"/>
        </w:rPr>
      </w:pPr>
      <w:r>
        <w:rPr>
          <w:rFonts w:hint="eastAsia" w:ascii="仿宋_GB2312" w:hAnsi="楷体" w:eastAsia="仿宋_GB2312"/>
          <w:color w:val="auto"/>
          <w:sz w:val="24"/>
          <w:highlight w:val="none"/>
          <w:lang w:val="en-US" w:eastAsia="zh-CN"/>
        </w:rPr>
        <w:t>（1）本项目预付款30%，自签订合同后5个工作日内进行支付；</w:t>
      </w:r>
    </w:p>
    <w:p w14:paraId="1DF6AE2F">
      <w:pPr>
        <w:spacing w:line="360" w:lineRule="auto"/>
        <w:ind w:firstLine="480" w:firstLineChars="200"/>
        <w:rPr>
          <w:rFonts w:hint="eastAsia" w:ascii="仿宋_GB2312" w:hAnsi="楷体" w:eastAsia="仿宋_GB2312"/>
          <w:color w:val="auto"/>
          <w:sz w:val="24"/>
          <w:highlight w:val="none"/>
          <w:lang w:val="en-US" w:eastAsia="zh-CN"/>
        </w:rPr>
      </w:pPr>
      <w:r>
        <w:rPr>
          <w:rFonts w:hint="eastAsia" w:ascii="仿宋_GB2312" w:hAnsi="楷体" w:eastAsia="仿宋_GB2312"/>
          <w:color w:val="auto"/>
          <w:sz w:val="24"/>
          <w:highlight w:val="none"/>
          <w:lang w:val="en-US" w:eastAsia="zh-CN"/>
        </w:rPr>
        <w:t>（2）项目中期评估定于项目指标完成进度的50%，甲方组织相关责任部门对项目完成情况进行评估，评估合格后，支付50%的合同款；</w:t>
      </w:r>
    </w:p>
    <w:p w14:paraId="6CE84DD3">
      <w:pPr>
        <w:spacing w:line="360" w:lineRule="auto"/>
        <w:ind w:firstLine="480" w:firstLineChars="200"/>
        <w:rPr>
          <w:rFonts w:hint="eastAsia" w:ascii="仿宋_GB2312" w:hAnsi="楷体" w:eastAsia="仿宋_GB2312"/>
          <w:color w:val="auto"/>
          <w:sz w:val="24"/>
          <w:highlight w:val="none"/>
          <w:lang w:val="en-US" w:eastAsia="zh-CN"/>
        </w:rPr>
      </w:pPr>
      <w:r>
        <w:rPr>
          <w:rFonts w:hint="eastAsia" w:ascii="仿宋_GB2312" w:hAnsi="楷体" w:eastAsia="仿宋_GB2312"/>
          <w:color w:val="auto"/>
          <w:sz w:val="24"/>
          <w:highlight w:val="none"/>
          <w:lang w:val="en-US" w:eastAsia="zh-CN"/>
        </w:rPr>
        <w:t>（3）合同服务期间到期前，甲方组织相关责任单位对项目完成情况进行终期评估，评估合格后拨付剩余20%的合同款；</w:t>
      </w:r>
    </w:p>
    <w:p w14:paraId="00669C6C">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（4）</w:t>
      </w:r>
      <w:r>
        <w:rPr>
          <w:rFonts w:hint="eastAsia" w:ascii="仿宋_GB2312" w:hAnsi="楷体" w:eastAsia="仿宋_GB2312"/>
          <w:color w:val="auto"/>
          <w:sz w:val="24"/>
          <w:highlight w:val="none"/>
          <w:lang w:val="en-US" w:eastAsia="zh-CN"/>
        </w:rPr>
        <w:t>乙方</w:t>
      </w:r>
      <w:r>
        <w:rPr>
          <w:rFonts w:hint="eastAsia" w:ascii="仿宋_GB2312" w:hAnsi="楷体" w:eastAsia="仿宋_GB2312"/>
          <w:color w:val="auto"/>
          <w:sz w:val="24"/>
          <w:highlight w:val="none"/>
        </w:rPr>
        <w:t>自收到款项之日起五个工作日内开具发票并送交至</w:t>
      </w:r>
      <w:r>
        <w:rPr>
          <w:rFonts w:hint="eastAsia" w:ascii="仿宋_GB2312" w:hAnsi="楷体" w:eastAsia="仿宋_GB2312"/>
          <w:color w:val="auto"/>
          <w:sz w:val="24"/>
          <w:highlight w:val="none"/>
          <w:lang w:val="en-US" w:eastAsia="zh-CN"/>
        </w:rPr>
        <w:t>甲方</w:t>
      </w:r>
      <w:r>
        <w:rPr>
          <w:rFonts w:hint="eastAsia" w:ascii="仿宋_GB2312" w:hAnsi="楷体" w:eastAsia="仿宋_GB2312"/>
          <w:color w:val="auto"/>
          <w:sz w:val="24"/>
          <w:highlight w:val="none"/>
        </w:rPr>
        <w:t>办公室。</w:t>
      </w:r>
    </w:p>
    <w:p w14:paraId="19213457">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1.4.2 发票开具方式：</w:t>
      </w:r>
      <w:r>
        <w:rPr>
          <w:rFonts w:hint="eastAsia" w:ascii="仿宋_GB2312" w:hAnsi="楷体" w:eastAsia="仿宋_GB2312"/>
          <w:color w:val="auto"/>
          <w:sz w:val="24"/>
          <w:highlight w:val="none"/>
          <w:u w:val="single"/>
        </w:rPr>
        <w:t>甲方收到乙方等额合法有效的增值税普通发票后通过银行转账方式向乙方支付合同款</w:t>
      </w:r>
      <w:r>
        <w:rPr>
          <w:rFonts w:hint="eastAsia" w:ascii="仿宋_GB2312" w:hAnsi="楷体" w:eastAsia="仿宋_GB2312"/>
          <w:color w:val="auto"/>
          <w:sz w:val="24"/>
          <w:highlight w:val="none"/>
        </w:rPr>
        <w:t>。</w:t>
      </w:r>
    </w:p>
    <w:p w14:paraId="0A1C9C7A">
      <w:pPr>
        <w:spacing w:line="360" w:lineRule="auto"/>
        <w:ind w:firstLine="482" w:firstLineChars="200"/>
        <w:rPr>
          <w:rFonts w:hint="eastAsia" w:ascii="仿宋_GB2312" w:hAnsi="楷体" w:eastAsia="仿宋_GB2312"/>
          <w:b/>
          <w:color w:val="auto"/>
          <w:sz w:val="24"/>
          <w:highlight w:val="none"/>
        </w:rPr>
      </w:pPr>
      <w:r>
        <w:rPr>
          <w:rFonts w:hint="eastAsia" w:ascii="仿宋_GB2312" w:hAnsi="楷体" w:eastAsia="仿宋_GB2312"/>
          <w:b/>
          <w:color w:val="auto"/>
          <w:sz w:val="24"/>
          <w:highlight w:val="none"/>
        </w:rPr>
        <w:t>1.5 标的物交付期限、地点、方式和交付使用期</w:t>
      </w:r>
    </w:p>
    <w:p w14:paraId="03773916">
      <w:pPr>
        <w:spacing w:line="360" w:lineRule="auto"/>
        <w:ind w:firstLine="480" w:firstLineChars="200"/>
        <w:rPr>
          <w:rFonts w:hint="eastAsia" w:ascii="仿宋_GB2312" w:hAnsi="楷体" w:eastAsia="仿宋_GB2312"/>
          <w:color w:val="auto"/>
          <w:sz w:val="24"/>
          <w:highlight w:val="none"/>
          <w:u w:val="single"/>
          <w:lang w:eastAsia="zh-CN"/>
        </w:rPr>
      </w:pPr>
      <w:r>
        <w:rPr>
          <w:rFonts w:hint="eastAsia" w:ascii="仿宋_GB2312" w:hAnsi="楷体" w:eastAsia="仿宋_GB2312"/>
          <w:color w:val="auto"/>
          <w:sz w:val="24"/>
          <w:highlight w:val="none"/>
        </w:rPr>
        <w:t>1.5.1 服务时间：</w:t>
      </w:r>
      <w:r>
        <w:rPr>
          <w:rFonts w:hint="eastAsia" w:ascii="仿宋_GB2312" w:hAnsi="楷体" w:eastAsia="仿宋_GB2312"/>
          <w:color w:val="auto"/>
          <w:sz w:val="24"/>
          <w:highlight w:val="none"/>
          <w:u w:val="single"/>
        </w:rPr>
        <w:t>自签订合同之日起壹年</w:t>
      </w:r>
      <w:r>
        <w:rPr>
          <w:rFonts w:hint="eastAsia" w:ascii="仿宋_GB2312" w:hAnsi="楷体" w:eastAsia="仿宋_GB2312"/>
          <w:color w:val="auto"/>
          <w:sz w:val="24"/>
          <w:highlight w:val="none"/>
          <w:u w:val="single"/>
          <w:lang w:eastAsia="zh-CN"/>
        </w:rPr>
        <w:t>；</w:t>
      </w:r>
    </w:p>
    <w:p w14:paraId="1474C364">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1.5.2 交付地点：</w:t>
      </w:r>
      <w:r>
        <w:rPr>
          <w:rFonts w:hint="eastAsia" w:ascii="仿宋_GB2312" w:hAnsi="楷体" w:eastAsia="仿宋_GB2312"/>
          <w:color w:val="auto"/>
          <w:sz w:val="24"/>
          <w:highlight w:val="none"/>
          <w:u w:val="single"/>
        </w:rPr>
        <w:t xml:space="preserve">  按照</w:t>
      </w:r>
      <w:r>
        <w:rPr>
          <w:rFonts w:hint="eastAsia" w:ascii="仿宋_GB2312" w:hAnsi="楷体" w:eastAsia="仿宋_GB2312"/>
          <w:color w:val="auto"/>
          <w:sz w:val="24"/>
          <w:highlight w:val="none"/>
          <w:u w:val="single"/>
          <w:lang w:val="en-US" w:eastAsia="zh-CN"/>
        </w:rPr>
        <w:t>采购</w:t>
      </w:r>
      <w:r>
        <w:rPr>
          <w:rFonts w:hint="eastAsia" w:ascii="仿宋_GB2312" w:hAnsi="楷体" w:eastAsia="仿宋_GB2312"/>
          <w:color w:val="auto"/>
          <w:sz w:val="24"/>
          <w:highlight w:val="none"/>
          <w:u w:val="single"/>
        </w:rPr>
        <w:t>文件需求，</w:t>
      </w:r>
      <w:r>
        <w:rPr>
          <w:rFonts w:hint="eastAsia" w:ascii="仿宋_GB2312" w:hAnsi="楷体" w:eastAsia="仿宋_GB2312"/>
          <w:color w:val="auto"/>
          <w:sz w:val="24"/>
          <w:highlight w:val="none"/>
          <w:u w:val="single"/>
          <w:lang w:val="en-US" w:eastAsia="zh-CN"/>
        </w:rPr>
        <w:t>甲方</w:t>
      </w:r>
      <w:r>
        <w:rPr>
          <w:rFonts w:hint="eastAsia" w:ascii="仿宋_GB2312" w:hAnsi="楷体" w:eastAsia="仿宋_GB2312"/>
          <w:color w:val="auto"/>
          <w:sz w:val="24"/>
          <w:highlight w:val="none"/>
          <w:u w:val="single"/>
        </w:rPr>
        <w:t xml:space="preserve">指定地点  </w:t>
      </w:r>
      <w:r>
        <w:rPr>
          <w:rFonts w:hint="eastAsia" w:ascii="仿宋_GB2312" w:hAnsi="楷体" w:eastAsia="仿宋_GB2312"/>
          <w:color w:val="auto"/>
          <w:sz w:val="24"/>
          <w:highlight w:val="none"/>
        </w:rPr>
        <w:t>；</w:t>
      </w:r>
    </w:p>
    <w:p w14:paraId="150DF459">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1.5.3 交付方式：</w:t>
      </w:r>
      <w:r>
        <w:rPr>
          <w:rFonts w:hint="eastAsia" w:ascii="仿宋_GB2312" w:hAnsi="楷体" w:eastAsia="仿宋_GB2312"/>
          <w:color w:val="auto"/>
          <w:sz w:val="24"/>
          <w:highlight w:val="none"/>
          <w:u w:val="single"/>
        </w:rPr>
        <w:t xml:space="preserve"> 按照</w:t>
      </w:r>
      <w:r>
        <w:rPr>
          <w:rFonts w:hint="eastAsia" w:ascii="仿宋_GB2312" w:hAnsi="楷体" w:eastAsia="仿宋_GB2312"/>
          <w:color w:val="auto"/>
          <w:sz w:val="24"/>
          <w:highlight w:val="none"/>
          <w:u w:val="single"/>
          <w:lang w:val="en-US" w:eastAsia="zh-CN"/>
        </w:rPr>
        <w:t>采购</w:t>
      </w:r>
      <w:r>
        <w:rPr>
          <w:rFonts w:hint="eastAsia" w:ascii="仿宋_GB2312" w:hAnsi="楷体" w:eastAsia="仿宋_GB2312"/>
          <w:color w:val="auto"/>
          <w:sz w:val="24"/>
          <w:highlight w:val="none"/>
          <w:u w:val="single"/>
        </w:rPr>
        <w:t xml:space="preserve">文件需求 </w:t>
      </w:r>
      <w:r>
        <w:rPr>
          <w:rFonts w:hint="eastAsia" w:ascii="仿宋_GB2312" w:hAnsi="楷体" w:eastAsia="仿宋_GB2312"/>
          <w:color w:val="auto"/>
          <w:sz w:val="24"/>
          <w:highlight w:val="none"/>
        </w:rPr>
        <w:t>；</w:t>
      </w:r>
    </w:p>
    <w:p w14:paraId="0CD0B410">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1.5.4 服务及质保期限：</w:t>
      </w:r>
      <w:r>
        <w:rPr>
          <w:rFonts w:hint="eastAsia" w:ascii="仿宋_GB2312" w:hAnsi="楷体" w:eastAsia="仿宋_GB2312"/>
          <w:color w:val="auto"/>
          <w:sz w:val="24"/>
          <w:highlight w:val="none"/>
          <w:u w:val="single"/>
        </w:rPr>
        <w:t xml:space="preserve">  服务质保期1年  </w:t>
      </w:r>
      <w:r>
        <w:rPr>
          <w:rFonts w:hint="eastAsia" w:ascii="仿宋_GB2312" w:hAnsi="楷体" w:eastAsia="仿宋_GB2312"/>
          <w:color w:val="auto"/>
          <w:sz w:val="24"/>
          <w:highlight w:val="none"/>
        </w:rPr>
        <w:t>。</w:t>
      </w:r>
    </w:p>
    <w:p w14:paraId="3BE62C93">
      <w:pPr>
        <w:spacing w:line="360" w:lineRule="auto"/>
        <w:ind w:firstLine="482" w:firstLineChars="200"/>
        <w:rPr>
          <w:rFonts w:hint="eastAsia" w:ascii="仿宋_GB2312" w:hAnsi="楷体" w:eastAsia="仿宋_GB2312"/>
          <w:b/>
          <w:color w:val="auto"/>
          <w:sz w:val="24"/>
          <w:highlight w:val="none"/>
        </w:rPr>
      </w:pPr>
      <w:r>
        <w:rPr>
          <w:rFonts w:hint="eastAsia" w:ascii="仿宋_GB2312" w:hAnsi="楷体" w:eastAsia="仿宋_GB2312"/>
          <w:b/>
          <w:color w:val="auto"/>
          <w:sz w:val="24"/>
          <w:highlight w:val="none"/>
        </w:rPr>
        <w:t>1.6 违约责任</w:t>
      </w:r>
    </w:p>
    <w:p w14:paraId="3BDF212B">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1.6.1 除不可抗力外，如果乙方没有按照本合同约定的期限、地点和方式交付标的物，甲方可要求乙方支付违约金，违约金按每迟延交付标的物一日的应交付而未交付标的物价格的</w:t>
      </w:r>
      <w:r>
        <w:rPr>
          <w:rFonts w:hint="eastAsia" w:ascii="仿宋_GB2312" w:hAnsi="楷体" w:eastAsia="仿宋_GB2312"/>
          <w:color w:val="auto"/>
          <w:sz w:val="24"/>
          <w:highlight w:val="none"/>
          <w:u w:val="single"/>
        </w:rPr>
        <w:t xml:space="preserve"> 万分之五 </w:t>
      </w:r>
      <w:r>
        <w:rPr>
          <w:rFonts w:hint="eastAsia" w:ascii="仿宋_GB2312" w:hAnsi="楷体" w:eastAsia="仿宋_GB2312"/>
          <w:color w:val="auto"/>
          <w:sz w:val="24"/>
          <w:highlight w:val="none"/>
        </w:rPr>
        <w:t>计算，最高限额为本合同总价的</w:t>
      </w:r>
      <w:r>
        <w:rPr>
          <w:rFonts w:hint="eastAsia" w:ascii="仿宋_GB2312" w:hAnsi="楷体" w:eastAsia="仿宋_GB2312"/>
          <w:color w:val="auto"/>
          <w:sz w:val="24"/>
          <w:highlight w:val="none"/>
          <w:u w:val="single"/>
        </w:rPr>
        <w:t xml:space="preserve"> 20 </w:t>
      </w:r>
      <w:r>
        <w:rPr>
          <w:rFonts w:hint="eastAsia" w:ascii="仿宋_GB2312" w:hAnsi="楷体" w:eastAsia="仿宋_GB2312"/>
          <w:color w:val="auto"/>
          <w:sz w:val="24"/>
          <w:highlight w:val="none"/>
        </w:rPr>
        <w:t>%；迟延超过【60】日的，甲方有权要求乙方支付违约金的同时，书面通知乙方解除本合同，乙方应退回全部已收取的合同价款并按合同总金额的</w:t>
      </w:r>
      <w:r>
        <w:rPr>
          <w:rFonts w:hint="eastAsia" w:ascii="仿宋_GB2312" w:hAnsi="楷体" w:eastAsia="仿宋_GB2312"/>
          <w:color w:val="auto"/>
          <w:sz w:val="24"/>
          <w:highlight w:val="none"/>
          <w:u w:val="single"/>
        </w:rPr>
        <w:t xml:space="preserve"> 20% </w:t>
      </w:r>
      <w:r>
        <w:rPr>
          <w:rFonts w:hint="eastAsia" w:ascii="仿宋_GB2312" w:hAnsi="楷体" w:eastAsia="仿宋_GB2312"/>
          <w:color w:val="auto"/>
          <w:sz w:val="24"/>
          <w:highlight w:val="none"/>
        </w:rPr>
        <w:t>向甲方支付违约金；甲方可从未支付的合同款中扣减违约金；</w:t>
      </w:r>
    </w:p>
    <w:p w14:paraId="2DCB5A34">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1.6.2 除不可抗力外，如果甲方没有按照本合同约定的付款方式付款，乙方可要求甲方支付违约金，违约金按每迟延付款一日的应付而未付款的</w:t>
      </w:r>
      <w:r>
        <w:rPr>
          <w:rFonts w:hint="eastAsia" w:ascii="仿宋_GB2312" w:hAnsi="楷体" w:eastAsia="仿宋_GB2312"/>
          <w:color w:val="auto"/>
          <w:sz w:val="24"/>
          <w:highlight w:val="none"/>
          <w:u w:val="single"/>
        </w:rPr>
        <w:t xml:space="preserve"> 万分之五 </w:t>
      </w:r>
      <w:r>
        <w:rPr>
          <w:rFonts w:hint="eastAsia" w:ascii="仿宋_GB2312" w:hAnsi="楷体" w:eastAsia="仿宋_GB2312"/>
          <w:color w:val="auto"/>
          <w:sz w:val="24"/>
          <w:highlight w:val="none"/>
        </w:rPr>
        <w:t>计算，最高限额为欠付金额的</w:t>
      </w:r>
      <w:r>
        <w:rPr>
          <w:rFonts w:hint="eastAsia" w:ascii="仿宋_GB2312" w:hAnsi="楷体" w:eastAsia="仿宋_GB2312"/>
          <w:color w:val="auto"/>
          <w:sz w:val="24"/>
          <w:highlight w:val="none"/>
          <w:u w:val="single"/>
        </w:rPr>
        <w:t xml:space="preserve"> 20 </w:t>
      </w:r>
      <w:r>
        <w:rPr>
          <w:rFonts w:hint="eastAsia" w:ascii="仿宋_GB2312" w:hAnsi="楷体" w:eastAsia="仿宋_GB2312"/>
          <w:color w:val="auto"/>
          <w:sz w:val="24"/>
          <w:highlight w:val="none"/>
        </w:rPr>
        <w:t>%；迟延付款的违约金计算数额达到前述最高限额之日起，乙方有权在要求甲方支付违约金的同时，书面通知甲方解除本合同；</w:t>
      </w:r>
    </w:p>
    <w:p w14:paraId="1DD0EFCD">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091A90E4">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1.6.4乙方在质保期内未按承诺提供售后等服务的，每发生一次向甲方支付违约金额</w:t>
      </w:r>
      <w:r>
        <w:rPr>
          <w:rFonts w:hint="eastAsia" w:ascii="仿宋_GB2312" w:hAnsi="楷体" w:eastAsia="仿宋_GB2312"/>
          <w:color w:val="auto"/>
          <w:sz w:val="24"/>
          <w:highlight w:val="none"/>
          <w:u w:val="single"/>
        </w:rPr>
        <w:t xml:space="preserve"> 3万</w:t>
      </w:r>
      <w:r>
        <w:rPr>
          <w:rFonts w:hint="eastAsia" w:ascii="仿宋_GB2312" w:hAnsi="楷体" w:eastAsia="仿宋_GB2312"/>
          <w:color w:val="auto"/>
          <w:sz w:val="24"/>
          <w:highlight w:val="none"/>
        </w:rPr>
        <w:t>元。甲方可从未支付的合同款中扣减违约金；</w:t>
      </w:r>
    </w:p>
    <w:p w14:paraId="033D3029">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1.6.5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1E559FF5">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1.6.6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0E00A2C2">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1.6.7 如果出现政府采购监督管理部门在处理投诉事项期间，书面通知甲方暂停采购活动的情形，或者询问或质疑事项可能影响中标结果的，导致甲方中止履行合同的情形，均不视为甲方违约。</w:t>
      </w:r>
    </w:p>
    <w:p w14:paraId="7113B942">
      <w:pPr>
        <w:spacing w:line="360" w:lineRule="auto"/>
        <w:ind w:firstLine="482" w:firstLineChars="200"/>
        <w:rPr>
          <w:rFonts w:hint="eastAsia" w:ascii="仿宋_GB2312" w:hAnsi="楷体" w:eastAsia="仿宋_GB2312"/>
          <w:b/>
          <w:color w:val="auto"/>
          <w:sz w:val="24"/>
          <w:highlight w:val="none"/>
        </w:rPr>
      </w:pPr>
      <w:r>
        <w:rPr>
          <w:rFonts w:hint="eastAsia" w:ascii="仿宋_GB2312" w:hAnsi="楷体" w:eastAsia="仿宋_GB2312"/>
          <w:b/>
          <w:color w:val="auto"/>
          <w:sz w:val="24"/>
          <w:highlight w:val="none"/>
        </w:rPr>
        <w:t>1.7 合同争议的解决</w:t>
      </w:r>
    </w:p>
    <w:p w14:paraId="4D719575">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本合同履行过程中发生的任何争议，双方当事人均应通过友好协商的方式和解或者调解解决；不愿和解、调解或者和解、调解不成的，可以选择下列第</w:t>
      </w:r>
      <w:r>
        <w:rPr>
          <w:rFonts w:hint="eastAsia" w:ascii="仿宋_GB2312" w:hAnsi="楷体" w:eastAsia="仿宋_GB2312"/>
          <w:color w:val="auto"/>
          <w:sz w:val="24"/>
          <w:highlight w:val="none"/>
          <w:u w:val="single"/>
        </w:rPr>
        <w:t xml:space="preserve"> 1.7.2 </w:t>
      </w:r>
      <w:r>
        <w:rPr>
          <w:rFonts w:hint="eastAsia" w:ascii="仿宋_GB2312" w:hAnsi="楷体" w:eastAsia="仿宋_GB2312"/>
          <w:color w:val="auto"/>
          <w:sz w:val="24"/>
          <w:highlight w:val="none"/>
        </w:rPr>
        <w:t>种方式解决：</w:t>
      </w:r>
    </w:p>
    <w:p w14:paraId="50249F50">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1.7.1 将争议提交</w:t>
      </w:r>
      <w:r>
        <w:rPr>
          <w:rFonts w:hint="eastAsia" w:ascii="仿宋_GB2312" w:hAnsi="楷体" w:eastAsia="仿宋_GB2312"/>
          <w:color w:val="auto"/>
          <w:sz w:val="24"/>
          <w:highlight w:val="none"/>
          <w:u w:val="single"/>
        </w:rPr>
        <w:t>南宁市</w:t>
      </w:r>
      <w:r>
        <w:rPr>
          <w:rFonts w:hint="eastAsia" w:ascii="仿宋_GB2312" w:hAnsi="楷体" w:eastAsia="仿宋_GB2312"/>
          <w:color w:val="auto"/>
          <w:sz w:val="24"/>
          <w:highlight w:val="none"/>
        </w:rPr>
        <w:t>仲裁委员会依申请仲裁时其现行有效的仲裁规则裁决；</w:t>
      </w:r>
    </w:p>
    <w:p w14:paraId="059B8984">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1.7.2 向</w:t>
      </w:r>
      <w:r>
        <w:rPr>
          <w:rFonts w:hint="eastAsia" w:ascii="仿宋_GB2312" w:hAnsi="楷体" w:eastAsia="仿宋_GB2312"/>
          <w:color w:val="auto"/>
          <w:sz w:val="24"/>
          <w:highlight w:val="none"/>
          <w:u w:val="single"/>
        </w:rPr>
        <w:t xml:space="preserve"> 甲方所在地 有管辖权的</w:t>
      </w:r>
      <w:r>
        <w:rPr>
          <w:rFonts w:hint="eastAsia" w:ascii="仿宋_GB2312" w:hAnsi="楷体" w:eastAsia="仿宋_GB2312"/>
          <w:color w:val="auto"/>
          <w:sz w:val="24"/>
          <w:highlight w:val="none"/>
        </w:rPr>
        <w:t>人民法院起诉。</w:t>
      </w:r>
    </w:p>
    <w:p w14:paraId="7E6626B4">
      <w:pPr>
        <w:spacing w:line="360" w:lineRule="auto"/>
        <w:ind w:firstLine="482" w:firstLineChars="200"/>
        <w:rPr>
          <w:rFonts w:hint="eastAsia" w:ascii="仿宋_GB2312" w:hAnsi="楷体" w:eastAsia="仿宋_GB2312"/>
          <w:b/>
          <w:color w:val="auto"/>
          <w:sz w:val="24"/>
          <w:highlight w:val="none"/>
        </w:rPr>
      </w:pPr>
      <w:r>
        <w:rPr>
          <w:rFonts w:hint="eastAsia" w:ascii="仿宋_GB2312" w:hAnsi="楷体" w:eastAsia="仿宋_GB2312"/>
          <w:b/>
          <w:color w:val="auto"/>
          <w:sz w:val="24"/>
          <w:highlight w:val="none"/>
        </w:rPr>
        <w:t>1.8 合同生效</w:t>
      </w:r>
    </w:p>
    <w:p w14:paraId="4B1314C3">
      <w:pPr>
        <w:spacing w:line="360" w:lineRule="auto"/>
        <w:ind w:firstLine="480" w:firstLineChars="200"/>
        <w:rPr>
          <w:rFonts w:hint="eastAsia" w:ascii="仿宋_GB2312" w:hAnsi="楷体" w:eastAsia="仿宋_GB2312"/>
          <w:b/>
          <w:color w:val="auto"/>
          <w:sz w:val="24"/>
          <w:highlight w:val="none"/>
        </w:rPr>
      </w:pPr>
      <w:r>
        <w:rPr>
          <w:rFonts w:hint="eastAsia" w:ascii="仿宋_GB2312" w:hAnsi="楷体" w:eastAsia="仿宋_GB2312"/>
          <w:color w:val="auto"/>
          <w:sz w:val="24"/>
          <w:highlight w:val="none"/>
        </w:rPr>
        <w:t>本合同自双方当事人加盖有效公章时生效。</w:t>
      </w:r>
    </w:p>
    <w:p w14:paraId="7B54B641">
      <w:pPr>
        <w:spacing w:line="360" w:lineRule="auto"/>
        <w:ind w:firstLine="200"/>
        <w:rPr>
          <w:rFonts w:hint="eastAsia" w:ascii="仿宋_GB2312" w:hAnsi="楷体" w:eastAsia="仿宋_GB2312"/>
          <w:color w:val="auto"/>
          <w:sz w:val="24"/>
          <w:highlight w:val="none"/>
          <w:lang w:val="zh-CN"/>
        </w:rPr>
      </w:pPr>
      <w:r>
        <w:rPr>
          <w:rFonts w:hint="eastAsia" w:ascii="仿宋_GB2312" w:hAnsi="楷体" w:eastAsia="仿宋_GB2312"/>
          <w:color w:val="auto"/>
          <w:sz w:val="24"/>
          <w:highlight w:val="none"/>
          <w:lang w:val="zh-CN"/>
        </w:rPr>
        <w:t>甲方：                                  乙方：</w:t>
      </w:r>
    </w:p>
    <w:p w14:paraId="69441092">
      <w:pPr>
        <w:spacing w:line="360" w:lineRule="auto"/>
        <w:ind w:firstLine="200"/>
        <w:rPr>
          <w:rFonts w:hint="eastAsia" w:ascii="仿宋_GB2312" w:hAnsi="楷体" w:eastAsia="仿宋_GB2312"/>
          <w:color w:val="auto"/>
          <w:sz w:val="24"/>
          <w:highlight w:val="none"/>
          <w:lang w:val="zh-CN"/>
        </w:rPr>
      </w:pPr>
      <w:r>
        <w:rPr>
          <w:rFonts w:hint="eastAsia" w:ascii="仿宋_GB2312" w:hAnsi="楷体" w:eastAsia="仿宋_GB2312"/>
          <w:color w:val="auto"/>
          <w:sz w:val="24"/>
          <w:highlight w:val="none"/>
          <w:lang w:val="zh-CN"/>
        </w:rPr>
        <w:t>统一社会信用代码：                      统一社会信用代码或身份证号码：</w:t>
      </w:r>
    </w:p>
    <w:p w14:paraId="3CD52FEE">
      <w:pPr>
        <w:spacing w:line="360" w:lineRule="auto"/>
        <w:ind w:firstLine="200"/>
        <w:rPr>
          <w:rFonts w:hint="eastAsia" w:ascii="仿宋_GB2312" w:hAnsi="楷体" w:eastAsia="仿宋_GB2312"/>
          <w:color w:val="auto"/>
          <w:sz w:val="24"/>
          <w:highlight w:val="none"/>
          <w:lang w:val="zh-CN"/>
        </w:rPr>
      </w:pPr>
    </w:p>
    <w:p w14:paraId="188C4D6F">
      <w:pPr>
        <w:spacing w:line="360" w:lineRule="auto"/>
        <w:ind w:firstLine="200"/>
        <w:rPr>
          <w:rFonts w:hint="eastAsia" w:ascii="仿宋_GB2312" w:hAnsi="楷体" w:eastAsia="仿宋_GB2312"/>
          <w:color w:val="auto"/>
          <w:sz w:val="24"/>
          <w:highlight w:val="none"/>
          <w:lang w:val="zh-CN"/>
        </w:rPr>
      </w:pPr>
      <w:r>
        <w:rPr>
          <w:rFonts w:hint="eastAsia" w:ascii="仿宋_GB2312" w:hAnsi="楷体" w:eastAsia="仿宋_GB2312"/>
          <w:color w:val="auto"/>
          <w:sz w:val="24"/>
          <w:highlight w:val="none"/>
          <w:lang w:val="zh-CN"/>
        </w:rPr>
        <w:t>住所：                                   住所：</w:t>
      </w:r>
    </w:p>
    <w:p w14:paraId="20A4C461">
      <w:pPr>
        <w:spacing w:line="360" w:lineRule="auto"/>
        <w:ind w:firstLine="200"/>
        <w:rPr>
          <w:rFonts w:hint="eastAsia" w:ascii="仿宋_GB2312" w:hAnsi="楷体" w:eastAsia="仿宋_GB2312"/>
          <w:color w:val="auto"/>
          <w:sz w:val="24"/>
          <w:highlight w:val="none"/>
          <w:lang w:val="zh-CN"/>
        </w:rPr>
      </w:pPr>
      <w:r>
        <w:rPr>
          <w:rFonts w:hint="eastAsia" w:ascii="仿宋_GB2312" w:hAnsi="楷体" w:eastAsia="仿宋_GB2312"/>
          <w:color w:val="auto"/>
          <w:sz w:val="24"/>
          <w:highlight w:val="none"/>
          <w:lang w:val="zh-CN"/>
        </w:rPr>
        <w:t>法定代表人或                             法定代表人</w:t>
      </w:r>
    </w:p>
    <w:p w14:paraId="6CC40D91">
      <w:pPr>
        <w:spacing w:line="360" w:lineRule="auto"/>
        <w:ind w:firstLine="200"/>
        <w:rPr>
          <w:rFonts w:hint="eastAsia" w:ascii="仿宋_GB2312" w:hAnsi="楷体" w:eastAsia="仿宋_GB2312"/>
          <w:color w:val="auto"/>
          <w:sz w:val="24"/>
          <w:highlight w:val="none"/>
          <w:lang w:val="zh-CN"/>
        </w:rPr>
      </w:pPr>
      <w:r>
        <w:rPr>
          <w:rFonts w:hint="eastAsia" w:ascii="仿宋_GB2312" w:hAnsi="楷体" w:eastAsia="仿宋_GB2312"/>
          <w:color w:val="auto"/>
          <w:sz w:val="24"/>
          <w:highlight w:val="none"/>
          <w:lang w:val="zh-CN"/>
        </w:rPr>
        <w:t xml:space="preserve">授权代表（签字）：                       或授权代表（签字）： </w:t>
      </w:r>
    </w:p>
    <w:p w14:paraId="56BAB0B5">
      <w:pPr>
        <w:spacing w:line="360" w:lineRule="auto"/>
        <w:ind w:firstLine="200"/>
        <w:rPr>
          <w:rFonts w:hint="eastAsia" w:ascii="仿宋_GB2312" w:hAnsi="楷体" w:eastAsia="仿宋_GB2312"/>
          <w:color w:val="auto"/>
          <w:sz w:val="24"/>
          <w:highlight w:val="none"/>
          <w:lang w:val="zh-CN"/>
        </w:rPr>
      </w:pPr>
      <w:r>
        <w:rPr>
          <w:rFonts w:hint="eastAsia" w:ascii="仿宋_GB2312" w:hAnsi="楷体" w:eastAsia="仿宋_GB2312"/>
          <w:color w:val="auto"/>
          <w:sz w:val="24"/>
          <w:highlight w:val="none"/>
          <w:lang w:val="zh-CN"/>
        </w:rPr>
        <w:t>联系人：                                 联系人：</w:t>
      </w:r>
    </w:p>
    <w:p w14:paraId="5EEA7613">
      <w:pPr>
        <w:spacing w:line="360" w:lineRule="auto"/>
        <w:ind w:firstLine="200"/>
        <w:rPr>
          <w:rFonts w:hint="eastAsia" w:ascii="仿宋_GB2312" w:hAnsi="楷体" w:eastAsia="仿宋_GB2312"/>
          <w:color w:val="auto"/>
          <w:sz w:val="24"/>
          <w:highlight w:val="none"/>
          <w:lang w:val="zh-CN"/>
        </w:rPr>
      </w:pPr>
      <w:r>
        <w:rPr>
          <w:rFonts w:hint="eastAsia" w:ascii="仿宋_GB2312" w:hAnsi="楷体" w:eastAsia="仿宋_GB2312"/>
          <w:color w:val="auto"/>
          <w:sz w:val="24"/>
          <w:highlight w:val="none"/>
          <w:lang w:val="zh-CN"/>
        </w:rPr>
        <w:t>约定送达地址：                           约定送达地址：</w:t>
      </w:r>
    </w:p>
    <w:p w14:paraId="30583148">
      <w:pPr>
        <w:spacing w:line="360" w:lineRule="auto"/>
        <w:ind w:firstLine="200"/>
        <w:rPr>
          <w:rFonts w:hint="eastAsia" w:ascii="仿宋_GB2312" w:hAnsi="楷体" w:eastAsia="仿宋_GB2312"/>
          <w:color w:val="auto"/>
          <w:sz w:val="24"/>
          <w:highlight w:val="none"/>
          <w:lang w:val="zh-CN"/>
        </w:rPr>
      </w:pPr>
      <w:r>
        <w:rPr>
          <w:rFonts w:hint="eastAsia" w:ascii="仿宋_GB2312" w:hAnsi="楷体" w:eastAsia="仿宋_GB2312"/>
          <w:color w:val="auto"/>
          <w:sz w:val="24"/>
          <w:highlight w:val="none"/>
          <w:lang w:val="zh-CN"/>
        </w:rPr>
        <w:t>邮政编码：                               邮政编码：</w:t>
      </w:r>
    </w:p>
    <w:p w14:paraId="36C48E31">
      <w:pPr>
        <w:spacing w:line="360" w:lineRule="auto"/>
        <w:ind w:firstLine="200"/>
        <w:rPr>
          <w:rFonts w:hint="eastAsia" w:ascii="仿宋_GB2312" w:hAnsi="楷体" w:eastAsia="仿宋_GB2312"/>
          <w:color w:val="auto"/>
          <w:sz w:val="24"/>
          <w:highlight w:val="none"/>
          <w:lang w:val="zh-CN"/>
        </w:rPr>
      </w:pPr>
      <w:r>
        <w:rPr>
          <w:rFonts w:hint="eastAsia" w:ascii="仿宋_GB2312" w:hAnsi="楷体" w:eastAsia="仿宋_GB2312"/>
          <w:color w:val="auto"/>
          <w:sz w:val="24"/>
          <w:highlight w:val="none"/>
          <w:lang w:val="zh-CN"/>
        </w:rPr>
        <w:t xml:space="preserve">电话：                                    电话： </w:t>
      </w:r>
    </w:p>
    <w:p w14:paraId="3AAB62FC">
      <w:pPr>
        <w:spacing w:line="360" w:lineRule="auto"/>
        <w:ind w:firstLine="200"/>
        <w:rPr>
          <w:rFonts w:hint="eastAsia" w:ascii="仿宋_GB2312" w:hAnsi="楷体" w:eastAsia="仿宋_GB2312"/>
          <w:color w:val="auto"/>
          <w:sz w:val="24"/>
          <w:highlight w:val="none"/>
          <w:lang w:val="zh-CN"/>
        </w:rPr>
      </w:pPr>
      <w:r>
        <w:rPr>
          <w:rFonts w:hint="eastAsia" w:ascii="仿宋_GB2312" w:hAnsi="楷体" w:eastAsia="仿宋_GB2312"/>
          <w:color w:val="auto"/>
          <w:sz w:val="24"/>
          <w:highlight w:val="none"/>
          <w:lang w:val="zh-CN"/>
        </w:rPr>
        <w:t>传真：                                    传真：</w:t>
      </w:r>
    </w:p>
    <w:p w14:paraId="1B726915">
      <w:pPr>
        <w:spacing w:line="360" w:lineRule="auto"/>
        <w:ind w:firstLine="200"/>
        <w:rPr>
          <w:rFonts w:hint="eastAsia" w:ascii="仿宋_GB2312" w:hAnsi="楷体" w:eastAsia="仿宋_GB2312"/>
          <w:color w:val="auto"/>
          <w:sz w:val="24"/>
          <w:highlight w:val="none"/>
        </w:rPr>
      </w:pPr>
      <w:r>
        <w:rPr>
          <w:rFonts w:hint="eastAsia" w:ascii="仿宋_GB2312" w:hAnsi="楷体" w:eastAsia="仿宋_GB2312"/>
          <w:color w:val="auto"/>
          <w:sz w:val="24"/>
          <w:highlight w:val="none"/>
          <w:lang w:val="zh-CN"/>
        </w:rPr>
        <w:t>电子邮箱：                               电子邮箱：</w:t>
      </w:r>
    </w:p>
    <w:p w14:paraId="0B9D4850">
      <w:pPr>
        <w:spacing w:line="360" w:lineRule="auto"/>
        <w:ind w:firstLine="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 xml:space="preserve">开户银行：                               开户银行： </w:t>
      </w:r>
    </w:p>
    <w:p w14:paraId="35688801">
      <w:pPr>
        <w:spacing w:line="360" w:lineRule="auto"/>
        <w:ind w:firstLine="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 xml:space="preserve">开户名称：                               开户名称： </w:t>
      </w:r>
    </w:p>
    <w:p w14:paraId="27EA2FBF">
      <w:pPr>
        <w:spacing w:line="360" w:lineRule="auto"/>
        <w:ind w:firstLine="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开户账号：</w:t>
      </w:r>
      <w:r>
        <w:rPr>
          <w:rFonts w:hint="eastAsia" w:ascii="仿宋_GB2312" w:hAnsi="楷体" w:eastAsia="仿宋_GB2312"/>
          <w:color w:val="auto"/>
          <w:sz w:val="24"/>
          <w:highlight w:val="none"/>
          <w:lang w:val="zh-CN"/>
        </w:rPr>
        <w:t xml:space="preserve">                               </w:t>
      </w:r>
      <w:r>
        <w:rPr>
          <w:rFonts w:hint="eastAsia" w:ascii="仿宋_GB2312" w:hAnsi="楷体" w:eastAsia="仿宋_GB2312"/>
          <w:color w:val="auto"/>
          <w:sz w:val="24"/>
          <w:highlight w:val="none"/>
        </w:rPr>
        <w:t>开户账号：</w:t>
      </w:r>
    </w:p>
    <w:p w14:paraId="308ECF32">
      <w:pPr>
        <w:spacing w:line="360" w:lineRule="auto"/>
        <w:ind w:firstLine="200"/>
        <w:jc w:val="center"/>
        <w:outlineLvl w:val="1"/>
        <w:rPr>
          <w:rFonts w:hint="eastAsia" w:ascii="仿宋_GB2312" w:hAnsi="楷体" w:eastAsia="仿宋_GB2312"/>
          <w:b/>
          <w:color w:val="auto"/>
          <w:sz w:val="24"/>
          <w:highlight w:val="none"/>
        </w:rPr>
      </w:pPr>
      <w:r>
        <w:rPr>
          <w:rFonts w:hint="eastAsia" w:ascii="仿宋_GB2312" w:hAnsi="楷体" w:eastAsia="仿宋_GB2312"/>
          <w:b/>
          <w:color w:val="auto"/>
          <w:sz w:val="24"/>
          <w:highlight w:val="none"/>
        </w:rPr>
        <w:br w:type="page"/>
      </w:r>
      <w:r>
        <w:rPr>
          <w:rFonts w:hint="eastAsia" w:ascii="仿宋_GB2312" w:hAnsi="楷体" w:eastAsia="仿宋_GB2312"/>
          <w:b/>
          <w:color w:val="auto"/>
          <w:sz w:val="24"/>
          <w:highlight w:val="none"/>
        </w:rPr>
        <w:t>第二部分 合同一般条款</w:t>
      </w:r>
    </w:p>
    <w:p w14:paraId="20165D3F">
      <w:pPr>
        <w:spacing w:line="360" w:lineRule="auto"/>
        <w:ind w:firstLine="482" w:firstLineChars="200"/>
        <w:rPr>
          <w:rFonts w:hint="eastAsia" w:ascii="仿宋_GB2312" w:hAnsi="楷体" w:eastAsia="仿宋_GB2312"/>
          <w:b/>
          <w:color w:val="auto"/>
          <w:sz w:val="24"/>
          <w:highlight w:val="none"/>
        </w:rPr>
      </w:pPr>
      <w:r>
        <w:rPr>
          <w:rFonts w:hint="eastAsia" w:ascii="仿宋_GB2312" w:hAnsi="楷体" w:eastAsia="仿宋_GB2312"/>
          <w:b/>
          <w:color w:val="auto"/>
          <w:sz w:val="24"/>
          <w:highlight w:val="none"/>
        </w:rPr>
        <w:t>2.1 定义</w:t>
      </w:r>
    </w:p>
    <w:p w14:paraId="49EA6CEC">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本合同中的下列词语应按以下内容进行解释：</w:t>
      </w:r>
    </w:p>
    <w:p w14:paraId="443DB06C">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2.1.1 “合同”系指采购人和中标人签订的载明双方当事人所达成的协议，并包括所有的附件、附录和构成合同的其他文件。</w:t>
      </w:r>
    </w:p>
    <w:p w14:paraId="58A8D35A">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2.1.2 “合同价”系指根据合同约定，中标人在完全履行合同义务后，采购人应支付给中标人的价格。</w:t>
      </w:r>
    </w:p>
    <w:p w14:paraId="790F39C9">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2.1.3 “标的物”系指中标人根据合同约定应向采购人交付的一切各种形态和种类的货物、服务和工程，包括但不限于原材料、燃料、设备、机械、仪表、备件、计算机软件、信息化系统、信息化维保、物业服务、产品等，并包括工具、手册等其他相关资料。</w:t>
      </w:r>
    </w:p>
    <w:p w14:paraId="15E9B0D6">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2.1.4 “甲方”系指与中标人签署合同的采购人；采购人委托采购机构代表其与乙方签订合同的，采购人的授权委托书作为合同附件。</w:t>
      </w:r>
    </w:p>
    <w:p w14:paraId="5F0CBF26">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2.1.5 “乙方”系指根据合同约定交付标的物的中标人；两个以上的自然人、法人或者其他组织组成一个联合体，以一个供应商的身份共同参加政府采购的，联合体各方均应为乙方或者与乙方相同地位的合同当事人，并就合同约定的事项对甲方承担连带责任。</w:t>
      </w:r>
    </w:p>
    <w:p w14:paraId="29C3BF2F">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2.1.6 “现场”系指合同约定标的物将要运至或者实施或者安装的地点。</w:t>
      </w:r>
    </w:p>
    <w:p w14:paraId="0F35FEA7">
      <w:pPr>
        <w:spacing w:line="360" w:lineRule="auto"/>
        <w:ind w:firstLine="482" w:firstLineChars="200"/>
        <w:rPr>
          <w:rFonts w:hint="eastAsia" w:ascii="仿宋_GB2312" w:hAnsi="楷体" w:eastAsia="仿宋_GB2312"/>
          <w:b/>
          <w:color w:val="auto"/>
          <w:sz w:val="24"/>
          <w:highlight w:val="none"/>
        </w:rPr>
      </w:pPr>
      <w:r>
        <w:rPr>
          <w:rFonts w:hint="eastAsia" w:ascii="仿宋_GB2312" w:hAnsi="楷体" w:eastAsia="仿宋_GB2312"/>
          <w:b/>
          <w:color w:val="auto"/>
          <w:sz w:val="24"/>
          <w:highlight w:val="none"/>
        </w:rPr>
        <w:t>2.2 技术规范</w:t>
      </w:r>
    </w:p>
    <w:p w14:paraId="3BBCC129">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标的物所应遵守的技术规范应与采购文件规定的技术规范和技术规范附件(如果有的话)及其技术规范偏差表(如果被甲方接受的话)相一致；如果采购文件中没有技术规范的相应说明，应以国家有关部门最新颁布的相应标准和规范为准。</w:t>
      </w:r>
    </w:p>
    <w:p w14:paraId="76B0DF14">
      <w:pPr>
        <w:spacing w:line="360" w:lineRule="auto"/>
        <w:ind w:firstLine="482" w:firstLineChars="200"/>
        <w:rPr>
          <w:rFonts w:hint="eastAsia" w:ascii="仿宋_GB2312" w:hAnsi="楷体" w:eastAsia="仿宋_GB2312"/>
          <w:b/>
          <w:color w:val="auto"/>
          <w:sz w:val="24"/>
          <w:highlight w:val="none"/>
        </w:rPr>
      </w:pPr>
      <w:r>
        <w:rPr>
          <w:rFonts w:hint="eastAsia" w:ascii="仿宋_GB2312" w:hAnsi="楷体" w:eastAsia="仿宋_GB2312"/>
          <w:b/>
          <w:color w:val="auto"/>
          <w:sz w:val="24"/>
          <w:highlight w:val="none"/>
        </w:rPr>
        <w:t>2.3 知识产权</w:t>
      </w:r>
    </w:p>
    <w:p w14:paraId="368BA20C">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2.3.1 乙方应保证甲方在使用该标的物或其任何一部分时不受任何第三方提出的侵犯其著作权、商标权、专利权等知识产权方面的起诉；如果任何第三方提出侵权指控，乙方须与该第三方交涉并承担由此发生的一切责任、费用和赔偿；</w:t>
      </w:r>
    </w:p>
    <w:p w14:paraId="5A960DD2">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2.3.2具有知识产权的计算机软件等标的物的知识产权归属，详见</w:t>
      </w:r>
      <w:r>
        <w:rPr>
          <w:rFonts w:hint="eastAsia" w:ascii="仿宋_GB2312" w:hAnsi="楷体" w:eastAsia="仿宋_GB2312"/>
          <w:b/>
          <w:i/>
          <w:color w:val="auto"/>
          <w:sz w:val="24"/>
          <w:highlight w:val="none"/>
          <w:u w:val="single"/>
        </w:rPr>
        <w:t>合同专用条款</w:t>
      </w:r>
      <w:r>
        <w:rPr>
          <w:rFonts w:hint="eastAsia" w:ascii="仿宋_GB2312" w:hAnsi="楷体" w:eastAsia="仿宋_GB2312"/>
          <w:color w:val="auto"/>
          <w:sz w:val="24"/>
          <w:highlight w:val="none"/>
        </w:rPr>
        <w:t>。</w:t>
      </w:r>
    </w:p>
    <w:p w14:paraId="2A5548B5">
      <w:pPr>
        <w:spacing w:line="360" w:lineRule="auto"/>
        <w:ind w:firstLine="482" w:firstLineChars="200"/>
        <w:rPr>
          <w:rFonts w:hint="eastAsia" w:ascii="仿宋_GB2312" w:hAnsi="楷体" w:eastAsia="仿宋_GB2312"/>
          <w:b/>
          <w:color w:val="auto"/>
          <w:sz w:val="24"/>
          <w:highlight w:val="none"/>
        </w:rPr>
      </w:pPr>
      <w:r>
        <w:rPr>
          <w:rFonts w:hint="eastAsia" w:ascii="仿宋_GB2312" w:hAnsi="楷体" w:eastAsia="仿宋_GB2312"/>
          <w:b/>
          <w:color w:val="auto"/>
          <w:sz w:val="24"/>
          <w:highlight w:val="none"/>
        </w:rPr>
        <w:t>2.4 包装和装运</w:t>
      </w:r>
    </w:p>
    <w:p w14:paraId="090E4B65">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2.4.1除</w:t>
      </w:r>
      <w:r>
        <w:rPr>
          <w:rFonts w:hint="eastAsia" w:ascii="仿宋_GB2312" w:hAnsi="楷体" w:eastAsia="仿宋_GB2312"/>
          <w:b/>
          <w:i/>
          <w:color w:val="auto"/>
          <w:sz w:val="24"/>
          <w:highlight w:val="none"/>
          <w:u w:val="single"/>
        </w:rPr>
        <w:t>合同专用条款</w:t>
      </w:r>
      <w:r>
        <w:rPr>
          <w:rFonts w:hint="eastAsia" w:ascii="仿宋_GB2312" w:hAnsi="楷体" w:eastAsia="仿宋_GB2312"/>
          <w:color w:val="auto"/>
          <w:sz w:val="24"/>
          <w:highlight w:val="none"/>
        </w:rPr>
        <w:t>另有约定外,乙方交付的全部标的物,均应采用本行业通用的方式进行包装，没有通用方式的，应当采取足以保护标的物的包装方式，且该包装应符合国家有关包装的法律、法规的规定。如有必要，包装应适用于远距离运输、防潮、防震、防锈和防粗暴装卸，确保标的物安全无损地运抵现场。由于包装不善所引起的标的物锈蚀、损坏和损失等一切风险均由乙方承担。</w:t>
      </w:r>
    </w:p>
    <w:p w14:paraId="1164A922">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2.4.2 装运标的物的要求和通知，详见</w:t>
      </w:r>
      <w:r>
        <w:rPr>
          <w:rFonts w:hint="eastAsia" w:ascii="仿宋_GB2312" w:hAnsi="楷体" w:eastAsia="仿宋_GB2312"/>
          <w:b/>
          <w:i/>
          <w:color w:val="auto"/>
          <w:sz w:val="24"/>
          <w:highlight w:val="none"/>
          <w:u w:val="single"/>
        </w:rPr>
        <w:t>合同专用条款</w:t>
      </w:r>
      <w:r>
        <w:rPr>
          <w:rFonts w:hint="eastAsia" w:ascii="仿宋_GB2312" w:hAnsi="楷体" w:eastAsia="仿宋_GB2312"/>
          <w:color w:val="auto"/>
          <w:sz w:val="24"/>
          <w:highlight w:val="none"/>
        </w:rPr>
        <w:t>。</w:t>
      </w:r>
    </w:p>
    <w:p w14:paraId="2F6C6279">
      <w:pPr>
        <w:spacing w:line="360" w:lineRule="auto"/>
        <w:ind w:firstLine="482" w:firstLineChars="200"/>
        <w:rPr>
          <w:rFonts w:hint="eastAsia" w:ascii="仿宋_GB2312" w:hAnsi="楷体" w:eastAsia="仿宋_GB2312"/>
          <w:b/>
          <w:color w:val="auto"/>
          <w:sz w:val="24"/>
          <w:highlight w:val="none"/>
        </w:rPr>
      </w:pPr>
      <w:r>
        <w:rPr>
          <w:rFonts w:hint="eastAsia" w:ascii="仿宋_GB2312" w:hAnsi="楷体" w:eastAsia="仿宋_GB2312"/>
          <w:b/>
          <w:color w:val="auto"/>
          <w:sz w:val="24"/>
          <w:highlight w:val="none"/>
        </w:rPr>
        <w:t>2.5 履约检查和问题反馈</w:t>
      </w:r>
    </w:p>
    <w:p w14:paraId="41C8A5A6">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2.5.1甲方有权在其认为必要时，对乙方是否能够按照合同约定交付标的物进行履约检查，以确保乙方所交付的标的物能够依约满足甲方之项目需求，但不得因履约检查妨碍乙方的正常工作，乙方应予积极配合；</w:t>
      </w:r>
    </w:p>
    <w:p w14:paraId="4210AB9D">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2.5.2 合同履行期间，甲方有权将履行过程中出现的问题反馈给乙方，双方当事人应以书面形式约定需要完善和改进的内容。</w:t>
      </w:r>
    </w:p>
    <w:p w14:paraId="12505ADF">
      <w:pPr>
        <w:spacing w:line="360" w:lineRule="auto"/>
        <w:ind w:firstLine="482" w:firstLineChars="200"/>
        <w:rPr>
          <w:rFonts w:hint="eastAsia" w:ascii="仿宋_GB2312" w:hAnsi="楷体" w:eastAsia="仿宋_GB2312"/>
          <w:b/>
          <w:color w:val="auto"/>
          <w:sz w:val="24"/>
          <w:highlight w:val="none"/>
        </w:rPr>
      </w:pPr>
      <w:r>
        <w:rPr>
          <w:rFonts w:hint="eastAsia" w:ascii="仿宋_GB2312" w:hAnsi="楷体" w:eastAsia="仿宋_GB2312"/>
          <w:b/>
          <w:color w:val="auto"/>
          <w:sz w:val="24"/>
          <w:highlight w:val="none"/>
        </w:rPr>
        <w:t>2.6 结算方式和付款条件</w:t>
      </w:r>
    </w:p>
    <w:p w14:paraId="19FCB9B1">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详见</w:t>
      </w:r>
      <w:r>
        <w:rPr>
          <w:rFonts w:hint="eastAsia" w:ascii="仿宋_GB2312" w:hAnsi="楷体" w:eastAsia="仿宋_GB2312"/>
          <w:b/>
          <w:i/>
          <w:color w:val="auto"/>
          <w:sz w:val="24"/>
          <w:highlight w:val="none"/>
          <w:u w:val="single"/>
        </w:rPr>
        <w:t>合同专用条款</w:t>
      </w:r>
      <w:r>
        <w:rPr>
          <w:rFonts w:hint="eastAsia" w:ascii="仿宋_GB2312" w:hAnsi="楷体" w:eastAsia="仿宋_GB2312"/>
          <w:color w:val="auto"/>
          <w:sz w:val="24"/>
          <w:highlight w:val="none"/>
        </w:rPr>
        <w:t>。</w:t>
      </w:r>
    </w:p>
    <w:p w14:paraId="0E64D9CF">
      <w:pPr>
        <w:spacing w:line="360" w:lineRule="auto"/>
        <w:ind w:firstLine="482" w:firstLineChars="200"/>
        <w:rPr>
          <w:rFonts w:hint="eastAsia" w:ascii="仿宋_GB2312" w:hAnsi="楷体" w:eastAsia="仿宋_GB2312"/>
          <w:b/>
          <w:color w:val="auto"/>
          <w:sz w:val="24"/>
          <w:highlight w:val="none"/>
        </w:rPr>
      </w:pPr>
      <w:r>
        <w:rPr>
          <w:rFonts w:hint="eastAsia" w:ascii="仿宋_GB2312" w:hAnsi="楷体" w:eastAsia="仿宋_GB2312"/>
          <w:b/>
          <w:color w:val="auto"/>
          <w:sz w:val="24"/>
          <w:highlight w:val="none"/>
        </w:rPr>
        <w:t>2.7 技术资料和保密义务</w:t>
      </w:r>
    </w:p>
    <w:p w14:paraId="7ADB0FA9">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2.7.1 乙方有权依据合同约定和项目需要，向甲方了解有关情况，调阅有关资料等，甲方应予积极配合；</w:t>
      </w:r>
    </w:p>
    <w:p w14:paraId="2079EA92">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2.7.2 乙方有义务妥善保管和保护由甲方提供的前款信息和资料等；</w:t>
      </w:r>
    </w:p>
    <w:p w14:paraId="0D00DC17">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及方式防止任何第三方接触到对方当事人的上述保密信息和资料。</w:t>
      </w:r>
    </w:p>
    <w:p w14:paraId="4875FE01">
      <w:pPr>
        <w:spacing w:line="360" w:lineRule="auto"/>
        <w:ind w:firstLine="482" w:firstLineChars="200"/>
        <w:rPr>
          <w:rFonts w:hint="eastAsia" w:ascii="仿宋_GB2312" w:hAnsi="楷体" w:eastAsia="仿宋_GB2312"/>
          <w:b/>
          <w:color w:val="auto"/>
          <w:sz w:val="24"/>
          <w:highlight w:val="none"/>
        </w:rPr>
      </w:pPr>
      <w:r>
        <w:rPr>
          <w:rFonts w:hint="eastAsia" w:ascii="仿宋_GB2312" w:hAnsi="楷体" w:eastAsia="仿宋_GB2312"/>
          <w:b/>
          <w:color w:val="auto"/>
          <w:sz w:val="24"/>
          <w:highlight w:val="none"/>
        </w:rPr>
        <w:t>2.8 质量保证</w:t>
      </w:r>
    </w:p>
    <w:p w14:paraId="1D2ADDB2">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2.8.1 乙方应建立和完善履行合同的内部质量保证体系，并提供相关内部规章制度给甲方，以便甲方进行监督检查；</w:t>
      </w:r>
    </w:p>
    <w:p w14:paraId="7979FA04">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2.8.2 乙方应保证履行合同的人员数量和素质、软件和硬件设备的配置、场地、环境和设施等满足全面履行合同的要求，并应接受甲方的监督检查。</w:t>
      </w:r>
    </w:p>
    <w:p w14:paraId="1358BF15">
      <w:pPr>
        <w:spacing w:line="360" w:lineRule="auto"/>
        <w:ind w:firstLine="480" w:firstLineChars="200"/>
        <w:rPr>
          <w:rFonts w:hint="eastAsia" w:ascii="仿宋_GB2312" w:hAnsi="仿宋" w:eastAsia="仿宋_GB2312" w:cs="仿宋_GB2312"/>
          <w:color w:val="auto"/>
          <w:kern w:val="0"/>
          <w:sz w:val="24"/>
          <w:highlight w:val="none"/>
        </w:rPr>
      </w:pPr>
      <w:r>
        <w:rPr>
          <w:rFonts w:hint="eastAsia" w:ascii="仿宋_GB2312" w:hAnsi="仿宋" w:eastAsia="仿宋_GB2312"/>
          <w:color w:val="auto"/>
          <w:sz w:val="24"/>
          <w:highlight w:val="none"/>
        </w:rPr>
        <w:t>2.8.3乙方应确保项目技术人员的数量和水平与投标文件一致。未经甲方书面同意，乙方不得擅自更换投标文件中注明的项目经理和技术负责人。否则</w:t>
      </w:r>
      <w:r>
        <w:rPr>
          <w:rFonts w:hint="eastAsia" w:ascii="仿宋_GB2312" w:hAnsi="仿宋" w:eastAsia="仿宋_GB2312" w:cs="仿宋_GB2312"/>
          <w:color w:val="auto"/>
          <w:kern w:val="0"/>
          <w:sz w:val="24"/>
          <w:highlight w:val="none"/>
        </w:rPr>
        <w:t>甲方有权放弃或终止合同，并没收履约保证金。</w:t>
      </w:r>
    </w:p>
    <w:p w14:paraId="3A506DC9">
      <w:pPr>
        <w:spacing w:line="360" w:lineRule="auto"/>
        <w:ind w:firstLine="480" w:firstLineChars="200"/>
        <w:rPr>
          <w:rFonts w:hint="eastAsia" w:ascii="仿宋_GB2312" w:hAnsi="楷体" w:eastAsia="仿宋_GB2312"/>
          <w:color w:val="auto"/>
          <w:sz w:val="24"/>
          <w:highlight w:val="none"/>
        </w:rPr>
      </w:pPr>
      <w:r>
        <w:rPr>
          <w:rFonts w:hint="eastAsia" w:ascii="仿宋_GB2312" w:hAnsi="仿宋" w:eastAsia="仿宋_GB2312"/>
          <w:color w:val="auto"/>
          <w:sz w:val="24"/>
          <w:highlight w:val="none"/>
        </w:rPr>
        <w:t>2.8.4因乙方原因造成甲方其他系统不能正常运行，酿成重大事故（工作日系统中断一天以上）的，乙方应承担全部法律责任，并赔偿经济损失，赔偿金额为项目总价的</w:t>
      </w:r>
      <w:r>
        <w:rPr>
          <w:rFonts w:hint="eastAsia" w:ascii="仿宋_GB2312" w:hAnsi="仿宋" w:eastAsia="仿宋_GB2312"/>
          <w:color w:val="auto"/>
          <w:sz w:val="24"/>
          <w:highlight w:val="none"/>
          <w:u w:val="single"/>
        </w:rPr>
        <w:t xml:space="preserve"> 30% ，</w:t>
      </w:r>
      <w:r>
        <w:rPr>
          <w:rFonts w:hint="eastAsia" w:ascii="仿宋_GB2312" w:hAnsi="楷体" w:eastAsia="仿宋_GB2312"/>
          <w:color w:val="auto"/>
          <w:sz w:val="24"/>
          <w:highlight w:val="none"/>
        </w:rPr>
        <w:t>甲方可从未支付的合同款中扣减赔偿金额</w:t>
      </w:r>
      <w:r>
        <w:rPr>
          <w:rFonts w:hint="eastAsia" w:ascii="仿宋_GB2312" w:hAnsi="仿宋" w:eastAsia="仿宋_GB2312"/>
          <w:color w:val="auto"/>
          <w:sz w:val="24"/>
          <w:highlight w:val="none"/>
        </w:rPr>
        <w:t>。</w:t>
      </w:r>
    </w:p>
    <w:p w14:paraId="4FCBB381">
      <w:pPr>
        <w:spacing w:line="360" w:lineRule="auto"/>
        <w:ind w:firstLine="482" w:firstLineChars="200"/>
        <w:rPr>
          <w:rFonts w:hint="eastAsia" w:ascii="仿宋_GB2312" w:hAnsi="楷体" w:eastAsia="仿宋_GB2312"/>
          <w:b/>
          <w:color w:val="auto"/>
          <w:sz w:val="24"/>
          <w:highlight w:val="none"/>
        </w:rPr>
      </w:pPr>
      <w:r>
        <w:rPr>
          <w:rFonts w:hint="eastAsia" w:ascii="仿宋_GB2312" w:hAnsi="楷体" w:eastAsia="仿宋_GB2312"/>
          <w:b/>
          <w:color w:val="auto"/>
          <w:sz w:val="24"/>
          <w:highlight w:val="none"/>
        </w:rPr>
        <w:t>2.9 标的物的风险负担</w:t>
      </w:r>
    </w:p>
    <w:p w14:paraId="06AC16FB">
      <w:pPr>
        <w:spacing w:line="360" w:lineRule="auto"/>
        <w:ind w:firstLine="480" w:firstLineChars="200"/>
        <w:rPr>
          <w:rFonts w:hint="eastAsia" w:ascii="仿宋_GB2312" w:hAnsi="楷体" w:eastAsia="仿宋_GB2312"/>
          <w:b/>
          <w:color w:val="auto"/>
          <w:sz w:val="24"/>
          <w:highlight w:val="none"/>
        </w:rPr>
      </w:pPr>
      <w:r>
        <w:rPr>
          <w:rFonts w:hint="eastAsia" w:ascii="仿宋_GB2312" w:hAnsi="楷体" w:eastAsia="仿宋_GB2312"/>
          <w:color w:val="auto"/>
          <w:sz w:val="24"/>
          <w:highlight w:val="none"/>
        </w:rPr>
        <w:t>标的物或者在途标的物或者交付给第一承运人后的标的物毁损、灭失的风险负担详见</w:t>
      </w:r>
      <w:r>
        <w:rPr>
          <w:rFonts w:hint="eastAsia" w:ascii="仿宋_GB2312" w:hAnsi="楷体" w:eastAsia="仿宋_GB2312"/>
          <w:b/>
          <w:i/>
          <w:color w:val="auto"/>
          <w:sz w:val="24"/>
          <w:highlight w:val="none"/>
          <w:u w:val="single"/>
        </w:rPr>
        <w:t>合同专用条款</w:t>
      </w:r>
      <w:r>
        <w:rPr>
          <w:rFonts w:hint="eastAsia" w:ascii="仿宋_GB2312" w:hAnsi="楷体" w:eastAsia="仿宋_GB2312"/>
          <w:color w:val="auto"/>
          <w:sz w:val="24"/>
          <w:highlight w:val="none"/>
        </w:rPr>
        <w:t>。</w:t>
      </w:r>
    </w:p>
    <w:p w14:paraId="0FBB6127">
      <w:pPr>
        <w:spacing w:line="360" w:lineRule="auto"/>
        <w:ind w:firstLine="482" w:firstLineChars="200"/>
        <w:rPr>
          <w:rFonts w:hint="eastAsia" w:ascii="仿宋_GB2312" w:hAnsi="楷体" w:eastAsia="仿宋_GB2312"/>
          <w:b/>
          <w:color w:val="auto"/>
          <w:sz w:val="24"/>
          <w:highlight w:val="none"/>
        </w:rPr>
      </w:pPr>
      <w:r>
        <w:rPr>
          <w:rFonts w:hint="eastAsia" w:ascii="仿宋_GB2312" w:hAnsi="楷体" w:eastAsia="仿宋_GB2312"/>
          <w:b/>
          <w:color w:val="auto"/>
          <w:sz w:val="24"/>
          <w:highlight w:val="none"/>
        </w:rPr>
        <w:t>2.10 延迟交货/交付</w:t>
      </w:r>
    </w:p>
    <w:p w14:paraId="0A415481">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在合同履行过程中，如果乙方遇到不能按时交付标的物的情况，应及时以书面形式将不能按时交付标的物的理由、预期延误时间通知甲方；甲方收到乙方通知后，认为其理由正当的，可以书面形式酌情同意乙方可以延长交货的具体时间。</w:t>
      </w:r>
    </w:p>
    <w:p w14:paraId="4144252B">
      <w:pPr>
        <w:spacing w:line="360" w:lineRule="auto"/>
        <w:ind w:firstLine="482" w:firstLineChars="200"/>
        <w:rPr>
          <w:rFonts w:hint="eastAsia" w:ascii="仿宋_GB2312" w:hAnsi="楷体" w:eastAsia="仿宋_GB2312"/>
          <w:b/>
          <w:color w:val="auto"/>
          <w:sz w:val="24"/>
          <w:highlight w:val="none"/>
        </w:rPr>
      </w:pPr>
      <w:r>
        <w:rPr>
          <w:rFonts w:hint="eastAsia" w:ascii="仿宋_GB2312" w:hAnsi="楷体" w:eastAsia="仿宋_GB2312"/>
          <w:b/>
          <w:color w:val="auto"/>
          <w:sz w:val="24"/>
          <w:highlight w:val="none"/>
        </w:rPr>
        <w:t>2.11 合同变更</w:t>
      </w:r>
    </w:p>
    <w:p w14:paraId="4C5C3FDD">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2.11.1双方当事人协商一致，可以签订书面补充合同的形式变更合同，但不得违背采购文件确定的事项。如果系追加与合同标的相同的标的物的，那么需经采购监督管理部门同意，且所有补充合同的采购金额不得超过原合同价的10%；</w:t>
      </w:r>
    </w:p>
    <w:p w14:paraId="55E9C9AD">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2.11.2 合同继续履行将损害国家利益和社会公共利益的，双方当事人应当以书面形式变更合同。有过错的一方应当承担赔偿责任，双方当事人都有过错的，各自承担相应的责任。</w:t>
      </w:r>
    </w:p>
    <w:p w14:paraId="28CA3FD0">
      <w:pPr>
        <w:spacing w:line="360" w:lineRule="auto"/>
        <w:ind w:firstLine="482" w:firstLineChars="200"/>
        <w:rPr>
          <w:rFonts w:hint="eastAsia" w:ascii="仿宋_GB2312" w:hAnsi="楷体" w:eastAsia="仿宋_GB2312"/>
          <w:b/>
          <w:color w:val="auto"/>
          <w:sz w:val="24"/>
          <w:highlight w:val="none"/>
        </w:rPr>
      </w:pPr>
      <w:r>
        <w:rPr>
          <w:rFonts w:hint="eastAsia" w:ascii="仿宋_GB2312" w:hAnsi="楷体" w:eastAsia="仿宋_GB2312"/>
          <w:b/>
          <w:color w:val="auto"/>
          <w:sz w:val="24"/>
          <w:highlight w:val="none"/>
        </w:rPr>
        <w:t>2.12 合同转让和分包</w:t>
      </w:r>
    </w:p>
    <w:p w14:paraId="00C3354D">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合同的权利义务依法不得转让，但经甲方书面同意，乙方可以依法采取分包方式履行合同，即：依法可以将合同项下的部分非主体、非关键性工作分包给他人完成，接受分包的供应商应当具备相应的资格条件，并不得再次分包，且乙方应就分包项目向甲方负责，并与分包供应商就分包项目向甲方承担连带责任。</w:t>
      </w:r>
    </w:p>
    <w:p w14:paraId="0105B96F">
      <w:pPr>
        <w:spacing w:line="360" w:lineRule="auto"/>
        <w:ind w:firstLine="482" w:firstLineChars="200"/>
        <w:rPr>
          <w:rFonts w:hint="eastAsia" w:ascii="仿宋_GB2312" w:hAnsi="楷体" w:eastAsia="仿宋_GB2312"/>
          <w:b/>
          <w:color w:val="auto"/>
          <w:sz w:val="24"/>
          <w:highlight w:val="none"/>
        </w:rPr>
      </w:pPr>
      <w:r>
        <w:rPr>
          <w:rFonts w:hint="eastAsia" w:ascii="仿宋_GB2312" w:hAnsi="楷体" w:eastAsia="仿宋_GB2312"/>
          <w:b/>
          <w:color w:val="auto"/>
          <w:sz w:val="24"/>
          <w:highlight w:val="none"/>
        </w:rPr>
        <w:t>2.13 不可抗力</w:t>
      </w:r>
    </w:p>
    <w:p w14:paraId="539B2B9F">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2.13.1如果任何一方遭遇法律规定的不可抗力，致使合同履行受阻时，履行合同的期限应予延长，延长的期限应相当于不可抗力所影响的时间；</w:t>
      </w:r>
    </w:p>
    <w:p w14:paraId="0519F295">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2.13.2受不可抗力影响的一方在不可抗力发生后，应在</w:t>
      </w:r>
      <w:r>
        <w:rPr>
          <w:rFonts w:hint="eastAsia" w:ascii="仿宋_GB2312" w:hAnsi="楷体" w:eastAsia="仿宋_GB2312"/>
          <w:b/>
          <w:i/>
          <w:color w:val="auto"/>
          <w:sz w:val="24"/>
          <w:highlight w:val="none"/>
          <w:u w:val="single"/>
        </w:rPr>
        <w:t>合同专用条款</w:t>
      </w:r>
      <w:r>
        <w:rPr>
          <w:rFonts w:hint="eastAsia" w:ascii="仿宋_GB2312" w:hAnsi="楷体" w:eastAsia="仿宋_GB2312"/>
          <w:color w:val="auto"/>
          <w:sz w:val="24"/>
          <w:highlight w:val="none"/>
        </w:rPr>
        <w:t>约定时间内以书面形式通知对方当事人，并在</w:t>
      </w:r>
      <w:r>
        <w:rPr>
          <w:rFonts w:hint="eastAsia" w:ascii="仿宋_GB2312" w:hAnsi="楷体" w:eastAsia="仿宋_GB2312"/>
          <w:b/>
          <w:i/>
          <w:color w:val="auto"/>
          <w:sz w:val="24"/>
          <w:highlight w:val="none"/>
          <w:u w:val="single"/>
        </w:rPr>
        <w:t>合同专用条款</w:t>
      </w:r>
      <w:r>
        <w:rPr>
          <w:rFonts w:hint="eastAsia" w:ascii="仿宋_GB2312" w:hAnsi="楷体" w:eastAsia="仿宋_GB2312"/>
          <w:color w:val="auto"/>
          <w:sz w:val="24"/>
          <w:highlight w:val="none"/>
        </w:rPr>
        <w:t>约定时间内，将有关部门出具的证明文件送达对方当事人。</w:t>
      </w:r>
    </w:p>
    <w:p w14:paraId="260F6564">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2.13.3 因不可抗力致使不能实现合同目的的，当事人可以解除合同；</w:t>
      </w:r>
    </w:p>
    <w:p w14:paraId="34B1F3D4">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2.13.4 因不可抗力致使合同有变更必要的，双方当事人应在</w:t>
      </w:r>
      <w:r>
        <w:rPr>
          <w:rFonts w:hint="eastAsia" w:ascii="仿宋_GB2312" w:hAnsi="楷体" w:eastAsia="仿宋_GB2312"/>
          <w:b/>
          <w:i/>
          <w:color w:val="auto"/>
          <w:sz w:val="24"/>
          <w:highlight w:val="none"/>
          <w:u w:val="single"/>
        </w:rPr>
        <w:t>合同专用条款</w:t>
      </w:r>
      <w:r>
        <w:rPr>
          <w:rFonts w:hint="eastAsia" w:ascii="仿宋_GB2312" w:hAnsi="楷体" w:eastAsia="仿宋_GB2312"/>
          <w:color w:val="auto"/>
          <w:sz w:val="24"/>
          <w:highlight w:val="none"/>
        </w:rPr>
        <w:t>约定时间内以书面形式变更合同；</w:t>
      </w:r>
    </w:p>
    <w:p w14:paraId="6F7B9ECB">
      <w:pPr>
        <w:spacing w:line="360" w:lineRule="auto"/>
        <w:ind w:firstLine="482" w:firstLineChars="200"/>
        <w:rPr>
          <w:rFonts w:hint="eastAsia" w:ascii="仿宋_GB2312" w:hAnsi="楷体" w:eastAsia="仿宋_GB2312"/>
          <w:b/>
          <w:color w:val="auto"/>
          <w:sz w:val="24"/>
          <w:highlight w:val="none"/>
        </w:rPr>
      </w:pPr>
      <w:r>
        <w:rPr>
          <w:rFonts w:hint="eastAsia" w:ascii="仿宋_GB2312" w:hAnsi="楷体" w:eastAsia="仿宋_GB2312"/>
          <w:b/>
          <w:color w:val="auto"/>
          <w:sz w:val="24"/>
          <w:highlight w:val="none"/>
        </w:rPr>
        <w:t>2.14 税费</w:t>
      </w:r>
    </w:p>
    <w:p w14:paraId="034F451A">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与合同有关的一切税费，均按照中华人民共和国法律的相关规定执行。</w:t>
      </w:r>
    </w:p>
    <w:p w14:paraId="797E0357">
      <w:pPr>
        <w:spacing w:line="360" w:lineRule="auto"/>
        <w:ind w:firstLine="482" w:firstLineChars="200"/>
        <w:rPr>
          <w:rFonts w:hint="eastAsia" w:ascii="仿宋_GB2312" w:hAnsi="楷体" w:eastAsia="仿宋_GB2312"/>
          <w:b/>
          <w:color w:val="auto"/>
          <w:sz w:val="24"/>
          <w:highlight w:val="none"/>
        </w:rPr>
      </w:pPr>
      <w:r>
        <w:rPr>
          <w:rFonts w:hint="eastAsia" w:ascii="仿宋_GB2312" w:hAnsi="楷体" w:eastAsia="仿宋_GB2312"/>
          <w:b/>
          <w:color w:val="auto"/>
          <w:sz w:val="24"/>
          <w:highlight w:val="none"/>
        </w:rPr>
        <w:t>2.15 乙方破产</w:t>
      </w:r>
    </w:p>
    <w:p w14:paraId="26C7AD6A">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7237F65D">
      <w:pPr>
        <w:spacing w:line="360" w:lineRule="auto"/>
        <w:ind w:firstLine="482" w:firstLineChars="200"/>
        <w:rPr>
          <w:rFonts w:hint="eastAsia" w:ascii="仿宋_GB2312" w:hAnsi="楷体" w:eastAsia="仿宋_GB2312"/>
          <w:b/>
          <w:color w:val="auto"/>
          <w:sz w:val="24"/>
          <w:highlight w:val="none"/>
        </w:rPr>
      </w:pPr>
      <w:r>
        <w:rPr>
          <w:rFonts w:hint="eastAsia" w:ascii="仿宋_GB2312" w:hAnsi="楷体" w:eastAsia="仿宋_GB2312"/>
          <w:b/>
          <w:color w:val="auto"/>
          <w:sz w:val="24"/>
          <w:highlight w:val="none"/>
        </w:rPr>
        <w:t>2.16 合同中止、终止</w:t>
      </w:r>
    </w:p>
    <w:p w14:paraId="63B470BA">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2.16.1 双方当事人不得擅自中止或者终止合同；</w:t>
      </w:r>
    </w:p>
    <w:p w14:paraId="72F298EB">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2.16.2合同继续履行将损害国家利益和社会公共利益的，双方当事人应当中止或者终止合同。有过错的一方应当承担赔偿责任，双方当事人都有过错的，各自承担相应的责任。</w:t>
      </w:r>
    </w:p>
    <w:p w14:paraId="2183A189">
      <w:pPr>
        <w:spacing w:line="360" w:lineRule="auto"/>
        <w:ind w:firstLine="482" w:firstLineChars="200"/>
        <w:rPr>
          <w:rFonts w:hint="eastAsia" w:ascii="仿宋_GB2312" w:hAnsi="楷体" w:eastAsia="仿宋_GB2312"/>
          <w:b/>
          <w:color w:val="auto"/>
          <w:sz w:val="24"/>
          <w:highlight w:val="none"/>
        </w:rPr>
      </w:pPr>
      <w:r>
        <w:rPr>
          <w:rFonts w:hint="eastAsia" w:ascii="仿宋_GB2312" w:hAnsi="楷体" w:eastAsia="仿宋_GB2312"/>
          <w:b/>
          <w:color w:val="auto"/>
          <w:sz w:val="24"/>
          <w:highlight w:val="none"/>
        </w:rPr>
        <w:t>2.17 检验和验收</w:t>
      </w:r>
    </w:p>
    <w:p w14:paraId="7C916C25">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2.17.1标的物交付前，乙方应对标的物的质量、数量等方面进行详细、全面的检验，并向甲方出具证明标的物符合合同约定的文件；标的物交付时，乙方在</w:t>
      </w:r>
      <w:r>
        <w:rPr>
          <w:rFonts w:hint="eastAsia" w:ascii="仿宋_GB2312" w:hAnsi="楷体" w:eastAsia="仿宋_GB2312"/>
          <w:b/>
          <w:i/>
          <w:color w:val="auto"/>
          <w:sz w:val="24"/>
          <w:highlight w:val="none"/>
          <w:u w:val="single"/>
        </w:rPr>
        <w:t>合同专用条款</w:t>
      </w:r>
      <w:r>
        <w:rPr>
          <w:rFonts w:hint="eastAsia" w:ascii="仿宋_GB2312" w:hAnsi="楷体" w:eastAsia="仿宋_GB2312"/>
          <w:color w:val="auto"/>
          <w:sz w:val="24"/>
          <w:highlight w:val="none"/>
        </w:rPr>
        <w:t>约定时间内组织验收，并可依法邀请相关方参加，验收应出具验收书。</w:t>
      </w:r>
    </w:p>
    <w:p w14:paraId="04E192A5">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2.17.2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67FA45EA">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2.17.3 检验和验收标准、程序等具体内容以及前述验收书的效力详见</w:t>
      </w:r>
      <w:r>
        <w:rPr>
          <w:rFonts w:hint="eastAsia" w:ascii="仿宋_GB2312" w:hAnsi="楷体" w:eastAsia="仿宋_GB2312"/>
          <w:b/>
          <w:i/>
          <w:color w:val="auto"/>
          <w:sz w:val="24"/>
          <w:highlight w:val="none"/>
          <w:u w:val="single"/>
        </w:rPr>
        <w:t>合同专用条款</w:t>
      </w:r>
      <w:r>
        <w:rPr>
          <w:rFonts w:hint="eastAsia" w:ascii="仿宋_GB2312" w:hAnsi="楷体" w:eastAsia="仿宋_GB2312"/>
          <w:i/>
          <w:color w:val="auto"/>
          <w:sz w:val="24"/>
          <w:highlight w:val="none"/>
        </w:rPr>
        <w:t>。</w:t>
      </w:r>
    </w:p>
    <w:p w14:paraId="41684F3F">
      <w:pPr>
        <w:spacing w:line="360" w:lineRule="auto"/>
        <w:ind w:firstLine="482" w:firstLineChars="200"/>
        <w:rPr>
          <w:rFonts w:hint="eastAsia" w:ascii="仿宋_GB2312" w:hAnsi="楷体" w:eastAsia="仿宋_GB2312"/>
          <w:b/>
          <w:color w:val="auto"/>
          <w:sz w:val="24"/>
          <w:highlight w:val="none"/>
        </w:rPr>
      </w:pPr>
      <w:r>
        <w:rPr>
          <w:rFonts w:hint="eastAsia" w:ascii="仿宋_GB2312" w:hAnsi="楷体" w:eastAsia="仿宋_GB2312"/>
          <w:b/>
          <w:color w:val="auto"/>
          <w:sz w:val="24"/>
          <w:highlight w:val="none"/>
        </w:rPr>
        <w:t>2.18 通知和送达</w:t>
      </w:r>
    </w:p>
    <w:p w14:paraId="77BEAD75">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2.18.1 任何一方因履行合同而以合同第一部分尾部所列明的</w:t>
      </w:r>
      <w:r>
        <w:rPr>
          <w:rFonts w:hint="eastAsia" w:ascii="仿宋_GB2312" w:hAnsi="楷体" w:eastAsia="仿宋_GB2312"/>
          <w:color w:val="auto"/>
          <w:sz w:val="24"/>
          <w:highlight w:val="none"/>
          <w:u w:val="single"/>
        </w:rPr>
        <w:t>“约定送达地址”</w:t>
      </w:r>
      <w:r>
        <w:rPr>
          <w:rFonts w:hint="eastAsia" w:ascii="仿宋_GB2312" w:hAnsi="楷体" w:eastAsia="仿宋_GB2312"/>
          <w:color w:val="auto"/>
          <w:sz w:val="24"/>
          <w:highlight w:val="none"/>
        </w:rPr>
        <w:t>为收件地址的所有通知、文件、材料，均视为已向对方当事人送达；任何一方变更上述送达方式或者地址的，应于</w:t>
      </w:r>
      <w:r>
        <w:rPr>
          <w:rFonts w:hint="eastAsia" w:ascii="仿宋_GB2312" w:hAnsi="楷体" w:eastAsia="仿宋_GB2312"/>
          <w:color w:val="auto"/>
          <w:sz w:val="24"/>
          <w:highlight w:val="none"/>
          <w:u w:val="single"/>
        </w:rPr>
        <w:t xml:space="preserve"> 5 </w:t>
      </w:r>
      <w:r>
        <w:rPr>
          <w:rFonts w:hint="eastAsia" w:ascii="仿宋_GB2312" w:hAnsi="楷体" w:eastAsia="仿宋_GB2312"/>
          <w:color w:val="auto"/>
          <w:sz w:val="24"/>
          <w:highlight w:val="none"/>
        </w:rPr>
        <w:t>个工作日内书面通知对方当事人，在对方当事人收到有关变更通知之前，变更前的约定送达方式或者地址仍视为有效。</w:t>
      </w:r>
    </w:p>
    <w:p w14:paraId="15304B48">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2.18.2以当面交付方式送达的，交付之时视为送达；以电子邮件方式送达的，发出电子邮件之时视为送达；以传真方式送达的，发出传真之时视为送达；以邮寄方式送达的，邮件挂号寄出或者交邮之日之次日视为送达。</w:t>
      </w:r>
    </w:p>
    <w:p w14:paraId="0644AC6B">
      <w:pPr>
        <w:spacing w:line="360" w:lineRule="auto"/>
        <w:ind w:firstLine="482" w:firstLineChars="200"/>
        <w:rPr>
          <w:rFonts w:hint="eastAsia" w:ascii="仿宋_GB2312" w:hAnsi="楷体" w:eastAsia="仿宋_GB2312"/>
          <w:b/>
          <w:color w:val="auto"/>
          <w:sz w:val="24"/>
          <w:highlight w:val="none"/>
        </w:rPr>
      </w:pPr>
      <w:r>
        <w:rPr>
          <w:rFonts w:hint="eastAsia" w:ascii="仿宋_GB2312" w:hAnsi="楷体" w:eastAsia="仿宋_GB2312"/>
          <w:b/>
          <w:color w:val="auto"/>
          <w:sz w:val="24"/>
          <w:highlight w:val="none"/>
        </w:rPr>
        <w:t>2.19 计量单位</w:t>
      </w:r>
    </w:p>
    <w:p w14:paraId="1C904085">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除技术规范中另有规定外,合同的计量单位均使用国家法定计量单位。</w:t>
      </w:r>
    </w:p>
    <w:p w14:paraId="6CDAD417">
      <w:pPr>
        <w:spacing w:line="360" w:lineRule="auto"/>
        <w:ind w:firstLine="482" w:firstLineChars="200"/>
        <w:rPr>
          <w:rFonts w:hint="eastAsia" w:ascii="仿宋_GB2312" w:hAnsi="楷体" w:eastAsia="仿宋_GB2312"/>
          <w:b/>
          <w:color w:val="auto"/>
          <w:sz w:val="24"/>
          <w:highlight w:val="none"/>
        </w:rPr>
      </w:pPr>
      <w:r>
        <w:rPr>
          <w:rFonts w:hint="eastAsia" w:ascii="仿宋_GB2312" w:hAnsi="楷体" w:eastAsia="仿宋_GB2312"/>
          <w:b/>
          <w:color w:val="auto"/>
          <w:sz w:val="24"/>
          <w:highlight w:val="none"/>
        </w:rPr>
        <w:t>2.20 合同使用的文字和适用的法律</w:t>
      </w:r>
    </w:p>
    <w:p w14:paraId="1EB382F9">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2.20.1 合同使用汉语书就、变更和解释；</w:t>
      </w:r>
    </w:p>
    <w:p w14:paraId="792A7F7F">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2.20.2 合同适用中华人民共和国法律。</w:t>
      </w:r>
    </w:p>
    <w:p w14:paraId="29FF3119">
      <w:pPr>
        <w:spacing w:line="360" w:lineRule="auto"/>
        <w:ind w:firstLine="482" w:firstLineChars="200"/>
        <w:rPr>
          <w:rFonts w:hint="eastAsia" w:ascii="仿宋_GB2312" w:hAnsi="楷体" w:eastAsia="仿宋_GB2312"/>
          <w:b/>
          <w:color w:val="auto"/>
          <w:sz w:val="24"/>
          <w:highlight w:val="none"/>
        </w:rPr>
      </w:pPr>
      <w:r>
        <w:rPr>
          <w:rFonts w:hint="eastAsia" w:ascii="仿宋_GB2312" w:hAnsi="楷体" w:eastAsia="仿宋_GB2312"/>
          <w:b/>
          <w:color w:val="auto"/>
          <w:sz w:val="24"/>
          <w:highlight w:val="none"/>
        </w:rPr>
        <w:t>2.21 履约保证金</w:t>
      </w:r>
    </w:p>
    <w:p w14:paraId="5FCDF38C">
      <w:pPr>
        <w:spacing w:line="360" w:lineRule="auto"/>
        <w:ind w:firstLine="480" w:firstLineChars="200"/>
        <w:rPr>
          <w:rFonts w:hint="eastAsia" w:ascii="仿宋_GB2312" w:hAnsi="仿宋" w:eastAsia="仿宋_GB2312" w:cs="Arial"/>
          <w:snapToGrid w:val="0"/>
          <w:color w:val="auto"/>
          <w:kern w:val="0"/>
          <w:sz w:val="24"/>
          <w:highlight w:val="none"/>
        </w:rPr>
      </w:pPr>
      <w:r>
        <w:rPr>
          <w:rFonts w:hint="eastAsia" w:ascii="仿宋_GB2312" w:hAnsi="楷体" w:eastAsia="仿宋_GB2312"/>
          <w:color w:val="auto"/>
          <w:sz w:val="24"/>
          <w:highlight w:val="none"/>
        </w:rPr>
        <w:t>本项目不收取履约保证金</w:t>
      </w:r>
    </w:p>
    <w:p w14:paraId="37F0FA34">
      <w:pPr>
        <w:spacing w:line="360" w:lineRule="auto"/>
        <w:ind w:firstLine="482" w:firstLineChars="200"/>
        <w:rPr>
          <w:rFonts w:hint="eastAsia" w:ascii="仿宋_GB2312" w:hAnsi="仿宋" w:eastAsia="仿宋_GB2312"/>
          <w:color w:val="auto"/>
          <w:kern w:val="0"/>
          <w:sz w:val="24"/>
          <w:highlight w:val="none"/>
          <w:lang w:val="zh-CN"/>
        </w:rPr>
      </w:pPr>
      <w:r>
        <w:rPr>
          <w:rFonts w:hint="eastAsia" w:ascii="仿宋_GB2312" w:hAnsi="楷体" w:eastAsia="仿宋_GB2312"/>
          <w:b/>
          <w:color w:val="auto"/>
          <w:sz w:val="24"/>
          <w:highlight w:val="none"/>
        </w:rPr>
        <w:t>2.22 中小企业政策</w:t>
      </w:r>
    </w:p>
    <w:p w14:paraId="7E150C98">
      <w:pPr>
        <w:spacing w:line="360" w:lineRule="auto"/>
        <w:ind w:firstLine="480" w:firstLineChars="200"/>
        <w:rPr>
          <w:rFonts w:hint="eastAsia" w:ascii="仿宋_GB2312" w:hAnsi="仿宋" w:eastAsia="仿宋_GB2312"/>
          <w:color w:val="auto"/>
          <w:kern w:val="0"/>
          <w:sz w:val="24"/>
          <w:highlight w:val="none"/>
          <w:lang w:val="zh-CN"/>
        </w:rPr>
      </w:pPr>
      <w:r>
        <w:rPr>
          <w:rFonts w:hint="eastAsia" w:ascii="仿宋_GB2312" w:hAnsi="仿宋" w:eastAsia="仿宋_GB2312"/>
          <w:color w:val="auto"/>
          <w:kern w:val="0"/>
          <w:sz w:val="24"/>
          <w:highlight w:val="none"/>
          <w:lang w:val="zh-CN"/>
        </w:rPr>
        <w:t xml:space="preserve">2.22.1本合同（☑是  </w:t>
      </w:r>
      <w:r>
        <w:rPr>
          <w:rFonts w:hint="eastAsia" w:ascii="仿宋_GB2312" w:hAnsi="宋体" w:eastAsia="仿宋_GB2312"/>
          <w:color w:val="auto"/>
          <w:sz w:val="24"/>
          <w:highlight w:val="none"/>
        </w:rPr>
        <w:sym w:font="Wingdings 2" w:char="00A3"/>
      </w:r>
      <w:r>
        <w:rPr>
          <w:rFonts w:hint="eastAsia" w:ascii="仿宋_GB2312" w:hAnsi="仿宋" w:eastAsia="仿宋_GB2312"/>
          <w:color w:val="auto"/>
          <w:kern w:val="0"/>
          <w:sz w:val="24"/>
          <w:highlight w:val="none"/>
          <w:lang w:val="zh-CN"/>
        </w:rPr>
        <w:t>否）为中小企业“政采贷”可融资合同，关于中小企业信用融资事项见采购文件“投标人须知正文”。</w:t>
      </w:r>
    </w:p>
    <w:p w14:paraId="654E107F">
      <w:pPr>
        <w:spacing w:line="360" w:lineRule="auto"/>
        <w:ind w:firstLine="480" w:firstLineChars="200"/>
        <w:rPr>
          <w:rFonts w:hint="eastAsia" w:ascii="仿宋_GB2312" w:hAnsi="仿宋" w:eastAsia="仿宋_GB2312"/>
          <w:color w:val="auto"/>
          <w:kern w:val="0"/>
          <w:sz w:val="24"/>
          <w:highlight w:val="none"/>
          <w:lang w:val="zh-CN"/>
        </w:rPr>
      </w:pPr>
      <w:r>
        <w:rPr>
          <w:rFonts w:hint="eastAsia" w:ascii="仿宋_GB2312" w:hAnsi="仿宋" w:eastAsia="仿宋_GB2312"/>
          <w:color w:val="auto"/>
          <w:kern w:val="0"/>
          <w:sz w:val="24"/>
          <w:highlight w:val="none"/>
          <w:lang w:val="zh-CN"/>
        </w:rPr>
        <w:t xml:space="preserve">2.22.2本合同（☑是  </w:t>
      </w:r>
      <w:r>
        <w:rPr>
          <w:rFonts w:hint="eastAsia" w:ascii="仿宋_GB2312" w:hAnsi="宋体" w:eastAsia="仿宋_GB2312"/>
          <w:color w:val="auto"/>
          <w:sz w:val="24"/>
          <w:highlight w:val="none"/>
        </w:rPr>
        <w:sym w:font="Wingdings 2" w:char="00A3"/>
      </w:r>
      <w:r>
        <w:rPr>
          <w:rFonts w:hint="eastAsia" w:ascii="仿宋_GB2312" w:hAnsi="仿宋" w:eastAsia="仿宋_GB2312"/>
          <w:color w:val="auto"/>
          <w:kern w:val="0"/>
          <w:sz w:val="24"/>
          <w:highlight w:val="none"/>
          <w:lang w:val="zh-CN"/>
        </w:rPr>
        <w:t>否）为中小企业预留合同。</w:t>
      </w:r>
    </w:p>
    <w:p w14:paraId="6D49A0AE">
      <w:pPr>
        <w:spacing w:line="360" w:lineRule="auto"/>
        <w:ind w:firstLine="482" w:firstLineChars="200"/>
        <w:rPr>
          <w:rFonts w:hint="eastAsia" w:ascii="仿宋_GB2312" w:hAnsi="楷体" w:eastAsia="仿宋_GB2312"/>
          <w:b/>
          <w:color w:val="auto"/>
          <w:sz w:val="24"/>
          <w:highlight w:val="none"/>
        </w:rPr>
      </w:pPr>
      <w:r>
        <w:rPr>
          <w:rFonts w:hint="eastAsia" w:ascii="仿宋_GB2312" w:hAnsi="楷体" w:eastAsia="仿宋_GB2312"/>
          <w:b/>
          <w:color w:val="auto"/>
          <w:sz w:val="24"/>
          <w:highlight w:val="none"/>
        </w:rPr>
        <w:t>2.23 合同份数</w:t>
      </w:r>
    </w:p>
    <w:p w14:paraId="171058ED">
      <w:pPr>
        <w:spacing w:line="360" w:lineRule="auto"/>
        <w:ind w:firstLine="480" w:firstLineChars="200"/>
        <w:rPr>
          <w:rFonts w:hint="eastAsia" w:ascii="仿宋_GB2312" w:hAnsi="楷体" w:eastAsia="仿宋_GB2312"/>
          <w:color w:val="auto"/>
          <w:sz w:val="24"/>
          <w:highlight w:val="none"/>
        </w:rPr>
      </w:pPr>
      <w:r>
        <w:rPr>
          <w:rFonts w:hint="eastAsia" w:ascii="仿宋_GB2312" w:hAnsi="宋体" w:eastAsia="仿宋_GB2312"/>
          <w:color w:val="auto"/>
          <w:sz w:val="24"/>
          <w:highlight w:val="none"/>
        </w:rPr>
        <w:t>本合同壹式</w:t>
      </w:r>
      <w:r>
        <w:rPr>
          <w:rFonts w:hint="eastAsia" w:ascii="仿宋_GB2312" w:hAnsi="宋体" w:eastAsia="仿宋_GB2312"/>
          <w:color w:val="auto"/>
          <w:sz w:val="24"/>
          <w:highlight w:val="none"/>
          <w:u w:val="single"/>
          <w:lang w:val="en-US" w:eastAsia="zh-CN"/>
        </w:rPr>
        <w:t>陆</w:t>
      </w:r>
      <w:r>
        <w:rPr>
          <w:rFonts w:hint="eastAsia" w:ascii="仿宋_GB2312" w:hAnsi="宋体" w:eastAsia="仿宋_GB2312"/>
          <w:color w:val="auto"/>
          <w:sz w:val="24"/>
          <w:highlight w:val="none"/>
        </w:rPr>
        <w:t>份，甲方执</w:t>
      </w:r>
      <w:r>
        <w:rPr>
          <w:rFonts w:hint="eastAsia" w:ascii="仿宋_GB2312" w:hAnsi="宋体" w:eastAsia="仿宋_GB2312"/>
          <w:color w:val="auto"/>
          <w:sz w:val="24"/>
          <w:highlight w:val="none"/>
          <w:u w:val="single"/>
          <w:lang w:val="en-US" w:eastAsia="zh-CN"/>
        </w:rPr>
        <w:t>叁</w:t>
      </w:r>
      <w:r>
        <w:rPr>
          <w:rFonts w:hint="eastAsia" w:ascii="仿宋_GB2312" w:hAnsi="宋体" w:eastAsia="仿宋_GB2312"/>
          <w:color w:val="auto"/>
          <w:sz w:val="24"/>
          <w:highlight w:val="none"/>
        </w:rPr>
        <w:t>份，乙方执</w:t>
      </w:r>
      <w:r>
        <w:rPr>
          <w:rFonts w:hint="eastAsia" w:ascii="仿宋_GB2312" w:hAnsi="仿宋" w:eastAsia="仿宋_GB2312"/>
          <w:color w:val="auto"/>
          <w:sz w:val="24"/>
          <w:highlight w:val="none"/>
          <w:u w:val="single"/>
          <w:lang w:val="en-US" w:eastAsia="zh-CN"/>
        </w:rPr>
        <w:t>贰</w:t>
      </w:r>
      <w:r>
        <w:rPr>
          <w:rFonts w:hint="eastAsia" w:ascii="仿宋_GB2312" w:hAnsi="宋体" w:eastAsia="仿宋_GB2312"/>
          <w:color w:val="auto"/>
          <w:sz w:val="24"/>
          <w:highlight w:val="none"/>
        </w:rPr>
        <w:t>份，代理机构执</w:t>
      </w:r>
      <w:r>
        <w:rPr>
          <w:rFonts w:hint="eastAsia" w:ascii="仿宋_GB2312" w:hAnsi="宋体" w:eastAsia="仿宋_GB2312"/>
          <w:color w:val="auto"/>
          <w:sz w:val="24"/>
          <w:highlight w:val="none"/>
          <w:u w:val="single"/>
          <w:lang w:val="en-US" w:eastAsia="zh-CN"/>
        </w:rPr>
        <w:t>壹</w:t>
      </w:r>
      <w:r>
        <w:rPr>
          <w:rFonts w:hint="eastAsia" w:ascii="仿宋_GB2312" w:hAnsi="宋体" w:eastAsia="仿宋_GB2312"/>
          <w:color w:val="auto"/>
          <w:sz w:val="24"/>
          <w:highlight w:val="none"/>
        </w:rPr>
        <w:t>份。</w:t>
      </w:r>
      <w:r>
        <w:rPr>
          <w:rFonts w:hint="eastAsia" w:ascii="仿宋_GB2312" w:hAnsi="楷体" w:eastAsia="仿宋_GB2312"/>
          <w:color w:val="auto"/>
          <w:sz w:val="24"/>
          <w:highlight w:val="none"/>
        </w:rPr>
        <w:t>每份均具有同等法律效力。</w:t>
      </w:r>
    </w:p>
    <w:p w14:paraId="2F6624DE">
      <w:pPr>
        <w:spacing w:line="360" w:lineRule="auto"/>
        <w:jc w:val="center"/>
        <w:outlineLvl w:val="1"/>
        <w:rPr>
          <w:rFonts w:hint="eastAsia" w:ascii="仿宋_GB2312" w:hAnsi="楷体" w:eastAsia="仿宋_GB2312"/>
          <w:b/>
          <w:color w:val="auto"/>
          <w:sz w:val="24"/>
          <w:highlight w:val="none"/>
        </w:rPr>
      </w:pPr>
      <w:r>
        <w:rPr>
          <w:rFonts w:hint="eastAsia" w:ascii="仿宋_GB2312" w:hAnsi="楷体" w:eastAsia="仿宋_GB2312"/>
          <w:color w:val="auto"/>
          <w:sz w:val="24"/>
          <w:highlight w:val="none"/>
        </w:rPr>
        <w:br w:type="page"/>
      </w:r>
      <w:r>
        <w:rPr>
          <w:rFonts w:hint="eastAsia" w:ascii="仿宋_GB2312" w:hAnsi="楷体" w:eastAsia="仿宋_GB2312"/>
          <w:b/>
          <w:color w:val="auto"/>
          <w:sz w:val="24"/>
          <w:highlight w:val="none"/>
        </w:rPr>
        <w:t>第三部分  合同专用条款</w:t>
      </w:r>
    </w:p>
    <w:p w14:paraId="3EA16944">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p w14:paraId="12E81728">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3.1具有知识产权的标的物知识产权归属：</w:t>
      </w:r>
    </w:p>
    <w:p w14:paraId="24018AE8">
      <w:pPr>
        <w:spacing w:line="360" w:lineRule="auto"/>
        <w:ind w:firstLine="480" w:firstLineChars="200"/>
        <w:rPr>
          <w:rFonts w:hint="eastAsia" w:ascii="仿宋_GB2312" w:hAnsi="楷体" w:eastAsia="仿宋_GB2312"/>
          <w:color w:val="auto"/>
          <w:sz w:val="24"/>
          <w:highlight w:val="none"/>
          <w:u w:val="single"/>
        </w:rPr>
      </w:pPr>
      <w:r>
        <w:rPr>
          <w:rFonts w:hint="eastAsia" w:ascii="仿宋_GB2312" w:hAnsi="楷体" w:eastAsia="仿宋_GB2312"/>
          <w:color w:val="auto"/>
          <w:sz w:val="24"/>
          <w:highlight w:val="none"/>
          <w:u w:val="single"/>
        </w:rPr>
        <w:t xml:space="preserve">                                                                           </w:t>
      </w:r>
    </w:p>
    <w:p w14:paraId="68D9EA2A">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3.2包装和装运专用条款（如果有）：</w:t>
      </w:r>
    </w:p>
    <w:p w14:paraId="487E25D3">
      <w:pPr>
        <w:spacing w:line="360" w:lineRule="auto"/>
        <w:ind w:firstLine="480" w:firstLineChars="200"/>
        <w:rPr>
          <w:rFonts w:hint="eastAsia" w:ascii="仿宋_GB2312" w:hAnsi="楷体" w:eastAsia="仿宋_GB2312"/>
          <w:color w:val="auto"/>
          <w:sz w:val="24"/>
          <w:highlight w:val="none"/>
          <w:u w:val="single"/>
        </w:rPr>
      </w:pPr>
      <w:r>
        <w:rPr>
          <w:rFonts w:hint="eastAsia" w:ascii="仿宋_GB2312" w:hAnsi="楷体" w:eastAsia="仿宋_GB2312"/>
          <w:color w:val="auto"/>
          <w:sz w:val="24"/>
          <w:highlight w:val="none"/>
          <w:u w:val="single"/>
        </w:rPr>
        <w:t xml:space="preserve">                                                                           </w:t>
      </w:r>
    </w:p>
    <w:p w14:paraId="41A2E7F2">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3.3装运标的物的要求和通知：</w:t>
      </w:r>
    </w:p>
    <w:p w14:paraId="1BA45382">
      <w:pPr>
        <w:spacing w:line="360" w:lineRule="auto"/>
        <w:ind w:firstLine="480" w:firstLineChars="200"/>
        <w:rPr>
          <w:rFonts w:hint="eastAsia" w:ascii="仿宋_GB2312" w:hAnsi="楷体" w:eastAsia="仿宋_GB2312"/>
          <w:color w:val="auto"/>
          <w:sz w:val="24"/>
          <w:highlight w:val="none"/>
          <w:u w:val="single"/>
        </w:rPr>
      </w:pPr>
      <w:r>
        <w:rPr>
          <w:rFonts w:hint="eastAsia" w:ascii="仿宋_GB2312" w:hAnsi="楷体" w:eastAsia="仿宋_GB2312"/>
          <w:color w:val="auto"/>
          <w:sz w:val="24"/>
          <w:highlight w:val="none"/>
          <w:u w:val="single"/>
        </w:rPr>
        <w:t xml:space="preserve">                                                                           </w:t>
      </w:r>
    </w:p>
    <w:p w14:paraId="48BB032F">
      <w:pPr>
        <w:spacing w:line="360" w:lineRule="auto"/>
        <w:ind w:firstLine="480" w:firstLineChars="200"/>
        <w:rPr>
          <w:rFonts w:hint="eastAsia" w:ascii="仿宋_GB2312" w:hAnsi="楷体" w:eastAsia="仿宋_GB2312"/>
          <w:b/>
          <w:color w:val="auto"/>
          <w:sz w:val="24"/>
          <w:highlight w:val="none"/>
        </w:rPr>
      </w:pPr>
      <w:r>
        <w:rPr>
          <w:rFonts w:hint="eastAsia" w:ascii="仿宋_GB2312" w:hAnsi="楷体" w:eastAsia="仿宋_GB2312"/>
          <w:color w:val="auto"/>
          <w:sz w:val="24"/>
          <w:highlight w:val="none"/>
        </w:rPr>
        <w:t>3.4</w:t>
      </w:r>
      <w:r>
        <w:rPr>
          <w:rFonts w:hint="eastAsia" w:ascii="仿宋_GB2312" w:hAnsi="楷体" w:eastAsia="仿宋_GB2312"/>
          <w:b/>
          <w:color w:val="auto"/>
          <w:sz w:val="24"/>
          <w:highlight w:val="none"/>
        </w:rPr>
        <w:t>结算方式和付款条件</w:t>
      </w:r>
    </w:p>
    <w:p w14:paraId="62DA10DD">
      <w:pPr>
        <w:spacing w:line="360" w:lineRule="auto"/>
        <w:ind w:firstLine="480" w:firstLineChars="200"/>
        <w:rPr>
          <w:rFonts w:hint="eastAsia" w:ascii="仿宋_GB2312" w:eastAsia="仿宋_GB2312" w:cs="仿宋_GB2312"/>
          <w:color w:val="auto"/>
          <w:kern w:val="0"/>
          <w:sz w:val="24"/>
          <w:highlight w:val="none"/>
          <w:lang w:val="zh-CN"/>
        </w:rPr>
      </w:pPr>
      <w:r>
        <w:rPr>
          <w:rFonts w:hint="eastAsia" w:ascii="仿宋_GB2312" w:eastAsia="仿宋_GB2312" w:cs="仿宋_GB2312"/>
          <w:color w:val="auto"/>
          <w:kern w:val="0"/>
          <w:sz w:val="24"/>
          <w:highlight w:val="none"/>
          <w:lang w:val="zh-CN"/>
        </w:rPr>
        <w:t>本次项目合同总价为大写人民币</w:t>
      </w:r>
      <w:r>
        <w:rPr>
          <w:rFonts w:hint="eastAsia" w:ascii="仿宋_GB2312" w:eastAsia="仿宋_GB2312" w:cs="仿宋_GB2312"/>
          <w:color w:val="auto"/>
          <w:kern w:val="0"/>
          <w:sz w:val="24"/>
          <w:highlight w:val="none"/>
          <w:u w:val="single"/>
          <w:lang w:val="zh-CN"/>
        </w:rPr>
        <w:t xml:space="preserve">            （</w:t>
      </w:r>
      <w:r>
        <w:rPr>
          <w:rFonts w:hint="eastAsia" w:ascii="仿宋_GB2312" w:eastAsia="仿宋_GB2312" w:cs="仿宋_GB2312"/>
          <w:color w:val="auto"/>
          <w:kern w:val="0"/>
          <w:sz w:val="24"/>
          <w:highlight w:val="none"/>
          <w:lang w:val="zh-CN"/>
        </w:rPr>
        <w:t>¥</w:t>
      </w:r>
      <w:r>
        <w:rPr>
          <w:rFonts w:hint="eastAsia" w:ascii="仿宋_GB2312" w:eastAsia="仿宋_GB2312" w:cs="仿宋_GB2312"/>
          <w:color w:val="auto"/>
          <w:kern w:val="0"/>
          <w:sz w:val="24"/>
          <w:highlight w:val="none"/>
          <w:u w:val="single"/>
          <w:lang w:val="zh-CN"/>
        </w:rPr>
        <w:t xml:space="preserve">    </w:t>
      </w:r>
      <w:r>
        <w:rPr>
          <w:rFonts w:hint="eastAsia" w:ascii="仿宋_GB2312" w:eastAsia="仿宋_GB2312" w:cs="仿宋_GB2312"/>
          <w:color w:val="auto"/>
          <w:kern w:val="0"/>
          <w:sz w:val="24"/>
          <w:highlight w:val="none"/>
          <w:lang w:val="zh-CN"/>
        </w:rPr>
        <w:t>元）。本项目采用以下勾选结算方式进行支付：</w:t>
      </w:r>
    </w:p>
    <w:p w14:paraId="566E57EC">
      <w:pPr>
        <w:spacing w:line="360" w:lineRule="auto"/>
        <w:ind w:firstLine="480" w:firstLineChars="200"/>
        <w:rPr>
          <w:rFonts w:hint="eastAsia" w:ascii="仿宋_GB2312" w:eastAsia="仿宋_GB2312" w:cs="仿宋_GB2312"/>
          <w:color w:val="auto"/>
          <w:kern w:val="0"/>
          <w:sz w:val="24"/>
          <w:highlight w:val="none"/>
          <w:u w:val="single"/>
        </w:rPr>
      </w:pPr>
      <w:r>
        <w:rPr>
          <w:rFonts w:hint="eastAsia" w:ascii="仿宋_GB2312" w:eastAsia="仿宋_GB2312" w:cs="仿宋_GB2312"/>
          <w:color w:val="auto"/>
          <w:kern w:val="0"/>
          <w:sz w:val="24"/>
          <w:highlight w:val="none"/>
          <w:lang w:val="zh-CN"/>
        </w:rPr>
        <w:t>□采用一次性支付方式，付款条件为：</w:t>
      </w:r>
      <w:r>
        <w:rPr>
          <w:rFonts w:hint="eastAsia" w:ascii="仿宋_GB2312" w:eastAsia="仿宋_GB2312" w:cs="仿宋_GB2312"/>
          <w:color w:val="auto"/>
          <w:kern w:val="0"/>
          <w:sz w:val="24"/>
          <w:highlight w:val="none"/>
          <w:u w:val="single"/>
        </w:rPr>
        <w:t xml:space="preserve">           </w:t>
      </w:r>
    </w:p>
    <w:p w14:paraId="47328A68">
      <w:pPr>
        <w:spacing w:line="360" w:lineRule="auto"/>
        <w:ind w:firstLine="480" w:firstLineChars="200"/>
        <w:rPr>
          <w:rFonts w:hint="eastAsia" w:ascii="仿宋_GB2312" w:eastAsia="仿宋_GB2312" w:cs="仿宋_GB2312"/>
          <w:color w:val="auto"/>
          <w:kern w:val="0"/>
          <w:sz w:val="24"/>
          <w:highlight w:val="none"/>
        </w:rPr>
      </w:pPr>
      <w:r>
        <w:rPr>
          <w:rFonts w:hint="eastAsia" w:ascii="仿宋_GB2312" w:hAnsi="宋体" w:eastAsia="仿宋_GB2312"/>
          <w:color w:val="auto"/>
          <w:sz w:val="24"/>
          <w:highlight w:val="none"/>
        </w:rPr>
        <w:sym w:font="Wingdings 2" w:char="F052"/>
      </w:r>
      <w:r>
        <w:rPr>
          <w:rFonts w:hint="eastAsia" w:ascii="仿宋_GB2312" w:eastAsia="仿宋_GB2312" w:cs="仿宋_GB2312"/>
          <w:color w:val="auto"/>
          <w:kern w:val="0"/>
          <w:sz w:val="24"/>
          <w:highlight w:val="none"/>
          <w:lang w:val="zh-CN"/>
        </w:rPr>
        <w:t>采用分期付款方式，付款条件为</w:t>
      </w:r>
      <w:r>
        <w:rPr>
          <w:rFonts w:hint="eastAsia" w:ascii="仿宋_GB2312" w:eastAsia="仿宋_GB2312" w:cs="仿宋_GB2312"/>
          <w:color w:val="auto"/>
          <w:kern w:val="0"/>
          <w:sz w:val="24"/>
          <w:highlight w:val="none"/>
        </w:rPr>
        <w:t>：</w:t>
      </w:r>
      <w:r>
        <w:rPr>
          <w:rFonts w:hint="eastAsia" w:ascii="仿宋_GB2312" w:eastAsia="仿宋_GB2312" w:cs="仿宋_GB2312"/>
          <w:color w:val="auto"/>
          <w:kern w:val="0"/>
          <w:sz w:val="24"/>
          <w:highlight w:val="none"/>
          <w:lang w:val="en-US" w:eastAsia="zh-CN"/>
        </w:rPr>
        <w:t>（1）本项目预付款30%，自签订合同后5个工作日内进行支付；（2）项目中期评估定于项目指标完成进度的50%，采购人组织相关责任部门对项目完成情况进行评估，评估合格后，支付50%的合同款；（3）合同服务期间到期前，采购人组织相关责任单位对项目完成情况进行终期评估，评估合格后拨付剩余20%的合同款。</w:t>
      </w:r>
    </w:p>
    <w:p w14:paraId="4AA88B54">
      <w:pPr>
        <w:spacing w:line="360" w:lineRule="auto"/>
        <w:ind w:firstLine="480" w:firstLineChars="200"/>
        <w:rPr>
          <w:rFonts w:hint="eastAsia" w:ascii="仿宋_GB2312" w:hAnsi="仿宋" w:eastAsia="仿宋_GB2312"/>
          <w:color w:val="auto"/>
          <w:sz w:val="24"/>
          <w:highlight w:val="none"/>
          <w:lang w:val="zh-CN"/>
        </w:rPr>
      </w:pPr>
      <w:r>
        <w:rPr>
          <w:rFonts w:hint="eastAsia" w:ascii="仿宋_GB2312" w:hAnsi="仿宋" w:eastAsia="仿宋_GB2312"/>
          <w:color w:val="auto"/>
          <w:sz w:val="24"/>
          <w:highlight w:val="none"/>
        </w:rPr>
        <w:t>甲方无故逾期支付服务费用的，按照每逾期一日支付欠付服务费额度的</w:t>
      </w:r>
      <w:r>
        <w:rPr>
          <w:rFonts w:hint="eastAsia" w:ascii="仿宋_GB2312" w:hAnsi="仿宋" w:eastAsia="仿宋_GB2312"/>
          <w:color w:val="auto"/>
          <w:sz w:val="24"/>
          <w:highlight w:val="none"/>
          <w:u w:val="single"/>
        </w:rPr>
        <w:t xml:space="preserve"> 万分之五 </w:t>
      </w:r>
      <w:r>
        <w:rPr>
          <w:rFonts w:hint="eastAsia" w:ascii="仿宋_GB2312" w:hAnsi="仿宋" w:eastAsia="仿宋_GB2312"/>
          <w:color w:val="auto"/>
          <w:sz w:val="24"/>
          <w:highlight w:val="none"/>
        </w:rPr>
        <w:t>承担违约责任，违约金上限按照《合同书》约定执行。</w:t>
      </w:r>
    </w:p>
    <w:p w14:paraId="138B7675">
      <w:pPr>
        <w:spacing w:line="360" w:lineRule="auto"/>
        <w:ind w:firstLine="480" w:firstLineChars="200"/>
        <w:rPr>
          <w:rFonts w:hint="eastAsia" w:ascii="仿宋_GB2312" w:hAnsi="楷体" w:eastAsia="仿宋_GB2312"/>
          <w:b/>
          <w:color w:val="auto"/>
          <w:sz w:val="24"/>
          <w:highlight w:val="none"/>
        </w:rPr>
      </w:pPr>
      <w:r>
        <w:rPr>
          <w:rFonts w:hint="eastAsia" w:ascii="仿宋_GB2312" w:hAnsi="楷体" w:eastAsia="仿宋_GB2312"/>
          <w:color w:val="auto"/>
          <w:sz w:val="24"/>
          <w:highlight w:val="none"/>
        </w:rPr>
        <w:t>3.5</w:t>
      </w:r>
      <w:r>
        <w:rPr>
          <w:rFonts w:hint="eastAsia" w:ascii="仿宋_GB2312" w:hAnsi="楷体" w:eastAsia="仿宋_GB2312"/>
          <w:b/>
          <w:color w:val="auto"/>
          <w:sz w:val="24"/>
          <w:highlight w:val="none"/>
        </w:rPr>
        <w:t>标的物的风险负担</w:t>
      </w:r>
    </w:p>
    <w:p w14:paraId="49342694">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标的物或者在途标的物或者交付给第一承运人后的标的物毁损、灭失的风险负担：</w:t>
      </w:r>
    </w:p>
    <w:p w14:paraId="168C3F3C">
      <w:pPr>
        <w:spacing w:line="360" w:lineRule="auto"/>
        <w:ind w:firstLine="480" w:firstLineChars="200"/>
        <w:rPr>
          <w:rFonts w:hint="eastAsia" w:ascii="仿宋_GB2312" w:hAnsi="楷体" w:eastAsia="仿宋_GB2312"/>
          <w:color w:val="auto"/>
          <w:sz w:val="24"/>
          <w:highlight w:val="none"/>
          <w:u w:val="single"/>
        </w:rPr>
      </w:pPr>
      <w:r>
        <w:rPr>
          <w:rFonts w:hint="eastAsia" w:ascii="仿宋_GB2312" w:hAnsi="楷体" w:eastAsia="仿宋_GB2312"/>
          <w:color w:val="auto"/>
          <w:sz w:val="24"/>
          <w:highlight w:val="none"/>
          <w:u w:val="single"/>
        </w:rPr>
        <w:t xml:space="preserve">乙方                                                                       </w:t>
      </w:r>
    </w:p>
    <w:p w14:paraId="63F7248A">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3.5.1受不可抗力影响的一方在不可抗力发生后，应在</w:t>
      </w:r>
      <w:r>
        <w:rPr>
          <w:rFonts w:hint="eastAsia" w:ascii="仿宋_GB2312" w:hAnsi="楷体" w:eastAsia="仿宋_GB2312"/>
          <w:color w:val="auto"/>
          <w:sz w:val="24"/>
          <w:highlight w:val="none"/>
          <w:u w:val="single"/>
        </w:rPr>
        <w:t xml:space="preserve"> 5个工作 </w:t>
      </w:r>
      <w:r>
        <w:rPr>
          <w:rFonts w:hint="eastAsia" w:ascii="仿宋_GB2312" w:hAnsi="楷体" w:eastAsia="仿宋_GB2312"/>
          <w:color w:val="auto"/>
          <w:sz w:val="24"/>
          <w:highlight w:val="none"/>
        </w:rPr>
        <w:t>日内以书面形式通知对方当事人，并将有关部门出具的证明文件送达对方当事人。</w:t>
      </w:r>
    </w:p>
    <w:p w14:paraId="099BFB85">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3.5.2因不可抗力致使合同有变更必要的，双方当事人应在</w:t>
      </w:r>
      <w:r>
        <w:rPr>
          <w:rFonts w:hint="eastAsia" w:ascii="仿宋_GB2312" w:hAnsi="楷体" w:eastAsia="仿宋_GB2312"/>
          <w:color w:val="auto"/>
          <w:sz w:val="24"/>
          <w:highlight w:val="none"/>
          <w:u w:val="single"/>
        </w:rPr>
        <w:t xml:space="preserve"> 5个工作 </w:t>
      </w:r>
      <w:r>
        <w:rPr>
          <w:rFonts w:hint="eastAsia" w:ascii="仿宋_GB2312" w:hAnsi="楷体" w:eastAsia="仿宋_GB2312"/>
          <w:color w:val="auto"/>
          <w:sz w:val="24"/>
          <w:highlight w:val="none"/>
        </w:rPr>
        <w:t>日内以书面形式变更合同；</w:t>
      </w:r>
    </w:p>
    <w:p w14:paraId="661D48DE">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3.5.3标的物交付前，乙方应对标的物的质量、数量等方面进行详细、全面的检验，并向甲方出具证明标的物符合合同约定的文件；标的物交付时，甲方在</w:t>
      </w:r>
      <w:r>
        <w:rPr>
          <w:rFonts w:hint="eastAsia" w:ascii="仿宋_GB2312" w:hAnsi="楷体" w:eastAsia="仿宋_GB2312"/>
          <w:color w:val="auto"/>
          <w:sz w:val="24"/>
          <w:highlight w:val="none"/>
          <w:u w:val="single"/>
        </w:rPr>
        <w:t xml:space="preserve"> 4个工作 </w:t>
      </w:r>
      <w:r>
        <w:rPr>
          <w:rFonts w:hint="eastAsia" w:ascii="仿宋_GB2312" w:hAnsi="楷体" w:eastAsia="仿宋_GB2312"/>
          <w:color w:val="auto"/>
          <w:sz w:val="24"/>
          <w:highlight w:val="none"/>
        </w:rPr>
        <w:t>日内发起验收，并可依法邀请相关方参加，验收应出具验收书。</w:t>
      </w:r>
    </w:p>
    <w:p w14:paraId="28A97A94">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3.5.4 检验和验收标准、程序等具体内容以及前述验收书的效力：</w:t>
      </w:r>
    </w:p>
    <w:p w14:paraId="74E7F218">
      <w:pPr>
        <w:spacing w:line="360" w:lineRule="auto"/>
        <w:ind w:firstLine="480" w:firstLineChars="200"/>
        <w:rPr>
          <w:rFonts w:hint="eastAsia" w:ascii="仿宋_GB2312" w:hAnsi="楷体" w:eastAsia="仿宋_GB2312"/>
          <w:color w:val="auto"/>
          <w:sz w:val="24"/>
          <w:highlight w:val="none"/>
          <w:u w:val="single"/>
        </w:rPr>
      </w:pPr>
      <w:r>
        <w:rPr>
          <w:rFonts w:hint="eastAsia" w:ascii="仿宋_GB2312" w:hAnsi="楷体" w:eastAsia="仿宋_GB2312"/>
          <w:color w:val="auto"/>
          <w:sz w:val="24"/>
          <w:highlight w:val="none"/>
          <w:u w:val="single"/>
        </w:rPr>
        <w:t xml:space="preserve">                                                                           </w:t>
      </w:r>
    </w:p>
    <w:p w14:paraId="4DA7C1F9">
      <w:pPr>
        <w:spacing w:line="360" w:lineRule="auto"/>
        <w:ind w:firstLine="480" w:firstLineChars="200"/>
        <w:rPr>
          <w:rFonts w:hint="eastAsia" w:ascii="仿宋_GB2312" w:hAnsi="楷体" w:eastAsia="仿宋_GB2312"/>
          <w:color w:val="auto"/>
          <w:sz w:val="24"/>
          <w:highlight w:val="none"/>
          <w:u w:val="single"/>
        </w:rPr>
      </w:pPr>
      <w:r>
        <w:rPr>
          <w:rFonts w:hint="eastAsia" w:ascii="仿宋_GB2312" w:hAnsi="楷体" w:eastAsia="仿宋_GB2312"/>
          <w:color w:val="auto"/>
          <w:sz w:val="24"/>
          <w:highlight w:val="none"/>
        </w:rPr>
        <w:t>3.5.5 其他：</w:t>
      </w:r>
      <w:r>
        <w:rPr>
          <w:rFonts w:hint="eastAsia" w:ascii="仿宋_GB2312" w:hAnsi="楷体" w:eastAsia="仿宋_GB2312"/>
          <w:color w:val="auto"/>
          <w:sz w:val="24"/>
          <w:highlight w:val="none"/>
          <w:u w:val="single"/>
        </w:rPr>
        <w:t xml:space="preserve">                                                               </w:t>
      </w:r>
    </w:p>
    <w:p w14:paraId="70F88E4F">
      <w:pPr>
        <w:spacing w:line="360" w:lineRule="auto"/>
        <w:ind w:firstLine="480" w:firstLineChars="200"/>
        <w:rPr>
          <w:rFonts w:hint="eastAsia" w:ascii="仿宋_GB2312" w:hAnsi="仿宋" w:eastAsia="仿宋_GB2312" w:cs="仿宋"/>
          <w:b/>
          <w:color w:val="auto"/>
          <w:sz w:val="24"/>
          <w:highlight w:val="none"/>
        </w:rPr>
      </w:pPr>
      <w:r>
        <w:rPr>
          <w:rFonts w:hint="eastAsia" w:ascii="仿宋_GB2312" w:hAnsi="楷体" w:eastAsia="仿宋_GB2312"/>
          <w:color w:val="auto"/>
          <w:sz w:val="24"/>
          <w:highlight w:val="none"/>
        </w:rPr>
        <w:t>3.6</w:t>
      </w:r>
      <w:r>
        <w:rPr>
          <w:rFonts w:hint="eastAsia" w:ascii="仿宋_GB2312" w:hAnsi="仿宋" w:eastAsia="仿宋_GB2312" w:cs="仿宋"/>
          <w:b/>
          <w:color w:val="auto"/>
          <w:sz w:val="24"/>
          <w:highlight w:val="none"/>
        </w:rPr>
        <w:t>项目验收：</w:t>
      </w:r>
    </w:p>
    <w:p w14:paraId="73BDFA8E">
      <w:pPr>
        <w:tabs>
          <w:tab w:val="left" w:pos="904"/>
        </w:tabs>
        <w:snapToGrid w:val="0"/>
        <w:spacing w:line="360" w:lineRule="auto"/>
        <w:ind w:firstLine="480" w:firstLineChars="20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3.6.1甲方参照《南宁市政府采购供应商履约验收评价管理办法》（南财采[2019]217号）规定组织对乙方履约的验收。验收方成员应当在验收书上签字，并承担相应的法律责任。如果发现与合同中要求不符，乙方须承担由此发生的一切损失和费用，并接受相应的处理。</w:t>
      </w:r>
    </w:p>
    <w:p w14:paraId="5598CECA">
      <w:pPr>
        <w:tabs>
          <w:tab w:val="left" w:pos="904"/>
        </w:tabs>
        <w:snapToGrid w:val="0"/>
        <w:spacing w:line="360" w:lineRule="auto"/>
        <w:ind w:firstLine="480" w:firstLineChars="20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3.6.2严格按照采购合同开展履约验收。甲方成立验收小组，按照采购合同的约定对供应商履约情况进行验收，验收时，按照采购合同的约定对每一项技术、服务、安全标准的履约情况进行确认，出具验收报告并经验收小组全体成员签字。甲方根据验收报告形成验收意见并经甲方与乙方签字盖章生效。验收结果与采购合同约定的资金支付条件挂钩。履约验收的各项资料应当存档备查。</w:t>
      </w:r>
    </w:p>
    <w:p w14:paraId="2C07CBAF">
      <w:pPr>
        <w:tabs>
          <w:tab w:val="left" w:pos="904"/>
        </w:tabs>
        <w:snapToGrid w:val="0"/>
        <w:spacing w:line="360" w:lineRule="auto"/>
        <w:ind w:firstLine="480" w:firstLineChars="20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3.6.3验收合格的项目，甲方将根据采购合同的约定及时向供应商支付采购资金。验收不合格的项目，甲方将依法及时处理。采购合同的履行、违约责任和解决争议的方式等适用《中华人民共和国民法典》，并按照《合同书》约定执行。</w:t>
      </w:r>
    </w:p>
    <w:p w14:paraId="5CEF24C2">
      <w:pPr>
        <w:tabs>
          <w:tab w:val="left" w:pos="904"/>
        </w:tabs>
        <w:snapToGrid w:val="0"/>
        <w:spacing w:line="360" w:lineRule="auto"/>
        <w:ind w:firstLine="480" w:firstLineChars="20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3.6.4验收产生的费用由乙方承担。</w:t>
      </w:r>
    </w:p>
    <w:p w14:paraId="1FF4DDEF">
      <w:pPr>
        <w:tabs>
          <w:tab w:val="left" w:pos="904"/>
        </w:tabs>
        <w:snapToGrid w:val="0"/>
        <w:spacing w:line="360" w:lineRule="auto"/>
        <w:ind w:firstLine="480" w:firstLineChars="20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3.6.5验收内容及资料要求：</w:t>
      </w:r>
    </w:p>
    <w:p w14:paraId="410671F2">
      <w:pPr>
        <w:tabs>
          <w:tab w:val="left" w:pos="904"/>
        </w:tabs>
        <w:snapToGrid w:val="0"/>
        <w:spacing w:line="360" w:lineRule="auto"/>
        <w:ind w:firstLine="480" w:firstLineChars="20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根根据采购文件确定的技术指标或者服务要求确定验收指标和标准。未进行相应约定的，应当符合国家强制性规定、政策要求、安全标准、行业或企业有关标准等。</w:t>
      </w:r>
    </w:p>
    <w:p w14:paraId="3C59015B">
      <w:pPr>
        <w:tabs>
          <w:tab w:val="left" w:pos="904"/>
        </w:tabs>
        <w:snapToGrid w:val="0"/>
        <w:spacing w:line="360" w:lineRule="auto"/>
        <w:ind w:firstLine="480" w:firstLineChars="200"/>
        <w:jc w:val="left"/>
        <w:rPr>
          <w:rFonts w:hint="eastAsia"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rPr>
        <w:t>3.6.6</w:t>
      </w:r>
      <w:r>
        <w:rPr>
          <w:rFonts w:hint="eastAsia" w:ascii="仿宋_GB2312" w:hAnsi="仿宋" w:eastAsia="仿宋_GB2312" w:cs="仿宋"/>
          <w:color w:val="auto"/>
          <w:sz w:val="24"/>
          <w:highlight w:val="none"/>
        </w:rPr>
        <w:t>验收内容</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2"/>
        <w:gridCol w:w="2550"/>
        <w:gridCol w:w="6202"/>
      </w:tblGrid>
      <w:tr w14:paraId="4329D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2" w:type="dxa"/>
            <w:tcBorders>
              <w:top w:val="single" w:color="auto" w:sz="4" w:space="0"/>
              <w:left w:val="single" w:color="auto" w:sz="4" w:space="0"/>
              <w:bottom w:val="single" w:color="auto" w:sz="4" w:space="0"/>
              <w:right w:val="single" w:color="auto" w:sz="4" w:space="0"/>
            </w:tcBorders>
            <w:noWrap w:val="0"/>
            <w:vAlign w:val="center"/>
          </w:tcPr>
          <w:p w14:paraId="35988DFC">
            <w:pPr>
              <w:widowControl/>
              <w:spacing w:line="360" w:lineRule="auto"/>
              <w:jc w:val="center"/>
              <w:rPr>
                <w:rFonts w:hint="eastAsia" w:ascii="仿宋_GB2312" w:hAnsi="仿宋" w:eastAsia="仿宋_GB2312" w:cs="仿宋"/>
                <w:bCs/>
                <w:color w:val="auto"/>
                <w:kern w:val="0"/>
                <w:sz w:val="24"/>
                <w:highlight w:val="none"/>
              </w:rPr>
            </w:pPr>
            <w:r>
              <w:rPr>
                <w:rFonts w:hint="eastAsia" w:ascii="仿宋_GB2312" w:hAnsi="仿宋" w:eastAsia="仿宋_GB2312" w:cs="仿宋"/>
                <w:bCs/>
                <w:color w:val="auto"/>
                <w:kern w:val="0"/>
                <w:sz w:val="24"/>
                <w:highlight w:val="none"/>
              </w:rPr>
              <w:t>序号</w:t>
            </w:r>
          </w:p>
        </w:tc>
        <w:tc>
          <w:tcPr>
            <w:tcW w:w="2550" w:type="dxa"/>
            <w:tcBorders>
              <w:top w:val="single" w:color="auto" w:sz="4" w:space="0"/>
              <w:left w:val="single" w:color="auto" w:sz="4" w:space="0"/>
              <w:bottom w:val="single" w:color="auto" w:sz="4" w:space="0"/>
              <w:right w:val="single" w:color="auto" w:sz="4" w:space="0"/>
            </w:tcBorders>
            <w:noWrap w:val="0"/>
            <w:vAlign w:val="center"/>
          </w:tcPr>
          <w:p w14:paraId="2C5FC5BE">
            <w:pPr>
              <w:widowControl/>
              <w:spacing w:line="360" w:lineRule="auto"/>
              <w:jc w:val="center"/>
              <w:rPr>
                <w:rFonts w:hint="eastAsia" w:ascii="仿宋_GB2312" w:hAnsi="仿宋" w:eastAsia="仿宋_GB2312" w:cs="仿宋"/>
                <w:bCs/>
                <w:color w:val="auto"/>
                <w:kern w:val="0"/>
                <w:sz w:val="24"/>
                <w:highlight w:val="none"/>
              </w:rPr>
            </w:pPr>
            <w:r>
              <w:rPr>
                <w:rFonts w:hint="eastAsia" w:ascii="仿宋_GB2312" w:hAnsi="仿宋" w:eastAsia="仿宋_GB2312" w:cs="仿宋"/>
                <w:bCs/>
                <w:color w:val="auto"/>
                <w:kern w:val="0"/>
                <w:sz w:val="24"/>
                <w:highlight w:val="none"/>
              </w:rPr>
              <w:t>验收内容</w:t>
            </w:r>
          </w:p>
        </w:tc>
        <w:tc>
          <w:tcPr>
            <w:tcW w:w="6202" w:type="dxa"/>
            <w:tcBorders>
              <w:top w:val="single" w:color="auto" w:sz="4" w:space="0"/>
              <w:left w:val="single" w:color="auto" w:sz="4" w:space="0"/>
              <w:bottom w:val="single" w:color="auto" w:sz="4" w:space="0"/>
              <w:right w:val="single" w:color="auto" w:sz="4" w:space="0"/>
            </w:tcBorders>
            <w:noWrap w:val="0"/>
            <w:vAlign w:val="center"/>
          </w:tcPr>
          <w:p w14:paraId="395F74D8">
            <w:pPr>
              <w:widowControl/>
              <w:spacing w:line="360" w:lineRule="auto"/>
              <w:jc w:val="center"/>
              <w:rPr>
                <w:rFonts w:hint="eastAsia" w:ascii="仿宋_GB2312" w:hAnsi="仿宋" w:eastAsia="仿宋_GB2312" w:cs="仿宋"/>
                <w:bCs/>
                <w:color w:val="auto"/>
                <w:kern w:val="0"/>
                <w:sz w:val="24"/>
                <w:highlight w:val="none"/>
              </w:rPr>
            </w:pPr>
            <w:r>
              <w:rPr>
                <w:rFonts w:hint="eastAsia" w:ascii="仿宋_GB2312" w:hAnsi="仿宋" w:eastAsia="仿宋_GB2312" w:cs="仿宋"/>
                <w:bCs/>
                <w:color w:val="auto"/>
                <w:kern w:val="0"/>
                <w:sz w:val="24"/>
                <w:highlight w:val="none"/>
              </w:rPr>
              <w:t>验收标准</w:t>
            </w:r>
          </w:p>
        </w:tc>
      </w:tr>
      <w:tr w14:paraId="2C205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2" w:type="dxa"/>
            <w:tcBorders>
              <w:top w:val="single" w:color="auto" w:sz="4" w:space="0"/>
              <w:left w:val="single" w:color="auto" w:sz="4" w:space="0"/>
              <w:bottom w:val="single" w:color="auto" w:sz="4" w:space="0"/>
              <w:right w:val="single" w:color="auto" w:sz="4" w:space="0"/>
            </w:tcBorders>
            <w:noWrap w:val="0"/>
            <w:vAlign w:val="center"/>
          </w:tcPr>
          <w:p w14:paraId="6B6EDF02">
            <w:pPr>
              <w:widowControl/>
              <w:spacing w:line="360" w:lineRule="auto"/>
              <w:jc w:val="center"/>
              <w:rPr>
                <w:rFonts w:hint="eastAsia" w:ascii="仿宋_GB2312" w:hAnsi="仿宋" w:eastAsia="仿宋_GB2312" w:cs="仿宋"/>
                <w:bCs/>
                <w:color w:val="auto"/>
                <w:kern w:val="0"/>
                <w:sz w:val="24"/>
                <w:highlight w:val="none"/>
              </w:rPr>
            </w:pPr>
            <w:r>
              <w:rPr>
                <w:rFonts w:hint="eastAsia" w:ascii="仿宋_GB2312" w:hAnsi="仿宋" w:eastAsia="仿宋_GB2312" w:cs="仿宋"/>
                <w:bCs/>
                <w:color w:val="auto"/>
                <w:kern w:val="0"/>
                <w:sz w:val="24"/>
                <w:highlight w:val="none"/>
              </w:rPr>
              <w:t>1</w:t>
            </w:r>
          </w:p>
        </w:tc>
        <w:tc>
          <w:tcPr>
            <w:tcW w:w="2550" w:type="dxa"/>
            <w:tcBorders>
              <w:top w:val="single" w:color="auto" w:sz="4" w:space="0"/>
              <w:left w:val="single" w:color="auto" w:sz="4" w:space="0"/>
              <w:bottom w:val="single" w:color="auto" w:sz="4" w:space="0"/>
              <w:right w:val="single" w:color="auto" w:sz="4" w:space="0"/>
            </w:tcBorders>
            <w:noWrap w:val="0"/>
            <w:vAlign w:val="center"/>
          </w:tcPr>
          <w:p w14:paraId="3C4DF6CA">
            <w:pPr>
              <w:widowControl/>
              <w:spacing w:line="360" w:lineRule="auto"/>
              <w:rPr>
                <w:rFonts w:hint="eastAsia" w:ascii="仿宋_GB2312" w:hAnsi="仿宋" w:eastAsia="仿宋_GB2312" w:cs="仿宋"/>
                <w:bCs/>
                <w:color w:val="auto"/>
                <w:kern w:val="0"/>
                <w:sz w:val="24"/>
                <w:highlight w:val="none"/>
              </w:rPr>
            </w:pPr>
            <w:r>
              <w:rPr>
                <w:rFonts w:hint="eastAsia" w:ascii="仿宋_GB2312" w:hAnsi="仿宋" w:eastAsia="仿宋_GB2312" w:cs="仿宋"/>
                <w:bCs/>
                <w:color w:val="auto"/>
                <w:kern w:val="0"/>
                <w:sz w:val="24"/>
                <w:highlight w:val="none"/>
              </w:rPr>
              <w:t>交付标的物数量</w:t>
            </w:r>
          </w:p>
        </w:tc>
        <w:tc>
          <w:tcPr>
            <w:tcW w:w="6202" w:type="dxa"/>
            <w:tcBorders>
              <w:top w:val="single" w:color="auto" w:sz="4" w:space="0"/>
              <w:left w:val="single" w:color="auto" w:sz="4" w:space="0"/>
              <w:bottom w:val="single" w:color="auto" w:sz="4" w:space="0"/>
              <w:right w:val="single" w:color="auto" w:sz="4" w:space="0"/>
            </w:tcBorders>
            <w:noWrap w:val="0"/>
            <w:vAlign w:val="center"/>
          </w:tcPr>
          <w:p w14:paraId="5AEFA1E8">
            <w:pPr>
              <w:widowControl/>
              <w:spacing w:line="360" w:lineRule="auto"/>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按项目采购文件要求和投标（响应）文件执行。</w:t>
            </w:r>
          </w:p>
        </w:tc>
      </w:tr>
      <w:tr w14:paraId="1C724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2" w:type="dxa"/>
            <w:tcBorders>
              <w:top w:val="single" w:color="auto" w:sz="4" w:space="0"/>
              <w:left w:val="single" w:color="auto" w:sz="4" w:space="0"/>
              <w:bottom w:val="single" w:color="auto" w:sz="4" w:space="0"/>
              <w:right w:val="single" w:color="auto" w:sz="4" w:space="0"/>
            </w:tcBorders>
            <w:noWrap w:val="0"/>
            <w:vAlign w:val="center"/>
          </w:tcPr>
          <w:p w14:paraId="6A1765F6">
            <w:pPr>
              <w:widowControl/>
              <w:spacing w:line="360" w:lineRule="auto"/>
              <w:jc w:val="center"/>
              <w:rPr>
                <w:rFonts w:hint="eastAsia" w:ascii="仿宋_GB2312" w:hAnsi="仿宋" w:eastAsia="仿宋_GB2312" w:cs="仿宋"/>
                <w:bCs/>
                <w:color w:val="auto"/>
                <w:kern w:val="0"/>
                <w:sz w:val="24"/>
                <w:highlight w:val="none"/>
              </w:rPr>
            </w:pPr>
            <w:r>
              <w:rPr>
                <w:rFonts w:hint="eastAsia" w:ascii="仿宋_GB2312" w:hAnsi="仿宋" w:eastAsia="仿宋_GB2312" w:cs="仿宋"/>
                <w:bCs/>
                <w:color w:val="auto"/>
                <w:kern w:val="0"/>
                <w:sz w:val="24"/>
                <w:highlight w:val="none"/>
              </w:rPr>
              <w:t>2</w:t>
            </w:r>
          </w:p>
        </w:tc>
        <w:tc>
          <w:tcPr>
            <w:tcW w:w="2550" w:type="dxa"/>
            <w:tcBorders>
              <w:top w:val="single" w:color="auto" w:sz="4" w:space="0"/>
              <w:left w:val="single" w:color="auto" w:sz="4" w:space="0"/>
              <w:bottom w:val="single" w:color="auto" w:sz="4" w:space="0"/>
              <w:right w:val="single" w:color="auto" w:sz="4" w:space="0"/>
            </w:tcBorders>
            <w:noWrap w:val="0"/>
            <w:vAlign w:val="center"/>
          </w:tcPr>
          <w:p w14:paraId="41279CCB">
            <w:pPr>
              <w:widowControl/>
              <w:spacing w:line="360" w:lineRule="auto"/>
              <w:rPr>
                <w:rFonts w:hint="eastAsia" w:ascii="仿宋_GB2312" w:hAnsi="仿宋" w:eastAsia="仿宋_GB2312" w:cs="仿宋"/>
                <w:bCs/>
                <w:color w:val="auto"/>
                <w:kern w:val="0"/>
                <w:sz w:val="24"/>
                <w:highlight w:val="none"/>
              </w:rPr>
            </w:pPr>
            <w:r>
              <w:rPr>
                <w:rFonts w:hint="eastAsia" w:ascii="仿宋_GB2312" w:hAnsi="仿宋" w:eastAsia="仿宋_GB2312" w:cs="仿宋"/>
                <w:bCs/>
                <w:color w:val="auto"/>
                <w:kern w:val="0"/>
                <w:sz w:val="24"/>
                <w:highlight w:val="none"/>
              </w:rPr>
              <w:t>交付标的物质量</w:t>
            </w:r>
          </w:p>
        </w:tc>
        <w:tc>
          <w:tcPr>
            <w:tcW w:w="6202" w:type="dxa"/>
            <w:tcBorders>
              <w:top w:val="single" w:color="auto" w:sz="4" w:space="0"/>
              <w:left w:val="single" w:color="auto" w:sz="4" w:space="0"/>
              <w:bottom w:val="single" w:color="auto" w:sz="4" w:space="0"/>
              <w:right w:val="single" w:color="auto" w:sz="4" w:space="0"/>
            </w:tcBorders>
            <w:noWrap w:val="0"/>
            <w:vAlign w:val="center"/>
          </w:tcPr>
          <w:p w14:paraId="429A55F3">
            <w:pPr>
              <w:widowControl/>
              <w:spacing w:line="360" w:lineRule="auto"/>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按项目采购文件要求和投标（响应）文件执行。</w:t>
            </w:r>
          </w:p>
        </w:tc>
      </w:tr>
      <w:tr w14:paraId="1C8FD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2" w:type="dxa"/>
            <w:tcBorders>
              <w:top w:val="single" w:color="auto" w:sz="4" w:space="0"/>
              <w:left w:val="single" w:color="auto" w:sz="4" w:space="0"/>
              <w:bottom w:val="single" w:color="auto" w:sz="4" w:space="0"/>
              <w:right w:val="single" w:color="auto" w:sz="4" w:space="0"/>
            </w:tcBorders>
            <w:noWrap w:val="0"/>
            <w:vAlign w:val="center"/>
          </w:tcPr>
          <w:p w14:paraId="16FEDE8C">
            <w:pPr>
              <w:widowControl/>
              <w:spacing w:line="360" w:lineRule="auto"/>
              <w:jc w:val="center"/>
              <w:rPr>
                <w:rFonts w:hint="eastAsia" w:ascii="仿宋_GB2312" w:hAnsi="仿宋" w:eastAsia="仿宋_GB2312" w:cs="仿宋"/>
                <w:bCs/>
                <w:color w:val="auto"/>
                <w:kern w:val="0"/>
                <w:sz w:val="24"/>
                <w:highlight w:val="none"/>
              </w:rPr>
            </w:pPr>
            <w:r>
              <w:rPr>
                <w:rFonts w:hint="eastAsia" w:ascii="仿宋_GB2312" w:hAnsi="仿宋" w:eastAsia="仿宋_GB2312" w:cs="仿宋"/>
                <w:bCs/>
                <w:color w:val="auto"/>
                <w:kern w:val="0"/>
                <w:sz w:val="24"/>
                <w:highlight w:val="none"/>
              </w:rPr>
              <w:t>3</w:t>
            </w:r>
          </w:p>
        </w:tc>
        <w:tc>
          <w:tcPr>
            <w:tcW w:w="2550" w:type="dxa"/>
            <w:tcBorders>
              <w:top w:val="single" w:color="auto" w:sz="4" w:space="0"/>
              <w:left w:val="single" w:color="auto" w:sz="4" w:space="0"/>
              <w:bottom w:val="single" w:color="auto" w:sz="4" w:space="0"/>
              <w:right w:val="single" w:color="auto" w:sz="4" w:space="0"/>
            </w:tcBorders>
            <w:noWrap w:val="0"/>
            <w:vAlign w:val="center"/>
          </w:tcPr>
          <w:p w14:paraId="67D0A6F1">
            <w:pPr>
              <w:spacing w:line="360" w:lineRule="auto"/>
              <w:rPr>
                <w:rFonts w:hint="eastAsia" w:ascii="仿宋_GB2312" w:hAnsi="仿宋" w:eastAsia="仿宋_GB2312" w:cs="仿宋"/>
                <w:bCs/>
                <w:color w:val="auto"/>
                <w:kern w:val="0"/>
                <w:sz w:val="24"/>
                <w:highlight w:val="none"/>
              </w:rPr>
            </w:pPr>
            <w:r>
              <w:rPr>
                <w:rFonts w:hint="eastAsia" w:ascii="仿宋_GB2312" w:hAnsi="仿宋" w:eastAsia="仿宋_GB2312" w:cs="仿宋"/>
                <w:bCs/>
                <w:color w:val="auto"/>
                <w:kern w:val="0"/>
                <w:sz w:val="24"/>
                <w:highlight w:val="none"/>
              </w:rPr>
              <w:t xml:space="preserve">交付标的物技术、性能指标 </w:t>
            </w:r>
          </w:p>
        </w:tc>
        <w:tc>
          <w:tcPr>
            <w:tcW w:w="6202" w:type="dxa"/>
            <w:tcBorders>
              <w:top w:val="single" w:color="auto" w:sz="4" w:space="0"/>
              <w:left w:val="single" w:color="auto" w:sz="4" w:space="0"/>
              <w:bottom w:val="single" w:color="auto" w:sz="4" w:space="0"/>
              <w:right w:val="single" w:color="auto" w:sz="4" w:space="0"/>
            </w:tcBorders>
            <w:noWrap w:val="0"/>
            <w:vAlign w:val="center"/>
          </w:tcPr>
          <w:p w14:paraId="32F78E1D">
            <w:pPr>
              <w:spacing w:line="360" w:lineRule="auto"/>
              <w:jc w:val="left"/>
              <w:rPr>
                <w:rFonts w:hint="eastAsia"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rPr>
              <w:t>按项目采购文件要求和投标（响应）文件执行。</w:t>
            </w:r>
          </w:p>
        </w:tc>
      </w:tr>
      <w:tr w14:paraId="61072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2" w:type="dxa"/>
            <w:tcBorders>
              <w:top w:val="single" w:color="auto" w:sz="4" w:space="0"/>
              <w:left w:val="single" w:color="auto" w:sz="4" w:space="0"/>
              <w:bottom w:val="single" w:color="auto" w:sz="4" w:space="0"/>
              <w:right w:val="single" w:color="auto" w:sz="4" w:space="0"/>
            </w:tcBorders>
            <w:noWrap w:val="0"/>
            <w:vAlign w:val="center"/>
          </w:tcPr>
          <w:p w14:paraId="40A3194E">
            <w:pPr>
              <w:widowControl/>
              <w:spacing w:line="360" w:lineRule="auto"/>
              <w:jc w:val="center"/>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4</w:t>
            </w:r>
          </w:p>
        </w:tc>
        <w:tc>
          <w:tcPr>
            <w:tcW w:w="2550" w:type="dxa"/>
            <w:tcBorders>
              <w:top w:val="single" w:color="auto" w:sz="4" w:space="0"/>
              <w:left w:val="single" w:color="auto" w:sz="4" w:space="0"/>
              <w:bottom w:val="single" w:color="auto" w:sz="4" w:space="0"/>
              <w:right w:val="single" w:color="auto" w:sz="4" w:space="0"/>
            </w:tcBorders>
            <w:noWrap w:val="0"/>
            <w:vAlign w:val="center"/>
          </w:tcPr>
          <w:p w14:paraId="6CCBB34C">
            <w:pPr>
              <w:spacing w:line="360" w:lineRule="auto"/>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售后服务承诺</w:t>
            </w:r>
          </w:p>
        </w:tc>
        <w:tc>
          <w:tcPr>
            <w:tcW w:w="6202" w:type="dxa"/>
            <w:tcBorders>
              <w:top w:val="single" w:color="auto" w:sz="4" w:space="0"/>
              <w:left w:val="single" w:color="auto" w:sz="4" w:space="0"/>
              <w:bottom w:val="single" w:color="auto" w:sz="4" w:space="0"/>
              <w:right w:val="single" w:color="auto" w:sz="4" w:space="0"/>
            </w:tcBorders>
            <w:noWrap w:val="0"/>
            <w:vAlign w:val="center"/>
          </w:tcPr>
          <w:p w14:paraId="13CDA465">
            <w:pPr>
              <w:widowControl/>
              <w:spacing w:line="360" w:lineRule="auto"/>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按项目采购文件要求和投标（响应）文件执行。</w:t>
            </w:r>
          </w:p>
        </w:tc>
      </w:tr>
      <w:tr w14:paraId="6E523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2" w:type="dxa"/>
            <w:tcBorders>
              <w:top w:val="single" w:color="auto" w:sz="4" w:space="0"/>
              <w:left w:val="single" w:color="auto" w:sz="4" w:space="0"/>
              <w:bottom w:val="single" w:color="auto" w:sz="4" w:space="0"/>
              <w:right w:val="single" w:color="auto" w:sz="4" w:space="0"/>
            </w:tcBorders>
            <w:noWrap w:val="0"/>
            <w:vAlign w:val="center"/>
          </w:tcPr>
          <w:p w14:paraId="2EE3D472">
            <w:pPr>
              <w:widowControl/>
              <w:spacing w:line="360" w:lineRule="auto"/>
              <w:jc w:val="center"/>
              <w:rPr>
                <w:rFonts w:hint="eastAsia" w:ascii="仿宋_GB2312" w:hAnsi="仿宋" w:eastAsia="仿宋_GB2312" w:cs="仿宋"/>
                <w:bCs/>
                <w:color w:val="auto"/>
                <w:kern w:val="0"/>
                <w:sz w:val="24"/>
                <w:highlight w:val="none"/>
              </w:rPr>
            </w:pPr>
            <w:r>
              <w:rPr>
                <w:rFonts w:hint="eastAsia" w:ascii="仿宋_GB2312" w:hAnsi="仿宋" w:eastAsia="仿宋_GB2312" w:cs="仿宋"/>
                <w:bCs/>
                <w:color w:val="auto"/>
                <w:kern w:val="0"/>
                <w:sz w:val="24"/>
                <w:highlight w:val="none"/>
              </w:rPr>
              <w:t>5</w:t>
            </w:r>
          </w:p>
        </w:tc>
        <w:tc>
          <w:tcPr>
            <w:tcW w:w="2550" w:type="dxa"/>
            <w:tcBorders>
              <w:top w:val="single" w:color="auto" w:sz="4" w:space="0"/>
              <w:left w:val="single" w:color="auto" w:sz="4" w:space="0"/>
              <w:bottom w:val="single" w:color="auto" w:sz="4" w:space="0"/>
              <w:right w:val="single" w:color="auto" w:sz="4" w:space="0"/>
            </w:tcBorders>
            <w:noWrap w:val="0"/>
            <w:vAlign w:val="center"/>
          </w:tcPr>
          <w:p w14:paraId="3A5B5BA0">
            <w:pPr>
              <w:widowControl/>
              <w:spacing w:line="360" w:lineRule="auto"/>
              <w:rPr>
                <w:rFonts w:hint="eastAsia" w:ascii="仿宋_GB2312" w:hAnsi="仿宋" w:eastAsia="仿宋_GB2312" w:cs="仿宋"/>
                <w:bCs/>
                <w:color w:val="auto"/>
                <w:kern w:val="0"/>
                <w:sz w:val="24"/>
                <w:highlight w:val="none"/>
              </w:rPr>
            </w:pPr>
            <w:r>
              <w:rPr>
                <w:rFonts w:hint="eastAsia" w:ascii="仿宋_GB2312" w:hAnsi="仿宋" w:eastAsia="仿宋_GB2312" w:cs="仿宋"/>
                <w:bCs/>
                <w:color w:val="auto"/>
                <w:kern w:val="0"/>
                <w:sz w:val="24"/>
                <w:highlight w:val="none"/>
              </w:rPr>
              <w:t>其他工作</w:t>
            </w:r>
          </w:p>
        </w:tc>
        <w:tc>
          <w:tcPr>
            <w:tcW w:w="6202" w:type="dxa"/>
            <w:tcBorders>
              <w:top w:val="single" w:color="auto" w:sz="4" w:space="0"/>
              <w:left w:val="single" w:color="auto" w:sz="4" w:space="0"/>
              <w:bottom w:val="single" w:color="auto" w:sz="4" w:space="0"/>
              <w:right w:val="single" w:color="auto" w:sz="4" w:space="0"/>
            </w:tcBorders>
            <w:noWrap w:val="0"/>
            <w:vAlign w:val="center"/>
          </w:tcPr>
          <w:p w14:paraId="36864D9F">
            <w:pPr>
              <w:widowControl/>
              <w:spacing w:line="360" w:lineRule="auto"/>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按项目采购文件要求和投标（响应）文件执行。</w:t>
            </w:r>
          </w:p>
        </w:tc>
      </w:tr>
    </w:tbl>
    <w:p w14:paraId="15102E87">
      <w:pPr>
        <w:tabs>
          <w:tab w:val="left" w:pos="904"/>
        </w:tabs>
        <w:snapToGrid w:val="0"/>
        <w:spacing w:line="360" w:lineRule="auto"/>
        <w:ind w:firstLine="480" w:firstLineChars="200"/>
        <w:jc w:val="left"/>
        <w:rPr>
          <w:rFonts w:hint="eastAsia" w:ascii="仿宋_GB2312" w:hAnsi="仿宋" w:eastAsia="仿宋_GB2312" w:cs="仿宋"/>
          <w:color w:val="auto"/>
          <w:sz w:val="24"/>
          <w:highlight w:val="none"/>
        </w:rPr>
      </w:pPr>
    </w:p>
    <w:p w14:paraId="27B9FAF1">
      <w:pPr>
        <w:tabs>
          <w:tab w:val="left" w:pos="904"/>
        </w:tabs>
        <w:snapToGrid w:val="0"/>
        <w:spacing w:line="360" w:lineRule="auto"/>
        <w:ind w:firstLine="480" w:firstLineChars="2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3.6.7验收资料要求</w:t>
      </w:r>
    </w:p>
    <w:p w14:paraId="16001130">
      <w:pPr>
        <w:tabs>
          <w:tab w:val="left" w:pos="904"/>
        </w:tabs>
        <w:snapToGrid w:val="0"/>
        <w:spacing w:line="360" w:lineRule="auto"/>
        <w:ind w:firstLine="480" w:firstLineChars="2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验收资料要求包括（不限于）以下内容：</w:t>
      </w:r>
    </w:p>
    <w:p w14:paraId="7491E9E5">
      <w:pPr>
        <w:tabs>
          <w:tab w:val="left" w:pos="904"/>
        </w:tabs>
        <w:adjustRightInd w:val="0"/>
        <w:snapToGrid w:val="0"/>
        <w:spacing w:line="360" w:lineRule="auto"/>
        <w:ind w:firstLine="240" w:firstLineChars="1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（1）采购文件；</w:t>
      </w:r>
    </w:p>
    <w:p w14:paraId="11C4736D">
      <w:pPr>
        <w:tabs>
          <w:tab w:val="left" w:pos="904"/>
        </w:tabs>
        <w:adjustRightInd w:val="0"/>
        <w:snapToGrid w:val="0"/>
        <w:spacing w:line="360" w:lineRule="auto"/>
        <w:ind w:firstLine="240" w:firstLineChars="1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（2）投标文件；</w:t>
      </w:r>
    </w:p>
    <w:p w14:paraId="7E8FFB9B">
      <w:pPr>
        <w:tabs>
          <w:tab w:val="left" w:pos="904"/>
        </w:tabs>
        <w:adjustRightInd w:val="0"/>
        <w:snapToGrid w:val="0"/>
        <w:spacing w:line="360" w:lineRule="auto"/>
        <w:ind w:firstLine="240" w:firstLineChars="1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（3）采购合同；</w:t>
      </w:r>
    </w:p>
    <w:p w14:paraId="52060DE8">
      <w:pPr>
        <w:tabs>
          <w:tab w:val="left" w:pos="904"/>
        </w:tabs>
        <w:adjustRightInd w:val="0"/>
        <w:snapToGrid w:val="0"/>
        <w:spacing w:line="360" w:lineRule="auto"/>
        <w:ind w:firstLine="240" w:firstLineChars="1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（4）其他需提供的相关材料。</w:t>
      </w:r>
    </w:p>
    <w:p w14:paraId="1D5857C7">
      <w:pPr>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br w:type="page"/>
      </w:r>
    </w:p>
    <w:p w14:paraId="7EFDAA8E">
      <w:pPr>
        <w:pStyle w:val="7"/>
        <w:rPr>
          <w:rFonts w:hint="eastAsia"/>
        </w:rPr>
      </w:pPr>
    </w:p>
    <w:p w14:paraId="213FB2E1">
      <w:pPr>
        <w:pStyle w:val="30"/>
      </w:pPr>
    </w:p>
    <w:p w14:paraId="3ABAF49B">
      <w:pPr>
        <w:pStyle w:val="2"/>
        <w:jc w:val="center"/>
        <w:rPr>
          <w:rFonts w:ascii="宋体" w:hAnsi="宋体" w:cs="仿宋_GB2312"/>
          <w:color w:val="auto"/>
          <w:highlight w:val="none"/>
        </w:rPr>
      </w:pPr>
      <w:bookmarkStart w:id="85" w:name="_Toc27474"/>
      <w:r>
        <w:rPr>
          <w:rFonts w:hint="eastAsia" w:ascii="宋体" w:hAnsi="宋体" w:cs="仿宋_GB2312"/>
          <w:b w:val="0"/>
          <w:color w:val="auto"/>
          <w:highlight w:val="none"/>
        </w:rPr>
        <w:t>第七章 质疑、投诉材料格式</w:t>
      </w:r>
      <w:bookmarkEnd w:id="85"/>
    </w:p>
    <w:p w14:paraId="5F6EBFB5">
      <w:pPr>
        <w:widowControl/>
        <w:spacing w:line="576" w:lineRule="auto"/>
        <w:jc w:val="left"/>
        <w:rPr>
          <w:rFonts w:ascii="宋体" w:hAnsi="宋体" w:cs="仿宋_GB2312"/>
          <w:b/>
          <w:bCs/>
          <w:color w:val="auto"/>
          <w:kern w:val="44"/>
          <w:sz w:val="44"/>
          <w:szCs w:val="44"/>
          <w:highlight w:val="none"/>
        </w:rPr>
        <w:sectPr>
          <w:pgSz w:w="11911" w:h="16838"/>
          <w:pgMar w:top="1417" w:right="1417" w:bottom="1417" w:left="1417" w:header="720" w:footer="720" w:gutter="0"/>
          <w:cols w:space="0" w:num="1"/>
        </w:sectPr>
      </w:pPr>
    </w:p>
    <w:p w14:paraId="46134D39">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质疑函（格式）</w:t>
      </w:r>
    </w:p>
    <w:p w14:paraId="25D18E25">
      <w:pPr>
        <w:pStyle w:val="12"/>
        <w:spacing w:line="360" w:lineRule="auto"/>
        <w:ind w:left="0" w:leftChars="0" w:firstLine="482" w:firstLineChars="200"/>
        <w:rPr>
          <w:rFonts w:hAnsi="宋体"/>
          <w:b/>
          <w:bCs/>
          <w:color w:val="auto"/>
          <w:sz w:val="24"/>
          <w:highlight w:val="none"/>
        </w:rPr>
      </w:pPr>
      <w:r>
        <w:rPr>
          <w:rFonts w:hint="eastAsia" w:hAnsi="宋体"/>
          <w:b/>
          <w:bCs/>
          <w:color w:val="auto"/>
          <w:sz w:val="24"/>
          <w:highlight w:val="none"/>
        </w:rPr>
        <w:t>一、质疑供应商基本信息：</w:t>
      </w:r>
    </w:p>
    <w:p w14:paraId="65A44C22">
      <w:pPr>
        <w:pStyle w:val="12"/>
        <w:spacing w:line="360" w:lineRule="auto"/>
        <w:ind w:left="0" w:leftChars="0" w:firstLine="480" w:firstLineChars="200"/>
        <w:rPr>
          <w:rFonts w:hAnsi="宋体"/>
          <w:bCs/>
          <w:color w:val="auto"/>
          <w:sz w:val="24"/>
          <w:highlight w:val="none"/>
          <w:u w:val="single"/>
        </w:rPr>
      </w:pPr>
      <w:r>
        <w:rPr>
          <w:rFonts w:hint="eastAsia" w:hAnsi="宋体"/>
          <w:bCs/>
          <w:color w:val="auto"/>
          <w:sz w:val="24"/>
          <w:highlight w:val="none"/>
        </w:rPr>
        <w:t>质疑供应商：</w:t>
      </w:r>
      <w:r>
        <w:rPr>
          <w:rFonts w:hint="eastAsia" w:hAnsi="宋体"/>
          <w:bCs/>
          <w:color w:val="auto"/>
          <w:sz w:val="24"/>
          <w:highlight w:val="none"/>
          <w:u w:val="single"/>
        </w:rPr>
        <w:t xml:space="preserve">                                       </w:t>
      </w:r>
      <w:r>
        <w:rPr>
          <w:rFonts w:hint="eastAsia" w:hAnsi="宋体"/>
          <w:bCs/>
          <w:color w:val="auto"/>
          <w:sz w:val="24"/>
          <w:highlight w:val="none"/>
        </w:rPr>
        <w:t xml:space="preserve">                 </w:t>
      </w:r>
    </w:p>
    <w:p w14:paraId="74FF71F5">
      <w:pPr>
        <w:pStyle w:val="12"/>
        <w:spacing w:line="360" w:lineRule="auto"/>
        <w:ind w:left="0" w:leftChars="0" w:firstLine="480" w:firstLineChars="200"/>
        <w:rPr>
          <w:rFonts w:hAnsi="宋体"/>
          <w:bCs/>
          <w:color w:val="auto"/>
          <w:sz w:val="24"/>
          <w:highlight w:val="none"/>
        </w:rPr>
      </w:pPr>
      <w:r>
        <w:rPr>
          <w:rFonts w:hint="eastAsia" w:hAnsi="宋体"/>
          <w:bCs/>
          <w:color w:val="auto"/>
          <w:sz w:val="24"/>
          <w:highlight w:val="none"/>
        </w:rPr>
        <w:t>地址：</w:t>
      </w:r>
      <w:r>
        <w:rPr>
          <w:rFonts w:hint="eastAsia" w:hAnsi="宋体"/>
          <w:bCs/>
          <w:color w:val="auto"/>
          <w:sz w:val="24"/>
          <w:highlight w:val="none"/>
          <w:u w:val="single"/>
        </w:rPr>
        <w:t xml:space="preserve">                                          </w:t>
      </w:r>
      <w:r>
        <w:rPr>
          <w:rFonts w:hint="eastAsia" w:hAnsi="宋体"/>
          <w:bCs/>
          <w:color w:val="auto"/>
          <w:sz w:val="24"/>
          <w:highlight w:val="none"/>
        </w:rPr>
        <w:t>邮编：</w:t>
      </w:r>
      <w:r>
        <w:rPr>
          <w:rFonts w:hint="eastAsia" w:hAnsi="宋体"/>
          <w:bCs/>
          <w:color w:val="auto"/>
          <w:sz w:val="24"/>
          <w:highlight w:val="none"/>
          <w:u w:val="single"/>
        </w:rPr>
        <w:t xml:space="preserve">                  </w:t>
      </w:r>
      <w:r>
        <w:rPr>
          <w:rFonts w:hint="eastAsia" w:hAnsi="宋体"/>
          <w:bCs/>
          <w:color w:val="auto"/>
          <w:sz w:val="24"/>
          <w:highlight w:val="none"/>
        </w:rPr>
        <w:t xml:space="preserve">                 </w:t>
      </w:r>
    </w:p>
    <w:p w14:paraId="15F13E33">
      <w:pPr>
        <w:pStyle w:val="12"/>
        <w:spacing w:line="360" w:lineRule="auto"/>
        <w:ind w:left="0" w:leftChars="0" w:firstLine="480" w:firstLineChars="200"/>
        <w:rPr>
          <w:rFonts w:hAnsi="宋体"/>
          <w:bCs/>
          <w:color w:val="auto"/>
          <w:sz w:val="24"/>
          <w:highlight w:val="none"/>
        </w:rPr>
      </w:pPr>
      <w:r>
        <w:rPr>
          <w:rFonts w:hint="eastAsia" w:hAnsi="宋体"/>
          <w:bCs/>
          <w:color w:val="auto"/>
          <w:sz w:val="24"/>
          <w:highlight w:val="none"/>
        </w:rPr>
        <w:t>联系人：</w:t>
      </w:r>
      <w:r>
        <w:rPr>
          <w:rFonts w:hint="eastAsia" w:hAnsi="宋体"/>
          <w:bCs/>
          <w:color w:val="auto"/>
          <w:sz w:val="24"/>
          <w:highlight w:val="none"/>
          <w:u w:val="single"/>
        </w:rPr>
        <w:t xml:space="preserve">                     </w:t>
      </w:r>
      <w:r>
        <w:rPr>
          <w:rFonts w:hint="eastAsia" w:hAnsi="宋体"/>
          <w:bCs/>
          <w:color w:val="auto"/>
          <w:sz w:val="24"/>
          <w:highlight w:val="none"/>
        </w:rPr>
        <w:t>联系电话：</w:t>
      </w:r>
      <w:r>
        <w:rPr>
          <w:rFonts w:hint="eastAsia" w:hAnsi="宋体"/>
          <w:bCs/>
          <w:color w:val="auto"/>
          <w:sz w:val="24"/>
          <w:highlight w:val="none"/>
          <w:u w:val="single"/>
        </w:rPr>
        <w:t xml:space="preserve">                 </w:t>
      </w:r>
    </w:p>
    <w:p w14:paraId="365076C4">
      <w:pPr>
        <w:pStyle w:val="12"/>
        <w:spacing w:line="360" w:lineRule="auto"/>
        <w:ind w:left="0" w:leftChars="0" w:firstLine="480" w:firstLineChars="200"/>
        <w:rPr>
          <w:rFonts w:hAnsi="宋体"/>
          <w:bCs/>
          <w:color w:val="auto"/>
          <w:sz w:val="24"/>
          <w:highlight w:val="none"/>
        </w:rPr>
      </w:pPr>
      <w:r>
        <w:rPr>
          <w:rFonts w:hint="eastAsia" w:hAnsi="宋体"/>
          <w:bCs/>
          <w:color w:val="auto"/>
          <w:sz w:val="24"/>
          <w:highlight w:val="none"/>
        </w:rPr>
        <w:t>授权代表：</w:t>
      </w:r>
      <w:r>
        <w:rPr>
          <w:rFonts w:hint="eastAsia" w:hAnsi="宋体"/>
          <w:bCs/>
          <w:color w:val="auto"/>
          <w:sz w:val="24"/>
          <w:highlight w:val="none"/>
          <w:u w:val="single"/>
        </w:rPr>
        <w:t xml:space="preserve">                      </w:t>
      </w:r>
    </w:p>
    <w:p w14:paraId="6AD26BBF">
      <w:pPr>
        <w:pStyle w:val="12"/>
        <w:spacing w:line="360" w:lineRule="auto"/>
        <w:ind w:left="0" w:leftChars="0" w:firstLine="480" w:firstLineChars="200"/>
        <w:rPr>
          <w:rFonts w:hAnsi="宋体"/>
          <w:bCs/>
          <w:color w:val="auto"/>
          <w:sz w:val="24"/>
          <w:highlight w:val="none"/>
          <w:u w:val="single"/>
        </w:rPr>
      </w:pPr>
      <w:r>
        <w:rPr>
          <w:rFonts w:hint="eastAsia" w:hAnsi="宋体"/>
          <w:bCs/>
          <w:color w:val="auto"/>
          <w:sz w:val="24"/>
          <w:highlight w:val="none"/>
        </w:rPr>
        <w:t>联系电话：</w:t>
      </w:r>
      <w:r>
        <w:rPr>
          <w:rFonts w:hint="eastAsia" w:hAnsi="宋体"/>
          <w:bCs/>
          <w:color w:val="auto"/>
          <w:sz w:val="24"/>
          <w:highlight w:val="none"/>
          <w:u w:val="single"/>
        </w:rPr>
        <w:t xml:space="preserve">                      </w:t>
      </w:r>
    </w:p>
    <w:p w14:paraId="05561E34">
      <w:pPr>
        <w:pStyle w:val="12"/>
        <w:spacing w:line="360" w:lineRule="auto"/>
        <w:ind w:left="0" w:leftChars="0" w:firstLine="480" w:firstLineChars="200"/>
        <w:rPr>
          <w:rFonts w:hAnsi="宋体"/>
          <w:bCs/>
          <w:color w:val="auto"/>
          <w:sz w:val="24"/>
          <w:highlight w:val="none"/>
        </w:rPr>
      </w:pPr>
      <w:r>
        <w:rPr>
          <w:rFonts w:hint="eastAsia" w:hAnsi="宋体"/>
          <w:bCs/>
          <w:color w:val="auto"/>
          <w:sz w:val="24"/>
          <w:highlight w:val="none"/>
        </w:rPr>
        <w:t>地址：</w:t>
      </w:r>
      <w:r>
        <w:rPr>
          <w:rFonts w:hint="eastAsia" w:hAnsi="宋体"/>
          <w:bCs/>
          <w:color w:val="auto"/>
          <w:sz w:val="24"/>
          <w:highlight w:val="none"/>
          <w:u w:val="single"/>
        </w:rPr>
        <w:t xml:space="preserve">                 </w:t>
      </w:r>
      <w:r>
        <w:rPr>
          <w:rFonts w:hint="eastAsia" w:hAnsi="宋体"/>
          <w:bCs/>
          <w:color w:val="auto"/>
          <w:sz w:val="24"/>
          <w:highlight w:val="none"/>
        </w:rPr>
        <w:t>邮编：</w:t>
      </w:r>
      <w:r>
        <w:rPr>
          <w:rFonts w:hint="eastAsia" w:hAnsi="宋体"/>
          <w:bCs/>
          <w:color w:val="auto"/>
          <w:sz w:val="24"/>
          <w:highlight w:val="none"/>
          <w:u w:val="single"/>
        </w:rPr>
        <w:t xml:space="preserve">                  </w:t>
      </w:r>
      <w:r>
        <w:rPr>
          <w:rFonts w:hint="eastAsia" w:hAnsi="宋体"/>
          <w:bCs/>
          <w:color w:val="auto"/>
          <w:sz w:val="24"/>
          <w:highlight w:val="none"/>
        </w:rPr>
        <w:t xml:space="preserve">     </w:t>
      </w:r>
    </w:p>
    <w:p w14:paraId="1478DAFF">
      <w:pPr>
        <w:pStyle w:val="12"/>
        <w:spacing w:line="360" w:lineRule="auto"/>
        <w:ind w:left="0" w:leftChars="0" w:firstLine="482" w:firstLineChars="200"/>
        <w:rPr>
          <w:rFonts w:hAnsi="宋体"/>
          <w:b/>
          <w:bCs/>
          <w:color w:val="auto"/>
          <w:sz w:val="24"/>
          <w:highlight w:val="none"/>
        </w:rPr>
      </w:pPr>
      <w:r>
        <w:rPr>
          <w:rFonts w:hint="eastAsia" w:hAnsi="宋体"/>
          <w:b/>
          <w:bCs/>
          <w:color w:val="auto"/>
          <w:sz w:val="24"/>
          <w:highlight w:val="none"/>
        </w:rPr>
        <w:t>二、质疑项目基本情况：</w:t>
      </w:r>
    </w:p>
    <w:p w14:paraId="434DA54C">
      <w:pPr>
        <w:pStyle w:val="12"/>
        <w:spacing w:line="360" w:lineRule="auto"/>
        <w:ind w:left="25" w:leftChars="12" w:firstLine="472" w:firstLineChars="197"/>
        <w:contextualSpacing/>
        <w:rPr>
          <w:rFonts w:hAnsi="宋体"/>
          <w:color w:val="auto"/>
          <w:sz w:val="24"/>
          <w:highlight w:val="none"/>
        </w:rPr>
      </w:pPr>
      <w:r>
        <w:rPr>
          <w:rFonts w:hint="eastAsia" w:hAnsi="宋体"/>
          <w:bCs/>
          <w:color w:val="auto"/>
          <w:sz w:val="24"/>
          <w:highlight w:val="none"/>
        </w:rPr>
        <w:t>质疑</w:t>
      </w:r>
      <w:r>
        <w:rPr>
          <w:rFonts w:hint="eastAsia" w:hAnsi="宋体"/>
          <w:color w:val="auto"/>
          <w:sz w:val="24"/>
          <w:highlight w:val="none"/>
        </w:rPr>
        <w:t>项目的名称：</w:t>
      </w:r>
      <w:r>
        <w:rPr>
          <w:rFonts w:hint="eastAsia" w:hAnsi="宋体"/>
          <w:bCs/>
          <w:color w:val="auto"/>
          <w:sz w:val="24"/>
          <w:highlight w:val="none"/>
          <w:u w:val="single"/>
        </w:rPr>
        <w:t xml:space="preserve"> </w:t>
      </w:r>
      <w:r>
        <w:rPr>
          <w:rFonts w:hint="eastAsia" w:hAnsi="宋体"/>
          <w:bCs/>
          <w:color w:val="auto"/>
          <w:sz w:val="24"/>
          <w:highlight w:val="none"/>
          <w:u w:val="single"/>
          <w:lang w:eastAsia="zh-CN"/>
        </w:rPr>
        <w:t>南宁市青年人才驿站</w:t>
      </w:r>
      <w:r>
        <w:rPr>
          <w:rFonts w:hint="eastAsia" w:hAnsi="宋体"/>
          <w:bCs/>
          <w:color w:val="auto"/>
          <w:sz w:val="24"/>
          <w:highlight w:val="none"/>
          <w:u w:val="single"/>
        </w:rPr>
        <w:t xml:space="preserve"> </w:t>
      </w:r>
    </w:p>
    <w:p w14:paraId="3868C8BA">
      <w:pPr>
        <w:pStyle w:val="12"/>
        <w:spacing w:line="360" w:lineRule="auto"/>
        <w:ind w:left="25" w:leftChars="12" w:firstLine="472" w:firstLineChars="197"/>
        <w:contextualSpacing/>
        <w:rPr>
          <w:rFonts w:hAnsi="宋体"/>
          <w:color w:val="auto"/>
          <w:sz w:val="24"/>
          <w:highlight w:val="none"/>
        </w:rPr>
      </w:pPr>
      <w:r>
        <w:rPr>
          <w:rFonts w:hint="eastAsia" w:hAnsi="宋体"/>
          <w:bCs/>
          <w:color w:val="auto"/>
          <w:sz w:val="24"/>
          <w:highlight w:val="none"/>
        </w:rPr>
        <w:t>质疑</w:t>
      </w:r>
      <w:r>
        <w:rPr>
          <w:rFonts w:hint="eastAsia" w:hAnsi="宋体"/>
          <w:color w:val="auto"/>
          <w:sz w:val="24"/>
          <w:highlight w:val="none"/>
        </w:rPr>
        <w:t>项目的编号：</w:t>
      </w:r>
      <w:r>
        <w:rPr>
          <w:rFonts w:hint="eastAsia" w:hAnsi="宋体"/>
          <w:bCs/>
          <w:color w:val="auto"/>
          <w:sz w:val="24"/>
          <w:highlight w:val="none"/>
          <w:u w:val="single"/>
        </w:rPr>
        <w:t xml:space="preserve">                 </w:t>
      </w:r>
    </w:p>
    <w:p w14:paraId="7E086E04">
      <w:pPr>
        <w:pStyle w:val="12"/>
        <w:spacing w:line="360" w:lineRule="auto"/>
        <w:ind w:left="25" w:leftChars="12" w:firstLine="472" w:firstLineChars="197"/>
        <w:contextualSpacing/>
        <w:rPr>
          <w:rFonts w:hAnsi="宋体"/>
          <w:color w:val="auto"/>
          <w:sz w:val="24"/>
          <w:highlight w:val="none"/>
        </w:rPr>
      </w:pPr>
      <w:r>
        <w:rPr>
          <w:rFonts w:hint="eastAsia" w:hAnsi="宋体"/>
          <w:color w:val="auto"/>
          <w:sz w:val="24"/>
          <w:highlight w:val="none"/>
        </w:rPr>
        <w:t>采购人名称：</w:t>
      </w:r>
      <w:r>
        <w:rPr>
          <w:rFonts w:hint="eastAsia" w:hAnsi="宋体"/>
          <w:bCs/>
          <w:color w:val="auto"/>
          <w:sz w:val="24"/>
          <w:highlight w:val="none"/>
          <w:u w:val="single"/>
        </w:rPr>
        <w:t xml:space="preserve">   </w:t>
      </w:r>
      <w:r>
        <w:rPr>
          <w:rFonts w:hint="eastAsia" w:hAnsi="宋体"/>
          <w:bCs/>
          <w:color w:val="auto"/>
          <w:sz w:val="24"/>
          <w:highlight w:val="none"/>
          <w:u w:val="single"/>
          <w:lang w:eastAsia="zh-CN"/>
        </w:rPr>
        <w:t>南宁市财政局</w:t>
      </w:r>
      <w:r>
        <w:rPr>
          <w:rFonts w:hint="eastAsia" w:hAnsi="宋体"/>
          <w:bCs/>
          <w:color w:val="auto"/>
          <w:sz w:val="24"/>
          <w:highlight w:val="none"/>
          <w:u w:val="single"/>
        </w:rPr>
        <w:t xml:space="preserve">  </w:t>
      </w:r>
    </w:p>
    <w:p w14:paraId="33EEDF64">
      <w:pPr>
        <w:pStyle w:val="12"/>
        <w:spacing w:line="360" w:lineRule="auto"/>
        <w:ind w:left="25" w:leftChars="12" w:firstLine="472" w:firstLineChars="197"/>
        <w:contextualSpacing/>
        <w:rPr>
          <w:rFonts w:hAnsi="宋体"/>
          <w:color w:val="auto"/>
          <w:sz w:val="24"/>
          <w:highlight w:val="none"/>
        </w:rPr>
      </w:pPr>
      <w:r>
        <w:rPr>
          <w:rFonts w:hint="eastAsia" w:hAnsi="宋体"/>
          <w:color w:val="auto"/>
          <w:sz w:val="24"/>
          <w:highlight w:val="none"/>
        </w:rPr>
        <w:t>质疑事项：</w:t>
      </w:r>
    </w:p>
    <w:p w14:paraId="0EA8D56B">
      <w:pPr>
        <w:pStyle w:val="12"/>
        <w:spacing w:line="360" w:lineRule="auto"/>
        <w:ind w:left="25" w:leftChars="12" w:firstLine="352" w:firstLineChars="147"/>
        <w:contextualSpacing/>
        <w:rPr>
          <w:rFonts w:hAnsi="宋体"/>
          <w:color w:val="auto"/>
          <w:sz w:val="24"/>
          <w:highlight w:val="none"/>
        </w:rPr>
      </w:pPr>
      <w:r>
        <w:rPr>
          <w:rFonts w:hint="eastAsia" w:hAnsi="宋体"/>
          <w:color w:val="auto"/>
          <w:sz w:val="24"/>
          <w:highlight w:val="none"/>
        </w:rPr>
        <w:t>□采购文件   采购文件获取日期：</w:t>
      </w:r>
      <w:r>
        <w:rPr>
          <w:rFonts w:hint="eastAsia" w:hAnsi="宋体"/>
          <w:bCs/>
          <w:color w:val="auto"/>
          <w:sz w:val="24"/>
          <w:highlight w:val="none"/>
          <w:u w:val="single"/>
        </w:rPr>
        <w:t xml:space="preserve">                                   </w:t>
      </w:r>
    </w:p>
    <w:p w14:paraId="54D5E338">
      <w:pPr>
        <w:pStyle w:val="12"/>
        <w:spacing w:line="360" w:lineRule="auto"/>
        <w:ind w:left="25" w:leftChars="12" w:firstLine="352" w:firstLineChars="147"/>
        <w:contextualSpacing/>
        <w:rPr>
          <w:rFonts w:hAnsi="宋体"/>
          <w:color w:val="auto"/>
          <w:sz w:val="24"/>
          <w:highlight w:val="none"/>
        </w:rPr>
      </w:pPr>
      <w:r>
        <w:rPr>
          <w:rFonts w:hint="eastAsia" w:hAnsi="宋体"/>
          <w:color w:val="auto"/>
          <w:sz w:val="24"/>
          <w:highlight w:val="none"/>
        </w:rPr>
        <w:t xml:space="preserve">□采购过程   </w:t>
      </w:r>
    </w:p>
    <w:p w14:paraId="2C7B7BD8">
      <w:pPr>
        <w:pStyle w:val="12"/>
        <w:spacing w:line="360" w:lineRule="auto"/>
        <w:ind w:left="25" w:leftChars="12" w:firstLine="352" w:firstLineChars="147"/>
        <w:contextualSpacing/>
        <w:rPr>
          <w:rFonts w:hAnsi="宋体"/>
          <w:bCs/>
          <w:color w:val="auto"/>
          <w:sz w:val="24"/>
          <w:highlight w:val="none"/>
          <w:u w:val="single"/>
        </w:rPr>
      </w:pPr>
      <w:r>
        <w:rPr>
          <w:rFonts w:hint="eastAsia" w:hAnsi="宋体"/>
          <w:color w:val="auto"/>
          <w:sz w:val="24"/>
          <w:highlight w:val="none"/>
        </w:rPr>
        <w:t xml:space="preserve">□成交结果   </w:t>
      </w:r>
    </w:p>
    <w:p w14:paraId="3F9971D7">
      <w:pPr>
        <w:pStyle w:val="12"/>
        <w:spacing w:line="360" w:lineRule="auto"/>
        <w:ind w:left="25" w:leftChars="12" w:firstLine="472" w:firstLineChars="196"/>
        <w:contextualSpacing/>
        <w:rPr>
          <w:rFonts w:hAnsi="宋体"/>
          <w:b/>
          <w:color w:val="auto"/>
          <w:sz w:val="24"/>
          <w:highlight w:val="none"/>
        </w:rPr>
      </w:pPr>
      <w:r>
        <w:rPr>
          <w:rFonts w:hint="eastAsia" w:hAnsi="宋体"/>
          <w:b/>
          <w:color w:val="auto"/>
          <w:sz w:val="24"/>
          <w:highlight w:val="none"/>
        </w:rPr>
        <w:t>三、质疑事项具体内容</w:t>
      </w:r>
    </w:p>
    <w:p w14:paraId="609F0D9C">
      <w:pPr>
        <w:pStyle w:val="12"/>
        <w:spacing w:line="360" w:lineRule="auto"/>
        <w:ind w:left="25" w:leftChars="12" w:firstLine="472" w:firstLineChars="197"/>
        <w:contextualSpacing/>
        <w:rPr>
          <w:rFonts w:hAnsi="宋体"/>
          <w:color w:val="auto"/>
          <w:sz w:val="24"/>
          <w:highlight w:val="none"/>
        </w:rPr>
      </w:pPr>
      <w:r>
        <w:rPr>
          <w:rFonts w:hint="eastAsia" w:hAnsi="宋体"/>
          <w:color w:val="auto"/>
          <w:sz w:val="24"/>
          <w:highlight w:val="none"/>
        </w:rPr>
        <w:t>质疑事项1：</w:t>
      </w:r>
      <w:r>
        <w:rPr>
          <w:rFonts w:hint="eastAsia" w:hAnsi="宋体"/>
          <w:bCs/>
          <w:color w:val="auto"/>
          <w:sz w:val="24"/>
          <w:highlight w:val="none"/>
          <w:u w:val="single"/>
        </w:rPr>
        <w:t xml:space="preserve">                                                                    </w:t>
      </w:r>
    </w:p>
    <w:p w14:paraId="5BB25260">
      <w:pPr>
        <w:pStyle w:val="12"/>
        <w:spacing w:line="360" w:lineRule="auto"/>
        <w:ind w:left="25" w:leftChars="12" w:firstLine="472" w:firstLineChars="197"/>
        <w:contextualSpacing/>
        <w:rPr>
          <w:rFonts w:hAnsi="宋体"/>
          <w:color w:val="auto"/>
          <w:sz w:val="24"/>
          <w:highlight w:val="none"/>
        </w:rPr>
      </w:pPr>
      <w:r>
        <w:rPr>
          <w:rFonts w:hint="eastAsia" w:hAnsi="宋体"/>
          <w:color w:val="auto"/>
          <w:sz w:val="24"/>
          <w:highlight w:val="none"/>
        </w:rPr>
        <w:t>事实依据：</w:t>
      </w:r>
      <w:r>
        <w:rPr>
          <w:rFonts w:hint="eastAsia" w:hAnsi="宋体"/>
          <w:bCs/>
          <w:color w:val="auto"/>
          <w:sz w:val="24"/>
          <w:highlight w:val="none"/>
          <w:u w:val="single"/>
        </w:rPr>
        <w:t xml:space="preserve">                                                                      </w:t>
      </w:r>
    </w:p>
    <w:p w14:paraId="47755C1E">
      <w:pPr>
        <w:pStyle w:val="12"/>
        <w:spacing w:line="360" w:lineRule="auto"/>
        <w:ind w:left="25" w:leftChars="12" w:firstLine="472" w:firstLineChars="197"/>
        <w:contextualSpacing/>
        <w:rPr>
          <w:rFonts w:hAnsi="宋体"/>
          <w:color w:val="auto"/>
          <w:sz w:val="24"/>
          <w:highlight w:val="none"/>
        </w:rPr>
      </w:pPr>
      <w:r>
        <w:rPr>
          <w:rFonts w:hint="eastAsia" w:hAnsi="宋体"/>
          <w:color w:val="auto"/>
          <w:sz w:val="24"/>
          <w:highlight w:val="none"/>
        </w:rPr>
        <w:t>法律依据：</w:t>
      </w:r>
      <w:r>
        <w:rPr>
          <w:rFonts w:hint="eastAsia" w:hAnsi="宋体"/>
          <w:color w:val="auto"/>
          <w:sz w:val="24"/>
          <w:highlight w:val="none"/>
          <w:u w:val="single"/>
        </w:rPr>
        <w:t xml:space="preserve">                                                        </w:t>
      </w:r>
      <w:r>
        <w:rPr>
          <w:rFonts w:hint="eastAsia" w:hAnsi="宋体"/>
          <w:bCs/>
          <w:color w:val="auto"/>
          <w:sz w:val="24"/>
          <w:highlight w:val="none"/>
          <w:u w:val="single"/>
        </w:rPr>
        <w:t xml:space="preserve">               </w:t>
      </w:r>
    </w:p>
    <w:p w14:paraId="654A565D">
      <w:pPr>
        <w:pStyle w:val="12"/>
        <w:spacing w:line="360" w:lineRule="auto"/>
        <w:ind w:left="25" w:leftChars="12" w:firstLine="472" w:firstLineChars="197"/>
        <w:contextualSpacing/>
        <w:rPr>
          <w:rFonts w:hAnsi="宋体"/>
          <w:color w:val="auto"/>
          <w:sz w:val="24"/>
          <w:highlight w:val="none"/>
        </w:rPr>
      </w:pPr>
      <w:r>
        <w:rPr>
          <w:rFonts w:hint="eastAsia" w:hAnsi="宋体"/>
          <w:color w:val="auto"/>
          <w:sz w:val="24"/>
          <w:highlight w:val="none"/>
        </w:rPr>
        <w:t>质疑事项2</w:t>
      </w:r>
    </w:p>
    <w:p w14:paraId="2E33BC0E">
      <w:pPr>
        <w:pStyle w:val="12"/>
        <w:spacing w:line="360" w:lineRule="auto"/>
        <w:ind w:left="25" w:leftChars="12" w:firstLine="472" w:firstLineChars="197"/>
        <w:contextualSpacing/>
        <w:rPr>
          <w:rFonts w:hAnsi="宋体"/>
          <w:color w:val="auto"/>
          <w:sz w:val="24"/>
          <w:highlight w:val="none"/>
        </w:rPr>
      </w:pPr>
      <w:r>
        <w:rPr>
          <w:rFonts w:hint="eastAsia" w:hAnsi="宋体"/>
          <w:color w:val="auto"/>
          <w:sz w:val="24"/>
          <w:highlight w:val="none"/>
        </w:rPr>
        <w:t>……</w:t>
      </w:r>
    </w:p>
    <w:p w14:paraId="61C3C479">
      <w:pPr>
        <w:pStyle w:val="12"/>
        <w:spacing w:line="360" w:lineRule="auto"/>
        <w:ind w:left="25" w:leftChars="12" w:firstLine="472" w:firstLineChars="197"/>
        <w:contextualSpacing/>
        <w:rPr>
          <w:rFonts w:hAnsi="宋体"/>
          <w:color w:val="auto"/>
          <w:sz w:val="24"/>
          <w:highlight w:val="none"/>
        </w:rPr>
      </w:pPr>
      <w:r>
        <w:rPr>
          <w:rFonts w:hint="eastAsia" w:hAnsi="宋体"/>
          <w:color w:val="auto"/>
          <w:sz w:val="24"/>
          <w:highlight w:val="none"/>
        </w:rPr>
        <w:t>四、与质疑事项相关的质疑请求：</w:t>
      </w:r>
    </w:p>
    <w:p w14:paraId="50D9B7EB">
      <w:pPr>
        <w:pStyle w:val="12"/>
        <w:spacing w:line="360" w:lineRule="auto"/>
        <w:ind w:left="25" w:leftChars="12" w:firstLine="472" w:firstLineChars="197"/>
        <w:contextualSpacing/>
        <w:rPr>
          <w:rFonts w:hAnsi="宋体"/>
          <w:color w:val="auto"/>
          <w:sz w:val="24"/>
          <w:highlight w:val="none"/>
        </w:rPr>
      </w:pPr>
      <w:r>
        <w:rPr>
          <w:rFonts w:hint="eastAsia" w:hAnsi="宋体"/>
          <w:color w:val="auto"/>
          <w:sz w:val="24"/>
          <w:highlight w:val="none"/>
        </w:rPr>
        <w:t>请求：</w:t>
      </w:r>
      <w:r>
        <w:rPr>
          <w:rFonts w:hint="eastAsia" w:hAnsi="宋体"/>
          <w:bCs/>
          <w:color w:val="auto"/>
          <w:sz w:val="24"/>
          <w:highlight w:val="none"/>
          <w:u w:val="single"/>
        </w:rPr>
        <w:t xml:space="preserve">                                                                </w:t>
      </w:r>
    </w:p>
    <w:p w14:paraId="6829D93E">
      <w:pPr>
        <w:pStyle w:val="12"/>
        <w:spacing w:line="360" w:lineRule="auto"/>
        <w:ind w:left="25" w:leftChars="12" w:firstLine="352" w:firstLineChars="147"/>
        <w:contextualSpacing/>
        <w:rPr>
          <w:rFonts w:hAnsi="宋体"/>
          <w:color w:val="auto"/>
          <w:sz w:val="24"/>
          <w:highlight w:val="none"/>
        </w:rPr>
      </w:pPr>
    </w:p>
    <w:p w14:paraId="426FAFE7">
      <w:pPr>
        <w:pStyle w:val="12"/>
        <w:spacing w:line="360" w:lineRule="auto"/>
        <w:ind w:left="25" w:leftChars="12" w:firstLine="472" w:firstLineChars="197"/>
        <w:contextualSpacing/>
        <w:rPr>
          <w:rFonts w:hAnsi="宋体"/>
          <w:color w:val="auto"/>
          <w:sz w:val="24"/>
          <w:highlight w:val="none"/>
        </w:rPr>
      </w:pPr>
      <w:r>
        <w:rPr>
          <w:rFonts w:hint="eastAsia" w:hAnsi="宋体"/>
          <w:color w:val="auto"/>
          <w:sz w:val="24"/>
          <w:highlight w:val="none"/>
        </w:rPr>
        <w:t>签字（签章）：                                       公章：</w:t>
      </w:r>
    </w:p>
    <w:p w14:paraId="15AB70CA">
      <w:pPr>
        <w:pStyle w:val="12"/>
        <w:spacing w:line="360" w:lineRule="auto"/>
        <w:ind w:left="25" w:leftChars="12" w:firstLine="352" w:firstLineChars="147"/>
        <w:contextualSpacing/>
        <w:rPr>
          <w:rFonts w:hAnsi="宋体"/>
          <w:color w:val="auto"/>
          <w:sz w:val="24"/>
          <w:highlight w:val="none"/>
        </w:rPr>
      </w:pPr>
    </w:p>
    <w:p w14:paraId="476E9278">
      <w:pPr>
        <w:pStyle w:val="12"/>
        <w:spacing w:line="360" w:lineRule="auto"/>
        <w:ind w:left="25" w:leftChars="12" w:firstLine="472" w:firstLineChars="197"/>
        <w:contextualSpacing/>
        <w:rPr>
          <w:rFonts w:hAnsi="宋体"/>
          <w:color w:val="auto"/>
          <w:sz w:val="24"/>
          <w:highlight w:val="none"/>
        </w:rPr>
      </w:pPr>
      <w:r>
        <w:rPr>
          <w:rFonts w:hint="eastAsia" w:hAnsi="宋体"/>
          <w:color w:val="auto"/>
          <w:sz w:val="24"/>
          <w:highlight w:val="none"/>
        </w:rPr>
        <w:t>日期：</w:t>
      </w:r>
    </w:p>
    <w:p w14:paraId="30139B52">
      <w:pPr>
        <w:pStyle w:val="12"/>
        <w:spacing w:line="360" w:lineRule="auto"/>
        <w:rPr>
          <w:rFonts w:hAnsi="宋体"/>
          <w:b/>
          <w:color w:val="auto"/>
          <w:sz w:val="24"/>
          <w:highlight w:val="none"/>
        </w:rPr>
      </w:pPr>
    </w:p>
    <w:p w14:paraId="34D07706">
      <w:pPr>
        <w:pStyle w:val="12"/>
        <w:spacing w:line="360" w:lineRule="auto"/>
        <w:rPr>
          <w:rFonts w:hAnsi="宋体"/>
          <w:b/>
          <w:color w:val="auto"/>
          <w:sz w:val="24"/>
          <w:highlight w:val="none"/>
        </w:rPr>
      </w:pPr>
    </w:p>
    <w:p w14:paraId="3D2519C1">
      <w:pPr>
        <w:pStyle w:val="12"/>
        <w:spacing w:line="360" w:lineRule="auto"/>
        <w:rPr>
          <w:rFonts w:hAnsi="宋体"/>
          <w:b/>
          <w:color w:val="auto"/>
          <w:sz w:val="24"/>
          <w:highlight w:val="none"/>
        </w:rPr>
      </w:pPr>
      <w:r>
        <w:rPr>
          <w:rFonts w:hint="eastAsia" w:hAnsi="宋体"/>
          <w:b/>
          <w:color w:val="auto"/>
          <w:sz w:val="24"/>
          <w:highlight w:val="none"/>
        </w:rPr>
        <w:t>说明：</w:t>
      </w:r>
    </w:p>
    <w:p w14:paraId="366F9DA8">
      <w:pPr>
        <w:pStyle w:val="12"/>
        <w:spacing w:line="360" w:lineRule="auto"/>
        <w:ind w:left="25" w:leftChars="12" w:firstLine="354" w:firstLineChars="147"/>
        <w:contextualSpacing/>
        <w:rPr>
          <w:rFonts w:hAnsi="宋体"/>
          <w:b/>
          <w:bCs/>
          <w:color w:val="auto"/>
          <w:sz w:val="24"/>
          <w:highlight w:val="none"/>
        </w:rPr>
      </w:pPr>
      <w:r>
        <w:rPr>
          <w:rFonts w:hint="eastAsia" w:hAnsi="宋体"/>
          <w:b/>
          <w:color w:val="auto"/>
          <w:sz w:val="24"/>
          <w:highlight w:val="none"/>
        </w:rPr>
        <w:t>1.供应商提出质疑时，应提交质疑函和必要的证明材料</w:t>
      </w:r>
      <w:r>
        <w:rPr>
          <w:rFonts w:hint="eastAsia" w:hAnsi="宋体"/>
          <w:b/>
          <w:bCs/>
          <w:color w:val="auto"/>
          <w:sz w:val="24"/>
          <w:highlight w:val="none"/>
        </w:rPr>
        <w:t>。</w:t>
      </w:r>
    </w:p>
    <w:p w14:paraId="2E7BDD02">
      <w:pPr>
        <w:pStyle w:val="12"/>
        <w:spacing w:line="360" w:lineRule="auto"/>
        <w:ind w:left="25" w:leftChars="12" w:firstLine="354" w:firstLineChars="147"/>
        <w:contextualSpacing/>
        <w:rPr>
          <w:rFonts w:hAnsi="宋体"/>
          <w:b/>
          <w:color w:val="auto"/>
          <w:sz w:val="24"/>
          <w:highlight w:val="none"/>
        </w:rPr>
      </w:pPr>
      <w:r>
        <w:rPr>
          <w:rFonts w:hint="eastAsia" w:hAnsi="宋体"/>
          <w:b/>
          <w:color w:val="auto"/>
          <w:sz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105FF721">
      <w:pPr>
        <w:pStyle w:val="12"/>
        <w:spacing w:line="360" w:lineRule="auto"/>
        <w:ind w:left="25" w:leftChars="12" w:firstLine="354" w:firstLineChars="147"/>
        <w:contextualSpacing/>
        <w:rPr>
          <w:rFonts w:hAnsi="宋体"/>
          <w:b/>
          <w:color w:val="auto"/>
          <w:sz w:val="24"/>
          <w:highlight w:val="none"/>
        </w:rPr>
      </w:pPr>
      <w:r>
        <w:rPr>
          <w:rFonts w:hint="eastAsia" w:hAnsi="宋体"/>
          <w:b/>
          <w:color w:val="auto"/>
          <w:sz w:val="24"/>
          <w:highlight w:val="none"/>
        </w:rPr>
        <w:t>3.质疑函的质疑事项应具体、明确，并有必要的事实依据和法律依据。</w:t>
      </w:r>
    </w:p>
    <w:p w14:paraId="236915A7">
      <w:pPr>
        <w:pStyle w:val="12"/>
        <w:spacing w:line="360" w:lineRule="auto"/>
        <w:ind w:left="25" w:leftChars="12" w:firstLine="354" w:firstLineChars="147"/>
        <w:contextualSpacing/>
        <w:rPr>
          <w:rFonts w:hAnsi="宋体"/>
          <w:b/>
          <w:color w:val="auto"/>
          <w:sz w:val="24"/>
          <w:highlight w:val="none"/>
        </w:rPr>
      </w:pPr>
      <w:r>
        <w:rPr>
          <w:rFonts w:hint="eastAsia" w:hAnsi="宋体"/>
          <w:b/>
          <w:color w:val="auto"/>
          <w:sz w:val="24"/>
          <w:highlight w:val="none"/>
        </w:rPr>
        <w:t>4.质疑函的质疑请求应与质疑事项相关。</w:t>
      </w:r>
    </w:p>
    <w:p w14:paraId="2F322184">
      <w:pPr>
        <w:pStyle w:val="12"/>
        <w:spacing w:line="360" w:lineRule="auto"/>
        <w:ind w:left="25" w:leftChars="12" w:firstLine="354" w:firstLineChars="147"/>
        <w:contextualSpacing/>
        <w:rPr>
          <w:rFonts w:hAnsi="宋体"/>
          <w:b/>
          <w:color w:val="auto"/>
          <w:highlight w:val="none"/>
        </w:rPr>
      </w:pPr>
      <w:r>
        <w:rPr>
          <w:rFonts w:hint="eastAsia" w:hAnsi="宋体"/>
          <w:b/>
          <w:color w:val="auto"/>
          <w:sz w:val="24"/>
          <w:highlight w:val="none"/>
        </w:rPr>
        <w:t>5.质疑供应商为法人或者其他组织的，质疑函应由法定代表人、主要负责人，或者其授权代表签字或者盖章，并加盖公章。</w:t>
      </w:r>
    </w:p>
    <w:p w14:paraId="57866C02">
      <w:pPr>
        <w:pStyle w:val="12"/>
        <w:snapToGrid w:val="0"/>
        <w:rPr>
          <w:b/>
          <w:color w:val="auto"/>
          <w:sz w:val="24"/>
          <w:highlight w:val="none"/>
        </w:rPr>
      </w:pPr>
    </w:p>
    <w:p w14:paraId="5F8AE973">
      <w:pPr>
        <w:spacing w:line="460" w:lineRule="exact"/>
        <w:jc w:val="center"/>
        <w:rPr>
          <w:rFonts w:eastAsia="隶书"/>
          <w:color w:val="auto"/>
          <w:sz w:val="44"/>
          <w:highlight w:val="none"/>
        </w:rPr>
      </w:pPr>
      <w:r>
        <w:rPr>
          <w:rFonts w:eastAsia="隶书"/>
          <w:color w:val="auto"/>
          <w:sz w:val="44"/>
          <w:highlight w:val="none"/>
        </w:rPr>
        <w:br w:type="page"/>
      </w:r>
    </w:p>
    <w:p w14:paraId="5B944BB8">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投诉书（格式）</w:t>
      </w:r>
    </w:p>
    <w:p w14:paraId="7368CC99">
      <w:pPr>
        <w:pStyle w:val="12"/>
        <w:snapToGrid w:val="0"/>
        <w:spacing w:line="360" w:lineRule="auto"/>
        <w:ind w:left="0" w:leftChars="0" w:firstLine="482" w:firstLineChars="200"/>
        <w:rPr>
          <w:rFonts w:hAnsi="宋体"/>
          <w:b/>
          <w:bCs/>
          <w:color w:val="auto"/>
          <w:sz w:val="24"/>
          <w:highlight w:val="none"/>
        </w:rPr>
      </w:pPr>
      <w:r>
        <w:rPr>
          <w:rFonts w:hint="eastAsia" w:hAnsi="宋体"/>
          <w:b/>
          <w:bCs/>
          <w:color w:val="auto"/>
          <w:sz w:val="24"/>
          <w:highlight w:val="none"/>
        </w:rPr>
        <w:t>一、投诉相关主体基本情况：</w:t>
      </w:r>
    </w:p>
    <w:p w14:paraId="257CE61F">
      <w:pPr>
        <w:pStyle w:val="12"/>
        <w:snapToGrid w:val="0"/>
        <w:spacing w:line="360" w:lineRule="auto"/>
        <w:ind w:left="0" w:leftChars="0" w:firstLine="480" w:firstLineChars="200"/>
        <w:rPr>
          <w:rFonts w:hAnsi="宋体"/>
          <w:bCs/>
          <w:color w:val="auto"/>
          <w:sz w:val="24"/>
          <w:highlight w:val="none"/>
          <w:u w:val="single"/>
        </w:rPr>
      </w:pPr>
      <w:r>
        <w:rPr>
          <w:rFonts w:hint="eastAsia" w:hAnsi="宋体"/>
          <w:bCs/>
          <w:color w:val="auto"/>
          <w:sz w:val="24"/>
          <w:highlight w:val="none"/>
        </w:rPr>
        <w:t>供应商：</w:t>
      </w:r>
      <w:r>
        <w:rPr>
          <w:rFonts w:hint="eastAsia" w:hAnsi="宋体"/>
          <w:bCs/>
          <w:color w:val="auto"/>
          <w:sz w:val="24"/>
          <w:highlight w:val="none"/>
          <w:u w:val="single"/>
        </w:rPr>
        <w:t xml:space="preserve">                                                                        </w:t>
      </w:r>
      <w:r>
        <w:rPr>
          <w:rFonts w:hint="eastAsia" w:hAnsi="宋体"/>
          <w:bCs/>
          <w:color w:val="auto"/>
          <w:sz w:val="24"/>
          <w:highlight w:val="none"/>
        </w:rPr>
        <w:t xml:space="preserve">                 </w:t>
      </w:r>
    </w:p>
    <w:p w14:paraId="70A111BC">
      <w:pPr>
        <w:pStyle w:val="12"/>
        <w:snapToGrid w:val="0"/>
        <w:spacing w:line="360" w:lineRule="auto"/>
        <w:ind w:left="0" w:leftChars="0" w:firstLine="480" w:firstLineChars="200"/>
        <w:rPr>
          <w:rFonts w:hAnsi="宋体"/>
          <w:bCs/>
          <w:color w:val="auto"/>
          <w:sz w:val="24"/>
          <w:highlight w:val="none"/>
        </w:rPr>
      </w:pPr>
      <w:r>
        <w:rPr>
          <w:rFonts w:hint="eastAsia" w:hAnsi="宋体"/>
          <w:bCs/>
          <w:color w:val="auto"/>
          <w:sz w:val="24"/>
          <w:highlight w:val="none"/>
        </w:rPr>
        <w:t>地址：</w:t>
      </w:r>
      <w:r>
        <w:rPr>
          <w:rFonts w:hint="eastAsia" w:hAnsi="宋体"/>
          <w:bCs/>
          <w:color w:val="auto"/>
          <w:sz w:val="24"/>
          <w:highlight w:val="none"/>
          <w:u w:val="single"/>
        </w:rPr>
        <w:t xml:space="preserve">                                          </w:t>
      </w:r>
      <w:r>
        <w:rPr>
          <w:rFonts w:hint="eastAsia" w:hAnsi="宋体"/>
          <w:bCs/>
          <w:color w:val="auto"/>
          <w:sz w:val="24"/>
          <w:highlight w:val="none"/>
        </w:rPr>
        <w:t>邮编：</w:t>
      </w:r>
      <w:r>
        <w:rPr>
          <w:rFonts w:hint="eastAsia" w:hAnsi="宋体"/>
          <w:bCs/>
          <w:color w:val="auto"/>
          <w:sz w:val="24"/>
          <w:highlight w:val="none"/>
          <w:u w:val="single"/>
        </w:rPr>
        <w:t xml:space="preserve">                          </w:t>
      </w:r>
      <w:r>
        <w:rPr>
          <w:rFonts w:hint="eastAsia" w:hAnsi="宋体"/>
          <w:bCs/>
          <w:color w:val="auto"/>
          <w:sz w:val="24"/>
          <w:highlight w:val="none"/>
        </w:rPr>
        <w:t xml:space="preserve">                 </w:t>
      </w:r>
    </w:p>
    <w:p w14:paraId="5079DD9C">
      <w:pPr>
        <w:pStyle w:val="12"/>
        <w:snapToGrid w:val="0"/>
        <w:spacing w:line="360" w:lineRule="auto"/>
        <w:ind w:left="0" w:leftChars="0" w:firstLine="480" w:firstLineChars="200"/>
        <w:rPr>
          <w:rFonts w:hAnsi="宋体"/>
          <w:bCs/>
          <w:color w:val="auto"/>
          <w:sz w:val="24"/>
          <w:highlight w:val="none"/>
          <w:u w:val="single"/>
        </w:rPr>
      </w:pPr>
      <w:r>
        <w:rPr>
          <w:rFonts w:hint="eastAsia" w:hAnsi="宋体"/>
          <w:bCs/>
          <w:color w:val="auto"/>
          <w:sz w:val="24"/>
          <w:highlight w:val="none"/>
        </w:rPr>
        <w:t>法定代表人/主要负责人：</w:t>
      </w:r>
      <w:r>
        <w:rPr>
          <w:rFonts w:hint="eastAsia" w:hAnsi="宋体"/>
          <w:bCs/>
          <w:color w:val="auto"/>
          <w:sz w:val="24"/>
          <w:highlight w:val="none"/>
          <w:u w:val="single"/>
        </w:rPr>
        <w:t xml:space="preserve">                                                         </w:t>
      </w:r>
    </w:p>
    <w:p w14:paraId="7A1FFE57">
      <w:pPr>
        <w:pStyle w:val="12"/>
        <w:snapToGrid w:val="0"/>
        <w:spacing w:line="360" w:lineRule="auto"/>
        <w:ind w:left="0" w:leftChars="0" w:firstLine="480" w:firstLineChars="200"/>
        <w:rPr>
          <w:rFonts w:hAnsi="宋体"/>
          <w:bCs/>
          <w:color w:val="auto"/>
          <w:sz w:val="24"/>
          <w:highlight w:val="none"/>
        </w:rPr>
      </w:pPr>
      <w:r>
        <w:rPr>
          <w:rFonts w:hint="eastAsia" w:hAnsi="宋体"/>
          <w:bCs/>
          <w:color w:val="auto"/>
          <w:sz w:val="24"/>
          <w:highlight w:val="none"/>
        </w:rPr>
        <w:t>联系电话：</w:t>
      </w:r>
      <w:r>
        <w:rPr>
          <w:rFonts w:hint="eastAsia" w:hAnsi="宋体"/>
          <w:bCs/>
          <w:color w:val="auto"/>
          <w:sz w:val="24"/>
          <w:highlight w:val="none"/>
          <w:u w:val="single"/>
        </w:rPr>
        <w:t xml:space="preserve">                                         </w:t>
      </w:r>
    </w:p>
    <w:p w14:paraId="45A868A1">
      <w:pPr>
        <w:pStyle w:val="12"/>
        <w:snapToGrid w:val="0"/>
        <w:spacing w:line="360" w:lineRule="auto"/>
        <w:ind w:left="0" w:leftChars="0" w:firstLine="480" w:firstLineChars="200"/>
        <w:rPr>
          <w:rFonts w:hAnsi="宋体"/>
          <w:bCs/>
          <w:color w:val="auto"/>
          <w:sz w:val="24"/>
          <w:highlight w:val="none"/>
          <w:u w:val="single"/>
        </w:rPr>
      </w:pPr>
      <w:r>
        <w:rPr>
          <w:rFonts w:hint="eastAsia" w:hAnsi="宋体"/>
          <w:bCs/>
          <w:color w:val="auto"/>
          <w:sz w:val="24"/>
          <w:highlight w:val="none"/>
        </w:rPr>
        <w:t>授权代表：</w:t>
      </w:r>
      <w:r>
        <w:rPr>
          <w:rFonts w:hint="eastAsia" w:hAnsi="宋体"/>
          <w:bCs/>
          <w:color w:val="auto"/>
          <w:sz w:val="24"/>
          <w:highlight w:val="none"/>
          <w:u w:val="single"/>
        </w:rPr>
        <w:t xml:space="preserve">                                         </w:t>
      </w:r>
      <w:r>
        <w:rPr>
          <w:rFonts w:hint="eastAsia" w:hAnsi="宋体"/>
          <w:bCs/>
          <w:color w:val="auto"/>
          <w:sz w:val="24"/>
          <w:highlight w:val="none"/>
        </w:rPr>
        <w:t>联系电话：</w:t>
      </w:r>
      <w:r>
        <w:rPr>
          <w:rFonts w:hint="eastAsia" w:hAnsi="宋体"/>
          <w:bCs/>
          <w:color w:val="auto"/>
          <w:sz w:val="24"/>
          <w:highlight w:val="none"/>
          <w:u w:val="single"/>
        </w:rPr>
        <w:t xml:space="preserve">                   </w:t>
      </w:r>
    </w:p>
    <w:p w14:paraId="53366EAA">
      <w:pPr>
        <w:pStyle w:val="12"/>
        <w:snapToGrid w:val="0"/>
        <w:spacing w:line="360" w:lineRule="auto"/>
        <w:ind w:left="0" w:leftChars="0" w:firstLine="480" w:firstLineChars="200"/>
        <w:rPr>
          <w:rFonts w:hAnsi="宋体"/>
          <w:bCs/>
          <w:color w:val="auto"/>
          <w:sz w:val="24"/>
          <w:highlight w:val="none"/>
          <w:u w:val="single"/>
        </w:rPr>
      </w:pPr>
      <w:r>
        <w:rPr>
          <w:rFonts w:hint="eastAsia" w:hAnsi="宋体"/>
          <w:bCs/>
          <w:color w:val="auto"/>
          <w:sz w:val="24"/>
          <w:highlight w:val="none"/>
        </w:rPr>
        <w:t>地址：</w:t>
      </w:r>
      <w:r>
        <w:rPr>
          <w:rFonts w:hint="eastAsia" w:hAnsi="宋体"/>
          <w:bCs/>
          <w:color w:val="auto"/>
          <w:sz w:val="24"/>
          <w:highlight w:val="none"/>
          <w:u w:val="single"/>
        </w:rPr>
        <w:t xml:space="preserve">                                                            </w:t>
      </w:r>
    </w:p>
    <w:p w14:paraId="1F5B6CE4">
      <w:pPr>
        <w:pStyle w:val="12"/>
        <w:snapToGrid w:val="0"/>
        <w:spacing w:line="360" w:lineRule="auto"/>
        <w:ind w:left="0" w:leftChars="0" w:firstLine="480" w:firstLineChars="200"/>
        <w:rPr>
          <w:rFonts w:hAnsi="宋体"/>
          <w:bCs/>
          <w:color w:val="auto"/>
          <w:sz w:val="24"/>
          <w:highlight w:val="none"/>
        </w:rPr>
      </w:pPr>
      <w:r>
        <w:rPr>
          <w:rFonts w:hint="eastAsia" w:hAnsi="宋体"/>
          <w:bCs/>
          <w:color w:val="auto"/>
          <w:sz w:val="24"/>
          <w:highlight w:val="none"/>
        </w:rPr>
        <w:t>邮编：</w:t>
      </w:r>
      <w:r>
        <w:rPr>
          <w:rFonts w:hint="eastAsia" w:hAnsi="宋体"/>
          <w:bCs/>
          <w:color w:val="auto"/>
          <w:sz w:val="24"/>
          <w:highlight w:val="none"/>
          <w:u w:val="single"/>
        </w:rPr>
        <w:t xml:space="preserve">         </w:t>
      </w:r>
      <w:r>
        <w:rPr>
          <w:rFonts w:hint="eastAsia" w:hAnsi="宋体"/>
          <w:bCs/>
          <w:color w:val="auto"/>
          <w:sz w:val="24"/>
          <w:highlight w:val="none"/>
        </w:rPr>
        <w:t xml:space="preserve">   </w:t>
      </w:r>
    </w:p>
    <w:p w14:paraId="3A05BFDE">
      <w:pPr>
        <w:pStyle w:val="12"/>
        <w:snapToGrid w:val="0"/>
        <w:spacing w:line="360" w:lineRule="auto"/>
        <w:ind w:left="0" w:leftChars="0" w:firstLine="480" w:firstLineChars="200"/>
        <w:rPr>
          <w:rFonts w:hAnsi="宋体"/>
          <w:bCs/>
          <w:color w:val="auto"/>
          <w:sz w:val="24"/>
          <w:highlight w:val="none"/>
        </w:rPr>
      </w:pPr>
      <w:r>
        <w:rPr>
          <w:rFonts w:hint="eastAsia" w:hAnsi="宋体"/>
          <w:bCs/>
          <w:color w:val="auto"/>
          <w:sz w:val="24"/>
          <w:highlight w:val="none"/>
        </w:rPr>
        <w:t>被投诉人1：</w:t>
      </w:r>
    </w:p>
    <w:p w14:paraId="75087580">
      <w:pPr>
        <w:pStyle w:val="12"/>
        <w:snapToGrid w:val="0"/>
        <w:spacing w:line="360" w:lineRule="auto"/>
        <w:ind w:left="0" w:leftChars="0" w:firstLine="480" w:firstLineChars="200"/>
        <w:rPr>
          <w:rFonts w:hAnsi="宋体"/>
          <w:bCs/>
          <w:color w:val="auto"/>
          <w:sz w:val="24"/>
          <w:highlight w:val="none"/>
          <w:u w:val="single"/>
        </w:rPr>
      </w:pPr>
      <w:r>
        <w:rPr>
          <w:rFonts w:hint="eastAsia" w:hAnsi="宋体"/>
          <w:bCs/>
          <w:color w:val="auto"/>
          <w:sz w:val="24"/>
          <w:highlight w:val="none"/>
        </w:rPr>
        <w:t>地址：</w:t>
      </w:r>
      <w:r>
        <w:rPr>
          <w:rFonts w:hint="eastAsia" w:hAnsi="宋体"/>
          <w:bCs/>
          <w:color w:val="auto"/>
          <w:sz w:val="24"/>
          <w:highlight w:val="none"/>
          <w:u w:val="single"/>
        </w:rPr>
        <w:t xml:space="preserve">                                                            </w:t>
      </w:r>
    </w:p>
    <w:p w14:paraId="6D37ED70">
      <w:pPr>
        <w:pStyle w:val="12"/>
        <w:snapToGrid w:val="0"/>
        <w:spacing w:line="360" w:lineRule="auto"/>
        <w:ind w:left="0" w:leftChars="0" w:firstLine="480" w:firstLineChars="200"/>
        <w:rPr>
          <w:rFonts w:hAnsi="宋体"/>
          <w:bCs/>
          <w:color w:val="auto"/>
          <w:sz w:val="24"/>
          <w:highlight w:val="none"/>
        </w:rPr>
      </w:pPr>
      <w:r>
        <w:rPr>
          <w:rFonts w:hint="eastAsia" w:hAnsi="宋体"/>
          <w:bCs/>
          <w:color w:val="auto"/>
          <w:sz w:val="24"/>
          <w:highlight w:val="none"/>
        </w:rPr>
        <w:t>邮编：</w:t>
      </w:r>
      <w:r>
        <w:rPr>
          <w:rFonts w:hint="eastAsia" w:hAnsi="宋体"/>
          <w:bCs/>
          <w:color w:val="auto"/>
          <w:sz w:val="24"/>
          <w:highlight w:val="none"/>
          <w:u w:val="single"/>
        </w:rPr>
        <w:t xml:space="preserve">         </w:t>
      </w:r>
      <w:r>
        <w:rPr>
          <w:rFonts w:hint="eastAsia" w:hAnsi="宋体"/>
          <w:bCs/>
          <w:color w:val="auto"/>
          <w:sz w:val="24"/>
          <w:highlight w:val="none"/>
        </w:rPr>
        <w:t xml:space="preserve">  </w:t>
      </w:r>
    </w:p>
    <w:p w14:paraId="1F79DCE6">
      <w:pPr>
        <w:pStyle w:val="12"/>
        <w:snapToGrid w:val="0"/>
        <w:spacing w:line="360" w:lineRule="auto"/>
        <w:ind w:left="0" w:leftChars="0" w:firstLine="480" w:firstLineChars="200"/>
        <w:rPr>
          <w:rFonts w:hAnsi="宋体"/>
          <w:bCs/>
          <w:color w:val="auto"/>
          <w:sz w:val="24"/>
          <w:highlight w:val="none"/>
          <w:u w:val="single"/>
        </w:rPr>
      </w:pPr>
      <w:r>
        <w:rPr>
          <w:rFonts w:hint="eastAsia" w:hAnsi="宋体"/>
          <w:bCs/>
          <w:color w:val="auto"/>
          <w:sz w:val="24"/>
          <w:highlight w:val="none"/>
        </w:rPr>
        <w:t>联系人：</w:t>
      </w:r>
      <w:r>
        <w:rPr>
          <w:rFonts w:hint="eastAsia" w:hAnsi="宋体"/>
          <w:bCs/>
          <w:color w:val="auto"/>
          <w:sz w:val="24"/>
          <w:highlight w:val="none"/>
          <w:u w:val="single"/>
        </w:rPr>
        <w:t xml:space="preserve">                                                </w:t>
      </w:r>
      <w:r>
        <w:rPr>
          <w:rFonts w:hint="eastAsia" w:hAnsi="宋体"/>
          <w:bCs/>
          <w:color w:val="auto"/>
          <w:sz w:val="24"/>
          <w:highlight w:val="none"/>
        </w:rPr>
        <w:t>联系电话：</w:t>
      </w:r>
      <w:r>
        <w:rPr>
          <w:rFonts w:hint="eastAsia" w:hAnsi="宋体"/>
          <w:bCs/>
          <w:color w:val="auto"/>
          <w:sz w:val="24"/>
          <w:highlight w:val="none"/>
          <w:u w:val="single"/>
        </w:rPr>
        <w:t xml:space="preserve">                </w:t>
      </w:r>
    </w:p>
    <w:p w14:paraId="5E94E13A">
      <w:pPr>
        <w:pStyle w:val="12"/>
        <w:snapToGrid w:val="0"/>
        <w:spacing w:line="360" w:lineRule="auto"/>
        <w:ind w:left="0" w:leftChars="0" w:firstLine="480" w:firstLineChars="200"/>
        <w:rPr>
          <w:rFonts w:hAnsi="宋体"/>
          <w:bCs/>
          <w:color w:val="auto"/>
          <w:sz w:val="24"/>
          <w:highlight w:val="none"/>
        </w:rPr>
      </w:pPr>
      <w:r>
        <w:rPr>
          <w:rFonts w:hint="eastAsia" w:hAnsi="宋体"/>
          <w:bCs/>
          <w:color w:val="auto"/>
          <w:sz w:val="24"/>
          <w:highlight w:val="none"/>
        </w:rPr>
        <w:t>被投诉人2：</w:t>
      </w:r>
    </w:p>
    <w:p w14:paraId="41831669">
      <w:pPr>
        <w:pStyle w:val="12"/>
        <w:snapToGrid w:val="0"/>
        <w:spacing w:line="360" w:lineRule="auto"/>
        <w:ind w:left="0" w:leftChars="0" w:firstLine="480" w:firstLineChars="200"/>
        <w:rPr>
          <w:rFonts w:hAnsi="宋体"/>
          <w:bCs/>
          <w:color w:val="auto"/>
          <w:sz w:val="24"/>
          <w:highlight w:val="none"/>
        </w:rPr>
      </w:pPr>
      <w:r>
        <w:rPr>
          <w:rFonts w:hint="eastAsia" w:hAnsi="宋体"/>
          <w:bCs/>
          <w:color w:val="auto"/>
          <w:sz w:val="24"/>
          <w:highlight w:val="none"/>
        </w:rPr>
        <w:t>……</w:t>
      </w:r>
    </w:p>
    <w:p w14:paraId="04A4FE83">
      <w:pPr>
        <w:pStyle w:val="12"/>
        <w:snapToGrid w:val="0"/>
        <w:spacing w:line="360" w:lineRule="auto"/>
        <w:ind w:left="0" w:leftChars="0" w:firstLine="480" w:firstLineChars="200"/>
        <w:rPr>
          <w:rFonts w:hAnsi="宋体"/>
          <w:bCs/>
          <w:color w:val="auto"/>
          <w:sz w:val="24"/>
          <w:highlight w:val="none"/>
          <w:u w:val="single"/>
        </w:rPr>
      </w:pPr>
      <w:r>
        <w:rPr>
          <w:rFonts w:hint="eastAsia" w:hAnsi="宋体"/>
          <w:bCs/>
          <w:color w:val="auto"/>
          <w:sz w:val="24"/>
          <w:highlight w:val="none"/>
        </w:rPr>
        <w:t>相关供应商：</w:t>
      </w:r>
      <w:r>
        <w:rPr>
          <w:rFonts w:hint="eastAsia" w:hAnsi="宋体"/>
          <w:bCs/>
          <w:color w:val="auto"/>
          <w:sz w:val="24"/>
          <w:highlight w:val="none"/>
          <w:u w:val="single"/>
        </w:rPr>
        <w:t xml:space="preserve">                                                                       </w:t>
      </w:r>
    </w:p>
    <w:p w14:paraId="32BDC60B">
      <w:pPr>
        <w:pStyle w:val="12"/>
        <w:snapToGrid w:val="0"/>
        <w:spacing w:line="360" w:lineRule="auto"/>
        <w:ind w:left="0" w:leftChars="0" w:firstLine="480" w:firstLineChars="200"/>
        <w:rPr>
          <w:rFonts w:hAnsi="宋体"/>
          <w:bCs/>
          <w:color w:val="auto"/>
          <w:sz w:val="24"/>
          <w:highlight w:val="none"/>
          <w:u w:val="single"/>
        </w:rPr>
      </w:pPr>
      <w:r>
        <w:rPr>
          <w:rFonts w:hint="eastAsia" w:hAnsi="宋体"/>
          <w:bCs/>
          <w:color w:val="auto"/>
          <w:sz w:val="24"/>
          <w:highlight w:val="none"/>
        </w:rPr>
        <w:t>地址：</w:t>
      </w:r>
      <w:r>
        <w:rPr>
          <w:rFonts w:hint="eastAsia" w:hAnsi="宋体"/>
          <w:bCs/>
          <w:color w:val="auto"/>
          <w:sz w:val="24"/>
          <w:highlight w:val="none"/>
          <w:u w:val="single"/>
        </w:rPr>
        <w:t xml:space="preserve">                                              </w:t>
      </w:r>
      <w:r>
        <w:rPr>
          <w:rFonts w:hint="eastAsia" w:hAnsi="宋体"/>
          <w:bCs/>
          <w:color w:val="auto"/>
          <w:sz w:val="24"/>
          <w:highlight w:val="none"/>
        </w:rPr>
        <w:t>邮编：</w:t>
      </w:r>
      <w:r>
        <w:rPr>
          <w:rFonts w:hint="eastAsia" w:hAnsi="宋体"/>
          <w:bCs/>
          <w:color w:val="auto"/>
          <w:sz w:val="24"/>
          <w:highlight w:val="none"/>
          <w:u w:val="single"/>
        </w:rPr>
        <w:t xml:space="preserve">                         </w:t>
      </w:r>
    </w:p>
    <w:p w14:paraId="34D0B103">
      <w:pPr>
        <w:pStyle w:val="12"/>
        <w:snapToGrid w:val="0"/>
        <w:spacing w:line="360" w:lineRule="auto"/>
        <w:ind w:left="0" w:leftChars="0" w:firstLine="480" w:firstLineChars="200"/>
        <w:rPr>
          <w:rFonts w:hAnsi="宋体"/>
          <w:bCs/>
          <w:color w:val="auto"/>
          <w:sz w:val="24"/>
          <w:highlight w:val="none"/>
        </w:rPr>
      </w:pPr>
      <w:r>
        <w:rPr>
          <w:rFonts w:hint="eastAsia" w:hAnsi="宋体"/>
          <w:bCs/>
          <w:color w:val="auto"/>
          <w:sz w:val="24"/>
          <w:highlight w:val="none"/>
        </w:rPr>
        <w:t>联系人：</w:t>
      </w:r>
      <w:r>
        <w:rPr>
          <w:rFonts w:hint="eastAsia" w:hAnsi="宋体"/>
          <w:bCs/>
          <w:color w:val="auto"/>
          <w:sz w:val="24"/>
          <w:highlight w:val="none"/>
          <w:u w:val="single"/>
        </w:rPr>
        <w:t xml:space="preserve">                                            </w:t>
      </w:r>
      <w:r>
        <w:rPr>
          <w:rFonts w:hint="eastAsia" w:hAnsi="宋体"/>
          <w:bCs/>
          <w:color w:val="auto"/>
          <w:sz w:val="24"/>
          <w:highlight w:val="none"/>
        </w:rPr>
        <w:t>联系电话：</w:t>
      </w:r>
      <w:r>
        <w:rPr>
          <w:rFonts w:hint="eastAsia" w:hAnsi="宋体"/>
          <w:bCs/>
          <w:color w:val="auto"/>
          <w:sz w:val="24"/>
          <w:highlight w:val="none"/>
          <w:u w:val="single"/>
        </w:rPr>
        <w:t xml:space="preserve">                     </w:t>
      </w:r>
      <w:r>
        <w:rPr>
          <w:rFonts w:hint="eastAsia" w:hAnsi="宋体"/>
          <w:bCs/>
          <w:color w:val="auto"/>
          <w:sz w:val="24"/>
          <w:highlight w:val="none"/>
        </w:rPr>
        <w:t xml:space="preserve">                </w:t>
      </w:r>
    </w:p>
    <w:p w14:paraId="1E66C2F0">
      <w:pPr>
        <w:pStyle w:val="12"/>
        <w:snapToGrid w:val="0"/>
        <w:spacing w:line="360" w:lineRule="auto"/>
        <w:ind w:left="0" w:leftChars="0" w:firstLine="482" w:firstLineChars="200"/>
        <w:rPr>
          <w:rFonts w:hAnsi="宋体"/>
          <w:b/>
          <w:bCs/>
          <w:color w:val="auto"/>
          <w:sz w:val="24"/>
          <w:highlight w:val="none"/>
        </w:rPr>
      </w:pPr>
      <w:r>
        <w:rPr>
          <w:rFonts w:hint="eastAsia" w:hAnsi="宋体"/>
          <w:b/>
          <w:bCs/>
          <w:color w:val="auto"/>
          <w:sz w:val="24"/>
          <w:highlight w:val="none"/>
        </w:rPr>
        <w:t>二、投诉项目基本情况：</w:t>
      </w:r>
    </w:p>
    <w:p w14:paraId="3757E63C">
      <w:pPr>
        <w:pStyle w:val="12"/>
        <w:spacing w:line="360" w:lineRule="auto"/>
        <w:ind w:left="25" w:leftChars="12" w:firstLine="472" w:firstLineChars="197"/>
        <w:rPr>
          <w:rFonts w:hAnsi="宋体"/>
          <w:color w:val="auto"/>
          <w:sz w:val="24"/>
          <w:highlight w:val="none"/>
        </w:rPr>
      </w:pPr>
      <w:r>
        <w:rPr>
          <w:rFonts w:hint="eastAsia" w:hAnsi="宋体"/>
          <w:bCs/>
          <w:color w:val="auto"/>
          <w:sz w:val="24"/>
          <w:highlight w:val="none"/>
        </w:rPr>
        <w:t>采购</w:t>
      </w:r>
      <w:r>
        <w:rPr>
          <w:rFonts w:hint="eastAsia" w:hAnsi="宋体"/>
          <w:color w:val="auto"/>
          <w:sz w:val="24"/>
          <w:highlight w:val="none"/>
        </w:rPr>
        <w:t>项目的名称：</w:t>
      </w:r>
      <w:r>
        <w:rPr>
          <w:rFonts w:hint="eastAsia" w:hAnsi="宋体"/>
          <w:bCs/>
          <w:color w:val="auto"/>
          <w:sz w:val="24"/>
          <w:highlight w:val="none"/>
          <w:u w:val="single"/>
        </w:rPr>
        <w:t xml:space="preserve">  </w:t>
      </w:r>
      <w:r>
        <w:rPr>
          <w:rFonts w:hint="eastAsia" w:hAnsi="宋体"/>
          <w:bCs/>
          <w:color w:val="auto"/>
          <w:sz w:val="24"/>
          <w:highlight w:val="none"/>
          <w:u w:val="single"/>
          <w:lang w:eastAsia="zh-CN"/>
        </w:rPr>
        <w:t>南宁市青年人才驿站</w:t>
      </w:r>
      <w:r>
        <w:rPr>
          <w:rFonts w:hint="eastAsia" w:hAnsi="宋体"/>
          <w:bCs/>
          <w:color w:val="auto"/>
          <w:sz w:val="24"/>
          <w:highlight w:val="none"/>
          <w:u w:val="single"/>
        </w:rPr>
        <w:t xml:space="preserve">    </w:t>
      </w:r>
    </w:p>
    <w:p w14:paraId="6B6F9126">
      <w:pPr>
        <w:pStyle w:val="12"/>
        <w:spacing w:line="360" w:lineRule="auto"/>
        <w:ind w:left="25" w:leftChars="12" w:firstLine="472" w:firstLineChars="197"/>
        <w:rPr>
          <w:rFonts w:hAnsi="宋体"/>
          <w:color w:val="auto"/>
          <w:sz w:val="24"/>
          <w:highlight w:val="none"/>
        </w:rPr>
      </w:pPr>
      <w:r>
        <w:rPr>
          <w:rFonts w:hint="eastAsia" w:hAnsi="宋体"/>
          <w:bCs/>
          <w:color w:val="auto"/>
          <w:sz w:val="24"/>
          <w:highlight w:val="none"/>
        </w:rPr>
        <w:t>采购</w:t>
      </w:r>
      <w:r>
        <w:rPr>
          <w:rFonts w:hint="eastAsia" w:hAnsi="宋体"/>
          <w:color w:val="auto"/>
          <w:sz w:val="24"/>
          <w:highlight w:val="none"/>
        </w:rPr>
        <w:t>项目的编号：</w:t>
      </w:r>
      <w:r>
        <w:rPr>
          <w:rFonts w:hint="eastAsia" w:hAnsi="宋体"/>
          <w:bCs/>
          <w:color w:val="auto"/>
          <w:sz w:val="24"/>
          <w:highlight w:val="none"/>
          <w:u w:val="single"/>
        </w:rPr>
        <w:t xml:space="preserve">                      </w:t>
      </w:r>
    </w:p>
    <w:p w14:paraId="76DCD7EB">
      <w:pPr>
        <w:pStyle w:val="12"/>
        <w:spacing w:line="360" w:lineRule="auto"/>
        <w:ind w:left="25" w:leftChars="12" w:firstLine="472" w:firstLineChars="197"/>
        <w:rPr>
          <w:rFonts w:hAnsi="宋体"/>
          <w:bCs/>
          <w:color w:val="auto"/>
          <w:sz w:val="24"/>
          <w:highlight w:val="none"/>
          <w:u w:val="single"/>
        </w:rPr>
      </w:pPr>
      <w:r>
        <w:rPr>
          <w:rFonts w:hint="eastAsia" w:hAnsi="宋体"/>
          <w:color w:val="auto"/>
          <w:sz w:val="24"/>
          <w:highlight w:val="none"/>
        </w:rPr>
        <w:t>采购人名称：</w:t>
      </w:r>
      <w:r>
        <w:rPr>
          <w:rFonts w:hint="eastAsia" w:hAnsi="宋体"/>
          <w:bCs/>
          <w:color w:val="auto"/>
          <w:sz w:val="24"/>
          <w:highlight w:val="none"/>
          <w:u w:val="single"/>
        </w:rPr>
        <w:t xml:space="preserve"> </w:t>
      </w:r>
      <w:r>
        <w:rPr>
          <w:rFonts w:hint="eastAsia" w:hAnsi="宋体"/>
          <w:bCs/>
          <w:color w:val="auto"/>
          <w:sz w:val="24"/>
          <w:highlight w:val="none"/>
          <w:u w:val="single"/>
          <w:lang w:eastAsia="zh-CN"/>
        </w:rPr>
        <w:t>南宁市财政局</w:t>
      </w:r>
      <w:r>
        <w:rPr>
          <w:rFonts w:hint="eastAsia" w:hAnsi="宋体"/>
          <w:bCs/>
          <w:color w:val="auto"/>
          <w:sz w:val="24"/>
          <w:highlight w:val="none"/>
          <w:u w:val="single"/>
        </w:rPr>
        <w:t xml:space="preserve">                </w:t>
      </w:r>
    </w:p>
    <w:p w14:paraId="680D0115">
      <w:pPr>
        <w:pStyle w:val="12"/>
        <w:spacing w:line="360" w:lineRule="auto"/>
        <w:ind w:left="25" w:leftChars="12" w:firstLine="472" w:firstLineChars="197"/>
        <w:rPr>
          <w:rFonts w:hAnsi="宋体"/>
          <w:bCs/>
          <w:color w:val="auto"/>
          <w:sz w:val="24"/>
          <w:highlight w:val="none"/>
          <w:u w:val="single"/>
        </w:rPr>
      </w:pPr>
      <w:r>
        <w:rPr>
          <w:rFonts w:hint="eastAsia" w:hAnsi="宋体"/>
          <w:color w:val="auto"/>
          <w:sz w:val="24"/>
          <w:highlight w:val="none"/>
        </w:rPr>
        <w:t>代理机构名称：</w:t>
      </w:r>
      <w:r>
        <w:rPr>
          <w:rFonts w:hint="eastAsia" w:hAnsi="宋体"/>
          <w:bCs/>
          <w:color w:val="auto"/>
          <w:sz w:val="24"/>
          <w:highlight w:val="none"/>
          <w:u w:val="single"/>
        </w:rPr>
        <w:t xml:space="preserve"> 广西机电设备招标有限公司                </w:t>
      </w:r>
    </w:p>
    <w:p w14:paraId="594CE810">
      <w:pPr>
        <w:pStyle w:val="12"/>
        <w:spacing w:line="360" w:lineRule="auto"/>
        <w:ind w:left="25" w:leftChars="12" w:firstLine="472" w:firstLineChars="197"/>
        <w:rPr>
          <w:rFonts w:hAnsi="宋体"/>
          <w:bCs/>
          <w:color w:val="auto"/>
          <w:sz w:val="24"/>
          <w:highlight w:val="none"/>
          <w:u w:val="single"/>
        </w:rPr>
      </w:pPr>
      <w:r>
        <w:rPr>
          <w:rFonts w:hint="eastAsia" w:hAnsi="宋体"/>
          <w:bCs/>
          <w:color w:val="auto"/>
          <w:sz w:val="24"/>
          <w:highlight w:val="none"/>
        </w:rPr>
        <w:t>采购文件公告：</w:t>
      </w:r>
      <w:r>
        <w:rPr>
          <w:rFonts w:hint="eastAsia" w:hAnsi="宋体"/>
          <w:bCs/>
          <w:color w:val="auto"/>
          <w:sz w:val="24"/>
          <w:highlight w:val="none"/>
          <w:u w:val="single"/>
        </w:rPr>
        <w:t>是/否</w:t>
      </w:r>
      <w:r>
        <w:rPr>
          <w:rFonts w:hint="eastAsia" w:hAnsi="宋体"/>
          <w:bCs/>
          <w:color w:val="auto"/>
          <w:sz w:val="24"/>
          <w:highlight w:val="none"/>
        </w:rPr>
        <w:t>公告期限：</w:t>
      </w:r>
      <w:r>
        <w:rPr>
          <w:rFonts w:hint="eastAsia" w:hAnsi="宋体"/>
          <w:bCs/>
          <w:color w:val="auto"/>
          <w:sz w:val="24"/>
          <w:highlight w:val="none"/>
          <w:u w:val="single"/>
        </w:rPr>
        <w:t xml:space="preserve">                                                       </w:t>
      </w:r>
    </w:p>
    <w:p w14:paraId="466D8A86">
      <w:pPr>
        <w:pStyle w:val="12"/>
        <w:spacing w:line="360" w:lineRule="auto"/>
        <w:ind w:left="25" w:leftChars="12" w:firstLine="472" w:firstLineChars="197"/>
        <w:rPr>
          <w:rFonts w:hAnsi="宋体"/>
          <w:b/>
          <w:color w:val="auto"/>
          <w:sz w:val="24"/>
          <w:highlight w:val="none"/>
        </w:rPr>
      </w:pPr>
      <w:r>
        <w:rPr>
          <w:rFonts w:hint="eastAsia" w:hAnsi="宋体"/>
          <w:bCs/>
          <w:color w:val="auto"/>
          <w:sz w:val="24"/>
          <w:highlight w:val="none"/>
        </w:rPr>
        <w:t>采购结果公告：</w:t>
      </w:r>
      <w:r>
        <w:rPr>
          <w:rFonts w:hint="eastAsia" w:hAnsi="宋体"/>
          <w:bCs/>
          <w:color w:val="auto"/>
          <w:sz w:val="24"/>
          <w:highlight w:val="none"/>
          <w:u w:val="single"/>
        </w:rPr>
        <w:t>是/否</w:t>
      </w:r>
      <w:r>
        <w:rPr>
          <w:rFonts w:hint="eastAsia" w:hAnsi="宋体"/>
          <w:bCs/>
          <w:color w:val="auto"/>
          <w:sz w:val="24"/>
          <w:highlight w:val="none"/>
        </w:rPr>
        <w:t>公告期限：</w:t>
      </w:r>
      <w:r>
        <w:rPr>
          <w:rFonts w:hint="eastAsia" w:hAnsi="宋体"/>
          <w:bCs/>
          <w:color w:val="auto"/>
          <w:sz w:val="24"/>
          <w:highlight w:val="none"/>
          <w:u w:val="single"/>
        </w:rPr>
        <w:t xml:space="preserve">                                                       </w:t>
      </w:r>
    </w:p>
    <w:p w14:paraId="23E7AAC5">
      <w:pPr>
        <w:pStyle w:val="12"/>
        <w:spacing w:line="360" w:lineRule="auto"/>
        <w:ind w:left="25" w:leftChars="12" w:firstLine="472" w:firstLineChars="196"/>
        <w:rPr>
          <w:rFonts w:hAnsi="宋体"/>
          <w:b/>
          <w:color w:val="auto"/>
          <w:sz w:val="24"/>
          <w:highlight w:val="none"/>
        </w:rPr>
      </w:pPr>
      <w:r>
        <w:rPr>
          <w:rFonts w:hint="eastAsia" w:hAnsi="宋体"/>
          <w:b/>
          <w:color w:val="auto"/>
          <w:sz w:val="24"/>
          <w:highlight w:val="none"/>
        </w:rPr>
        <w:t>三、质疑基本情况</w:t>
      </w:r>
    </w:p>
    <w:p w14:paraId="216C682D">
      <w:pPr>
        <w:pStyle w:val="12"/>
        <w:spacing w:line="360" w:lineRule="auto"/>
        <w:ind w:left="0" w:leftChars="0" w:firstLine="480" w:firstLineChars="200"/>
        <w:rPr>
          <w:rFonts w:hAnsi="宋体"/>
          <w:color w:val="auto"/>
          <w:sz w:val="24"/>
          <w:highlight w:val="none"/>
        </w:rPr>
      </w:pPr>
      <w:r>
        <w:rPr>
          <w:rFonts w:hint="eastAsia" w:hAnsi="宋体"/>
          <w:color w:val="auto"/>
          <w:sz w:val="24"/>
          <w:highlight w:val="none"/>
        </w:rPr>
        <w:t>投诉人于</w:t>
      </w:r>
      <w:r>
        <w:rPr>
          <w:rFonts w:hint="eastAsia" w:hAnsi="宋体"/>
          <w:color w:val="auto"/>
          <w:sz w:val="24"/>
          <w:highlight w:val="none"/>
          <w:u w:val="single"/>
        </w:rPr>
        <w:t xml:space="preserve">      </w:t>
      </w:r>
      <w:r>
        <w:rPr>
          <w:rFonts w:hint="eastAsia" w:hAnsi="宋体"/>
          <w:color w:val="auto"/>
          <w:sz w:val="24"/>
          <w:highlight w:val="none"/>
        </w:rPr>
        <w:t>年</w:t>
      </w:r>
      <w:r>
        <w:rPr>
          <w:rFonts w:hint="eastAsia" w:hAnsi="宋体"/>
          <w:color w:val="auto"/>
          <w:sz w:val="24"/>
          <w:highlight w:val="none"/>
          <w:u w:val="single"/>
        </w:rPr>
        <w:t xml:space="preserve">   </w:t>
      </w:r>
      <w:r>
        <w:rPr>
          <w:rFonts w:hint="eastAsia" w:hAnsi="宋体"/>
          <w:color w:val="auto"/>
          <w:sz w:val="24"/>
          <w:highlight w:val="none"/>
        </w:rPr>
        <w:t>月</w:t>
      </w:r>
      <w:r>
        <w:rPr>
          <w:rFonts w:hint="eastAsia" w:hAnsi="宋体"/>
          <w:color w:val="auto"/>
          <w:sz w:val="24"/>
          <w:highlight w:val="none"/>
          <w:u w:val="single"/>
        </w:rPr>
        <w:t xml:space="preserve">   </w:t>
      </w:r>
      <w:r>
        <w:rPr>
          <w:rFonts w:hint="eastAsia" w:hAnsi="宋体"/>
          <w:color w:val="auto"/>
          <w:sz w:val="24"/>
          <w:highlight w:val="none"/>
        </w:rPr>
        <w:t>日，向</w:t>
      </w:r>
      <w:r>
        <w:rPr>
          <w:rFonts w:hint="eastAsia" w:hAnsi="宋体"/>
          <w:color w:val="auto"/>
          <w:sz w:val="24"/>
          <w:highlight w:val="none"/>
          <w:u w:val="single"/>
        </w:rPr>
        <w:t xml:space="preserve">                                </w:t>
      </w:r>
      <w:r>
        <w:rPr>
          <w:rFonts w:hint="eastAsia" w:hAnsi="宋体"/>
          <w:color w:val="auto"/>
          <w:sz w:val="24"/>
          <w:highlight w:val="none"/>
        </w:rPr>
        <w:t>提出质疑，质疑事项为：</w:t>
      </w:r>
    </w:p>
    <w:p w14:paraId="71D1BBB1">
      <w:pPr>
        <w:pStyle w:val="12"/>
        <w:spacing w:line="360" w:lineRule="auto"/>
        <w:ind w:left="0" w:leftChars="0" w:firstLine="241"/>
        <w:rPr>
          <w:rFonts w:hAnsi="宋体"/>
          <w:bCs/>
          <w:color w:val="auto"/>
          <w:sz w:val="24"/>
          <w:highlight w:val="none"/>
          <w:u w:val="single"/>
        </w:rPr>
      </w:pPr>
      <w:r>
        <w:rPr>
          <w:rFonts w:hint="eastAsia" w:hAnsi="宋体"/>
          <w:color w:val="auto"/>
          <w:sz w:val="24"/>
          <w:highlight w:val="none"/>
        </w:rPr>
        <w:t xml:space="preserve">    </w:t>
      </w:r>
      <w:r>
        <w:rPr>
          <w:rFonts w:hint="eastAsia" w:hAnsi="宋体"/>
          <w:bCs/>
          <w:color w:val="auto"/>
          <w:sz w:val="24"/>
          <w:highlight w:val="none"/>
          <w:u w:val="single"/>
        </w:rPr>
        <w:t xml:space="preserve">                                                                                      </w:t>
      </w:r>
    </w:p>
    <w:p w14:paraId="166357F1">
      <w:pPr>
        <w:pStyle w:val="12"/>
        <w:spacing w:line="360" w:lineRule="auto"/>
        <w:ind w:left="0" w:leftChars="0" w:firstLine="241"/>
        <w:rPr>
          <w:rFonts w:hAnsi="宋体"/>
          <w:bCs/>
          <w:color w:val="auto"/>
          <w:sz w:val="24"/>
          <w:highlight w:val="none"/>
          <w:u w:val="single"/>
        </w:rPr>
      </w:pPr>
      <w:r>
        <w:rPr>
          <w:rFonts w:hint="eastAsia" w:hAnsi="宋体"/>
          <w:bCs/>
          <w:color w:val="auto"/>
          <w:sz w:val="24"/>
          <w:highlight w:val="none"/>
        </w:rPr>
        <w:t xml:space="preserve">    </w:t>
      </w:r>
      <w:r>
        <w:rPr>
          <w:rFonts w:hint="eastAsia" w:hAnsi="宋体"/>
          <w:bCs/>
          <w:color w:val="auto"/>
          <w:sz w:val="24"/>
          <w:highlight w:val="none"/>
          <w:u w:val="single"/>
        </w:rPr>
        <w:t xml:space="preserve">                                                                                      </w:t>
      </w:r>
    </w:p>
    <w:p w14:paraId="10E04A09">
      <w:pPr>
        <w:pStyle w:val="12"/>
        <w:spacing w:line="360" w:lineRule="auto"/>
        <w:ind w:left="0" w:leftChars="0" w:firstLine="480" w:firstLineChars="200"/>
        <w:rPr>
          <w:rFonts w:hAnsi="宋体"/>
          <w:color w:val="auto"/>
          <w:sz w:val="24"/>
          <w:highlight w:val="none"/>
        </w:rPr>
      </w:pPr>
      <w:r>
        <w:rPr>
          <w:rFonts w:hint="eastAsia" w:hAnsi="宋体"/>
          <w:bCs/>
          <w:color w:val="auto"/>
          <w:sz w:val="24"/>
          <w:highlight w:val="none"/>
          <w:u w:val="single"/>
        </w:rPr>
        <w:t>采购人/代理机构</w:t>
      </w:r>
      <w:r>
        <w:rPr>
          <w:rFonts w:hint="eastAsia" w:hAnsi="宋体"/>
          <w:bCs/>
          <w:color w:val="auto"/>
          <w:sz w:val="24"/>
          <w:highlight w:val="none"/>
        </w:rPr>
        <w:t>于</w:t>
      </w:r>
      <w:r>
        <w:rPr>
          <w:rFonts w:hint="eastAsia" w:hAnsi="宋体"/>
          <w:color w:val="auto"/>
          <w:sz w:val="24"/>
          <w:highlight w:val="none"/>
          <w:u w:val="single"/>
        </w:rPr>
        <w:t xml:space="preserve">      </w:t>
      </w:r>
      <w:r>
        <w:rPr>
          <w:rFonts w:hint="eastAsia" w:hAnsi="宋体"/>
          <w:color w:val="auto"/>
          <w:sz w:val="24"/>
          <w:highlight w:val="none"/>
        </w:rPr>
        <w:t>年</w:t>
      </w:r>
      <w:r>
        <w:rPr>
          <w:rFonts w:hint="eastAsia" w:hAnsi="宋体"/>
          <w:color w:val="auto"/>
          <w:sz w:val="24"/>
          <w:highlight w:val="none"/>
          <w:u w:val="single"/>
        </w:rPr>
        <w:t xml:space="preserve">   </w:t>
      </w:r>
      <w:r>
        <w:rPr>
          <w:rFonts w:hint="eastAsia" w:hAnsi="宋体"/>
          <w:color w:val="auto"/>
          <w:sz w:val="24"/>
          <w:highlight w:val="none"/>
        </w:rPr>
        <w:t>月</w:t>
      </w:r>
      <w:r>
        <w:rPr>
          <w:rFonts w:hint="eastAsia" w:hAnsi="宋体"/>
          <w:color w:val="auto"/>
          <w:sz w:val="24"/>
          <w:highlight w:val="none"/>
          <w:u w:val="single"/>
        </w:rPr>
        <w:t xml:space="preserve">   </w:t>
      </w:r>
      <w:r>
        <w:rPr>
          <w:rFonts w:hint="eastAsia" w:hAnsi="宋体"/>
          <w:color w:val="auto"/>
          <w:sz w:val="24"/>
          <w:highlight w:val="none"/>
        </w:rPr>
        <w:t>日，</w:t>
      </w:r>
      <w:r>
        <w:rPr>
          <w:rFonts w:hint="eastAsia" w:hAnsi="宋体"/>
          <w:bCs/>
          <w:color w:val="auto"/>
          <w:sz w:val="24"/>
          <w:highlight w:val="none"/>
        </w:rPr>
        <w:t xml:space="preserve">就质疑事项作出了答复/没有在法定期限内作出答复。                                                                                             </w:t>
      </w:r>
    </w:p>
    <w:p w14:paraId="71E5AADA">
      <w:pPr>
        <w:pStyle w:val="12"/>
        <w:spacing w:line="360" w:lineRule="auto"/>
        <w:ind w:left="25" w:leftChars="12" w:firstLine="472" w:firstLineChars="196"/>
        <w:rPr>
          <w:rFonts w:hAnsi="宋体"/>
          <w:b/>
          <w:color w:val="auto"/>
          <w:sz w:val="24"/>
          <w:highlight w:val="none"/>
        </w:rPr>
      </w:pPr>
      <w:r>
        <w:rPr>
          <w:rFonts w:hint="eastAsia" w:hAnsi="宋体"/>
          <w:b/>
          <w:color w:val="auto"/>
          <w:sz w:val="24"/>
          <w:highlight w:val="none"/>
        </w:rPr>
        <w:t>四、投诉事项具体内容</w:t>
      </w:r>
    </w:p>
    <w:p w14:paraId="3E216664">
      <w:pPr>
        <w:pStyle w:val="12"/>
        <w:spacing w:line="360" w:lineRule="auto"/>
        <w:ind w:left="25" w:leftChars="12" w:firstLine="472" w:firstLineChars="197"/>
        <w:rPr>
          <w:rFonts w:hAnsi="宋体"/>
          <w:bCs/>
          <w:color w:val="auto"/>
          <w:sz w:val="24"/>
          <w:highlight w:val="none"/>
          <w:u w:val="single"/>
        </w:rPr>
      </w:pPr>
      <w:r>
        <w:rPr>
          <w:rFonts w:hint="eastAsia" w:hAnsi="宋体"/>
          <w:color w:val="auto"/>
          <w:sz w:val="24"/>
          <w:highlight w:val="none"/>
        </w:rPr>
        <w:t>投诉事项1：</w:t>
      </w:r>
      <w:r>
        <w:rPr>
          <w:rFonts w:hint="eastAsia" w:hAnsi="宋体"/>
          <w:bCs/>
          <w:color w:val="auto"/>
          <w:sz w:val="24"/>
          <w:highlight w:val="none"/>
          <w:u w:val="single"/>
        </w:rPr>
        <w:t xml:space="preserve">                                                                           </w:t>
      </w:r>
    </w:p>
    <w:p w14:paraId="085CF323">
      <w:pPr>
        <w:pStyle w:val="12"/>
        <w:spacing w:line="360" w:lineRule="auto"/>
        <w:ind w:left="0" w:leftChars="0" w:firstLine="480" w:firstLineChars="200"/>
        <w:rPr>
          <w:rFonts w:hAnsi="宋体"/>
          <w:bCs/>
          <w:color w:val="auto"/>
          <w:sz w:val="24"/>
          <w:highlight w:val="none"/>
          <w:u w:val="single"/>
        </w:rPr>
      </w:pPr>
      <w:r>
        <w:rPr>
          <w:rFonts w:hint="eastAsia" w:hAnsi="宋体"/>
          <w:bCs/>
          <w:color w:val="auto"/>
          <w:sz w:val="24"/>
          <w:highlight w:val="none"/>
        </w:rPr>
        <w:t>事实依据：</w:t>
      </w:r>
      <w:r>
        <w:rPr>
          <w:rFonts w:hint="eastAsia" w:hAnsi="宋体"/>
          <w:color w:val="auto"/>
          <w:sz w:val="24"/>
          <w:highlight w:val="none"/>
        </w:rPr>
        <w:t xml:space="preserve"> </w:t>
      </w:r>
      <w:r>
        <w:rPr>
          <w:rFonts w:hint="eastAsia" w:hAnsi="宋体"/>
          <w:bCs/>
          <w:color w:val="auto"/>
          <w:sz w:val="24"/>
          <w:highlight w:val="none"/>
          <w:u w:val="single"/>
        </w:rPr>
        <w:t xml:space="preserve">                                                                                      </w:t>
      </w:r>
    </w:p>
    <w:p w14:paraId="56968481">
      <w:pPr>
        <w:pStyle w:val="12"/>
        <w:spacing w:line="360" w:lineRule="auto"/>
        <w:ind w:left="0" w:leftChars="0" w:firstLine="472" w:firstLineChars="197"/>
        <w:rPr>
          <w:rFonts w:hAnsi="宋体"/>
          <w:color w:val="auto"/>
          <w:sz w:val="24"/>
          <w:highlight w:val="none"/>
        </w:rPr>
      </w:pPr>
      <w:r>
        <w:rPr>
          <w:rFonts w:hint="eastAsia" w:hAnsi="宋体"/>
          <w:bCs/>
          <w:color w:val="auto"/>
          <w:sz w:val="24"/>
          <w:highlight w:val="none"/>
          <w:u w:val="single"/>
        </w:rPr>
        <w:t xml:space="preserve">                                                                                        </w:t>
      </w:r>
    </w:p>
    <w:p w14:paraId="3DAF4602">
      <w:pPr>
        <w:pStyle w:val="12"/>
        <w:spacing w:line="360" w:lineRule="auto"/>
        <w:ind w:left="0" w:leftChars="0" w:firstLine="480" w:firstLineChars="200"/>
        <w:rPr>
          <w:rFonts w:hAnsi="宋体"/>
          <w:bCs/>
          <w:color w:val="auto"/>
          <w:sz w:val="24"/>
          <w:highlight w:val="none"/>
          <w:u w:val="single"/>
        </w:rPr>
      </w:pPr>
      <w:r>
        <w:rPr>
          <w:rFonts w:hint="eastAsia" w:hAnsi="宋体"/>
          <w:bCs/>
          <w:color w:val="auto"/>
          <w:sz w:val="24"/>
          <w:highlight w:val="none"/>
        </w:rPr>
        <w:t>法律依据：</w:t>
      </w:r>
      <w:r>
        <w:rPr>
          <w:rFonts w:hint="eastAsia" w:hAnsi="宋体"/>
          <w:color w:val="auto"/>
          <w:sz w:val="24"/>
          <w:highlight w:val="none"/>
        </w:rPr>
        <w:t xml:space="preserve"> </w:t>
      </w:r>
      <w:r>
        <w:rPr>
          <w:rFonts w:hint="eastAsia" w:hAnsi="宋体"/>
          <w:bCs/>
          <w:color w:val="auto"/>
          <w:sz w:val="24"/>
          <w:highlight w:val="none"/>
          <w:u w:val="single"/>
        </w:rPr>
        <w:t xml:space="preserve">                                                                                      </w:t>
      </w:r>
    </w:p>
    <w:p w14:paraId="680045E0">
      <w:pPr>
        <w:pStyle w:val="12"/>
        <w:spacing w:line="360" w:lineRule="auto"/>
        <w:ind w:left="0" w:leftChars="0" w:firstLine="352" w:firstLineChars="147"/>
        <w:rPr>
          <w:rFonts w:hAnsi="宋体"/>
          <w:bCs/>
          <w:color w:val="auto"/>
          <w:sz w:val="24"/>
          <w:highlight w:val="none"/>
          <w:u w:val="single"/>
        </w:rPr>
      </w:pPr>
      <w:r>
        <w:rPr>
          <w:rFonts w:hint="eastAsia" w:hAnsi="宋体"/>
          <w:bCs/>
          <w:color w:val="auto"/>
          <w:sz w:val="24"/>
          <w:highlight w:val="none"/>
        </w:rPr>
        <w:t xml:space="preserve"> </w:t>
      </w:r>
      <w:r>
        <w:rPr>
          <w:rFonts w:hint="eastAsia" w:hAnsi="宋体"/>
          <w:bCs/>
          <w:color w:val="auto"/>
          <w:sz w:val="24"/>
          <w:highlight w:val="none"/>
          <w:u w:val="single"/>
        </w:rPr>
        <w:t xml:space="preserve">                                                                                        </w:t>
      </w:r>
    </w:p>
    <w:p w14:paraId="740AE94F">
      <w:pPr>
        <w:pStyle w:val="12"/>
        <w:spacing w:line="360" w:lineRule="auto"/>
        <w:ind w:left="25" w:leftChars="12" w:firstLine="472" w:firstLineChars="197"/>
        <w:rPr>
          <w:rFonts w:hAnsi="宋体"/>
          <w:bCs/>
          <w:color w:val="auto"/>
          <w:sz w:val="24"/>
          <w:highlight w:val="none"/>
        </w:rPr>
      </w:pPr>
      <w:r>
        <w:rPr>
          <w:rFonts w:hint="eastAsia" w:hAnsi="宋体"/>
          <w:color w:val="auto"/>
          <w:sz w:val="24"/>
          <w:highlight w:val="none"/>
        </w:rPr>
        <w:t xml:space="preserve">投诉事项2  </w:t>
      </w:r>
      <w:r>
        <w:rPr>
          <w:rFonts w:hint="eastAsia" w:hAnsi="宋体"/>
          <w:bCs/>
          <w:color w:val="auto"/>
          <w:sz w:val="24"/>
          <w:highlight w:val="none"/>
        </w:rPr>
        <w:t xml:space="preserve">   </w:t>
      </w:r>
    </w:p>
    <w:p w14:paraId="1ECFC9D2">
      <w:pPr>
        <w:pStyle w:val="12"/>
        <w:spacing w:line="360" w:lineRule="auto"/>
        <w:ind w:left="25" w:leftChars="12" w:firstLine="472" w:firstLineChars="197"/>
        <w:rPr>
          <w:rFonts w:hAnsi="宋体"/>
          <w:bCs/>
          <w:color w:val="auto"/>
          <w:sz w:val="24"/>
          <w:highlight w:val="none"/>
        </w:rPr>
      </w:pPr>
      <w:r>
        <w:rPr>
          <w:rFonts w:hint="eastAsia" w:hAnsi="宋体"/>
          <w:bCs/>
          <w:color w:val="auto"/>
          <w:sz w:val="24"/>
          <w:highlight w:val="none"/>
        </w:rPr>
        <w:t>……</w:t>
      </w:r>
    </w:p>
    <w:p w14:paraId="1DCBE1BD">
      <w:pPr>
        <w:pStyle w:val="12"/>
        <w:spacing w:line="360" w:lineRule="auto"/>
        <w:ind w:left="25" w:leftChars="12" w:firstLine="472" w:firstLineChars="196"/>
        <w:rPr>
          <w:rFonts w:hAnsi="宋体"/>
          <w:b/>
          <w:color w:val="auto"/>
          <w:sz w:val="24"/>
          <w:highlight w:val="none"/>
        </w:rPr>
      </w:pPr>
      <w:r>
        <w:rPr>
          <w:rFonts w:hint="eastAsia" w:hAnsi="宋体"/>
          <w:b/>
          <w:color w:val="auto"/>
          <w:sz w:val="24"/>
          <w:highlight w:val="none"/>
        </w:rPr>
        <w:t>五、与投诉事项相关的投诉请求：</w:t>
      </w:r>
    </w:p>
    <w:p w14:paraId="70B53136">
      <w:pPr>
        <w:pStyle w:val="12"/>
        <w:spacing w:line="360" w:lineRule="auto"/>
        <w:ind w:left="25" w:leftChars="12" w:firstLine="472" w:firstLineChars="197"/>
        <w:rPr>
          <w:rFonts w:hAnsi="宋体"/>
          <w:color w:val="auto"/>
          <w:sz w:val="24"/>
          <w:highlight w:val="none"/>
        </w:rPr>
      </w:pPr>
      <w:r>
        <w:rPr>
          <w:rFonts w:hint="eastAsia" w:hAnsi="宋体"/>
          <w:color w:val="auto"/>
          <w:sz w:val="24"/>
          <w:highlight w:val="none"/>
        </w:rPr>
        <w:t>请求：</w:t>
      </w:r>
      <w:r>
        <w:rPr>
          <w:rFonts w:hint="eastAsia" w:hAnsi="宋体"/>
          <w:bCs/>
          <w:color w:val="auto"/>
          <w:sz w:val="24"/>
          <w:highlight w:val="none"/>
          <w:u w:val="single"/>
        </w:rPr>
        <w:t xml:space="preserve">                                                                                 </w:t>
      </w:r>
    </w:p>
    <w:p w14:paraId="179C68E7">
      <w:pPr>
        <w:pStyle w:val="12"/>
        <w:spacing w:line="360" w:lineRule="auto"/>
        <w:ind w:left="25" w:leftChars="12" w:firstLine="352" w:firstLineChars="147"/>
        <w:rPr>
          <w:rFonts w:hAnsi="宋体"/>
          <w:color w:val="auto"/>
          <w:sz w:val="24"/>
          <w:highlight w:val="none"/>
        </w:rPr>
      </w:pPr>
    </w:p>
    <w:p w14:paraId="2E764912">
      <w:pPr>
        <w:pStyle w:val="12"/>
        <w:spacing w:line="360" w:lineRule="auto"/>
        <w:ind w:left="25" w:leftChars="12" w:firstLine="472" w:firstLineChars="197"/>
        <w:rPr>
          <w:rFonts w:hAnsi="宋体"/>
          <w:color w:val="auto"/>
          <w:sz w:val="24"/>
          <w:highlight w:val="none"/>
        </w:rPr>
      </w:pPr>
      <w:r>
        <w:rPr>
          <w:rFonts w:hint="eastAsia" w:hAnsi="宋体"/>
          <w:color w:val="auto"/>
          <w:sz w:val="24"/>
          <w:highlight w:val="none"/>
        </w:rPr>
        <w:t>签字（签章）：                                       公章：</w:t>
      </w:r>
    </w:p>
    <w:p w14:paraId="18E577AC">
      <w:pPr>
        <w:pStyle w:val="12"/>
        <w:spacing w:line="360" w:lineRule="auto"/>
        <w:ind w:left="25" w:leftChars="12" w:firstLine="352" w:firstLineChars="147"/>
        <w:rPr>
          <w:rFonts w:hAnsi="宋体"/>
          <w:color w:val="auto"/>
          <w:sz w:val="24"/>
          <w:highlight w:val="none"/>
        </w:rPr>
      </w:pPr>
    </w:p>
    <w:p w14:paraId="359803ED">
      <w:pPr>
        <w:pStyle w:val="12"/>
        <w:spacing w:line="360" w:lineRule="auto"/>
        <w:ind w:left="25" w:leftChars="12" w:firstLine="472" w:firstLineChars="197"/>
        <w:rPr>
          <w:rFonts w:hAnsi="宋体"/>
          <w:color w:val="auto"/>
          <w:sz w:val="24"/>
          <w:highlight w:val="none"/>
        </w:rPr>
      </w:pPr>
      <w:r>
        <w:rPr>
          <w:rFonts w:hint="eastAsia" w:hAnsi="宋体"/>
          <w:color w:val="auto"/>
          <w:sz w:val="24"/>
          <w:highlight w:val="none"/>
        </w:rPr>
        <w:t>日期：</w:t>
      </w:r>
    </w:p>
    <w:p w14:paraId="3D1ED925">
      <w:pPr>
        <w:pStyle w:val="12"/>
        <w:spacing w:line="360" w:lineRule="auto"/>
        <w:ind w:left="25" w:leftChars="12" w:firstLine="472" w:firstLineChars="197"/>
        <w:rPr>
          <w:rFonts w:hAnsi="宋体"/>
          <w:b/>
          <w:color w:val="auto"/>
          <w:sz w:val="24"/>
          <w:highlight w:val="none"/>
        </w:rPr>
      </w:pPr>
      <w:r>
        <w:rPr>
          <w:rFonts w:hint="eastAsia" w:hAnsi="宋体"/>
          <w:bCs/>
          <w:color w:val="auto"/>
          <w:sz w:val="24"/>
          <w:highlight w:val="none"/>
        </w:rPr>
        <w:t xml:space="preserve">                                                                                 </w:t>
      </w:r>
    </w:p>
    <w:p w14:paraId="04B1AD8F">
      <w:pPr>
        <w:pStyle w:val="12"/>
        <w:snapToGrid w:val="0"/>
        <w:spacing w:line="360" w:lineRule="auto"/>
        <w:rPr>
          <w:rFonts w:hAnsi="宋体"/>
          <w:b/>
          <w:color w:val="auto"/>
          <w:sz w:val="24"/>
          <w:highlight w:val="none"/>
        </w:rPr>
      </w:pPr>
      <w:r>
        <w:rPr>
          <w:rFonts w:hint="eastAsia" w:hAnsi="宋体"/>
          <w:b/>
          <w:color w:val="auto"/>
          <w:sz w:val="24"/>
          <w:highlight w:val="none"/>
        </w:rPr>
        <w:t>说明：</w:t>
      </w:r>
    </w:p>
    <w:p w14:paraId="6F5E0BF5">
      <w:pPr>
        <w:pStyle w:val="12"/>
        <w:spacing w:line="360" w:lineRule="auto"/>
        <w:ind w:left="25" w:leftChars="12" w:firstLine="354" w:firstLineChars="147"/>
        <w:rPr>
          <w:rFonts w:hAnsi="宋体"/>
          <w:b/>
          <w:bCs/>
          <w:color w:val="auto"/>
          <w:sz w:val="24"/>
          <w:highlight w:val="none"/>
        </w:rPr>
      </w:pPr>
      <w:r>
        <w:rPr>
          <w:rFonts w:hint="eastAsia" w:hAnsi="宋体"/>
          <w:b/>
          <w:color w:val="auto"/>
          <w:sz w:val="24"/>
          <w:highlight w:val="none"/>
        </w:rPr>
        <w:t>1.投诉人提起投诉时，应当提交投诉书和必要的证明材料，并按照被投诉人和与投诉事项有关的供应商数量提供投诉书副本</w:t>
      </w:r>
      <w:r>
        <w:rPr>
          <w:rFonts w:hint="eastAsia" w:hAnsi="宋体"/>
          <w:b/>
          <w:bCs/>
          <w:color w:val="auto"/>
          <w:sz w:val="24"/>
          <w:highlight w:val="none"/>
        </w:rPr>
        <w:t>。</w:t>
      </w:r>
    </w:p>
    <w:p w14:paraId="5A86C63E">
      <w:pPr>
        <w:pStyle w:val="12"/>
        <w:spacing w:line="360" w:lineRule="auto"/>
        <w:ind w:left="25" w:leftChars="12" w:firstLine="354" w:firstLineChars="147"/>
        <w:rPr>
          <w:rFonts w:hAnsi="宋体"/>
          <w:b/>
          <w:color w:val="auto"/>
          <w:sz w:val="24"/>
          <w:highlight w:val="none"/>
        </w:rPr>
      </w:pPr>
      <w:r>
        <w:rPr>
          <w:rFonts w:hint="eastAsia" w:hAnsi="宋体"/>
          <w:b/>
          <w:color w:val="auto"/>
          <w:sz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4F1820F8">
      <w:pPr>
        <w:pStyle w:val="12"/>
        <w:spacing w:line="360" w:lineRule="auto"/>
        <w:ind w:left="25" w:leftChars="12" w:firstLine="354" w:firstLineChars="147"/>
        <w:rPr>
          <w:rFonts w:hAnsi="宋体"/>
          <w:b/>
          <w:color w:val="auto"/>
          <w:sz w:val="24"/>
          <w:highlight w:val="none"/>
        </w:rPr>
      </w:pPr>
      <w:r>
        <w:rPr>
          <w:rFonts w:hint="eastAsia" w:hAnsi="宋体"/>
          <w:b/>
          <w:color w:val="auto"/>
          <w:sz w:val="24"/>
          <w:highlight w:val="none"/>
        </w:rPr>
        <w:t>3.投诉书应简要列明质疑事项，质疑函、质疑答复等作为附件材料提供。</w:t>
      </w:r>
    </w:p>
    <w:p w14:paraId="6F21D2FA">
      <w:pPr>
        <w:pStyle w:val="12"/>
        <w:spacing w:line="360" w:lineRule="auto"/>
        <w:ind w:left="25" w:leftChars="12" w:firstLine="354" w:firstLineChars="147"/>
        <w:rPr>
          <w:rFonts w:hAnsi="宋体"/>
          <w:b/>
          <w:color w:val="auto"/>
          <w:sz w:val="24"/>
          <w:highlight w:val="none"/>
        </w:rPr>
      </w:pPr>
      <w:r>
        <w:rPr>
          <w:rFonts w:hint="eastAsia" w:hAnsi="宋体"/>
          <w:b/>
          <w:color w:val="auto"/>
          <w:sz w:val="24"/>
          <w:highlight w:val="none"/>
        </w:rPr>
        <w:t>4.投诉书的投诉事项应具体、明确，并有必要的事实依据和法律依据。</w:t>
      </w:r>
    </w:p>
    <w:p w14:paraId="626AD2F1">
      <w:pPr>
        <w:pStyle w:val="12"/>
        <w:spacing w:line="360" w:lineRule="auto"/>
        <w:ind w:left="25" w:leftChars="12" w:firstLine="354" w:firstLineChars="147"/>
        <w:rPr>
          <w:rFonts w:hAnsi="宋体"/>
          <w:b/>
          <w:color w:val="auto"/>
          <w:sz w:val="24"/>
          <w:highlight w:val="none"/>
        </w:rPr>
      </w:pPr>
      <w:r>
        <w:rPr>
          <w:rFonts w:hint="eastAsia" w:hAnsi="宋体"/>
          <w:b/>
          <w:color w:val="auto"/>
          <w:sz w:val="24"/>
          <w:highlight w:val="none"/>
        </w:rPr>
        <w:t>5.投诉书的投诉请求应与投诉事项相关。</w:t>
      </w:r>
    </w:p>
    <w:p w14:paraId="541334C2">
      <w:pPr>
        <w:pStyle w:val="12"/>
        <w:spacing w:line="360" w:lineRule="auto"/>
        <w:ind w:left="25" w:leftChars="12" w:firstLine="354" w:firstLineChars="147"/>
        <w:rPr>
          <w:rFonts w:hAnsi="宋体"/>
          <w:b/>
          <w:color w:val="auto"/>
          <w:highlight w:val="none"/>
        </w:rPr>
      </w:pPr>
      <w:r>
        <w:rPr>
          <w:rFonts w:hint="eastAsia" w:hAnsi="宋体"/>
          <w:b/>
          <w:color w:val="auto"/>
          <w:sz w:val="24"/>
          <w:highlight w:val="none"/>
        </w:rPr>
        <w:t>6.投诉人为法人或者其他组织的，投诉书应由法定代表人、主要负责人，或者其授权代表签字或者盖章，并加盖公章。</w:t>
      </w:r>
    </w:p>
    <w:p w14:paraId="2DFA0E7F">
      <w:pPr>
        <w:jc w:val="left"/>
        <w:rPr>
          <w:color w:val="auto"/>
          <w:highlight w:val="none"/>
        </w:rPr>
      </w:pPr>
    </w:p>
    <w:sectPr>
      <w:footerReference r:id="rId10" w:type="first"/>
      <w:footerReference r:id="rId9" w:type="default"/>
      <w:pgSz w:w="11911" w:h="16838"/>
      <w:pgMar w:top="1417" w:right="1417" w:bottom="1417" w:left="1417" w:header="720" w:footer="720" w:gutter="0"/>
      <w:cols w:space="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4F5B6767-107B-4C39-846B-9B4DCBCF05DF}"/>
  </w:font>
  <w:font w:name="黑体">
    <w:panose1 w:val="02010609060101010101"/>
    <w:charset w:val="86"/>
    <w:family w:val="auto"/>
    <w:pitch w:val="default"/>
    <w:sig w:usb0="800002BF" w:usb1="38CF7CFA" w:usb2="00000016" w:usb3="00000000" w:csb0="00040001" w:csb1="00000000"/>
    <w:embedRegular r:id="rId2" w:fontKey="{4F16203F-81FC-4D56-A3F4-5955AB14CFC5}"/>
  </w:font>
  <w:font w:name="Courier New">
    <w:panose1 w:val="02070309020205020404"/>
    <w:charset w:val="01"/>
    <w:family w:val="modern"/>
    <w:pitch w:val="default"/>
    <w:sig w:usb0="E0002EFF" w:usb1="C0007843" w:usb2="00000009" w:usb3="00000000" w:csb0="400001FF" w:csb1="FFFF0000"/>
    <w:embedRegular r:id="rId3" w:fontKey="{F2DC779F-0F38-4E2B-B3E2-336DDB6F3EC2}"/>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embedRegular r:id="rId4" w:fontKey="{F29E2DF8-1A89-4018-B3C7-D5C32E2AE634}"/>
  </w:font>
  <w:font w:name="方正小标宋简体">
    <w:panose1 w:val="03000509000000000000"/>
    <w:charset w:val="86"/>
    <w:family w:val="script"/>
    <w:pitch w:val="default"/>
    <w:sig w:usb0="00000001" w:usb1="080E0000" w:usb2="00000000" w:usb3="00000000" w:csb0="00040000" w:csb1="00000000"/>
    <w:embedRegular r:id="rId5" w:fontKey="{105611F4-121A-4B70-8D88-725AB95660B9}"/>
  </w:font>
  <w:font w:name="华文新魏">
    <w:panose1 w:val="02010800040101010101"/>
    <w:charset w:val="86"/>
    <w:family w:val="auto"/>
    <w:pitch w:val="default"/>
    <w:sig w:usb0="00000001" w:usb1="080F0000" w:usb2="00000000" w:usb3="00000000" w:csb0="00040000" w:csb1="00000000"/>
    <w:embedRegular r:id="rId6" w:fontKey="{81F46920-80DD-4170-A069-41A088BBA414}"/>
  </w:font>
  <w:font w:name="仿宋_GB2312">
    <w:panose1 w:val="02010609030101010101"/>
    <w:charset w:val="86"/>
    <w:family w:val="modern"/>
    <w:pitch w:val="default"/>
    <w:sig w:usb0="00000001" w:usb1="080E0000" w:usb2="00000000" w:usb3="00000000" w:csb0="00040000" w:csb1="00000000"/>
    <w:embedRegular r:id="rId7" w:fontKey="{3FCED075-FB0E-4F50-898B-0A40A79B811B}"/>
  </w:font>
  <w:font w:name="Arial Unicode MS">
    <w:panose1 w:val="020B0604020202020204"/>
    <w:charset w:val="86"/>
    <w:family w:val="swiss"/>
    <w:pitch w:val="default"/>
    <w:sig w:usb0="FFFFFFFF" w:usb1="E9FFFFFF" w:usb2="0000003F" w:usb3="00000000" w:csb0="603F01FF" w:csb1="FFFF0000"/>
    <w:embedRegular r:id="rId8" w:fontKey="{52117190-A5F4-48DD-9559-59A18299040B}"/>
  </w:font>
  <w:font w:name="微软雅黑">
    <w:panose1 w:val="020B0503020204020204"/>
    <w:charset w:val="86"/>
    <w:family w:val="swiss"/>
    <w:pitch w:val="default"/>
    <w:sig w:usb0="80000287" w:usb1="2ACF3C50" w:usb2="00000016" w:usb3="00000000" w:csb0="0004001F" w:csb1="00000000"/>
    <w:embedRegular r:id="rId9" w:fontKey="{E48D9283-6426-4982-8950-B8E2B8F139E1}"/>
  </w:font>
  <w:font w:name="仿宋">
    <w:panose1 w:val="02010609060101010101"/>
    <w:charset w:val="86"/>
    <w:family w:val="modern"/>
    <w:pitch w:val="default"/>
    <w:sig w:usb0="800002BF" w:usb1="38CF7CFA" w:usb2="00000016" w:usb3="00000000" w:csb0="00040001" w:csb1="00000000"/>
    <w:embedRegular r:id="rId10" w:fontKey="{A1FBC292-5CA3-4A53-8C07-779A3E684F37}"/>
  </w:font>
  <w:font w:name="Wingdings 2">
    <w:panose1 w:val="05020102010507070707"/>
    <w:charset w:val="02"/>
    <w:family w:val="roman"/>
    <w:pitch w:val="default"/>
    <w:sig w:usb0="00000000" w:usb1="00000000" w:usb2="00000000" w:usb3="00000000" w:csb0="80000000" w:csb1="00000000"/>
    <w:embedRegular r:id="rId11" w:fontKey="{92F6A5F9-BF42-4B26-AF2C-781E400F6600}"/>
  </w:font>
  <w:font w:name="Helvetica">
    <w:altName w:val="Arial"/>
    <w:panose1 w:val="020B0604020202020204"/>
    <w:charset w:val="00"/>
    <w:family w:val="auto"/>
    <w:pitch w:val="default"/>
    <w:sig w:usb0="00000000" w:usb1="00000000" w:usb2="00000000" w:usb3="00000000" w:csb0="00000000" w:csb1="00000000"/>
    <w:embedRegular r:id="rId12" w:fontKey="{5EF5228F-3891-4495-8081-1626002F1F3D}"/>
  </w:font>
  <w:font w:name="Tahoma">
    <w:panose1 w:val="020B0604030504040204"/>
    <w:charset w:val="00"/>
    <w:family w:val="auto"/>
    <w:pitch w:val="default"/>
    <w:sig w:usb0="E1002EFF" w:usb1="C000605B" w:usb2="00000029" w:usb3="00000000" w:csb0="200101FF" w:csb1="20280000"/>
    <w:embedRegular r:id="rId13" w:fontKey="{853E0036-716B-408D-81FF-AAB90940FE67}"/>
  </w:font>
  <w:font w:name="TimesNewRomanPSMT">
    <w:altName w:val="Times New Roman"/>
    <w:panose1 w:val="00000000000000000000"/>
    <w:charset w:val="80"/>
    <w:family w:val="auto"/>
    <w:pitch w:val="default"/>
    <w:sig w:usb0="00000000" w:usb1="00000000" w:usb2="00000000" w:usb3="00000000" w:csb0="00020000" w:csb1="00000000"/>
    <w:embedRegular r:id="rId14" w:fontKey="{F0C23BD0-E5CA-4112-A4C1-F0ABAB3B9283}"/>
  </w:font>
  <w:font w:name="楷体">
    <w:panose1 w:val="02010609060101010101"/>
    <w:charset w:val="86"/>
    <w:family w:val="modern"/>
    <w:pitch w:val="default"/>
    <w:sig w:usb0="800002BF" w:usb1="38CF7CFA" w:usb2="00000016" w:usb3="00000000" w:csb0="00040001" w:csb1="00000000"/>
    <w:embedRegular r:id="rId15" w:fontKey="{FAD08A94-D056-44BE-BB45-91F9908AB481}"/>
  </w:font>
  <w:font w:name="隶书">
    <w:panose1 w:val="02010509060101010101"/>
    <w:charset w:val="86"/>
    <w:family w:val="modern"/>
    <w:pitch w:val="default"/>
    <w:sig w:usb0="00000001" w:usb1="080E0000" w:usb2="00000000" w:usb3="00000000" w:csb0="00040000" w:csb1="00000000"/>
    <w:embedRegular r:id="rId16" w:fontKey="{1BCCC570-C353-4353-B395-DC90DB4EFA2F}"/>
  </w:font>
  <w:font w:name="WPSEMBED1">
    <w:panose1 w:val="03000509000000000000"/>
    <w:charset w:val="86"/>
    <w:family w:val="auto"/>
    <w:pitch w:val="default"/>
    <w:sig w:usb0="00000001" w:usb1="080E0000" w:usb2="00000000" w:usb3="00000000" w:csb0="00040000" w:csb1="00000000"/>
  </w:font>
  <w:font w:name="WPSEMBED2">
    <w:panose1 w:val="02010609030101010101"/>
    <w:charset w:val="86"/>
    <w:family w:val="auto"/>
    <w:pitch w:val="default"/>
    <w:sig w:usb0="00000001" w:usb1="080E0000" w:usb2="00000000" w:usb3="00000000" w:csb0="00040000" w:csb1="00000000"/>
  </w:font>
  <w:font w:name="WPSEMBED3">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6DD367">
    <w:pPr>
      <w:ind w:left="420" w:hanging="420"/>
      <w:jc w:val="center"/>
    </w:pPr>
    <w:r>
      <w:fldChar w:fldCharType="begin"/>
    </w:r>
    <w:r>
      <w:instrText xml:space="preserve">PAGE   \* MERGEFORMAT</w:instrText>
    </w:r>
    <w:r>
      <w:fldChar w:fldCharType="separate"/>
    </w:r>
    <w:r>
      <w:rPr>
        <w:lang w:val="zh-CN"/>
      </w:rPr>
      <w:t>2</w:t>
    </w:r>
    <w:r>
      <w:fldChar w:fldCharType="end"/>
    </w:r>
  </w:p>
  <w:p w14:paraId="07D9DEB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6AA491">
    <w:pPr>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62560" cy="25273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62560" cy="252730"/>
                      </a:xfrm>
                      <a:prstGeom prst="rect">
                        <a:avLst/>
                      </a:prstGeom>
                      <a:noFill/>
                      <a:ln>
                        <a:noFill/>
                      </a:ln>
                      <a:effectLst/>
                    </wps:spPr>
                    <wps:txbx>
                      <w:txbxContent>
                        <w:p w14:paraId="5D295B0F">
                          <w:r>
                            <w:fldChar w:fldCharType="begin"/>
                          </w:r>
                          <w:r>
                            <w:instrText xml:space="preserve"> PAGE  \* MERGEFORMAT </w:instrText>
                          </w:r>
                          <w:r>
                            <w:fldChar w:fldCharType="separate"/>
                          </w:r>
                          <w:r>
                            <w:t>7</w:t>
                          </w:r>
                          <w:r>
                            <w:fldChar w:fldCharType="end"/>
                          </w:r>
                        </w:p>
                      </w:txbxContent>
                    </wps:txbx>
                    <wps:bodyPr wrap="square" lIns="0" tIns="0" rIns="0" bIns="0"/>
                  </wps:wsp>
                </a:graphicData>
              </a:graphic>
            </wp:anchor>
          </w:drawing>
        </mc:Choice>
        <mc:Fallback>
          <w:pict>
            <v:shape id="_x0000_s1026" o:spid="_x0000_s1026" o:spt="202" type="#_x0000_t202" style="position:absolute;left:0pt;margin-top:0pt;height:19.9pt;width:12.8pt;mso-position-horizontal:center;mso-position-horizontal-relative:margin;z-index:251661312;mso-width-relative:page;mso-height-relative:page;" filled="f" stroked="f" coordsize="21600,21600" o:gfxdata="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JrslwdQAAAADAQAADwAAAAAAAAABACAAAAAiAAAAZHJzL2Rvd25yZXYueG1sUEsB&#10;AhQAFAAAAAgAh07iQM/FGIXAAQAAgQMAAA4AAAAAAAAAAQAgAAAAIwEAAGRycy9lMm9Eb2MueG1s&#10;UEsFBgAAAAAGAAYAWQEAAFUFAAAAAA==&#10;">
              <v:fill on="f" focussize="0,0"/>
              <v:stroke on="f"/>
              <v:imagedata o:title=""/>
              <o:lock v:ext="edit" aspectratio="f"/>
              <v:textbox inset="0mm,0mm,0mm,0mm">
                <w:txbxContent>
                  <w:p w14:paraId="5D295B0F">
                    <w:r>
                      <w:fldChar w:fldCharType="begin"/>
                    </w:r>
                    <w:r>
                      <w:instrText xml:space="preserve"> PAGE  \* MERGEFORMAT </w:instrText>
                    </w:r>
                    <w:r>
                      <w:fldChar w:fldCharType="separate"/>
                    </w:r>
                    <w:r>
                      <w:t>7</w:t>
                    </w:r>
                    <w:r>
                      <w:fldChar w:fldCharType="end"/>
                    </w:r>
                  </w:p>
                </w:txbxContent>
              </v:textbox>
            </v:shape>
          </w:pict>
        </mc:Fallback>
      </mc:AlternateContent>
    </w:r>
  </w:p>
  <w:p w14:paraId="1B55E14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41FBBC">
    <w:pPr>
      <w:jc w:val="center"/>
    </w:pPr>
    <w:r>
      <w:t>5</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B0139A">
    <w:pPr>
      <w:pStyle w:val="15"/>
      <w:jc w:val="center"/>
    </w:pPr>
    <w:r>
      <w:fldChar w:fldCharType="begin"/>
    </w:r>
    <w:r>
      <w:instrText xml:space="preserve">PAGE   \* MERGEFORMAT</w:instrText>
    </w:r>
    <w:r>
      <w:fldChar w:fldCharType="separate"/>
    </w:r>
    <w:r>
      <w:rPr>
        <w:lang w:val="zh-CN"/>
      </w:rPr>
      <w:t>19</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2917D1">
    <w:pPr>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EB8C8C9">
                          <w:pPr>
                            <w:jc w:val="center"/>
                          </w:pPr>
                          <w:r>
                            <w:fldChar w:fldCharType="begin"/>
                          </w:r>
                          <w:r>
                            <w:instrText xml:space="preserve"> PAGE  \* MERGEFORMAT </w:instrText>
                          </w:r>
                          <w:r>
                            <w:fldChar w:fldCharType="separate"/>
                          </w:r>
                          <w:r>
                            <w:t>92</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AbBWKtxgEAAJsDAAAOAAAAAAAAAAEAIAAAAB4BAABkcnMvZTJvRG9jLnht&#10;bFBLBQYAAAAABgAGAFkBAABWBQAAAAA=&#10;">
              <v:fill on="f" focussize="0,0"/>
              <v:stroke on="f"/>
              <v:imagedata o:title=""/>
              <o:lock v:ext="edit" aspectratio="f"/>
              <v:textbox inset="0mm,0mm,0mm,0mm" style="mso-fit-shape-to-text:t;">
                <w:txbxContent>
                  <w:p w14:paraId="4EB8C8C9">
                    <w:pPr>
                      <w:jc w:val="center"/>
                    </w:pPr>
                    <w:r>
                      <w:fldChar w:fldCharType="begin"/>
                    </w:r>
                    <w:r>
                      <w:instrText xml:space="preserve"> PAGE  \* MERGEFORMAT </w:instrText>
                    </w:r>
                    <w:r>
                      <w:fldChar w:fldCharType="separate"/>
                    </w:r>
                    <w:r>
                      <w:t>92</w:t>
                    </w:r>
                    <w:r>
                      <w:fldChar w:fldCharType="end"/>
                    </w:r>
                  </w:p>
                </w:txbxContent>
              </v:textbox>
            </v:shape>
          </w:pict>
        </mc:Fallback>
      </mc:AlternateContent>
    </w:r>
  </w:p>
  <w:p w14:paraId="1623D01E"/>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A29D47">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134DBF6">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CUJ8kWxgEAAJsDAAAOAAAAAAAAAAEAIAAAAB4BAABkcnMvZTJvRG9jLnht&#10;bFBLBQYAAAAABgAGAFkBAABWBQAAAAA=&#10;">
              <v:fill on="f" focussize="0,0"/>
              <v:stroke on="f"/>
              <v:imagedata o:title=""/>
              <o:lock v:ext="edit" aspectratio="f"/>
              <v:textbox inset="0mm,0mm,0mm,0mm" style="mso-fit-shape-to-text:t;">
                <w:txbxContent>
                  <w:p w14:paraId="3134DBF6">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B75A6B">
    <w:pPr>
      <w:jc w:val="center"/>
    </w:pPr>
    <w:r>
      <w:rPr>
        <w:rFonts w:hint="eastAsia"/>
      </w:rPr>
      <w:t>南宁市政府采购竞争性磋商采购文件（</w:t>
    </w:r>
    <w:r>
      <w:rPr>
        <w:rFonts w:hint="eastAsia"/>
        <w:highlight w:val="none"/>
      </w:rPr>
      <w:t>项目编号：NNZC2026-C3-990136-JDZB</w:t>
    </w:r>
    <w:r>
      <w:rPr>
        <w:rFonts w:hint="eastAsia"/>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C116FB">
    <w:pPr>
      <w:pBdr>
        <w:bottom w:val="none" w:color="auto" w:sz="0" w:space="1"/>
      </w:pBdr>
      <w:tabs>
        <w:tab w:val="center" w:pos="0"/>
        <w:tab w:val="left" w:pos="830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FF5C01"/>
    <w:multiLevelType w:val="singleLevel"/>
    <w:tmpl w:val="9EFF5C01"/>
    <w:lvl w:ilvl="0" w:tentative="0">
      <w:start w:val="5"/>
      <w:numFmt w:val="decimal"/>
      <w:suff w:val="nothing"/>
      <w:lvlText w:val="%1、"/>
      <w:lvlJc w:val="left"/>
    </w:lvl>
  </w:abstractNum>
  <w:abstractNum w:abstractNumId="1">
    <w:nsid w:val="34444808"/>
    <w:multiLevelType w:val="multilevel"/>
    <w:tmpl w:val="34444808"/>
    <w:lvl w:ilvl="0" w:tentative="0">
      <w:start w:val="1"/>
      <w:numFmt w:val="decimal"/>
      <w:lvlText w:val="%1、"/>
      <w:lvlJc w:val="left"/>
      <w:pPr>
        <w:ind w:left="660" w:hanging="360"/>
      </w:pPr>
      <w:rPr>
        <w:rFonts w:hint="default"/>
      </w:rPr>
    </w:lvl>
    <w:lvl w:ilvl="1" w:tentative="0">
      <w:start w:val="1"/>
      <w:numFmt w:val="lowerLetter"/>
      <w:lvlText w:val="%2)"/>
      <w:lvlJc w:val="left"/>
      <w:pPr>
        <w:ind w:left="1140" w:hanging="420"/>
      </w:pPr>
    </w:lvl>
    <w:lvl w:ilvl="2" w:tentative="0">
      <w:start w:val="1"/>
      <w:numFmt w:val="lowerRoman"/>
      <w:lvlText w:val="%3."/>
      <w:lvlJc w:val="right"/>
      <w:pPr>
        <w:ind w:left="1560" w:hanging="420"/>
      </w:pPr>
    </w:lvl>
    <w:lvl w:ilvl="3" w:tentative="0">
      <w:start w:val="1"/>
      <w:numFmt w:val="decimal"/>
      <w:lvlText w:val="%4."/>
      <w:lvlJc w:val="left"/>
      <w:pPr>
        <w:ind w:left="1980" w:hanging="420"/>
      </w:pPr>
    </w:lvl>
    <w:lvl w:ilvl="4" w:tentative="0">
      <w:start w:val="1"/>
      <w:numFmt w:val="lowerLetter"/>
      <w:lvlText w:val="%5)"/>
      <w:lvlJc w:val="left"/>
      <w:pPr>
        <w:ind w:left="2400" w:hanging="420"/>
      </w:pPr>
    </w:lvl>
    <w:lvl w:ilvl="5" w:tentative="0">
      <w:start w:val="1"/>
      <w:numFmt w:val="lowerRoman"/>
      <w:lvlText w:val="%6."/>
      <w:lvlJc w:val="right"/>
      <w:pPr>
        <w:ind w:left="2820" w:hanging="420"/>
      </w:pPr>
    </w:lvl>
    <w:lvl w:ilvl="6" w:tentative="0">
      <w:start w:val="1"/>
      <w:numFmt w:val="decimal"/>
      <w:lvlText w:val="%7."/>
      <w:lvlJc w:val="left"/>
      <w:pPr>
        <w:ind w:left="3240" w:hanging="420"/>
      </w:pPr>
    </w:lvl>
    <w:lvl w:ilvl="7" w:tentative="0">
      <w:start w:val="1"/>
      <w:numFmt w:val="lowerLetter"/>
      <w:lvlText w:val="%8)"/>
      <w:lvlJc w:val="left"/>
      <w:pPr>
        <w:ind w:left="3660" w:hanging="420"/>
      </w:pPr>
    </w:lvl>
    <w:lvl w:ilvl="8" w:tentative="0">
      <w:start w:val="1"/>
      <w:numFmt w:val="lowerRoman"/>
      <w:lvlText w:val="%9."/>
      <w:lvlJc w:val="right"/>
      <w:pPr>
        <w:ind w:left="4080" w:hanging="420"/>
      </w:pPr>
    </w:lvl>
  </w:abstractNum>
  <w:abstractNum w:abstractNumId="2">
    <w:nsid w:val="5FEFD14E"/>
    <w:multiLevelType w:val="singleLevel"/>
    <w:tmpl w:val="5FEFD14E"/>
    <w:lvl w:ilvl="0" w:tentative="0">
      <w:start w:val="1"/>
      <w:numFmt w:val="decimal"/>
      <w:pStyle w:val="6"/>
      <w:lvlText w:val="%1."/>
      <w:lvlJc w:val="left"/>
      <w:pPr>
        <w:tabs>
          <w:tab w:val="left" w:pos="360"/>
        </w:tabs>
        <w:ind w:left="360" w:hanging="360"/>
      </w:pPr>
    </w:lvl>
  </w:abstractNum>
  <w:num w:numId="1">
    <w:abstractNumId w:val="2"/>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210"/>
  <w:drawingGridVerticalSpacing w:val="-794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k3NjlhMzJkMWNhYTgzMzUxNGM1YmI0YmEwMDYzMmUifQ=="/>
  </w:docVars>
  <w:rsids>
    <w:rsidRoot w:val="00172A27"/>
    <w:rsid w:val="000013F3"/>
    <w:rsid w:val="00023EC5"/>
    <w:rsid w:val="00033365"/>
    <w:rsid w:val="00045366"/>
    <w:rsid w:val="000558BF"/>
    <w:rsid w:val="00057BAB"/>
    <w:rsid w:val="00061EC4"/>
    <w:rsid w:val="000733C4"/>
    <w:rsid w:val="0008513C"/>
    <w:rsid w:val="00085BAF"/>
    <w:rsid w:val="000B7C86"/>
    <w:rsid w:val="000C2997"/>
    <w:rsid w:val="000E132E"/>
    <w:rsid w:val="00100477"/>
    <w:rsid w:val="00100B44"/>
    <w:rsid w:val="00137CA4"/>
    <w:rsid w:val="001478AA"/>
    <w:rsid w:val="00151280"/>
    <w:rsid w:val="00172A27"/>
    <w:rsid w:val="00174D63"/>
    <w:rsid w:val="0018542B"/>
    <w:rsid w:val="00192C51"/>
    <w:rsid w:val="001A0D5B"/>
    <w:rsid w:val="001A3F74"/>
    <w:rsid w:val="001A6E0D"/>
    <w:rsid w:val="001B50A3"/>
    <w:rsid w:val="001B7E90"/>
    <w:rsid w:val="001D2BDB"/>
    <w:rsid w:val="001F13B2"/>
    <w:rsid w:val="001F719B"/>
    <w:rsid w:val="00207D79"/>
    <w:rsid w:val="00223CC3"/>
    <w:rsid w:val="00231514"/>
    <w:rsid w:val="00234B27"/>
    <w:rsid w:val="00245B8A"/>
    <w:rsid w:val="00286ADD"/>
    <w:rsid w:val="002900C2"/>
    <w:rsid w:val="00293D52"/>
    <w:rsid w:val="002A3E62"/>
    <w:rsid w:val="002A4B5B"/>
    <w:rsid w:val="002B4C51"/>
    <w:rsid w:val="002C7E19"/>
    <w:rsid w:val="002E4C44"/>
    <w:rsid w:val="00312918"/>
    <w:rsid w:val="00340293"/>
    <w:rsid w:val="003404DE"/>
    <w:rsid w:val="00342A27"/>
    <w:rsid w:val="0034427F"/>
    <w:rsid w:val="003579F1"/>
    <w:rsid w:val="00357B77"/>
    <w:rsid w:val="003701D2"/>
    <w:rsid w:val="003705F7"/>
    <w:rsid w:val="003C235C"/>
    <w:rsid w:val="003D2888"/>
    <w:rsid w:val="004118E2"/>
    <w:rsid w:val="00425FD4"/>
    <w:rsid w:val="0042698B"/>
    <w:rsid w:val="0043056F"/>
    <w:rsid w:val="00446423"/>
    <w:rsid w:val="004464BC"/>
    <w:rsid w:val="00446777"/>
    <w:rsid w:val="00455956"/>
    <w:rsid w:val="00456589"/>
    <w:rsid w:val="0046640A"/>
    <w:rsid w:val="00477D4C"/>
    <w:rsid w:val="004918FD"/>
    <w:rsid w:val="004B0292"/>
    <w:rsid w:val="004B3FB9"/>
    <w:rsid w:val="004C4D78"/>
    <w:rsid w:val="004D0058"/>
    <w:rsid w:val="004D34CA"/>
    <w:rsid w:val="004E2087"/>
    <w:rsid w:val="004E6DA5"/>
    <w:rsid w:val="00501A3E"/>
    <w:rsid w:val="00501AEC"/>
    <w:rsid w:val="00535261"/>
    <w:rsid w:val="0054117D"/>
    <w:rsid w:val="0055450C"/>
    <w:rsid w:val="00555A04"/>
    <w:rsid w:val="0055752D"/>
    <w:rsid w:val="005746E1"/>
    <w:rsid w:val="00580FA5"/>
    <w:rsid w:val="0059060D"/>
    <w:rsid w:val="00591AF9"/>
    <w:rsid w:val="005A4C13"/>
    <w:rsid w:val="005B1CFC"/>
    <w:rsid w:val="005B3FAF"/>
    <w:rsid w:val="005C4C95"/>
    <w:rsid w:val="005C66E7"/>
    <w:rsid w:val="005D002C"/>
    <w:rsid w:val="005F129C"/>
    <w:rsid w:val="005F4D7D"/>
    <w:rsid w:val="00607AAC"/>
    <w:rsid w:val="00631BE4"/>
    <w:rsid w:val="006520CA"/>
    <w:rsid w:val="00662948"/>
    <w:rsid w:val="00665AFE"/>
    <w:rsid w:val="006866A3"/>
    <w:rsid w:val="006A05F7"/>
    <w:rsid w:val="006C0A0A"/>
    <w:rsid w:val="006C6275"/>
    <w:rsid w:val="006D7199"/>
    <w:rsid w:val="006D7467"/>
    <w:rsid w:val="006F76D0"/>
    <w:rsid w:val="006F7E74"/>
    <w:rsid w:val="007003F2"/>
    <w:rsid w:val="007059C6"/>
    <w:rsid w:val="00713ACF"/>
    <w:rsid w:val="00735912"/>
    <w:rsid w:val="007370C9"/>
    <w:rsid w:val="007460B4"/>
    <w:rsid w:val="00746DA6"/>
    <w:rsid w:val="00753AA4"/>
    <w:rsid w:val="00754CE1"/>
    <w:rsid w:val="00764939"/>
    <w:rsid w:val="00767287"/>
    <w:rsid w:val="007760B6"/>
    <w:rsid w:val="00776B1F"/>
    <w:rsid w:val="007A7CC9"/>
    <w:rsid w:val="007B1AFF"/>
    <w:rsid w:val="007B735C"/>
    <w:rsid w:val="007D7259"/>
    <w:rsid w:val="007E6BB2"/>
    <w:rsid w:val="007F21FF"/>
    <w:rsid w:val="007F7CBA"/>
    <w:rsid w:val="0080754C"/>
    <w:rsid w:val="0081379C"/>
    <w:rsid w:val="00851A79"/>
    <w:rsid w:val="0088428C"/>
    <w:rsid w:val="00886ADB"/>
    <w:rsid w:val="00891F7D"/>
    <w:rsid w:val="00893E06"/>
    <w:rsid w:val="008A30E9"/>
    <w:rsid w:val="008A3DCB"/>
    <w:rsid w:val="008A6680"/>
    <w:rsid w:val="008B198C"/>
    <w:rsid w:val="008D02BA"/>
    <w:rsid w:val="008D554A"/>
    <w:rsid w:val="008D7DB8"/>
    <w:rsid w:val="008E6E1E"/>
    <w:rsid w:val="009021E6"/>
    <w:rsid w:val="00930E40"/>
    <w:rsid w:val="00933950"/>
    <w:rsid w:val="009415EF"/>
    <w:rsid w:val="00977F6E"/>
    <w:rsid w:val="009832B5"/>
    <w:rsid w:val="00991F76"/>
    <w:rsid w:val="009928F4"/>
    <w:rsid w:val="00993BF9"/>
    <w:rsid w:val="009B6DE2"/>
    <w:rsid w:val="009C23EA"/>
    <w:rsid w:val="009C729C"/>
    <w:rsid w:val="009D61F7"/>
    <w:rsid w:val="00A011CF"/>
    <w:rsid w:val="00A0209D"/>
    <w:rsid w:val="00A029BA"/>
    <w:rsid w:val="00A1219A"/>
    <w:rsid w:val="00A23F39"/>
    <w:rsid w:val="00A32030"/>
    <w:rsid w:val="00A33A90"/>
    <w:rsid w:val="00A40219"/>
    <w:rsid w:val="00A46B12"/>
    <w:rsid w:val="00A54830"/>
    <w:rsid w:val="00A5766C"/>
    <w:rsid w:val="00A613E8"/>
    <w:rsid w:val="00A63E3D"/>
    <w:rsid w:val="00A67658"/>
    <w:rsid w:val="00A76A15"/>
    <w:rsid w:val="00A859E2"/>
    <w:rsid w:val="00A96570"/>
    <w:rsid w:val="00AB7529"/>
    <w:rsid w:val="00AD1B09"/>
    <w:rsid w:val="00AF459B"/>
    <w:rsid w:val="00AF484A"/>
    <w:rsid w:val="00B065FD"/>
    <w:rsid w:val="00B3314A"/>
    <w:rsid w:val="00B3662F"/>
    <w:rsid w:val="00B615E9"/>
    <w:rsid w:val="00B7378E"/>
    <w:rsid w:val="00B92ED6"/>
    <w:rsid w:val="00BB6E48"/>
    <w:rsid w:val="00BD39D1"/>
    <w:rsid w:val="00BE417F"/>
    <w:rsid w:val="00BF1D4A"/>
    <w:rsid w:val="00BF51E6"/>
    <w:rsid w:val="00C02047"/>
    <w:rsid w:val="00C07829"/>
    <w:rsid w:val="00C12E43"/>
    <w:rsid w:val="00C218F1"/>
    <w:rsid w:val="00C37B02"/>
    <w:rsid w:val="00C436B0"/>
    <w:rsid w:val="00C44DFF"/>
    <w:rsid w:val="00C46967"/>
    <w:rsid w:val="00C47848"/>
    <w:rsid w:val="00C53F54"/>
    <w:rsid w:val="00C57CA3"/>
    <w:rsid w:val="00C97E4E"/>
    <w:rsid w:val="00CB1BF6"/>
    <w:rsid w:val="00CC7FE2"/>
    <w:rsid w:val="00CE4783"/>
    <w:rsid w:val="00CE4B6B"/>
    <w:rsid w:val="00D13A43"/>
    <w:rsid w:val="00D273A6"/>
    <w:rsid w:val="00D65530"/>
    <w:rsid w:val="00D66293"/>
    <w:rsid w:val="00DA2800"/>
    <w:rsid w:val="00DB4622"/>
    <w:rsid w:val="00DB5243"/>
    <w:rsid w:val="00DB5332"/>
    <w:rsid w:val="00DC5E12"/>
    <w:rsid w:val="00DD3197"/>
    <w:rsid w:val="00DD77DC"/>
    <w:rsid w:val="00DE3150"/>
    <w:rsid w:val="00DE4372"/>
    <w:rsid w:val="00DF0C2C"/>
    <w:rsid w:val="00DF2F15"/>
    <w:rsid w:val="00DF66DC"/>
    <w:rsid w:val="00DF67FE"/>
    <w:rsid w:val="00E13EDC"/>
    <w:rsid w:val="00E26CE5"/>
    <w:rsid w:val="00E2727E"/>
    <w:rsid w:val="00E302D7"/>
    <w:rsid w:val="00E32A83"/>
    <w:rsid w:val="00E32BD3"/>
    <w:rsid w:val="00E41399"/>
    <w:rsid w:val="00E474D6"/>
    <w:rsid w:val="00E54E5C"/>
    <w:rsid w:val="00E712B6"/>
    <w:rsid w:val="00E84FE7"/>
    <w:rsid w:val="00E925FF"/>
    <w:rsid w:val="00EA6B28"/>
    <w:rsid w:val="00EC47B5"/>
    <w:rsid w:val="00EC5BA4"/>
    <w:rsid w:val="00ED0CE8"/>
    <w:rsid w:val="00EF302A"/>
    <w:rsid w:val="00EF43FD"/>
    <w:rsid w:val="00EF49FC"/>
    <w:rsid w:val="00F01979"/>
    <w:rsid w:val="00F0284C"/>
    <w:rsid w:val="00F05E6A"/>
    <w:rsid w:val="00F1461E"/>
    <w:rsid w:val="00F17281"/>
    <w:rsid w:val="00F218EB"/>
    <w:rsid w:val="00F30DF5"/>
    <w:rsid w:val="00F4237B"/>
    <w:rsid w:val="00F43802"/>
    <w:rsid w:val="00F503BE"/>
    <w:rsid w:val="00F5385A"/>
    <w:rsid w:val="00F57B6B"/>
    <w:rsid w:val="00F71ADE"/>
    <w:rsid w:val="00F924CF"/>
    <w:rsid w:val="00F94BDB"/>
    <w:rsid w:val="00F97308"/>
    <w:rsid w:val="00FA3EDA"/>
    <w:rsid w:val="00FA4600"/>
    <w:rsid w:val="00FB318A"/>
    <w:rsid w:val="00FC353B"/>
    <w:rsid w:val="00FE361B"/>
    <w:rsid w:val="00FE4CE6"/>
    <w:rsid w:val="00FF1322"/>
    <w:rsid w:val="01011432"/>
    <w:rsid w:val="011B136F"/>
    <w:rsid w:val="01B32CCF"/>
    <w:rsid w:val="027619AC"/>
    <w:rsid w:val="033B3AE3"/>
    <w:rsid w:val="03541CED"/>
    <w:rsid w:val="03E26839"/>
    <w:rsid w:val="045D6A08"/>
    <w:rsid w:val="04AB4EF4"/>
    <w:rsid w:val="052469E0"/>
    <w:rsid w:val="052B473B"/>
    <w:rsid w:val="05B2719F"/>
    <w:rsid w:val="05D45196"/>
    <w:rsid w:val="06021ED4"/>
    <w:rsid w:val="0667704A"/>
    <w:rsid w:val="06C151EF"/>
    <w:rsid w:val="06DD024B"/>
    <w:rsid w:val="0722229E"/>
    <w:rsid w:val="073A1069"/>
    <w:rsid w:val="07B812A2"/>
    <w:rsid w:val="08550CAC"/>
    <w:rsid w:val="08844E22"/>
    <w:rsid w:val="093911AF"/>
    <w:rsid w:val="096F6658"/>
    <w:rsid w:val="0A3B013A"/>
    <w:rsid w:val="0A5B0E65"/>
    <w:rsid w:val="0B8D0492"/>
    <w:rsid w:val="0C8F3D96"/>
    <w:rsid w:val="0D907DC5"/>
    <w:rsid w:val="0D94614B"/>
    <w:rsid w:val="0DE46363"/>
    <w:rsid w:val="0DE63E89"/>
    <w:rsid w:val="0E9D6C3E"/>
    <w:rsid w:val="0EAB2494"/>
    <w:rsid w:val="0EDB7DA4"/>
    <w:rsid w:val="0F7C3BB6"/>
    <w:rsid w:val="0FCA20F3"/>
    <w:rsid w:val="0FDF4A15"/>
    <w:rsid w:val="10182F62"/>
    <w:rsid w:val="10240962"/>
    <w:rsid w:val="10FF55C5"/>
    <w:rsid w:val="119105B0"/>
    <w:rsid w:val="12A9063F"/>
    <w:rsid w:val="12CF75E2"/>
    <w:rsid w:val="12D05A3F"/>
    <w:rsid w:val="133B4B30"/>
    <w:rsid w:val="138A175B"/>
    <w:rsid w:val="13AE5449"/>
    <w:rsid w:val="13C24BB9"/>
    <w:rsid w:val="14AF76CB"/>
    <w:rsid w:val="14F71485"/>
    <w:rsid w:val="154C316C"/>
    <w:rsid w:val="15F01D49"/>
    <w:rsid w:val="16315EBE"/>
    <w:rsid w:val="1683496B"/>
    <w:rsid w:val="168531BA"/>
    <w:rsid w:val="16BF171B"/>
    <w:rsid w:val="170A0E30"/>
    <w:rsid w:val="170B577F"/>
    <w:rsid w:val="17AA718D"/>
    <w:rsid w:val="18386F0B"/>
    <w:rsid w:val="18487240"/>
    <w:rsid w:val="18B11086"/>
    <w:rsid w:val="191050B1"/>
    <w:rsid w:val="195A572B"/>
    <w:rsid w:val="19897560"/>
    <w:rsid w:val="1A0B0A99"/>
    <w:rsid w:val="1A4245C3"/>
    <w:rsid w:val="1A8C7B66"/>
    <w:rsid w:val="1AA611AA"/>
    <w:rsid w:val="1AB83AB1"/>
    <w:rsid w:val="1AD25EC1"/>
    <w:rsid w:val="1B617245"/>
    <w:rsid w:val="1B8F28D4"/>
    <w:rsid w:val="1BA809D0"/>
    <w:rsid w:val="1C9D064C"/>
    <w:rsid w:val="1CD203FA"/>
    <w:rsid w:val="1CFF6D16"/>
    <w:rsid w:val="1D605915"/>
    <w:rsid w:val="1D6E4252"/>
    <w:rsid w:val="1DE52BCD"/>
    <w:rsid w:val="1E06668E"/>
    <w:rsid w:val="1EA36596"/>
    <w:rsid w:val="1F25613C"/>
    <w:rsid w:val="1F2E5690"/>
    <w:rsid w:val="1F75385D"/>
    <w:rsid w:val="1FB65DB1"/>
    <w:rsid w:val="2086329A"/>
    <w:rsid w:val="209A2AA3"/>
    <w:rsid w:val="213A031C"/>
    <w:rsid w:val="2165781C"/>
    <w:rsid w:val="218E1D0D"/>
    <w:rsid w:val="21ED35E0"/>
    <w:rsid w:val="22121299"/>
    <w:rsid w:val="22617B2B"/>
    <w:rsid w:val="235F406A"/>
    <w:rsid w:val="23930175"/>
    <w:rsid w:val="23AD74CB"/>
    <w:rsid w:val="24343749"/>
    <w:rsid w:val="24696D85"/>
    <w:rsid w:val="24BF13C9"/>
    <w:rsid w:val="25270BB7"/>
    <w:rsid w:val="255D4AD5"/>
    <w:rsid w:val="25DA20CE"/>
    <w:rsid w:val="25E90563"/>
    <w:rsid w:val="2685028B"/>
    <w:rsid w:val="26A07341"/>
    <w:rsid w:val="26F23447"/>
    <w:rsid w:val="27700540"/>
    <w:rsid w:val="279F712B"/>
    <w:rsid w:val="27B1007D"/>
    <w:rsid w:val="27D843EB"/>
    <w:rsid w:val="284815D3"/>
    <w:rsid w:val="287D6D31"/>
    <w:rsid w:val="2A224043"/>
    <w:rsid w:val="2A273408"/>
    <w:rsid w:val="2A3726A8"/>
    <w:rsid w:val="2A3873C3"/>
    <w:rsid w:val="2A4F21CD"/>
    <w:rsid w:val="2A6131DB"/>
    <w:rsid w:val="2B8E388E"/>
    <w:rsid w:val="2BB8626C"/>
    <w:rsid w:val="2BD11BF5"/>
    <w:rsid w:val="2C0D02E8"/>
    <w:rsid w:val="2C511C85"/>
    <w:rsid w:val="2C596FCF"/>
    <w:rsid w:val="2CC442ED"/>
    <w:rsid w:val="2CDB4819"/>
    <w:rsid w:val="2CDE6947"/>
    <w:rsid w:val="2D1073FE"/>
    <w:rsid w:val="2D410C84"/>
    <w:rsid w:val="2D6706EB"/>
    <w:rsid w:val="2E914080"/>
    <w:rsid w:val="2EC15BD9"/>
    <w:rsid w:val="2F454A5C"/>
    <w:rsid w:val="303F594F"/>
    <w:rsid w:val="30426838"/>
    <w:rsid w:val="307C4499"/>
    <w:rsid w:val="30D82E34"/>
    <w:rsid w:val="31930FE5"/>
    <w:rsid w:val="31F32DEF"/>
    <w:rsid w:val="324A05DB"/>
    <w:rsid w:val="32A221C5"/>
    <w:rsid w:val="336E20A7"/>
    <w:rsid w:val="33B977C6"/>
    <w:rsid w:val="33C46A54"/>
    <w:rsid w:val="345E2C01"/>
    <w:rsid w:val="348D43F4"/>
    <w:rsid w:val="34BC6C38"/>
    <w:rsid w:val="351849C1"/>
    <w:rsid w:val="35284B93"/>
    <w:rsid w:val="35867F91"/>
    <w:rsid w:val="36FB3534"/>
    <w:rsid w:val="36FC4592"/>
    <w:rsid w:val="371B5132"/>
    <w:rsid w:val="373226F6"/>
    <w:rsid w:val="385250B2"/>
    <w:rsid w:val="38876070"/>
    <w:rsid w:val="38C663DB"/>
    <w:rsid w:val="394D1C50"/>
    <w:rsid w:val="395FB7A0"/>
    <w:rsid w:val="39C90037"/>
    <w:rsid w:val="39CB75EB"/>
    <w:rsid w:val="39E902C9"/>
    <w:rsid w:val="3A15327D"/>
    <w:rsid w:val="3A287739"/>
    <w:rsid w:val="3A6A6FCE"/>
    <w:rsid w:val="3AD273C0"/>
    <w:rsid w:val="3AD4138A"/>
    <w:rsid w:val="3B005EBC"/>
    <w:rsid w:val="3B1B178E"/>
    <w:rsid w:val="3BA21E0A"/>
    <w:rsid w:val="3BF9DEB1"/>
    <w:rsid w:val="3C0E6BAC"/>
    <w:rsid w:val="3C4E5A4E"/>
    <w:rsid w:val="3C9061A1"/>
    <w:rsid w:val="3CC66AB0"/>
    <w:rsid w:val="3D17730C"/>
    <w:rsid w:val="3D566086"/>
    <w:rsid w:val="3D742EA0"/>
    <w:rsid w:val="3E5E3444"/>
    <w:rsid w:val="3E9D0006"/>
    <w:rsid w:val="3F746C97"/>
    <w:rsid w:val="3FFBA370"/>
    <w:rsid w:val="3FFD3C92"/>
    <w:rsid w:val="4026313D"/>
    <w:rsid w:val="405014B2"/>
    <w:rsid w:val="40861A27"/>
    <w:rsid w:val="416F7716"/>
    <w:rsid w:val="417B0732"/>
    <w:rsid w:val="41C71300"/>
    <w:rsid w:val="420138FF"/>
    <w:rsid w:val="431C742A"/>
    <w:rsid w:val="43291B47"/>
    <w:rsid w:val="433848E7"/>
    <w:rsid w:val="435C3019"/>
    <w:rsid w:val="436239D7"/>
    <w:rsid w:val="43BE6D6C"/>
    <w:rsid w:val="43E02B4D"/>
    <w:rsid w:val="43F85E2D"/>
    <w:rsid w:val="4420119C"/>
    <w:rsid w:val="44421112"/>
    <w:rsid w:val="44644CBF"/>
    <w:rsid w:val="44721913"/>
    <w:rsid w:val="450D7972"/>
    <w:rsid w:val="45CF2E79"/>
    <w:rsid w:val="45D946A7"/>
    <w:rsid w:val="45DE30BD"/>
    <w:rsid w:val="45E87A97"/>
    <w:rsid w:val="45EB023C"/>
    <w:rsid w:val="460F55E7"/>
    <w:rsid w:val="46734F4B"/>
    <w:rsid w:val="46B0028F"/>
    <w:rsid w:val="46D6163F"/>
    <w:rsid w:val="46DB2892"/>
    <w:rsid w:val="46E464B1"/>
    <w:rsid w:val="47485D05"/>
    <w:rsid w:val="475E38FA"/>
    <w:rsid w:val="480A1F47"/>
    <w:rsid w:val="484E277B"/>
    <w:rsid w:val="48560A02"/>
    <w:rsid w:val="48BB6909"/>
    <w:rsid w:val="48F03833"/>
    <w:rsid w:val="495F570C"/>
    <w:rsid w:val="498714C9"/>
    <w:rsid w:val="49A17BDC"/>
    <w:rsid w:val="49C95B93"/>
    <w:rsid w:val="4A1E1D23"/>
    <w:rsid w:val="4A317C5F"/>
    <w:rsid w:val="4A4400FF"/>
    <w:rsid w:val="4A471230"/>
    <w:rsid w:val="4A71301D"/>
    <w:rsid w:val="4AC1592B"/>
    <w:rsid w:val="4AFB6E97"/>
    <w:rsid w:val="4B005D50"/>
    <w:rsid w:val="4B4C457A"/>
    <w:rsid w:val="4BFE9304"/>
    <w:rsid w:val="4C420BC6"/>
    <w:rsid w:val="4C6C31D0"/>
    <w:rsid w:val="4CCF0DFF"/>
    <w:rsid w:val="4CD34FFD"/>
    <w:rsid w:val="4CFA2DD6"/>
    <w:rsid w:val="4D0A4797"/>
    <w:rsid w:val="4D3006A2"/>
    <w:rsid w:val="4D396295"/>
    <w:rsid w:val="4D950505"/>
    <w:rsid w:val="4DAE21FE"/>
    <w:rsid w:val="4DCA32CE"/>
    <w:rsid w:val="4DF74D1B"/>
    <w:rsid w:val="4E231FB4"/>
    <w:rsid w:val="4E8E60BC"/>
    <w:rsid w:val="4F4A531F"/>
    <w:rsid w:val="4F7D4D0C"/>
    <w:rsid w:val="4FE03A2B"/>
    <w:rsid w:val="4FFA0AF3"/>
    <w:rsid w:val="5014397A"/>
    <w:rsid w:val="50412BC6"/>
    <w:rsid w:val="504601DC"/>
    <w:rsid w:val="50650662"/>
    <w:rsid w:val="50D17AA6"/>
    <w:rsid w:val="51093D65"/>
    <w:rsid w:val="512247A5"/>
    <w:rsid w:val="51590324"/>
    <w:rsid w:val="51847623"/>
    <w:rsid w:val="52350508"/>
    <w:rsid w:val="525E180D"/>
    <w:rsid w:val="52D41ACF"/>
    <w:rsid w:val="52ED0DE3"/>
    <w:rsid w:val="535844AE"/>
    <w:rsid w:val="53607807"/>
    <w:rsid w:val="539574B0"/>
    <w:rsid w:val="53A13AC4"/>
    <w:rsid w:val="5435040D"/>
    <w:rsid w:val="55967510"/>
    <w:rsid w:val="561F5757"/>
    <w:rsid w:val="56837A94"/>
    <w:rsid w:val="56862D8A"/>
    <w:rsid w:val="57544F8D"/>
    <w:rsid w:val="58814DED"/>
    <w:rsid w:val="597C07CB"/>
    <w:rsid w:val="59B61E11"/>
    <w:rsid w:val="5A2635DD"/>
    <w:rsid w:val="5A4A04A6"/>
    <w:rsid w:val="5A6E4455"/>
    <w:rsid w:val="5AAF4F47"/>
    <w:rsid w:val="5B2A7D4D"/>
    <w:rsid w:val="5B4C6079"/>
    <w:rsid w:val="5BC44DEE"/>
    <w:rsid w:val="5D6E7DCF"/>
    <w:rsid w:val="5DD6E773"/>
    <w:rsid w:val="5F074DCA"/>
    <w:rsid w:val="5F891239"/>
    <w:rsid w:val="5F8D0644"/>
    <w:rsid w:val="5FF15406"/>
    <w:rsid w:val="60CA3A1F"/>
    <w:rsid w:val="60F67ED8"/>
    <w:rsid w:val="6138591F"/>
    <w:rsid w:val="618D5292"/>
    <w:rsid w:val="61A831C2"/>
    <w:rsid w:val="61C6547B"/>
    <w:rsid w:val="61CD6067"/>
    <w:rsid w:val="61D05B58"/>
    <w:rsid w:val="621A6DD3"/>
    <w:rsid w:val="62B56103"/>
    <w:rsid w:val="62C06D48"/>
    <w:rsid w:val="62C258A1"/>
    <w:rsid w:val="63651B58"/>
    <w:rsid w:val="63E61662"/>
    <w:rsid w:val="64852C29"/>
    <w:rsid w:val="6558033E"/>
    <w:rsid w:val="65907AD8"/>
    <w:rsid w:val="65B73DEB"/>
    <w:rsid w:val="66061F0A"/>
    <w:rsid w:val="667CFF19"/>
    <w:rsid w:val="671A1F63"/>
    <w:rsid w:val="672D6937"/>
    <w:rsid w:val="67A96C2F"/>
    <w:rsid w:val="67D53EC8"/>
    <w:rsid w:val="6844086F"/>
    <w:rsid w:val="684479D5"/>
    <w:rsid w:val="68907628"/>
    <w:rsid w:val="68B02E3D"/>
    <w:rsid w:val="68B03FED"/>
    <w:rsid w:val="68E23FEB"/>
    <w:rsid w:val="68EE78E2"/>
    <w:rsid w:val="693B5FAC"/>
    <w:rsid w:val="69504A6C"/>
    <w:rsid w:val="69D56401"/>
    <w:rsid w:val="69F87330"/>
    <w:rsid w:val="6A374219"/>
    <w:rsid w:val="6AD42215"/>
    <w:rsid w:val="6B1165BA"/>
    <w:rsid w:val="6B720339"/>
    <w:rsid w:val="6B9F1BC2"/>
    <w:rsid w:val="6C025952"/>
    <w:rsid w:val="6C7B3C98"/>
    <w:rsid w:val="6C9C16BA"/>
    <w:rsid w:val="6CB5251A"/>
    <w:rsid w:val="6CC855C3"/>
    <w:rsid w:val="6D0B689D"/>
    <w:rsid w:val="6D545CDA"/>
    <w:rsid w:val="6D5D3635"/>
    <w:rsid w:val="6E0252EB"/>
    <w:rsid w:val="6E5378F4"/>
    <w:rsid w:val="6EFFE986"/>
    <w:rsid w:val="6F7B4055"/>
    <w:rsid w:val="6F8F7052"/>
    <w:rsid w:val="6FCC4B72"/>
    <w:rsid w:val="6FE02E1A"/>
    <w:rsid w:val="6FE25A5E"/>
    <w:rsid w:val="6FFEAF5C"/>
    <w:rsid w:val="70386F10"/>
    <w:rsid w:val="70757FF6"/>
    <w:rsid w:val="70AA2441"/>
    <w:rsid w:val="712D267F"/>
    <w:rsid w:val="713C6D66"/>
    <w:rsid w:val="714B55B6"/>
    <w:rsid w:val="71602316"/>
    <w:rsid w:val="716F0EE9"/>
    <w:rsid w:val="720D1F18"/>
    <w:rsid w:val="72320BE2"/>
    <w:rsid w:val="72787A47"/>
    <w:rsid w:val="729B7ABC"/>
    <w:rsid w:val="72A71FF2"/>
    <w:rsid w:val="72C76B03"/>
    <w:rsid w:val="72C80088"/>
    <w:rsid w:val="72FA2A34"/>
    <w:rsid w:val="73124222"/>
    <w:rsid w:val="732D7FEB"/>
    <w:rsid w:val="73830C7C"/>
    <w:rsid w:val="73B05D63"/>
    <w:rsid w:val="74BC04D7"/>
    <w:rsid w:val="74C53382"/>
    <w:rsid w:val="74DA5D89"/>
    <w:rsid w:val="74F42CE1"/>
    <w:rsid w:val="74F5E285"/>
    <w:rsid w:val="75D73501"/>
    <w:rsid w:val="76D65566"/>
    <w:rsid w:val="76E068BE"/>
    <w:rsid w:val="76E33C4B"/>
    <w:rsid w:val="76EF03D6"/>
    <w:rsid w:val="77291F9E"/>
    <w:rsid w:val="775C60B5"/>
    <w:rsid w:val="778450E0"/>
    <w:rsid w:val="77E048EF"/>
    <w:rsid w:val="78160310"/>
    <w:rsid w:val="78B83273"/>
    <w:rsid w:val="78C20243"/>
    <w:rsid w:val="790068CB"/>
    <w:rsid w:val="79DA082F"/>
    <w:rsid w:val="7A002CB9"/>
    <w:rsid w:val="7A6A66F1"/>
    <w:rsid w:val="7ADA0446"/>
    <w:rsid w:val="7B713AB0"/>
    <w:rsid w:val="7B7FA95A"/>
    <w:rsid w:val="7BBB6A6C"/>
    <w:rsid w:val="7BCC3238"/>
    <w:rsid w:val="7BE44282"/>
    <w:rsid w:val="7BE81FC4"/>
    <w:rsid w:val="7BF64591"/>
    <w:rsid w:val="7CA67789"/>
    <w:rsid w:val="7CCF1163"/>
    <w:rsid w:val="7CD82038"/>
    <w:rsid w:val="7D6242BE"/>
    <w:rsid w:val="7D77546D"/>
    <w:rsid w:val="7D893333"/>
    <w:rsid w:val="7E9A50CB"/>
    <w:rsid w:val="7ED20D09"/>
    <w:rsid w:val="7EDE76AE"/>
    <w:rsid w:val="7EF7088A"/>
    <w:rsid w:val="7F1640FB"/>
    <w:rsid w:val="7FB75652"/>
    <w:rsid w:val="7FBA3160"/>
    <w:rsid w:val="7FDC09C5"/>
    <w:rsid w:val="7FDE3C03"/>
    <w:rsid w:val="7FF500C7"/>
    <w:rsid w:val="8BE78F87"/>
    <w:rsid w:val="A27F9246"/>
    <w:rsid w:val="B3AEAE32"/>
    <w:rsid w:val="B9CF4092"/>
    <w:rsid w:val="BDF7DACF"/>
    <w:rsid w:val="BF2F035B"/>
    <w:rsid w:val="BFFFD307"/>
    <w:rsid w:val="C0FF410E"/>
    <w:rsid w:val="DCF744D8"/>
    <w:rsid w:val="EBFF1A38"/>
    <w:rsid w:val="EDFF1D06"/>
    <w:rsid w:val="FABED38C"/>
    <w:rsid w:val="FD6F1189"/>
    <w:rsid w:val="FEFDFA98"/>
    <w:rsid w:val="FF7A27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iPriority="0" w:semiHidden="0" w:name="List"/>
    <w:lsdException w:unhideWhenUsed="0" w:uiPriority="0" w:semiHidden="0" w:name="List Bullet"/>
    <w:lsdException w:qFormat="1" w:unhideWhenUsed="0" w:uiPriority="0"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next w:val="1"/>
    <w:qFormat/>
    <w:uiPriority w:val="0"/>
    <w:pPr>
      <w:keepNext/>
      <w:keepLines/>
      <w:widowControl w:val="0"/>
      <w:spacing w:before="340" w:after="330" w:line="578" w:lineRule="auto"/>
      <w:jc w:val="both"/>
      <w:outlineLvl w:val="0"/>
    </w:pPr>
    <w:rPr>
      <w:rFonts w:ascii="Times New Roman" w:hAnsi="Times New Roman" w:eastAsia="宋体" w:cs="Times New Roman"/>
      <w:b/>
      <w:bCs/>
      <w:kern w:val="44"/>
      <w:sz w:val="44"/>
      <w:szCs w:val="44"/>
      <w:lang w:val="en-US" w:eastAsia="zh-CN" w:bidi="ar-SA"/>
    </w:rPr>
  </w:style>
  <w:style w:type="paragraph" w:styleId="3">
    <w:name w:val="heading 2"/>
    <w:next w:val="1"/>
    <w:qFormat/>
    <w:uiPriority w:val="9"/>
    <w:pPr>
      <w:keepNext/>
      <w:keepLines/>
      <w:widowControl w:val="0"/>
      <w:spacing w:before="260" w:after="260" w:line="416" w:lineRule="auto"/>
      <w:jc w:val="both"/>
      <w:outlineLvl w:val="1"/>
    </w:pPr>
    <w:rPr>
      <w:rFonts w:ascii="Cambria" w:hAnsi="Cambria" w:eastAsia="宋体" w:cs="Times New Roman"/>
      <w:b/>
      <w:bCs/>
      <w:kern w:val="2"/>
      <w:sz w:val="32"/>
      <w:szCs w:val="32"/>
      <w:lang w:val="en-US" w:eastAsia="zh-CN" w:bidi="ar-SA"/>
    </w:rPr>
  </w:style>
  <w:style w:type="paragraph" w:styleId="4">
    <w:name w:val="heading 3"/>
    <w:next w:val="1"/>
    <w:qFormat/>
    <w:uiPriority w:val="0"/>
    <w:pPr>
      <w:keepNext/>
      <w:keepLines/>
      <w:widowControl w:val="0"/>
      <w:spacing w:before="260" w:after="260" w:line="416" w:lineRule="auto"/>
      <w:jc w:val="both"/>
      <w:outlineLvl w:val="2"/>
    </w:pPr>
    <w:rPr>
      <w:rFonts w:ascii="Times New Roman" w:hAnsi="Times New Roman" w:eastAsia="宋体" w:cs="Times New Roman"/>
      <w:b/>
      <w:bCs/>
      <w:kern w:val="2"/>
      <w:sz w:val="32"/>
      <w:szCs w:val="32"/>
      <w:lang w:val="en-US" w:eastAsia="zh-CN" w:bidi="ar-SA"/>
    </w:rPr>
  </w:style>
  <w:style w:type="paragraph" w:styleId="5">
    <w:name w:val="heading 4"/>
    <w:basedOn w:val="1"/>
    <w:next w:val="1"/>
    <w:qFormat/>
    <w:uiPriority w:val="0"/>
    <w:pPr>
      <w:tabs>
        <w:tab w:val="left" w:pos="2155"/>
      </w:tabs>
      <w:adjustRightInd w:val="0"/>
      <w:spacing w:before="120" w:beforeLines="0" w:line="360" w:lineRule="auto"/>
      <w:ind w:left="2155" w:hanging="1078"/>
      <w:textAlignment w:val="baseline"/>
      <w:outlineLvl w:val="3"/>
    </w:pPr>
    <w:rPr>
      <w:rFonts w:ascii="Arial" w:eastAsia="黑体"/>
      <w:kern w:val="0"/>
      <w:sz w:val="28"/>
      <w:szCs w:val="20"/>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6">
    <w:name w:val="List Number"/>
    <w:basedOn w:val="1"/>
    <w:qFormat/>
    <w:uiPriority w:val="0"/>
    <w:pPr>
      <w:numPr>
        <w:ilvl w:val="0"/>
        <w:numId w:val="1"/>
      </w:numPr>
    </w:pPr>
  </w:style>
  <w:style w:type="paragraph" w:styleId="7">
    <w:name w:val="Normal Indent"/>
    <w:basedOn w:val="1"/>
    <w:unhideWhenUsed/>
    <w:qFormat/>
    <w:uiPriority w:val="0"/>
    <w:pPr>
      <w:ind w:firstLine="420"/>
    </w:pPr>
  </w:style>
  <w:style w:type="paragraph" w:styleId="8">
    <w:name w:val="annotation text"/>
    <w:basedOn w:val="1"/>
    <w:link w:val="31"/>
    <w:qFormat/>
    <w:uiPriority w:val="0"/>
    <w:pPr>
      <w:jc w:val="left"/>
    </w:pPr>
  </w:style>
  <w:style w:type="paragraph" w:styleId="9">
    <w:name w:val="Body Text"/>
    <w:basedOn w:val="1"/>
    <w:next w:val="1"/>
    <w:link w:val="32"/>
    <w:qFormat/>
    <w:uiPriority w:val="99"/>
    <w:pPr>
      <w:widowControl w:val="0"/>
      <w:spacing w:after="120"/>
      <w:jc w:val="both"/>
    </w:pPr>
    <w:rPr>
      <w:rFonts w:ascii="Times New Roman" w:hAnsi="Times New Roman" w:eastAsia="宋体" w:cs="Times New Roman"/>
      <w:kern w:val="2"/>
      <w:sz w:val="21"/>
      <w:szCs w:val="24"/>
      <w:lang w:val="en-US" w:eastAsia="zh-CN" w:bidi="ar-SA"/>
    </w:rPr>
  </w:style>
  <w:style w:type="paragraph" w:styleId="10">
    <w:name w:val="Body Text Indent"/>
    <w:basedOn w:val="1"/>
    <w:link w:val="33"/>
    <w:qFormat/>
    <w:uiPriority w:val="0"/>
    <w:pPr>
      <w:spacing w:after="120"/>
      <w:ind w:left="420" w:leftChars="200"/>
    </w:pPr>
  </w:style>
  <w:style w:type="paragraph" w:styleId="11">
    <w:name w:val="List 2"/>
    <w:unhideWhenUsed/>
    <w:qFormat/>
    <w:uiPriority w:val="99"/>
    <w:pPr>
      <w:widowControl w:val="0"/>
      <w:ind w:left="100" w:leftChars="200" w:hanging="200" w:hangingChars="200"/>
      <w:contextualSpacing/>
      <w:jc w:val="both"/>
    </w:pPr>
    <w:rPr>
      <w:rFonts w:ascii="Times New Roman" w:hAnsi="Times New Roman" w:eastAsia="宋体" w:cs="Times New Roman"/>
      <w:kern w:val="2"/>
      <w:sz w:val="21"/>
      <w:szCs w:val="24"/>
      <w:lang w:val="en-US" w:eastAsia="zh-CN" w:bidi="ar-SA"/>
    </w:rPr>
  </w:style>
  <w:style w:type="paragraph" w:styleId="12">
    <w:name w:val="toc 3"/>
    <w:next w:val="1"/>
    <w:unhideWhenUsed/>
    <w:qFormat/>
    <w:uiPriority w:val="39"/>
    <w:pPr>
      <w:widowControl w:val="0"/>
      <w:ind w:left="840" w:leftChars="400"/>
      <w:jc w:val="both"/>
    </w:pPr>
    <w:rPr>
      <w:rFonts w:ascii="Times New Roman" w:hAnsi="Times New Roman" w:eastAsia="宋体" w:cs="Times New Roman"/>
      <w:kern w:val="2"/>
      <w:sz w:val="21"/>
      <w:szCs w:val="24"/>
      <w:lang w:val="en-US" w:eastAsia="zh-CN" w:bidi="ar-SA"/>
    </w:rPr>
  </w:style>
  <w:style w:type="paragraph" w:styleId="13">
    <w:name w:val="Plain Text"/>
    <w:basedOn w:val="1"/>
    <w:next w:val="5"/>
    <w:link w:val="34"/>
    <w:unhideWhenUsed/>
    <w:qFormat/>
    <w:uiPriority w:val="0"/>
    <w:rPr>
      <w:rFonts w:hint="eastAsia" w:ascii="宋体" w:hAnsi="Courier New" w:eastAsia="宋体" w:cs="Times New Roman"/>
      <w:sz w:val="24"/>
      <w:szCs w:val="24"/>
      <w:lang w:val="en-US" w:eastAsia="zh-CN" w:bidi="ar-SA"/>
    </w:rPr>
  </w:style>
  <w:style w:type="paragraph" w:styleId="14">
    <w:name w:val="Balloon Text"/>
    <w:basedOn w:val="1"/>
    <w:link w:val="35"/>
    <w:qFormat/>
    <w:uiPriority w:val="0"/>
    <w:rPr>
      <w:sz w:val="18"/>
      <w:szCs w:val="18"/>
    </w:rPr>
  </w:style>
  <w:style w:type="paragraph" w:styleId="15">
    <w:name w:val="footer"/>
    <w:basedOn w:val="1"/>
    <w:link w:val="36"/>
    <w:qFormat/>
    <w:uiPriority w:val="99"/>
    <w:pPr>
      <w:tabs>
        <w:tab w:val="center" w:pos="4153"/>
        <w:tab w:val="right" w:pos="8306"/>
      </w:tabs>
      <w:snapToGrid w:val="0"/>
      <w:jc w:val="left"/>
    </w:pPr>
    <w:rPr>
      <w:sz w:val="18"/>
    </w:rPr>
  </w:style>
  <w:style w:type="paragraph" w:styleId="16">
    <w:name w:val="header"/>
    <w:basedOn w:val="1"/>
    <w:link w:val="37"/>
    <w:qFormat/>
    <w:uiPriority w:val="0"/>
    <w:pPr>
      <w:pBdr>
        <w:bottom w:val="single" w:color="auto" w:sz="6" w:space="1"/>
      </w:pBdr>
      <w:tabs>
        <w:tab w:val="center" w:pos="4153"/>
        <w:tab w:val="right" w:pos="8306"/>
      </w:tabs>
      <w:snapToGrid w:val="0"/>
      <w:jc w:val="center"/>
    </w:pPr>
    <w:rPr>
      <w:sz w:val="18"/>
      <w:szCs w:val="18"/>
    </w:rPr>
  </w:style>
  <w:style w:type="paragraph" w:styleId="17">
    <w:name w:val="toc 1"/>
    <w:next w:val="1"/>
    <w:unhideWhenUsed/>
    <w:qFormat/>
    <w:uiPriority w:val="39"/>
    <w:pPr>
      <w:widowControl w:val="0"/>
      <w:jc w:val="both"/>
    </w:pPr>
    <w:rPr>
      <w:rFonts w:ascii="Times New Roman" w:hAnsi="Times New Roman" w:eastAsia="宋体" w:cs="Times New Roman"/>
      <w:kern w:val="2"/>
      <w:sz w:val="21"/>
      <w:szCs w:val="24"/>
      <w:lang w:val="en-US" w:eastAsia="zh-CN" w:bidi="ar-SA"/>
    </w:rPr>
  </w:style>
  <w:style w:type="paragraph" w:styleId="18">
    <w:name w:val="List"/>
    <w:unhideWhenUsed/>
    <w:qFormat/>
    <w:uiPriority w:val="0"/>
    <w:pPr>
      <w:widowControl w:val="0"/>
      <w:ind w:left="200" w:hanging="200" w:hangingChars="200"/>
      <w:contextualSpacing/>
      <w:jc w:val="both"/>
    </w:pPr>
    <w:rPr>
      <w:rFonts w:ascii="Times New Roman" w:hAnsi="Times New Roman" w:eastAsia="宋体" w:cs="Times New Roman"/>
      <w:kern w:val="2"/>
      <w:sz w:val="21"/>
      <w:szCs w:val="24"/>
      <w:lang w:val="en-US" w:eastAsia="zh-CN" w:bidi="ar-SA"/>
    </w:rPr>
  </w:style>
  <w:style w:type="paragraph" w:styleId="19">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rPr>
  </w:style>
  <w:style w:type="paragraph" w:styleId="20">
    <w:name w:val="Normal (Web)"/>
    <w:basedOn w:val="1"/>
    <w:qFormat/>
    <w:uiPriority w:val="0"/>
    <w:rPr>
      <w:sz w:val="24"/>
    </w:rPr>
  </w:style>
  <w:style w:type="paragraph" w:styleId="21">
    <w:name w:val="Title"/>
    <w:basedOn w:val="1"/>
    <w:next w:val="1"/>
    <w:qFormat/>
    <w:uiPriority w:val="0"/>
    <w:pPr>
      <w:spacing w:before="240" w:after="60"/>
      <w:jc w:val="center"/>
      <w:outlineLvl w:val="0"/>
    </w:pPr>
    <w:rPr>
      <w:rFonts w:ascii="Arial" w:hAnsi="Arial"/>
      <w:b/>
      <w:sz w:val="32"/>
      <w:szCs w:val="20"/>
    </w:rPr>
  </w:style>
  <w:style w:type="paragraph" w:styleId="22">
    <w:name w:val="annotation subject"/>
    <w:basedOn w:val="8"/>
    <w:next w:val="8"/>
    <w:link w:val="38"/>
    <w:qFormat/>
    <w:uiPriority w:val="0"/>
    <w:rPr>
      <w:b/>
      <w:bCs/>
    </w:rPr>
  </w:style>
  <w:style w:type="table" w:styleId="24">
    <w:name w:val="Table Grid"/>
    <w:basedOn w:val="23"/>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6">
    <w:name w:val="Strong"/>
    <w:basedOn w:val="25"/>
    <w:qFormat/>
    <w:uiPriority w:val="0"/>
    <w:rPr>
      <w:b/>
    </w:rPr>
  </w:style>
  <w:style w:type="character" w:styleId="27">
    <w:name w:val="FollowedHyperlink"/>
    <w:unhideWhenUsed/>
    <w:qFormat/>
    <w:uiPriority w:val="0"/>
    <w:rPr>
      <w:color w:val="800080"/>
      <w:u w:val="single"/>
    </w:rPr>
  </w:style>
  <w:style w:type="character" w:styleId="28">
    <w:name w:val="Hyperlink"/>
    <w:qFormat/>
    <w:uiPriority w:val="0"/>
    <w:rPr>
      <w:color w:val="0000FF"/>
      <w:u w:val="single"/>
    </w:rPr>
  </w:style>
  <w:style w:type="character" w:styleId="29">
    <w:name w:val="annotation reference"/>
    <w:qFormat/>
    <w:uiPriority w:val="0"/>
    <w:rPr>
      <w:sz w:val="21"/>
      <w:szCs w:val="21"/>
    </w:rPr>
  </w:style>
  <w:style w:type="paragraph" w:customStyle="1" w:styleId="30">
    <w:name w:val="表格文字"/>
    <w:basedOn w:val="1"/>
    <w:qFormat/>
    <w:uiPriority w:val="99"/>
    <w:pPr>
      <w:spacing w:before="25" w:after="25"/>
    </w:pPr>
    <w:rPr>
      <w:rFonts w:ascii="Calibri" w:hAnsi="Calibri"/>
      <w:bCs/>
      <w:spacing w:val="10"/>
      <w:sz w:val="24"/>
    </w:rPr>
  </w:style>
  <w:style w:type="character" w:customStyle="1" w:styleId="31">
    <w:name w:val="批注文字 字符1"/>
    <w:link w:val="8"/>
    <w:qFormat/>
    <w:uiPriority w:val="0"/>
    <w:rPr>
      <w:kern w:val="2"/>
      <w:sz w:val="21"/>
      <w:szCs w:val="24"/>
    </w:rPr>
  </w:style>
  <w:style w:type="character" w:customStyle="1" w:styleId="32">
    <w:name w:val="正文文本 字符"/>
    <w:link w:val="9"/>
    <w:qFormat/>
    <w:uiPriority w:val="99"/>
    <w:rPr>
      <w:kern w:val="2"/>
      <w:sz w:val="21"/>
      <w:szCs w:val="24"/>
    </w:rPr>
  </w:style>
  <w:style w:type="character" w:customStyle="1" w:styleId="33">
    <w:name w:val="正文文本缩进 字符"/>
    <w:link w:val="10"/>
    <w:qFormat/>
    <w:uiPriority w:val="0"/>
    <w:rPr>
      <w:kern w:val="2"/>
      <w:sz w:val="21"/>
      <w:szCs w:val="24"/>
    </w:rPr>
  </w:style>
  <w:style w:type="character" w:customStyle="1" w:styleId="34">
    <w:name w:val="纯文本 字符"/>
    <w:link w:val="13"/>
    <w:qFormat/>
    <w:uiPriority w:val="0"/>
    <w:rPr>
      <w:rFonts w:ascii="宋体" w:hAnsi="Courier New"/>
      <w:sz w:val="24"/>
      <w:szCs w:val="24"/>
    </w:rPr>
  </w:style>
  <w:style w:type="character" w:customStyle="1" w:styleId="35">
    <w:name w:val="批注框文本 字符"/>
    <w:link w:val="14"/>
    <w:qFormat/>
    <w:uiPriority w:val="0"/>
    <w:rPr>
      <w:kern w:val="2"/>
      <w:sz w:val="18"/>
      <w:szCs w:val="18"/>
    </w:rPr>
  </w:style>
  <w:style w:type="character" w:customStyle="1" w:styleId="36">
    <w:name w:val="页脚 字符"/>
    <w:link w:val="15"/>
    <w:qFormat/>
    <w:uiPriority w:val="99"/>
    <w:rPr>
      <w:kern w:val="2"/>
      <w:sz w:val="18"/>
      <w:szCs w:val="24"/>
    </w:rPr>
  </w:style>
  <w:style w:type="character" w:customStyle="1" w:styleId="37">
    <w:name w:val="页眉 字符"/>
    <w:link w:val="16"/>
    <w:qFormat/>
    <w:uiPriority w:val="0"/>
    <w:rPr>
      <w:kern w:val="2"/>
      <w:sz w:val="18"/>
      <w:szCs w:val="18"/>
    </w:rPr>
  </w:style>
  <w:style w:type="character" w:customStyle="1" w:styleId="38">
    <w:name w:val="批注主题 字符"/>
    <w:link w:val="22"/>
    <w:qFormat/>
    <w:uiPriority w:val="0"/>
    <w:rPr>
      <w:b/>
      <w:bCs/>
      <w:kern w:val="2"/>
      <w:sz w:val="21"/>
      <w:szCs w:val="24"/>
    </w:rPr>
  </w:style>
  <w:style w:type="table" w:customStyle="1" w:styleId="39">
    <w:name w:val="Table Normal"/>
    <w:unhideWhenUsed/>
    <w:qFormat/>
    <w:uiPriority w:val="0"/>
    <w:tblPr>
      <w:tblCellMar>
        <w:top w:w="0" w:type="dxa"/>
        <w:left w:w="0" w:type="dxa"/>
        <w:bottom w:w="0" w:type="dxa"/>
        <w:right w:w="0" w:type="dxa"/>
      </w:tblCellMar>
    </w:tblPr>
  </w:style>
  <w:style w:type="paragraph" w:styleId="40">
    <w:name w:val="List Paragraph"/>
    <w:qFormat/>
    <w:uiPriority w:val="34"/>
    <w:pPr>
      <w:widowControl w:val="0"/>
      <w:ind w:firstLine="420" w:firstLineChars="200"/>
      <w:jc w:val="both"/>
    </w:pPr>
    <w:rPr>
      <w:rFonts w:ascii="Times New Roman" w:hAnsi="Times New Roman" w:eastAsia="宋体" w:cs="Times New Roman"/>
      <w:kern w:val="2"/>
      <w:sz w:val="21"/>
      <w:szCs w:val="24"/>
      <w:lang w:val="en-US" w:eastAsia="zh-CN" w:bidi="ar-SA"/>
    </w:rPr>
  </w:style>
  <w:style w:type="paragraph" w:customStyle="1" w:styleId="41">
    <w:name w:val="Default"/>
    <w:qFormat/>
    <w:uiPriority w:val="0"/>
    <w:pPr>
      <w:widowControl w:val="0"/>
      <w:autoSpaceDE w:val="0"/>
      <w:autoSpaceDN w:val="0"/>
      <w:adjustRightInd w:val="0"/>
    </w:pPr>
    <w:rPr>
      <w:rFonts w:ascii="宋体" w:hAnsi="宋体" w:eastAsia="宋体" w:cs="Times New Roman"/>
      <w:color w:val="000000"/>
      <w:sz w:val="24"/>
      <w:lang w:val="en-US" w:eastAsia="zh-CN" w:bidi="ar-SA"/>
    </w:rPr>
  </w:style>
  <w:style w:type="character" w:customStyle="1" w:styleId="42">
    <w:name w:val="批注文字 Char"/>
    <w:qFormat/>
    <w:uiPriority w:val="0"/>
    <w:rPr>
      <w:kern w:val="2"/>
      <w:sz w:val="21"/>
      <w:szCs w:val="24"/>
    </w:rPr>
  </w:style>
  <w:style w:type="character" w:customStyle="1" w:styleId="43">
    <w:name w:val="批注文字 字符"/>
    <w:qFormat/>
    <w:uiPriority w:val="0"/>
    <w:rPr>
      <w:kern w:val="2"/>
      <w:sz w:val="21"/>
      <w:szCs w:val="24"/>
    </w:rPr>
  </w:style>
  <w:style w:type="paragraph" w:customStyle="1" w:styleId="44">
    <w:name w:val="Table Text"/>
    <w:basedOn w:val="1"/>
    <w:semiHidden/>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 w:val="20"/>
      <w:szCs w:val="20"/>
      <w:lang w:eastAsia="en-US"/>
    </w:rPr>
  </w:style>
  <w:style w:type="paragraph" w:customStyle="1" w:styleId="45">
    <w:name w:val="修订1"/>
    <w:hidden/>
    <w:unhideWhenUsed/>
    <w:qFormat/>
    <w:uiPriority w:val="99"/>
    <w:rPr>
      <w:rFonts w:ascii="Times New Roman" w:hAnsi="Times New Roman" w:eastAsia="宋体" w:cs="Times New Roman"/>
      <w:kern w:val="2"/>
      <w:sz w:val="21"/>
      <w:szCs w:val="24"/>
      <w:lang w:val="en-US" w:eastAsia="zh-CN" w:bidi="ar-SA"/>
    </w:rPr>
  </w:style>
  <w:style w:type="paragraph" w:customStyle="1" w:styleId="46">
    <w:name w:val="修订2"/>
    <w:hidden/>
    <w:unhideWhenUsed/>
    <w:qFormat/>
    <w:uiPriority w:val="99"/>
    <w:rPr>
      <w:rFonts w:ascii="Times New Roman" w:hAnsi="Times New Roman" w:eastAsia="宋体" w:cs="Times New Roman"/>
      <w:kern w:val="2"/>
      <w:sz w:val="21"/>
      <w:szCs w:val="24"/>
      <w:lang w:val="en-US" w:eastAsia="zh-CN" w:bidi="ar-SA"/>
    </w:rPr>
  </w:style>
  <w:style w:type="paragraph" w:customStyle="1" w:styleId="47">
    <w:name w:val="正文缩进1"/>
    <w:basedOn w:val="1"/>
    <w:next w:val="10"/>
    <w:qFormat/>
    <w:uiPriority w:val="99"/>
    <w:pPr>
      <w:autoSpaceDE w:val="0"/>
      <w:autoSpaceDN w:val="0"/>
      <w:adjustRightInd w:val="0"/>
      <w:snapToGrid w:val="0"/>
      <w:spacing w:after="120" w:line="360" w:lineRule="auto"/>
      <w:ind w:left="420" w:leftChars="200" w:firstLine="480" w:firstLineChars="200"/>
    </w:pPr>
    <w:rPr>
      <w:sz w:val="24"/>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95</Pages>
  <Words>7254</Words>
  <Characters>8422</Characters>
  <Lines>451</Lines>
  <Paragraphs>127</Paragraphs>
  <TotalTime>15</TotalTime>
  <ScaleCrop>false</ScaleCrop>
  <LinksUpToDate>false</LinksUpToDate>
  <CharactersWithSpaces>8543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2025-02-26T03:42:00Z</dcterms:created>
  <dc:creator>月酱</dc:creator>
  <cp:lastModifiedBy>admin</cp:lastModifiedBy>
  <cp:lastPrinted>2026-01-07T07:27:00Z</cp:lastPrinted>
  <dcterms:modified xsi:type="dcterms:W3CDTF">2026-04-09T07:34:21Z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9DAB0C67E32C4165B82D92EC64F28725_13</vt:lpwstr>
  </property>
  <property fmtid="{D5CDD505-2E9C-101B-9397-08002B2CF9AE}" pid="4" name="KSOTemplateDocerSaveRecord">
    <vt:lpwstr>eyJoZGlkIjoiNDY4Y2IxYTg4MmM0NDhhYmZkMGZlYWYyMjc2YjIwYzQiLCJ1c2VySWQiOiIzMTQ2MjU3MTIifQ==</vt:lpwstr>
  </property>
</Properties>
</file>