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E81C1D">
      <w:pPr>
        <w:spacing w:line="360" w:lineRule="auto"/>
        <w:jc w:val="center"/>
        <w:rPr>
          <w:rFonts w:ascii="华文新魏" w:eastAsia="华文新魏"/>
          <w:color w:val="000000"/>
          <w:sz w:val="84"/>
          <w:szCs w:val="84"/>
        </w:rPr>
      </w:pPr>
      <w:r>
        <w:rPr>
          <w:rFonts w:hint="eastAsia" w:ascii="华文新魏" w:eastAsia="华文新魏"/>
          <w:color w:val="000000"/>
          <w:sz w:val="84"/>
          <w:szCs w:val="84"/>
        </w:rPr>
        <w:t>广西国力招标有限公司</w:t>
      </w:r>
    </w:p>
    <w:p w14:paraId="0124CFB7">
      <w:pPr>
        <w:spacing w:beforeLines="50"/>
        <w:jc w:val="center"/>
        <w:rPr>
          <w:rFonts w:ascii="楷体" w:eastAsia="楷体"/>
          <w:color w:val="000000"/>
          <w:sz w:val="48"/>
          <w:szCs w:val="48"/>
        </w:rPr>
      </w:pPr>
    </w:p>
    <w:p w14:paraId="6A976648">
      <w:pPr>
        <w:spacing w:beforeLines="50"/>
        <w:jc w:val="center"/>
        <w:rPr>
          <w:rFonts w:ascii="楷体" w:eastAsia="楷体"/>
          <w:color w:val="000000"/>
          <w:sz w:val="72"/>
          <w:szCs w:val="72"/>
        </w:rPr>
      </w:pPr>
      <w:r>
        <w:rPr>
          <w:rFonts w:hint="eastAsia" w:ascii="楷体" w:eastAsia="楷体"/>
          <w:color w:val="000000"/>
          <w:sz w:val="72"/>
          <w:szCs w:val="72"/>
        </w:rPr>
        <w:t>公开招标采购文件</w:t>
      </w:r>
    </w:p>
    <w:p w14:paraId="5CDB8745">
      <w:pPr>
        <w:pStyle w:val="26"/>
        <w:snapToGrid w:val="0"/>
        <w:spacing w:before="120" w:after="120" w:line="360" w:lineRule="auto"/>
        <w:rPr>
          <w:rFonts w:ascii="仿宋_GB2312" w:eastAsia="仿宋_GB2312"/>
          <w:b/>
          <w:bCs/>
          <w:sz w:val="30"/>
          <w:szCs w:val="30"/>
        </w:rPr>
      </w:pPr>
    </w:p>
    <w:p w14:paraId="01A212FF">
      <w:pPr>
        <w:pStyle w:val="26"/>
        <w:snapToGrid w:val="0"/>
        <w:spacing w:before="120" w:after="120" w:line="360" w:lineRule="auto"/>
        <w:jc w:val="center"/>
        <w:rPr>
          <w:rFonts w:ascii="仿宋_GB2312" w:eastAsia="仿宋_GB2312"/>
          <w:b/>
          <w:bCs/>
          <w:sz w:val="30"/>
          <w:szCs w:val="30"/>
        </w:rPr>
      </w:pPr>
      <w:r>
        <w:rPr>
          <w:rFonts w:ascii="仿宋_GB2312" w:eastAsia="仿宋_GB2312"/>
          <w:b/>
          <w:bCs/>
          <w:sz w:val="30"/>
          <w:szCs w:val="30"/>
        </w:rPr>
        <w:drawing>
          <wp:inline distT="0" distB="0" distL="114300" distR="114300">
            <wp:extent cx="2284730" cy="1624965"/>
            <wp:effectExtent l="0" t="0" r="1270" b="13335"/>
            <wp:docPr id="4" name="图片 1" descr="9470580411503450878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9470580411503450878247"/>
                    <pic:cNvPicPr>
                      <a:picLocks noChangeAspect="1"/>
                    </pic:cNvPicPr>
                  </pic:nvPicPr>
                  <pic:blipFill>
                    <a:blip r:embed="rId8" cstate="print"/>
                    <a:stretch>
                      <a:fillRect/>
                    </a:stretch>
                  </pic:blipFill>
                  <pic:spPr>
                    <a:xfrm>
                      <a:off x="0" y="0"/>
                      <a:ext cx="2284730" cy="1624965"/>
                    </a:xfrm>
                    <a:prstGeom prst="rect">
                      <a:avLst/>
                    </a:prstGeom>
                    <a:noFill/>
                    <a:ln>
                      <a:noFill/>
                    </a:ln>
                  </pic:spPr>
                </pic:pic>
              </a:graphicData>
            </a:graphic>
          </wp:inline>
        </w:drawing>
      </w:r>
    </w:p>
    <w:p w14:paraId="73DD104B">
      <w:pPr>
        <w:pStyle w:val="26"/>
        <w:snapToGrid w:val="0"/>
        <w:spacing w:before="120" w:after="120" w:line="800" w:lineRule="exact"/>
        <w:ind w:firstLine="1785" w:firstLineChars="496"/>
        <w:rPr>
          <w:b/>
          <w:bCs/>
          <w:sz w:val="36"/>
          <w:szCs w:val="36"/>
        </w:rPr>
      </w:pPr>
    </w:p>
    <w:p w14:paraId="216C0055">
      <w:pPr>
        <w:pStyle w:val="26"/>
        <w:snapToGrid w:val="0"/>
        <w:spacing w:before="120" w:after="120" w:line="800" w:lineRule="exact"/>
        <w:ind w:firstLine="1785" w:firstLineChars="496"/>
        <w:rPr>
          <w:rFonts w:hint="eastAsia" w:eastAsia="宋体"/>
          <w:b/>
          <w:bCs/>
          <w:sz w:val="36"/>
          <w:szCs w:val="36"/>
          <w:lang w:eastAsia="zh-CN"/>
        </w:rPr>
      </w:pPr>
      <w:r>
        <w:rPr>
          <w:rFonts w:hint="eastAsia"/>
          <w:b/>
          <w:bCs/>
          <w:sz w:val="36"/>
          <w:szCs w:val="36"/>
        </w:rPr>
        <w:t>采购项目编号：</w:t>
      </w:r>
      <w:r>
        <w:rPr>
          <w:rFonts w:hint="eastAsia"/>
          <w:b/>
          <w:bCs/>
          <w:sz w:val="36"/>
          <w:szCs w:val="36"/>
          <w:lang w:eastAsia="zh-CN"/>
        </w:rPr>
        <w:t>GXZC2026-G1-000611-GLZB</w:t>
      </w:r>
    </w:p>
    <w:p w14:paraId="654247A2">
      <w:pPr>
        <w:pBdr>
          <w:bottom w:val="thickThinSmallGap" w:color="auto" w:sz="24" w:space="1"/>
        </w:pBdr>
        <w:snapToGrid w:val="0"/>
        <w:spacing w:beforeLines="50" w:line="800" w:lineRule="exact"/>
        <w:ind w:firstLine="360" w:firstLineChars="100"/>
        <w:rPr>
          <w:rFonts w:hint="eastAsia" w:ascii="宋体" w:hAnsi="Times New Roman" w:eastAsia="宋体" w:cs="Times New Roman"/>
          <w:b/>
          <w:bCs/>
          <w:kern w:val="2"/>
          <w:sz w:val="36"/>
          <w:szCs w:val="36"/>
          <w:lang w:val="en-US" w:eastAsia="zh-CN" w:bidi="ar-SA"/>
        </w:rPr>
      </w:pPr>
      <w:r>
        <w:rPr>
          <w:rFonts w:hint="eastAsia" w:ascii="宋体"/>
          <w:b/>
          <w:color w:val="000000"/>
          <w:sz w:val="36"/>
          <w:szCs w:val="36"/>
        </w:rPr>
        <w:t>采购项目</w:t>
      </w:r>
      <w:r>
        <w:rPr>
          <w:rFonts w:hint="eastAsia" w:ascii="宋体" w:hAnsi="Times New Roman" w:eastAsia="宋体" w:cs="Times New Roman"/>
          <w:b/>
          <w:bCs/>
          <w:kern w:val="2"/>
          <w:sz w:val="36"/>
          <w:szCs w:val="36"/>
          <w:lang w:val="en-US" w:eastAsia="zh-CN" w:bidi="ar-SA"/>
        </w:rPr>
        <w:t>名称：广西医科大学2026-2028年纸质图书采购</w:t>
      </w:r>
    </w:p>
    <w:p w14:paraId="61DEF1BB">
      <w:pPr>
        <w:pBdr>
          <w:bottom w:val="thickThinSmallGap" w:color="auto" w:sz="24" w:space="1"/>
        </w:pBdr>
        <w:snapToGrid w:val="0"/>
        <w:spacing w:beforeLines="50" w:line="600" w:lineRule="exact"/>
        <w:ind w:firstLine="3041" w:firstLineChars="845"/>
        <w:rPr>
          <w:rFonts w:ascii="宋体"/>
          <w:b/>
          <w:color w:val="000000"/>
          <w:sz w:val="36"/>
          <w:szCs w:val="36"/>
        </w:rPr>
      </w:pPr>
    </w:p>
    <w:p w14:paraId="5738D720">
      <w:pPr>
        <w:pBdr>
          <w:bottom w:val="thickThinSmallGap" w:color="auto" w:sz="24" w:space="1"/>
        </w:pBdr>
        <w:snapToGrid w:val="0"/>
        <w:spacing w:beforeLines="50" w:line="600" w:lineRule="exact"/>
        <w:jc w:val="center"/>
        <w:rPr>
          <w:rFonts w:ascii="宋体"/>
          <w:b/>
          <w:color w:val="000000"/>
          <w:sz w:val="36"/>
          <w:szCs w:val="36"/>
        </w:rPr>
      </w:pPr>
      <w:r>
        <w:rPr>
          <w:rFonts w:hint="eastAsia"/>
          <w:b/>
          <w:bCs/>
          <w:sz w:val="36"/>
          <w:szCs w:val="36"/>
        </w:rPr>
        <w:t>（GXGL2026M-G008-Z）</w:t>
      </w:r>
    </w:p>
    <w:p w14:paraId="1CF47524">
      <w:pPr>
        <w:snapToGrid w:val="0"/>
        <w:spacing w:beforeLines="50" w:line="600" w:lineRule="exact"/>
        <w:ind w:firstLine="2100" w:firstLineChars="700"/>
        <w:rPr>
          <w:rFonts w:ascii="宋体"/>
          <w:b/>
          <w:color w:val="000000"/>
          <w:sz w:val="30"/>
          <w:szCs w:val="72"/>
        </w:rPr>
      </w:pPr>
      <w:r>
        <w:rPr>
          <w:rFonts w:hint="eastAsia" w:ascii="宋体"/>
          <w:b/>
          <w:color w:val="000000"/>
          <w:sz w:val="30"/>
          <w:szCs w:val="72"/>
        </w:rPr>
        <w:t>采   购   人：</w:t>
      </w:r>
      <w:r>
        <w:rPr>
          <w:rFonts w:hint="eastAsia" w:ascii="宋体"/>
          <w:b/>
          <w:color w:val="000000"/>
          <w:sz w:val="32"/>
          <w:szCs w:val="32"/>
        </w:rPr>
        <w:t>广西医科大学</w:t>
      </w:r>
    </w:p>
    <w:p w14:paraId="4C4674ED">
      <w:pPr>
        <w:snapToGrid w:val="0"/>
        <w:spacing w:beforeLines="50" w:line="600" w:lineRule="exact"/>
        <w:ind w:firstLine="2100" w:firstLineChars="700"/>
        <w:jc w:val="left"/>
        <w:rPr>
          <w:rFonts w:ascii="宋体"/>
          <w:b/>
          <w:sz w:val="30"/>
          <w:szCs w:val="72"/>
        </w:rPr>
      </w:pPr>
      <w:r>
        <w:rPr>
          <w:rFonts w:hint="eastAsia" w:ascii="宋体"/>
          <w:b/>
          <w:color w:val="000000"/>
          <w:sz w:val="30"/>
          <w:szCs w:val="72"/>
        </w:rPr>
        <w:t>采购代理机构</w:t>
      </w:r>
      <w:r>
        <w:rPr>
          <w:rFonts w:hint="eastAsia" w:ascii="宋体"/>
          <w:b/>
          <w:sz w:val="30"/>
          <w:szCs w:val="72"/>
        </w:rPr>
        <w:t>：广西国力招标有限公司</w:t>
      </w:r>
    </w:p>
    <w:p w14:paraId="67B59F16">
      <w:pPr>
        <w:snapToGrid w:val="0"/>
        <w:spacing w:beforeLines="50" w:line="600" w:lineRule="exact"/>
        <w:jc w:val="center"/>
        <w:rPr>
          <w:rFonts w:ascii="宋体"/>
          <w:b/>
          <w:color w:val="000000"/>
          <w:sz w:val="30"/>
          <w:szCs w:val="72"/>
        </w:rPr>
        <w:sectPr>
          <w:footerReference r:id="rId4" w:type="first"/>
          <w:footerReference r:id="rId3" w:type="even"/>
          <w:pgSz w:w="11906" w:h="16838"/>
          <w:pgMar w:top="1134" w:right="1134" w:bottom="1134" w:left="1134" w:header="851" w:footer="992" w:gutter="0"/>
          <w:cols w:space="720" w:num="1"/>
          <w:docGrid w:type="linesAndChars" w:linePitch="312" w:charSpace="0"/>
        </w:sectPr>
      </w:pPr>
      <w:r>
        <w:rPr>
          <w:rFonts w:hint="eastAsia" w:ascii="宋体"/>
          <w:b/>
          <w:color w:val="000000"/>
          <w:sz w:val="30"/>
          <w:szCs w:val="72"/>
        </w:rPr>
        <w:t>2026年</w:t>
      </w:r>
      <w:r>
        <w:rPr>
          <w:rFonts w:hint="eastAsia" w:ascii="宋体"/>
          <w:b/>
          <w:color w:val="000000"/>
          <w:sz w:val="30"/>
          <w:szCs w:val="72"/>
          <w:lang w:val="en-US" w:eastAsia="zh-CN"/>
        </w:rPr>
        <w:t>5</w:t>
      </w:r>
      <w:r>
        <w:rPr>
          <w:rFonts w:hint="eastAsia" w:ascii="宋体"/>
          <w:b/>
          <w:color w:val="000000"/>
          <w:sz w:val="30"/>
          <w:szCs w:val="72"/>
        </w:rPr>
        <w:t>月</w:t>
      </w:r>
    </w:p>
    <w:p w14:paraId="6D2C6C1E">
      <w:pPr>
        <w:jc w:val="center"/>
        <w:rPr>
          <w:sz w:val="44"/>
          <w:szCs w:val="44"/>
        </w:rPr>
      </w:pPr>
    </w:p>
    <w:p w14:paraId="4E7EFDB9">
      <w:pPr>
        <w:jc w:val="center"/>
        <w:rPr>
          <w:b/>
          <w:sz w:val="44"/>
          <w:szCs w:val="44"/>
        </w:rPr>
      </w:pPr>
      <w:r>
        <w:rPr>
          <w:rFonts w:hint="eastAsia"/>
          <w:b/>
          <w:sz w:val="44"/>
          <w:szCs w:val="44"/>
        </w:rPr>
        <w:t>目  录</w:t>
      </w:r>
    </w:p>
    <w:p w14:paraId="36BD394F"/>
    <w:p w14:paraId="14B068E4">
      <w:pPr>
        <w:pStyle w:val="34"/>
        <w:tabs>
          <w:tab w:val="right" w:leader="dot" w:pos="9639"/>
          <w:tab w:val="clear" w:pos="8296"/>
          <w:tab w:val="clear" w:pos="8398"/>
        </w:tabs>
        <w:spacing w:line="600" w:lineRule="exact"/>
        <w:ind w:firstLine="0" w:firstLineChars="0"/>
        <w:rPr>
          <w:rFonts w:ascii="宋体" w:eastAsia="宋体" w:cs="Times New Roman"/>
          <w:bCs w:val="0"/>
          <w:sz w:val="28"/>
          <w:szCs w:val="28"/>
        </w:rPr>
      </w:pPr>
      <w:r>
        <w:fldChar w:fldCharType="begin"/>
      </w:r>
      <w:r>
        <w:instrText xml:space="preserve"> </w:instrText>
      </w:r>
      <w:r>
        <w:rPr>
          <w:rFonts w:hint="eastAsia"/>
        </w:rPr>
        <w:instrText xml:space="preserve">TOC \o "1-3" \h \z \u</w:instrText>
      </w:r>
      <w:r>
        <w:instrText xml:space="preserve"> </w:instrText>
      </w:r>
      <w:r>
        <w:fldChar w:fldCharType="separate"/>
      </w:r>
      <w:r>
        <w:fldChar w:fldCharType="begin"/>
      </w:r>
      <w:r>
        <w:instrText xml:space="preserve"> HYPERLINK \l "_Toc476436431" </w:instrText>
      </w:r>
      <w:r>
        <w:fldChar w:fldCharType="separate"/>
      </w:r>
      <w:r>
        <w:rPr>
          <w:rFonts w:hint="eastAsia" w:ascii="宋体" w:eastAsia="宋体"/>
          <w:sz w:val="28"/>
          <w:szCs w:val="28"/>
        </w:rPr>
        <w:t>第一章  公开招标公告</w:t>
      </w:r>
      <w:bookmarkStart w:id="0" w:name="_Hlt126916863"/>
      <w:bookmarkStart w:id="1" w:name="_Hlt184388135"/>
      <w:bookmarkStart w:id="2" w:name="_Hlt186443178"/>
      <w:bookmarkStart w:id="3" w:name="_Hlt42268173"/>
      <w:bookmarkStart w:id="4" w:name="_Hlt91253895"/>
      <w:bookmarkStart w:id="5" w:name="_Hlt42268174"/>
      <w:bookmarkStart w:id="6" w:name="_Hlt91253896"/>
      <w:bookmarkStart w:id="7" w:name="_Hlt186443177"/>
      <w:bookmarkStart w:id="8" w:name="_Hlt126916862"/>
      <w:r>
        <w:rPr>
          <w:rFonts w:hint="eastAsia" w:ascii="宋体" w:eastAsia="宋体"/>
          <w:sz w:val="28"/>
          <w:szCs w:val="28"/>
        </w:rPr>
        <w:tab/>
      </w:r>
      <w:bookmarkEnd w:id="0"/>
      <w:bookmarkEnd w:id="1"/>
      <w:bookmarkEnd w:id="2"/>
      <w:bookmarkEnd w:id="3"/>
      <w:bookmarkEnd w:id="4"/>
      <w:bookmarkEnd w:id="5"/>
      <w:bookmarkEnd w:id="6"/>
      <w:bookmarkEnd w:id="7"/>
      <w:bookmarkEnd w:id="8"/>
      <w:r>
        <w:rPr>
          <w:rFonts w:hint="eastAsia" w:ascii="宋体" w:eastAsia="宋体"/>
          <w:sz w:val="28"/>
          <w:szCs w:val="28"/>
        </w:rPr>
        <w:fldChar w:fldCharType="begin"/>
      </w:r>
      <w:r>
        <w:rPr>
          <w:rFonts w:hint="eastAsia" w:ascii="宋体" w:eastAsia="宋体"/>
          <w:sz w:val="28"/>
          <w:szCs w:val="28"/>
        </w:rPr>
        <w:instrText xml:space="preserve"> PAGEREF _Toc476436431 \h </w:instrText>
      </w:r>
      <w:r>
        <w:rPr>
          <w:rFonts w:hint="eastAsia" w:ascii="宋体" w:eastAsia="宋体"/>
          <w:sz w:val="28"/>
          <w:szCs w:val="28"/>
        </w:rPr>
        <w:fldChar w:fldCharType="separate"/>
      </w:r>
      <w:r>
        <w:rPr>
          <w:rFonts w:hint="eastAsia" w:ascii="宋体" w:eastAsia="宋体"/>
          <w:sz w:val="28"/>
          <w:szCs w:val="28"/>
        </w:rPr>
        <w:t>2</w:t>
      </w:r>
      <w:r>
        <w:rPr>
          <w:rFonts w:hint="eastAsia" w:ascii="宋体" w:eastAsia="宋体"/>
          <w:sz w:val="28"/>
          <w:szCs w:val="28"/>
        </w:rPr>
        <w:fldChar w:fldCharType="end"/>
      </w:r>
      <w:r>
        <w:rPr>
          <w:rFonts w:hint="eastAsia" w:ascii="宋体" w:eastAsia="宋体"/>
          <w:sz w:val="28"/>
          <w:szCs w:val="28"/>
        </w:rPr>
        <w:fldChar w:fldCharType="end"/>
      </w:r>
    </w:p>
    <w:p w14:paraId="07165E05">
      <w:pPr>
        <w:pStyle w:val="34"/>
        <w:tabs>
          <w:tab w:val="right" w:leader="dot" w:pos="9639"/>
          <w:tab w:val="clear" w:pos="8296"/>
          <w:tab w:val="clear" w:pos="8398"/>
        </w:tabs>
        <w:spacing w:line="600" w:lineRule="exact"/>
        <w:ind w:firstLine="0" w:firstLineChars="0"/>
        <w:rPr>
          <w:rFonts w:ascii="宋体" w:eastAsia="宋体" w:cs="Times New Roman"/>
          <w:bCs w:val="0"/>
          <w:sz w:val="28"/>
          <w:szCs w:val="28"/>
        </w:rPr>
      </w:pPr>
      <w:r>
        <w:fldChar w:fldCharType="begin"/>
      </w:r>
      <w:r>
        <w:instrText xml:space="preserve"> HYPERLINK \l "_Toc476436432" </w:instrText>
      </w:r>
      <w:r>
        <w:fldChar w:fldCharType="separate"/>
      </w:r>
      <w:r>
        <w:rPr>
          <w:rFonts w:hint="eastAsia" w:ascii="宋体" w:eastAsia="宋体"/>
          <w:sz w:val="28"/>
          <w:szCs w:val="28"/>
        </w:rPr>
        <w:t>第二章  招标项目采购需求</w:t>
      </w:r>
      <w:r>
        <w:rPr>
          <w:rFonts w:hint="eastAsia" w:ascii="宋体" w:eastAsia="宋体"/>
          <w:sz w:val="28"/>
          <w:szCs w:val="28"/>
        </w:rPr>
        <w:tab/>
      </w:r>
      <w:r>
        <w:rPr>
          <w:rFonts w:hint="eastAsia" w:ascii="宋体" w:eastAsia="宋体"/>
          <w:sz w:val="28"/>
          <w:szCs w:val="28"/>
        </w:rPr>
        <w:fldChar w:fldCharType="begin"/>
      </w:r>
      <w:r>
        <w:rPr>
          <w:rFonts w:hint="eastAsia" w:ascii="宋体" w:eastAsia="宋体"/>
          <w:sz w:val="28"/>
          <w:szCs w:val="28"/>
        </w:rPr>
        <w:instrText xml:space="preserve"> PAGEREF _Toc476436432 \h </w:instrText>
      </w:r>
      <w:r>
        <w:rPr>
          <w:rFonts w:hint="eastAsia" w:ascii="宋体" w:eastAsia="宋体"/>
          <w:sz w:val="28"/>
          <w:szCs w:val="28"/>
        </w:rPr>
        <w:fldChar w:fldCharType="separate"/>
      </w:r>
      <w:r>
        <w:rPr>
          <w:rFonts w:hint="eastAsia" w:ascii="宋体" w:eastAsia="宋体"/>
          <w:sz w:val="28"/>
          <w:szCs w:val="28"/>
        </w:rPr>
        <w:t>7</w:t>
      </w:r>
      <w:r>
        <w:rPr>
          <w:rFonts w:hint="eastAsia" w:ascii="宋体" w:eastAsia="宋体"/>
          <w:sz w:val="28"/>
          <w:szCs w:val="28"/>
        </w:rPr>
        <w:fldChar w:fldCharType="end"/>
      </w:r>
      <w:r>
        <w:rPr>
          <w:rFonts w:hint="eastAsia" w:ascii="宋体" w:eastAsia="宋体"/>
          <w:sz w:val="28"/>
          <w:szCs w:val="28"/>
        </w:rPr>
        <w:fldChar w:fldCharType="end"/>
      </w:r>
    </w:p>
    <w:p w14:paraId="779BBC89">
      <w:pPr>
        <w:pStyle w:val="34"/>
        <w:tabs>
          <w:tab w:val="right" w:leader="dot" w:pos="9639"/>
          <w:tab w:val="clear" w:pos="8296"/>
          <w:tab w:val="clear" w:pos="8398"/>
        </w:tabs>
        <w:spacing w:line="600" w:lineRule="exact"/>
        <w:ind w:firstLine="0" w:firstLineChars="0"/>
        <w:rPr>
          <w:rFonts w:ascii="宋体" w:eastAsia="宋体" w:cs="Times New Roman"/>
          <w:bCs w:val="0"/>
          <w:sz w:val="28"/>
          <w:szCs w:val="28"/>
        </w:rPr>
      </w:pPr>
      <w:r>
        <w:fldChar w:fldCharType="begin"/>
      </w:r>
      <w:r>
        <w:instrText xml:space="preserve"> HYPERLINK \l "_Toc476436433" </w:instrText>
      </w:r>
      <w:r>
        <w:fldChar w:fldCharType="separate"/>
      </w:r>
      <w:r>
        <w:rPr>
          <w:rFonts w:hint="eastAsia" w:ascii="宋体" w:eastAsia="宋体"/>
          <w:sz w:val="28"/>
          <w:szCs w:val="28"/>
        </w:rPr>
        <w:t>第三章  投标</w:t>
      </w:r>
      <w:bookmarkStart w:id="9" w:name="_Hlt482277892"/>
      <w:bookmarkStart w:id="10" w:name="_Hlt489368816"/>
      <w:bookmarkStart w:id="11" w:name="_Hlt489368815"/>
      <w:r>
        <w:rPr>
          <w:rFonts w:hint="eastAsia" w:ascii="宋体" w:eastAsia="宋体"/>
          <w:sz w:val="28"/>
          <w:szCs w:val="28"/>
        </w:rPr>
        <w:t>人</w:t>
      </w:r>
      <w:bookmarkEnd w:id="9"/>
      <w:bookmarkEnd w:id="10"/>
      <w:bookmarkEnd w:id="11"/>
      <w:r>
        <w:rPr>
          <w:rFonts w:hint="eastAsia" w:ascii="宋体" w:eastAsia="宋体"/>
          <w:sz w:val="28"/>
          <w:szCs w:val="28"/>
        </w:rPr>
        <w:t>须知</w:t>
      </w:r>
      <w:bookmarkStart w:id="12" w:name="_Hlt173424981"/>
      <w:bookmarkStart w:id="13" w:name="_Hlt16003898"/>
      <w:bookmarkStart w:id="14" w:name="_Hlt16003897"/>
      <w:bookmarkStart w:id="15" w:name="_Hlt173424980"/>
      <w:r>
        <w:rPr>
          <w:rFonts w:hint="eastAsia" w:ascii="宋体" w:eastAsia="宋体"/>
          <w:sz w:val="28"/>
          <w:szCs w:val="28"/>
        </w:rPr>
        <w:tab/>
      </w:r>
      <w:bookmarkEnd w:id="12"/>
      <w:bookmarkEnd w:id="13"/>
      <w:bookmarkEnd w:id="14"/>
      <w:bookmarkEnd w:id="15"/>
      <w:r>
        <w:rPr>
          <w:rFonts w:hint="eastAsia" w:ascii="宋体" w:eastAsia="宋体"/>
          <w:sz w:val="28"/>
          <w:szCs w:val="28"/>
        </w:rPr>
        <w:fldChar w:fldCharType="begin"/>
      </w:r>
      <w:r>
        <w:rPr>
          <w:rFonts w:hint="eastAsia" w:ascii="宋体" w:eastAsia="宋体"/>
          <w:sz w:val="28"/>
          <w:szCs w:val="28"/>
        </w:rPr>
        <w:instrText xml:space="preserve"> PAGEREF _Toc476436433 \h </w:instrText>
      </w:r>
      <w:r>
        <w:rPr>
          <w:rFonts w:hint="eastAsia" w:ascii="宋体" w:eastAsia="宋体"/>
          <w:sz w:val="28"/>
          <w:szCs w:val="28"/>
        </w:rPr>
        <w:fldChar w:fldCharType="separate"/>
      </w:r>
      <w:r>
        <w:rPr>
          <w:rFonts w:hint="eastAsia" w:ascii="宋体" w:eastAsia="宋体"/>
          <w:sz w:val="28"/>
          <w:szCs w:val="28"/>
        </w:rPr>
        <w:t>20</w:t>
      </w:r>
      <w:r>
        <w:rPr>
          <w:rFonts w:hint="eastAsia" w:ascii="宋体" w:eastAsia="宋体"/>
          <w:sz w:val="28"/>
          <w:szCs w:val="28"/>
        </w:rPr>
        <w:fldChar w:fldCharType="end"/>
      </w:r>
      <w:r>
        <w:rPr>
          <w:rFonts w:hint="eastAsia" w:ascii="宋体" w:eastAsia="宋体"/>
          <w:sz w:val="28"/>
          <w:szCs w:val="28"/>
        </w:rPr>
        <w:fldChar w:fldCharType="end"/>
      </w:r>
    </w:p>
    <w:p w14:paraId="68C8A72F">
      <w:pPr>
        <w:pStyle w:val="34"/>
        <w:tabs>
          <w:tab w:val="right" w:leader="dot" w:pos="9639"/>
          <w:tab w:val="clear" w:pos="8296"/>
          <w:tab w:val="clear" w:pos="8398"/>
        </w:tabs>
        <w:spacing w:line="600" w:lineRule="exact"/>
        <w:ind w:firstLine="0" w:firstLineChars="0"/>
        <w:rPr>
          <w:rFonts w:ascii="宋体" w:eastAsia="宋体" w:cs="Times New Roman"/>
          <w:bCs w:val="0"/>
          <w:sz w:val="28"/>
          <w:szCs w:val="28"/>
        </w:rPr>
      </w:pPr>
      <w:r>
        <w:fldChar w:fldCharType="begin"/>
      </w:r>
      <w:r>
        <w:instrText xml:space="preserve"> HYPERLINK \l "_Toc476436434" </w:instrText>
      </w:r>
      <w:r>
        <w:fldChar w:fldCharType="separate"/>
      </w:r>
      <w:r>
        <w:rPr>
          <w:rFonts w:hint="eastAsia" w:ascii="宋体" w:eastAsia="宋体"/>
          <w:sz w:val="28"/>
          <w:szCs w:val="28"/>
        </w:rPr>
        <w:t>第四章  评标方法及</w:t>
      </w:r>
      <w:bookmarkStart w:id="16" w:name="_Hlt476529840"/>
      <w:bookmarkStart w:id="17" w:name="_Hlt476529841"/>
      <w:r>
        <w:rPr>
          <w:rFonts w:hint="eastAsia" w:ascii="宋体" w:eastAsia="宋体"/>
          <w:sz w:val="28"/>
          <w:szCs w:val="28"/>
        </w:rPr>
        <w:t>评</w:t>
      </w:r>
      <w:bookmarkEnd w:id="16"/>
      <w:bookmarkEnd w:id="17"/>
      <w:r>
        <w:rPr>
          <w:rFonts w:hint="eastAsia" w:ascii="宋体" w:eastAsia="宋体"/>
          <w:sz w:val="28"/>
          <w:szCs w:val="28"/>
        </w:rPr>
        <w:t>分标准</w:t>
      </w:r>
      <w:r>
        <w:rPr>
          <w:rFonts w:hint="eastAsia" w:ascii="宋体" w:eastAsia="宋体"/>
          <w:sz w:val="28"/>
          <w:szCs w:val="28"/>
        </w:rPr>
        <w:tab/>
      </w:r>
      <w:r>
        <w:rPr>
          <w:rFonts w:hint="eastAsia" w:ascii="宋体" w:eastAsia="宋体"/>
          <w:sz w:val="28"/>
          <w:szCs w:val="28"/>
        </w:rPr>
        <w:fldChar w:fldCharType="begin"/>
      </w:r>
      <w:r>
        <w:rPr>
          <w:rFonts w:hint="eastAsia" w:ascii="宋体" w:eastAsia="宋体"/>
          <w:sz w:val="28"/>
          <w:szCs w:val="28"/>
        </w:rPr>
        <w:instrText xml:space="preserve"> PAGEREF _Toc476436434 \h </w:instrText>
      </w:r>
      <w:r>
        <w:rPr>
          <w:rFonts w:hint="eastAsia" w:ascii="宋体" w:eastAsia="宋体"/>
          <w:sz w:val="28"/>
          <w:szCs w:val="28"/>
        </w:rPr>
        <w:fldChar w:fldCharType="separate"/>
      </w:r>
      <w:r>
        <w:rPr>
          <w:rFonts w:hint="eastAsia" w:ascii="宋体" w:eastAsia="宋体"/>
          <w:sz w:val="28"/>
          <w:szCs w:val="28"/>
        </w:rPr>
        <w:t>40</w:t>
      </w:r>
      <w:r>
        <w:rPr>
          <w:rFonts w:hint="eastAsia" w:ascii="宋体" w:eastAsia="宋体"/>
          <w:sz w:val="28"/>
          <w:szCs w:val="28"/>
        </w:rPr>
        <w:fldChar w:fldCharType="end"/>
      </w:r>
      <w:r>
        <w:rPr>
          <w:rFonts w:hint="eastAsia" w:ascii="宋体" w:eastAsia="宋体"/>
          <w:sz w:val="28"/>
          <w:szCs w:val="28"/>
        </w:rPr>
        <w:fldChar w:fldCharType="end"/>
      </w:r>
    </w:p>
    <w:p w14:paraId="0EF70579">
      <w:pPr>
        <w:pStyle w:val="34"/>
        <w:tabs>
          <w:tab w:val="right" w:leader="dot" w:pos="9639"/>
          <w:tab w:val="clear" w:pos="8296"/>
          <w:tab w:val="clear" w:pos="8398"/>
        </w:tabs>
        <w:spacing w:line="600" w:lineRule="exact"/>
        <w:ind w:firstLine="0" w:firstLineChars="0"/>
        <w:rPr>
          <w:rFonts w:ascii="宋体" w:eastAsia="宋体" w:cs="Times New Roman"/>
          <w:bCs w:val="0"/>
          <w:sz w:val="28"/>
          <w:szCs w:val="28"/>
        </w:rPr>
      </w:pPr>
      <w:r>
        <w:fldChar w:fldCharType="begin"/>
      </w:r>
      <w:r>
        <w:instrText xml:space="preserve"> HYPERLINK \l "_Toc476436435" </w:instrText>
      </w:r>
      <w:r>
        <w:fldChar w:fldCharType="separate"/>
      </w:r>
      <w:r>
        <w:rPr>
          <w:rFonts w:hint="eastAsia" w:ascii="宋体" w:eastAsia="宋体"/>
          <w:sz w:val="28"/>
          <w:szCs w:val="28"/>
        </w:rPr>
        <w:t>第五章  政府采购合同主要条款</w:t>
      </w:r>
      <w:r>
        <w:rPr>
          <w:rFonts w:hint="eastAsia" w:ascii="宋体" w:eastAsia="宋体"/>
          <w:sz w:val="28"/>
          <w:szCs w:val="28"/>
        </w:rPr>
        <w:tab/>
      </w:r>
      <w:r>
        <w:rPr>
          <w:rFonts w:hint="eastAsia" w:ascii="宋体" w:eastAsia="宋体"/>
          <w:sz w:val="28"/>
          <w:szCs w:val="28"/>
        </w:rPr>
        <w:fldChar w:fldCharType="begin"/>
      </w:r>
      <w:r>
        <w:rPr>
          <w:rFonts w:hint="eastAsia" w:ascii="宋体" w:eastAsia="宋体"/>
          <w:sz w:val="28"/>
          <w:szCs w:val="28"/>
        </w:rPr>
        <w:instrText xml:space="preserve"> PAGEREF _Toc476436435 \h </w:instrText>
      </w:r>
      <w:r>
        <w:rPr>
          <w:rFonts w:hint="eastAsia" w:ascii="宋体" w:eastAsia="宋体"/>
          <w:sz w:val="28"/>
          <w:szCs w:val="28"/>
        </w:rPr>
        <w:fldChar w:fldCharType="separate"/>
      </w:r>
      <w:r>
        <w:rPr>
          <w:rFonts w:hint="eastAsia" w:ascii="宋体" w:eastAsia="宋体"/>
          <w:sz w:val="28"/>
          <w:szCs w:val="28"/>
        </w:rPr>
        <w:t>45</w:t>
      </w:r>
      <w:r>
        <w:rPr>
          <w:rFonts w:hint="eastAsia" w:ascii="宋体" w:eastAsia="宋体"/>
          <w:sz w:val="28"/>
          <w:szCs w:val="28"/>
        </w:rPr>
        <w:fldChar w:fldCharType="end"/>
      </w:r>
      <w:r>
        <w:rPr>
          <w:rFonts w:hint="eastAsia" w:ascii="宋体" w:eastAsia="宋体"/>
          <w:sz w:val="28"/>
          <w:szCs w:val="28"/>
        </w:rPr>
        <w:fldChar w:fldCharType="end"/>
      </w:r>
    </w:p>
    <w:p w14:paraId="17E01E67">
      <w:pPr>
        <w:pStyle w:val="34"/>
        <w:tabs>
          <w:tab w:val="right" w:leader="dot" w:pos="9639"/>
          <w:tab w:val="clear" w:pos="8296"/>
          <w:tab w:val="clear" w:pos="8398"/>
        </w:tabs>
        <w:spacing w:line="600" w:lineRule="exact"/>
        <w:ind w:firstLine="0" w:firstLineChars="0"/>
        <w:rPr>
          <w:rFonts w:ascii="宋体" w:eastAsia="宋体" w:cs="Times New Roman"/>
          <w:bCs w:val="0"/>
          <w:sz w:val="28"/>
          <w:szCs w:val="28"/>
        </w:rPr>
      </w:pPr>
      <w:r>
        <w:fldChar w:fldCharType="begin"/>
      </w:r>
      <w:r>
        <w:instrText xml:space="preserve"> HYPERLINK \l "_Toc476436436" </w:instrText>
      </w:r>
      <w:r>
        <w:fldChar w:fldCharType="separate"/>
      </w:r>
      <w:r>
        <w:rPr>
          <w:rFonts w:hint="eastAsia" w:ascii="宋体" w:eastAsia="宋体"/>
          <w:sz w:val="28"/>
          <w:szCs w:val="28"/>
        </w:rPr>
        <w:t>第六章　投标文件格式</w:t>
      </w:r>
      <w:r>
        <w:rPr>
          <w:rFonts w:hint="eastAsia" w:ascii="宋体" w:eastAsia="宋体"/>
          <w:sz w:val="28"/>
          <w:szCs w:val="28"/>
        </w:rPr>
        <w:tab/>
      </w:r>
      <w:r>
        <w:rPr>
          <w:rFonts w:hint="eastAsia" w:ascii="宋体" w:eastAsia="宋体"/>
          <w:sz w:val="28"/>
          <w:szCs w:val="28"/>
        </w:rPr>
        <w:fldChar w:fldCharType="begin"/>
      </w:r>
      <w:r>
        <w:rPr>
          <w:rFonts w:hint="eastAsia" w:ascii="宋体" w:eastAsia="宋体"/>
          <w:sz w:val="28"/>
          <w:szCs w:val="28"/>
        </w:rPr>
        <w:instrText xml:space="preserve"> PAGEREF _Toc476436436 \h </w:instrText>
      </w:r>
      <w:r>
        <w:rPr>
          <w:rFonts w:hint="eastAsia" w:ascii="宋体" w:eastAsia="宋体"/>
          <w:sz w:val="28"/>
          <w:szCs w:val="28"/>
        </w:rPr>
        <w:fldChar w:fldCharType="separate"/>
      </w:r>
      <w:r>
        <w:rPr>
          <w:rFonts w:hint="eastAsia" w:ascii="宋体" w:eastAsia="宋体"/>
          <w:sz w:val="28"/>
          <w:szCs w:val="28"/>
        </w:rPr>
        <w:t>58</w:t>
      </w:r>
      <w:r>
        <w:rPr>
          <w:rFonts w:hint="eastAsia" w:ascii="宋体" w:eastAsia="宋体"/>
          <w:sz w:val="28"/>
          <w:szCs w:val="28"/>
        </w:rPr>
        <w:fldChar w:fldCharType="end"/>
      </w:r>
      <w:r>
        <w:rPr>
          <w:rFonts w:hint="eastAsia" w:ascii="宋体" w:eastAsia="宋体"/>
          <w:sz w:val="28"/>
          <w:szCs w:val="28"/>
        </w:rPr>
        <w:fldChar w:fldCharType="end"/>
      </w:r>
    </w:p>
    <w:p w14:paraId="5F87522F">
      <w:pPr>
        <w:spacing w:line="600" w:lineRule="exact"/>
      </w:pPr>
      <w:r>
        <w:fldChar w:fldCharType="end"/>
      </w:r>
    </w:p>
    <w:p w14:paraId="41AB9BB1"/>
    <w:p w14:paraId="1AEA4198"/>
    <w:p w14:paraId="3E228D56">
      <w:pPr>
        <w:spacing w:line="400" w:lineRule="exact"/>
        <w:jc w:val="center"/>
        <w:rPr>
          <w:rFonts w:ascii="宋体"/>
          <w:sz w:val="32"/>
          <w:szCs w:val="32"/>
        </w:rPr>
      </w:pPr>
      <w:r>
        <w:rPr>
          <w:rFonts w:hint="eastAsia" w:ascii="宋体"/>
          <w:sz w:val="32"/>
          <w:szCs w:val="32"/>
        </w:rPr>
        <w:br w:type="page"/>
      </w:r>
    </w:p>
    <w:p w14:paraId="635482E3">
      <w:pPr>
        <w:spacing w:line="400" w:lineRule="exact"/>
        <w:jc w:val="center"/>
        <w:rPr>
          <w:rFonts w:ascii="宋体"/>
          <w:sz w:val="32"/>
          <w:szCs w:val="32"/>
        </w:rPr>
      </w:pPr>
    </w:p>
    <w:p w14:paraId="1ED91B82">
      <w:pPr>
        <w:spacing w:line="400" w:lineRule="exact"/>
        <w:jc w:val="center"/>
        <w:rPr>
          <w:rFonts w:ascii="宋体"/>
          <w:sz w:val="32"/>
          <w:szCs w:val="32"/>
        </w:rPr>
      </w:pPr>
    </w:p>
    <w:p w14:paraId="240C03C4">
      <w:pPr>
        <w:spacing w:line="400" w:lineRule="exact"/>
        <w:jc w:val="center"/>
        <w:rPr>
          <w:rFonts w:ascii="宋体"/>
          <w:sz w:val="32"/>
          <w:szCs w:val="32"/>
        </w:rPr>
      </w:pPr>
    </w:p>
    <w:p w14:paraId="7658D0EB">
      <w:pPr>
        <w:spacing w:line="400" w:lineRule="exact"/>
        <w:jc w:val="center"/>
        <w:rPr>
          <w:rFonts w:ascii="宋体"/>
          <w:sz w:val="32"/>
          <w:szCs w:val="32"/>
        </w:rPr>
      </w:pPr>
    </w:p>
    <w:p w14:paraId="73D25295">
      <w:pPr>
        <w:spacing w:line="400" w:lineRule="exact"/>
        <w:jc w:val="center"/>
        <w:rPr>
          <w:rFonts w:ascii="宋体"/>
          <w:sz w:val="32"/>
          <w:szCs w:val="32"/>
        </w:rPr>
      </w:pPr>
    </w:p>
    <w:p w14:paraId="616E3902">
      <w:pPr>
        <w:spacing w:line="400" w:lineRule="exact"/>
        <w:jc w:val="center"/>
        <w:rPr>
          <w:rFonts w:ascii="宋体"/>
          <w:sz w:val="32"/>
          <w:szCs w:val="32"/>
        </w:rPr>
      </w:pPr>
    </w:p>
    <w:p w14:paraId="10F3F045">
      <w:pPr>
        <w:spacing w:line="400" w:lineRule="exact"/>
        <w:jc w:val="center"/>
        <w:rPr>
          <w:rFonts w:ascii="宋体"/>
          <w:sz w:val="32"/>
          <w:szCs w:val="32"/>
        </w:rPr>
      </w:pPr>
    </w:p>
    <w:p w14:paraId="7F905B3C">
      <w:pPr>
        <w:spacing w:line="400" w:lineRule="exact"/>
        <w:jc w:val="center"/>
        <w:rPr>
          <w:rFonts w:ascii="宋体"/>
          <w:sz w:val="32"/>
          <w:szCs w:val="32"/>
        </w:rPr>
      </w:pPr>
    </w:p>
    <w:p w14:paraId="0E87261C">
      <w:pPr>
        <w:spacing w:line="400" w:lineRule="exact"/>
        <w:jc w:val="center"/>
        <w:rPr>
          <w:rFonts w:ascii="宋体"/>
          <w:sz w:val="32"/>
          <w:szCs w:val="32"/>
        </w:rPr>
      </w:pPr>
    </w:p>
    <w:p w14:paraId="5EDAC05D">
      <w:pPr>
        <w:spacing w:line="400" w:lineRule="exact"/>
        <w:jc w:val="center"/>
        <w:rPr>
          <w:rFonts w:ascii="宋体"/>
          <w:sz w:val="32"/>
          <w:szCs w:val="32"/>
        </w:rPr>
      </w:pPr>
    </w:p>
    <w:p w14:paraId="20FB4880">
      <w:pPr>
        <w:spacing w:line="400" w:lineRule="exact"/>
        <w:jc w:val="center"/>
        <w:rPr>
          <w:rFonts w:ascii="宋体"/>
          <w:sz w:val="32"/>
          <w:szCs w:val="32"/>
        </w:rPr>
      </w:pPr>
    </w:p>
    <w:p w14:paraId="6EB3A72A">
      <w:pPr>
        <w:spacing w:line="400" w:lineRule="exact"/>
        <w:jc w:val="center"/>
        <w:rPr>
          <w:rFonts w:ascii="宋体"/>
          <w:sz w:val="32"/>
          <w:szCs w:val="32"/>
        </w:rPr>
      </w:pPr>
    </w:p>
    <w:p w14:paraId="29186234">
      <w:pPr>
        <w:spacing w:line="400" w:lineRule="exact"/>
        <w:jc w:val="center"/>
        <w:rPr>
          <w:rFonts w:ascii="宋体"/>
          <w:sz w:val="32"/>
          <w:szCs w:val="32"/>
        </w:rPr>
      </w:pPr>
    </w:p>
    <w:p w14:paraId="2B88E059">
      <w:pPr>
        <w:spacing w:line="400" w:lineRule="exact"/>
        <w:jc w:val="center"/>
        <w:rPr>
          <w:rFonts w:ascii="宋体"/>
          <w:sz w:val="32"/>
          <w:szCs w:val="32"/>
        </w:rPr>
      </w:pPr>
    </w:p>
    <w:p w14:paraId="1114B18C">
      <w:pPr>
        <w:pStyle w:val="46"/>
        <w:rPr>
          <w:sz w:val="44"/>
          <w:szCs w:val="44"/>
        </w:rPr>
      </w:pPr>
      <w:bookmarkStart w:id="18" w:name="_Toc476436172"/>
      <w:bookmarkStart w:id="19" w:name="_Toc476436431"/>
      <w:r>
        <w:rPr>
          <w:rFonts w:hint="eastAsia"/>
          <w:sz w:val="44"/>
          <w:szCs w:val="44"/>
        </w:rPr>
        <w:t>第一章  公开招标公告</w:t>
      </w:r>
      <w:bookmarkEnd w:id="18"/>
      <w:bookmarkEnd w:id="19"/>
    </w:p>
    <w:p w14:paraId="4DDE398D"/>
    <w:p w14:paraId="1D823B96"/>
    <w:p w14:paraId="2082BA78">
      <w:pPr>
        <w:jc w:val="center"/>
      </w:pPr>
      <w:r>
        <w:br w:type="page"/>
      </w:r>
    </w:p>
    <w:p w14:paraId="66ECE224">
      <w:pPr>
        <w:jc w:val="center"/>
        <w:rPr>
          <w:rFonts w:ascii="华文新魏" w:eastAsia="华文新魏"/>
          <w:sz w:val="44"/>
          <w:szCs w:val="44"/>
        </w:rPr>
      </w:pPr>
      <w:r>
        <w:rPr>
          <w:rFonts w:hint="eastAsia" w:ascii="华文新魏" w:eastAsia="华文新魏"/>
          <w:sz w:val="44"/>
          <w:szCs w:val="44"/>
        </w:rPr>
        <w:t>广西国力招标有限公司</w:t>
      </w:r>
    </w:p>
    <w:p w14:paraId="5E683691">
      <w:pPr>
        <w:jc w:val="center"/>
        <w:rPr>
          <w:rFonts w:ascii="华文新魏" w:eastAsia="华文新魏"/>
          <w:sz w:val="44"/>
          <w:szCs w:val="44"/>
        </w:rPr>
      </w:pPr>
      <w:r>
        <w:rPr>
          <w:rFonts w:hint="eastAsia" w:ascii="华文新魏" w:eastAsia="华文新魏"/>
          <w:sz w:val="44"/>
          <w:szCs w:val="44"/>
        </w:rPr>
        <w:t>公开招标公告</w:t>
      </w:r>
    </w:p>
    <w:p w14:paraId="14329434">
      <w:pPr>
        <w:jc w:val="center"/>
        <w:rPr>
          <w:rFonts w:ascii="华文新魏" w:eastAsia="华文新魏"/>
          <w:b/>
          <w:color w:val="7030A0"/>
          <w:sz w:val="22"/>
          <w:szCs w:val="44"/>
        </w:rPr>
      </w:pPr>
    </w:p>
    <w:p w14:paraId="6456F4FF">
      <w:pPr>
        <w:rPr>
          <w:rFonts w:ascii="宋体" w:hAnsi="宋体"/>
        </w:rPr>
      </w:pPr>
    </w:p>
    <w:p w14:paraId="686FE450">
      <w:pPr>
        <w:pBdr>
          <w:top w:val="single" w:color="auto" w:sz="4" w:space="1"/>
          <w:left w:val="single" w:color="auto" w:sz="4" w:space="4"/>
          <w:bottom w:val="single" w:color="auto" w:sz="4" w:space="1"/>
          <w:right w:val="single" w:color="auto" w:sz="4" w:space="4"/>
        </w:pBdr>
        <w:spacing w:line="380" w:lineRule="exact"/>
        <w:ind w:firstLine="420" w:firstLineChars="200"/>
        <w:rPr>
          <w:rFonts w:ascii="宋体" w:hAnsi="宋体"/>
          <w:szCs w:val="21"/>
        </w:rPr>
      </w:pPr>
      <w:r>
        <w:rPr>
          <w:rFonts w:hint="eastAsia" w:ascii="宋体" w:hAnsi="宋体"/>
          <w:szCs w:val="21"/>
        </w:rPr>
        <w:t>项目概况</w:t>
      </w:r>
    </w:p>
    <w:p w14:paraId="54598399">
      <w:pPr>
        <w:pBdr>
          <w:top w:val="single" w:color="auto" w:sz="4" w:space="1"/>
          <w:left w:val="single" w:color="auto" w:sz="4" w:space="4"/>
          <w:bottom w:val="single" w:color="auto" w:sz="4" w:space="1"/>
          <w:right w:val="single" w:color="auto" w:sz="4" w:space="4"/>
        </w:pBdr>
        <w:spacing w:line="380" w:lineRule="exact"/>
        <w:ind w:firstLine="420" w:firstLineChars="200"/>
        <w:rPr>
          <w:rFonts w:ascii="宋体" w:hAnsi="宋体"/>
          <w:szCs w:val="21"/>
        </w:rPr>
      </w:pPr>
      <w:r>
        <w:rPr>
          <w:rFonts w:ascii="宋体" w:hAnsi="宋体"/>
          <w:szCs w:val="21"/>
          <w:u w:val="single"/>
        </w:rPr>
        <w:t xml:space="preserve"> </w:t>
      </w:r>
      <w:r>
        <w:rPr>
          <w:rFonts w:hint="eastAsia" w:ascii="宋体" w:hAnsi="宋体"/>
          <w:szCs w:val="21"/>
          <w:u w:val="single"/>
          <w:lang w:eastAsia="zh-CN"/>
        </w:rPr>
        <w:t>广西医科大学2026-2028年纸质图书采购</w:t>
      </w:r>
      <w:r>
        <w:rPr>
          <w:rFonts w:hint="eastAsia" w:ascii="宋体" w:hAnsi="宋体"/>
          <w:szCs w:val="21"/>
        </w:rPr>
        <w:t>招标项目的潜在投标人应在</w:t>
      </w:r>
      <w:r>
        <w:rPr>
          <w:rFonts w:hint="eastAsia" w:ascii="宋体" w:hAnsi="宋体"/>
          <w:szCs w:val="21"/>
          <w:u w:val="single"/>
        </w:rPr>
        <w:t>广西政府采购云平台（</w:t>
      </w:r>
      <w:r>
        <w:rPr>
          <w:rFonts w:ascii="宋体" w:hAnsi="宋体"/>
          <w:szCs w:val="21"/>
          <w:u w:val="single"/>
        </w:rPr>
        <w:t>https://www.gcy.zfcg.gxzf.gov.cn/）</w:t>
      </w:r>
      <w:r>
        <w:rPr>
          <w:rFonts w:hint="eastAsia" w:ascii="宋体" w:hAnsi="宋体"/>
          <w:szCs w:val="21"/>
        </w:rPr>
        <w:t>获取招标文件，并于</w:t>
      </w:r>
      <w:r>
        <w:rPr>
          <w:rFonts w:ascii="宋体" w:hAnsi="宋体"/>
          <w:szCs w:val="21"/>
          <w:u w:val="single"/>
        </w:rPr>
        <w:t>2026年</w:t>
      </w:r>
      <w:r>
        <w:rPr>
          <w:rFonts w:hint="eastAsia" w:ascii="宋体" w:hAnsi="宋体"/>
          <w:bCs/>
          <w:szCs w:val="21"/>
          <w:u w:val="single"/>
          <w:lang w:val="en-US" w:eastAsia="zh-CN"/>
        </w:rPr>
        <w:t>5</w:t>
      </w:r>
      <w:r>
        <w:rPr>
          <w:rFonts w:ascii="宋体" w:hAnsi="宋体"/>
          <w:bCs/>
          <w:szCs w:val="21"/>
          <w:u w:val="single"/>
        </w:rPr>
        <w:t>月</w:t>
      </w:r>
      <w:r>
        <w:rPr>
          <w:rFonts w:hint="eastAsia" w:ascii="宋体" w:hAnsi="宋体"/>
          <w:bCs/>
          <w:szCs w:val="21"/>
          <w:u w:val="single"/>
          <w:lang w:val="en-US" w:eastAsia="zh-CN"/>
        </w:rPr>
        <w:t>28</w:t>
      </w:r>
      <w:r>
        <w:rPr>
          <w:rFonts w:ascii="宋体" w:hAnsi="宋体"/>
          <w:bCs/>
          <w:szCs w:val="21"/>
          <w:u w:val="single"/>
        </w:rPr>
        <w:t>日</w:t>
      </w:r>
      <w:r>
        <w:rPr>
          <w:rFonts w:hint="eastAsia" w:ascii="宋体" w:hAnsi="宋体"/>
          <w:bCs/>
          <w:szCs w:val="21"/>
          <w:u w:val="single"/>
          <w:lang w:val="en-US" w:eastAsia="zh-CN"/>
        </w:rPr>
        <w:t>09</w:t>
      </w:r>
      <w:r>
        <w:rPr>
          <w:rFonts w:ascii="宋体" w:hAnsi="宋体"/>
          <w:bCs/>
          <w:szCs w:val="21"/>
          <w:u w:val="single"/>
        </w:rPr>
        <w:t>点</w:t>
      </w:r>
      <w:r>
        <w:rPr>
          <w:rFonts w:hint="eastAsia" w:ascii="宋体" w:hAnsi="宋体"/>
          <w:bCs/>
          <w:szCs w:val="21"/>
          <w:u w:val="single"/>
          <w:lang w:val="en-US" w:eastAsia="zh-CN"/>
        </w:rPr>
        <w:t>30</w:t>
      </w:r>
      <w:r>
        <w:rPr>
          <w:rFonts w:ascii="宋体" w:hAnsi="宋体"/>
          <w:bCs/>
          <w:szCs w:val="21"/>
          <w:u w:val="single"/>
        </w:rPr>
        <w:t>分（</w:t>
      </w:r>
      <w:r>
        <w:rPr>
          <w:rFonts w:hint="eastAsia" w:ascii="宋体" w:hAnsi="宋体"/>
          <w:bCs/>
          <w:szCs w:val="21"/>
        </w:rPr>
        <w:t>北京时间）前递交投标</w:t>
      </w:r>
      <w:r>
        <w:rPr>
          <w:rFonts w:ascii="宋体" w:hAnsi="宋体"/>
          <w:bCs/>
          <w:szCs w:val="21"/>
        </w:rPr>
        <w:t>文件</w:t>
      </w:r>
      <w:r>
        <w:rPr>
          <w:rFonts w:hint="eastAsia" w:ascii="宋体" w:hAnsi="宋体"/>
          <w:szCs w:val="21"/>
        </w:rPr>
        <w:t>。</w:t>
      </w:r>
    </w:p>
    <w:p w14:paraId="1FBE87F4">
      <w:pPr>
        <w:spacing w:line="380" w:lineRule="exact"/>
        <w:rPr>
          <w:rFonts w:ascii="宋体" w:hAnsi="宋体"/>
          <w:szCs w:val="21"/>
        </w:rPr>
      </w:pPr>
    </w:p>
    <w:p w14:paraId="01868973">
      <w:pPr>
        <w:spacing w:line="380" w:lineRule="exact"/>
        <w:rPr>
          <w:rFonts w:ascii="宋体" w:hAnsi="宋体"/>
          <w:b/>
        </w:rPr>
      </w:pPr>
      <w:bookmarkStart w:id="20" w:name="_Toc28359079"/>
      <w:bookmarkStart w:id="21" w:name="_Toc28359002"/>
      <w:bookmarkStart w:id="22" w:name="_Toc35393621"/>
      <w:bookmarkStart w:id="23" w:name="_Toc35393790"/>
      <w:bookmarkStart w:id="24" w:name="_Hlk24379207"/>
      <w:r>
        <w:rPr>
          <w:rFonts w:hint="eastAsia" w:ascii="宋体" w:hAnsi="宋体"/>
          <w:b/>
        </w:rPr>
        <w:t>一、项目基本情况</w:t>
      </w:r>
      <w:bookmarkEnd w:id="20"/>
      <w:bookmarkEnd w:id="21"/>
      <w:bookmarkEnd w:id="22"/>
      <w:bookmarkEnd w:id="23"/>
    </w:p>
    <w:bookmarkEnd w:id="24"/>
    <w:p w14:paraId="702630FD">
      <w:pPr>
        <w:widowControl/>
        <w:adjustRightInd w:val="0"/>
        <w:snapToGrid w:val="0"/>
        <w:spacing w:line="400" w:lineRule="exact"/>
        <w:jc w:val="left"/>
        <w:rPr>
          <w:rFonts w:hint="eastAsia" w:ascii="宋体" w:hAnsi="宋体" w:eastAsia="宋体" w:cs="宋体"/>
          <w:kern w:val="0"/>
          <w:szCs w:val="21"/>
          <w:lang w:eastAsia="zh-CN"/>
        </w:rPr>
      </w:pPr>
      <w:r>
        <w:rPr>
          <w:rFonts w:ascii="宋体" w:hAnsi="宋体" w:cs="宋体"/>
          <w:kern w:val="0"/>
          <w:szCs w:val="21"/>
        </w:rPr>
        <w:t>    项目编号：</w:t>
      </w:r>
      <w:r>
        <w:rPr>
          <w:rFonts w:hint="eastAsia" w:ascii="宋体" w:hAnsi="宋体" w:cs="宋体"/>
          <w:kern w:val="0"/>
          <w:szCs w:val="21"/>
          <w:lang w:eastAsia="zh-CN"/>
        </w:rPr>
        <w:t>GXZC2026-G1-000611-GLZB</w:t>
      </w:r>
    </w:p>
    <w:p w14:paraId="158C51AB">
      <w:pPr>
        <w:widowControl/>
        <w:adjustRightInd w:val="0"/>
        <w:snapToGrid w:val="0"/>
        <w:spacing w:line="400" w:lineRule="exact"/>
        <w:jc w:val="left"/>
        <w:rPr>
          <w:rFonts w:hint="eastAsia" w:ascii="宋体" w:hAnsi="宋体" w:eastAsia="宋体" w:cs="宋体"/>
          <w:kern w:val="0"/>
          <w:szCs w:val="21"/>
          <w:lang w:eastAsia="zh-CN"/>
        </w:rPr>
      </w:pPr>
      <w:r>
        <w:rPr>
          <w:rFonts w:ascii="宋体" w:hAnsi="宋体" w:cs="宋体"/>
          <w:kern w:val="0"/>
          <w:szCs w:val="21"/>
        </w:rPr>
        <w:t>    项目名称：</w:t>
      </w:r>
      <w:r>
        <w:rPr>
          <w:rFonts w:hint="eastAsia" w:ascii="宋体" w:hAnsi="宋体" w:cs="宋体"/>
          <w:kern w:val="0"/>
          <w:szCs w:val="21"/>
          <w:lang w:eastAsia="zh-CN"/>
        </w:rPr>
        <w:t>广西医科大学2026-2028年纸质图书采购</w:t>
      </w:r>
    </w:p>
    <w:p w14:paraId="59717379">
      <w:pPr>
        <w:widowControl/>
        <w:adjustRightInd w:val="0"/>
        <w:snapToGrid w:val="0"/>
        <w:spacing w:line="400" w:lineRule="exact"/>
        <w:jc w:val="left"/>
        <w:rPr>
          <w:rFonts w:ascii="宋体" w:hAnsi="宋体" w:cs="宋体"/>
          <w:kern w:val="0"/>
          <w:szCs w:val="21"/>
        </w:rPr>
      </w:pPr>
      <w:r>
        <w:rPr>
          <w:rFonts w:ascii="宋体" w:hAnsi="宋体" w:cs="宋体"/>
          <w:kern w:val="0"/>
          <w:szCs w:val="21"/>
        </w:rPr>
        <w:t>    预算总金额（元）：</w:t>
      </w:r>
      <w:r>
        <w:rPr>
          <w:rFonts w:hint="eastAsia" w:ascii="宋体" w:hAnsi="宋体" w:cs="宋体"/>
          <w:kern w:val="0"/>
          <w:szCs w:val="21"/>
        </w:rPr>
        <w:t>6000000.00</w:t>
      </w:r>
    </w:p>
    <w:p w14:paraId="0B94FE0B">
      <w:pPr>
        <w:widowControl/>
        <w:adjustRightInd w:val="0"/>
        <w:snapToGrid w:val="0"/>
        <w:spacing w:line="400" w:lineRule="exact"/>
        <w:ind w:firstLine="615"/>
        <w:jc w:val="left"/>
        <w:rPr>
          <w:rFonts w:ascii="宋体" w:hAnsi="宋体" w:cs="宋体"/>
          <w:kern w:val="0"/>
          <w:szCs w:val="21"/>
        </w:rPr>
      </w:pPr>
      <w:r>
        <w:rPr>
          <w:rFonts w:ascii="宋体" w:hAnsi="宋体" w:cs="宋体"/>
          <w:kern w:val="0"/>
          <w:szCs w:val="21"/>
        </w:rPr>
        <w:t>采购需求：</w:t>
      </w:r>
    </w:p>
    <w:p w14:paraId="01E4FE29">
      <w:pPr>
        <w:spacing w:line="380" w:lineRule="exact"/>
        <w:ind w:left="420" w:leftChars="200"/>
        <w:rPr>
          <w:rFonts w:hint="default" w:ascii="宋体" w:hAnsi="宋体" w:eastAsia="宋体"/>
          <w:lang w:val="en-US" w:eastAsia="zh-CN"/>
        </w:rPr>
      </w:pPr>
      <w:r>
        <w:rPr>
          <w:rFonts w:ascii="宋体" w:hAnsi="宋体" w:cs="宋体"/>
          <w:kern w:val="0"/>
          <w:szCs w:val="21"/>
        </w:rPr>
        <w:t>标项一</w:t>
      </w:r>
      <w:r>
        <w:rPr>
          <w:rFonts w:ascii="宋体" w:hAnsi="宋体" w:cs="宋体"/>
          <w:kern w:val="0"/>
          <w:szCs w:val="21"/>
        </w:rPr>
        <w:br w:type="textWrapping"/>
      </w:r>
      <w:r>
        <w:rPr>
          <w:rFonts w:hint="eastAsia" w:ascii="宋体" w:hAnsi="宋体"/>
        </w:rPr>
        <w:t>标项名称：</w:t>
      </w:r>
      <w:r>
        <w:rPr>
          <w:rFonts w:hint="eastAsia" w:ascii="宋体" w:hAnsi="宋体"/>
          <w:lang w:eastAsia="zh-CN"/>
        </w:rPr>
        <w:t>广西医科大学2026-2028年纸质图书采购</w:t>
      </w:r>
      <w:r>
        <w:rPr>
          <w:rFonts w:hint="eastAsia" w:ascii="宋体" w:hAnsi="宋体"/>
          <w:lang w:val="en-US" w:eastAsia="zh-CN"/>
        </w:rPr>
        <w:t>-</w:t>
      </w:r>
      <w:r>
        <w:rPr>
          <w:rFonts w:ascii="宋体" w:hAnsi="宋体" w:cs="宋体"/>
          <w:kern w:val="0"/>
          <w:szCs w:val="21"/>
        </w:rPr>
        <w:t>标项一</w:t>
      </w:r>
    </w:p>
    <w:p w14:paraId="7BA6A823">
      <w:pPr>
        <w:spacing w:line="380" w:lineRule="exact"/>
        <w:ind w:firstLine="420" w:firstLineChars="200"/>
        <w:rPr>
          <w:rFonts w:ascii="宋体" w:hAnsi="宋体"/>
        </w:rPr>
      </w:pPr>
      <w:r>
        <w:rPr>
          <w:rFonts w:hint="eastAsia" w:ascii="宋体" w:hAnsi="宋体"/>
        </w:rPr>
        <w:t>数量：1</w:t>
      </w:r>
    </w:p>
    <w:p w14:paraId="2B22A97A">
      <w:pPr>
        <w:spacing w:line="380" w:lineRule="exact"/>
        <w:ind w:firstLine="420" w:firstLineChars="200"/>
        <w:rPr>
          <w:rFonts w:ascii="宋体" w:hAnsi="宋体"/>
        </w:rPr>
      </w:pPr>
      <w:r>
        <w:rPr>
          <w:rFonts w:hint="eastAsia" w:ascii="宋体" w:hAnsi="宋体"/>
        </w:rPr>
        <w:t>预算金额（元）：</w:t>
      </w:r>
      <w:r>
        <w:rPr>
          <w:rFonts w:hint="eastAsia" w:ascii="宋体" w:hAnsi="宋体" w:cs="宋体"/>
        </w:rPr>
        <w:t>1800000.00</w:t>
      </w:r>
    </w:p>
    <w:p w14:paraId="11B28A9E">
      <w:pPr>
        <w:spacing w:line="380" w:lineRule="exact"/>
        <w:ind w:firstLine="420" w:firstLineChars="200"/>
        <w:rPr>
          <w:rFonts w:ascii="宋体" w:hAnsi="宋体" w:cs="宋体"/>
        </w:rPr>
      </w:pPr>
      <w:r>
        <w:rPr>
          <w:rFonts w:hint="eastAsia" w:ascii="宋体" w:hAnsi="宋体"/>
        </w:rPr>
        <w:t>简要规格描述或项目基本概况介绍、用途：</w:t>
      </w:r>
      <w:r>
        <w:rPr>
          <w:rFonts w:hint="eastAsia" w:ascii="宋体" w:hAnsi="宋体" w:cs="宋体"/>
          <w:bCs/>
          <w:kern w:val="0"/>
          <w:szCs w:val="21"/>
        </w:rPr>
        <w:t>中文纸质图书(含国内外文版)1批，</w:t>
      </w:r>
      <w:r>
        <w:rPr>
          <w:rFonts w:hint="eastAsia" w:ascii="宋体" w:hAnsi="宋体" w:cs="宋体"/>
          <w:szCs w:val="21"/>
        </w:rPr>
        <w:t>如需进一步了解详细内容，详见招标文件。</w:t>
      </w:r>
    </w:p>
    <w:p w14:paraId="37DD921E">
      <w:pPr>
        <w:spacing w:line="380" w:lineRule="exact"/>
        <w:ind w:firstLine="420" w:firstLineChars="200"/>
        <w:rPr>
          <w:rFonts w:ascii="宋体" w:hAnsi="宋体"/>
        </w:rPr>
      </w:pPr>
      <w:r>
        <w:rPr>
          <w:rFonts w:hint="eastAsia" w:ascii="宋体" w:hAnsi="宋体"/>
        </w:rPr>
        <w:t>最高限价（如有）：</w:t>
      </w:r>
      <w:r>
        <w:rPr>
          <w:rFonts w:hint="eastAsia" w:ascii="宋体" w:hAnsi="宋体" w:cs="宋体"/>
        </w:rPr>
        <w:t>1800000.00</w:t>
      </w:r>
    </w:p>
    <w:p w14:paraId="657E1195">
      <w:pPr>
        <w:spacing w:line="380" w:lineRule="exact"/>
        <w:ind w:firstLine="420" w:firstLineChars="200"/>
        <w:rPr>
          <w:rFonts w:ascii="宋体" w:hAnsi="宋体"/>
          <w:color w:val="FF0000"/>
        </w:rPr>
      </w:pPr>
      <w:r>
        <w:rPr>
          <w:rFonts w:hint="eastAsia" w:ascii="宋体" w:hAnsi="宋体"/>
        </w:rPr>
        <w:t>合同履约期限：详见采购需求。</w:t>
      </w:r>
    </w:p>
    <w:p w14:paraId="108FB4B3">
      <w:pPr>
        <w:spacing w:line="380" w:lineRule="exact"/>
        <w:ind w:firstLine="420" w:firstLineChars="200"/>
        <w:rPr>
          <w:rFonts w:ascii="宋体" w:hAnsi="宋体"/>
        </w:rPr>
      </w:pPr>
      <w:r>
        <w:rPr>
          <w:rFonts w:hint="eastAsia" w:ascii="宋体" w:hAnsi="宋体"/>
        </w:rPr>
        <w:t>本标项（否）接受联合体投标</w:t>
      </w:r>
    </w:p>
    <w:p w14:paraId="6C529E78">
      <w:pPr>
        <w:spacing w:line="380" w:lineRule="exact"/>
        <w:ind w:firstLine="420" w:firstLineChars="200"/>
        <w:rPr>
          <w:rFonts w:ascii="宋体" w:hAnsi="宋体"/>
        </w:rPr>
      </w:pPr>
      <w:r>
        <w:rPr>
          <w:rFonts w:hint="eastAsia" w:ascii="宋体" w:hAnsi="宋体"/>
        </w:rPr>
        <w:t>备注：本项目为线上电子招标项目，有意向参与本项目的供应商应当做好参与全流程电子招投标交易的充分准备。</w:t>
      </w:r>
    </w:p>
    <w:p w14:paraId="203DD2E7">
      <w:pPr>
        <w:spacing w:line="380" w:lineRule="exact"/>
        <w:ind w:firstLine="420" w:firstLineChars="200"/>
        <w:rPr>
          <w:rFonts w:ascii="宋体" w:hAnsi="宋体"/>
        </w:rPr>
      </w:pPr>
    </w:p>
    <w:p w14:paraId="185AE5EF">
      <w:pPr>
        <w:spacing w:line="380" w:lineRule="exact"/>
        <w:ind w:left="420" w:leftChars="200"/>
        <w:rPr>
          <w:rFonts w:hint="eastAsia" w:ascii="宋体" w:hAnsi="宋体" w:eastAsia="宋体"/>
          <w:lang w:val="en-US" w:eastAsia="zh-CN"/>
        </w:rPr>
      </w:pPr>
      <w:r>
        <w:rPr>
          <w:rFonts w:ascii="宋体" w:hAnsi="宋体" w:cs="宋体"/>
          <w:kern w:val="0"/>
          <w:szCs w:val="21"/>
        </w:rPr>
        <w:t>标项</w:t>
      </w:r>
      <w:r>
        <w:rPr>
          <w:rFonts w:hint="eastAsia" w:ascii="宋体" w:hAnsi="宋体" w:cs="宋体"/>
          <w:kern w:val="0"/>
          <w:szCs w:val="21"/>
        </w:rPr>
        <w:t>二</w:t>
      </w:r>
      <w:r>
        <w:rPr>
          <w:rFonts w:ascii="宋体" w:hAnsi="宋体" w:cs="宋体"/>
          <w:kern w:val="0"/>
          <w:szCs w:val="21"/>
        </w:rPr>
        <w:br w:type="textWrapping"/>
      </w:r>
      <w:r>
        <w:rPr>
          <w:rFonts w:hint="eastAsia" w:ascii="宋体" w:hAnsi="宋体"/>
        </w:rPr>
        <w:t>标项名称：</w:t>
      </w:r>
      <w:r>
        <w:rPr>
          <w:rFonts w:hint="eastAsia" w:ascii="宋体" w:hAnsi="宋体"/>
          <w:lang w:eastAsia="zh-CN"/>
        </w:rPr>
        <w:t>广西医科大学2026-2028年纸质图书采购</w:t>
      </w:r>
      <w:r>
        <w:rPr>
          <w:rFonts w:hint="eastAsia" w:ascii="宋体" w:hAnsi="宋体"/>
          <w:lang w:val="en-US" w:eastAsia="zh-CN"/>
        </w:rPr>
        <w:t>-</w:t>
      </w:r>
      <w:r>
        <w:rPr>
          <w:rFonts w:ascii="宋体" w:hAnsi="宋体" w:cs="宋体"/>
          <w:kern w:val="0"/>
          <w:szCs w:val="21"/>
        </w:rPr>
        <w:t>标项</w:t>
      </w:r>
      <w:r>
        <w:rPr>
          <w:rFonts w:hint="eastAsia" w:ascii="宋体" w:hAnsi="宋体" w:cs="宋体"/>
          <w:kern w:val="0"/>
          <w:szCs w:val="21"/>
          <w:lang w:val="en-US" w:eastAsia="zh-CN"/>
        </w:rPr>
        <w:t>二</w:t>
      </w:r>
    </w:p>
    <w:p w14:paraId="69E89A6F">
      <w:pPr>
        <w:spacing w:line="380" w:lineRule="exact"/>
        <w:ind w:firstLine="420" w:firstLineChars="200"/>
        <w:rPr>
          <w:rFonts w:ascii="宋体" w:hAnsi="宋体"/>
        </w:rPr>
      </w:pPr>
      <w:r>
        <w:rPr>
          <w:rFonts w:hint="eastAsia" w:ascii="宋体" w:hAnsi="宋体"/>
        </w:rPr>
        <w:t>数量：1</w:t>
      </w:r>
    </w:p>
    <w:p w14:paraId="7620D83B">
      <w:pPr>
        <w:spacing w:line="380" w:lineRule="exact"/>
        <w:ind w:firstLine="420" w:firstLineChars="200"/>
        <w:rPr>
          <w:rFonts w:ascii="宋体" w:hAnsi="宋体"/>
        </w:rPr>
      </w:pPr>
      <w:r>
        <w:rPr>
          <w:rFonts w:hint="eastAsia" w:ascii="宋体" w:hAnsi="宋体"/>
        </w:rPr>
        <w:t>预算金额（元）：</w:t>
      </w:r>
      <w:r>
        <w:rPr>
          <w:rFonts w:hint="eastAsia" w:ascii="宋体" w:hAnsi="宋体" w:cs="宋体"/>
        </w:rPr>
        <w:t>1600000.00</w:t>
      </w:r>
    </w:p>
    <w:p w14:paraId="7A4D394F">
      <w:pPr>
        <w:spacing w:line="380" w:lineRule="exact"/>
        <w:ind w:firstLine="420" w:firstLineChars="200"/>
        <w:rPr>
          <w:rFonts w:ascii="宋体" w:hAnsi="宋体" w:cs="宋体"/>
        </w:rPr>
      </w:pPr>
      <w:r>
        <w:rPr>
          <w:rFonts w:hint="eastAsia" w:ascii="宋体" w:hAnsi="宋体"/>
        </w:rPr>
        <w:t>简要规格描述或项目基本概况介绍、用途：</w:t>
      </w:r>
      <w:r>
        <w:rPr>
          <w:rFonts w:hint="eastAsia" w:ascii="宋体" w:hAnsi="宋体" w:cs="宋体"/>
          <w:bCs/>
          <w:kern w:val="0"/>
          <w:szCs w:val="21"/>
        </w:rPr>
        <w:t>中文纸质图书(含国内外文版)1批，</w:t>
      </w:r>
      <w:r>
        <w:rPr>
          <w:rFonts w:hint="eastAsia" w:ascii="宋体" w:hAnsi="宋体" w:cs="宋体"/>
          <w:szCs w:val="21"/>
        </w:rPr>
        <w:t>如需进一步了解详细内容，详见招标文件。</w:t>
      </w:r>
      <w:bookmarkStart w:id="111" w:name="_GoBack"/>
      <w:bookmarkEnd w:id="111"/>
    </w:p>
    <w:p w14:paraId="237CD0AE">
      <w:pPr>
        <w:spacing w:line="380" w:lineRule="exact"/>
        <w:ind w:firstLine="420" w:firstLineChars="200"/>
        <w:rPr>
          <w:rFonts w:ascii="宋体" w:hAnsi="宋体"/>
        </w:rPr>
      </w:pPr>
      <w:r>
        <w:rPr>
          <w:rFonts w:hint="eastAsia" w:ascii="宋体" w:hAnsi="宋体"/>
        </w:rPr>
        <w:t>最高限价（如有）：</w:t>
      </w:r>
      <w:r>
        <w:rPr>
          <w:rFonts w:hint="eastAsia" w:ascii="宋体" w:hAnsi="宋体" w:cs="宋体"/>
        </w:rPr>
        <w:t>1600000.00</w:t>
      </w:r>
    </w:p>
    <w:p w14:paraId="3EC2BDB6">
      <w:pPr>
        <w:spacing w:line="380" w:lineRule="exact"/>
        <w:ind w:firstLine="420" w:firstLineChars="200"/>
        <w:rPr>
          <w:rFonts w:ascii="宋体" w:hAnsi="宋体"/>
          <w:color w:val="FF0000"/>
        </w:rPr>
      </w:pPr>
      <w:r>
        <w:rPr>
          <w:rFonts w:hint="eastAsia" w:ascii="宋体" w:hAnsi="宋体"/>
        </w:rPr>
        <w:t>合同履约期限：详见采购需求。</w:t>
      </w:r>
    </w:p>
    <w:p w14:paraId="63C4D429">
      <w:pPr>
        <w:spacing w:line="380" w:lineRule="exact"/>
        <w:ind w:firstLine="420" w:firstLineChars="200"/>
        <w:rPr>
          <w:rFonts w:ascii="宋体" w:hAnsi="宋体"/>
        </w:rPr>
      </w:pPr>
      <w:r>
        <w:rPr>
          <w:rFonts w:hint="eastAsia" w:ascii="宋体" w:hAnsi="宋体"/>
        </w:rPr>
        <w:t>本标项（否）接受联合体投标</w:t>
      </w:r>
    </w:p>
    <w:p w14:paraId="1D5D02B5">
      <w:pPr>
        <w:spacing w:line="380" w:lineRule="exact"/>
        <w:ind w:firstLine="420" w:firstLineChars="200"/>
        <w:rPr>
          <w:rFonts w:ascii="宋体" w:hAnsi="宋体"/>
        </w:rPr>
      </w:pPr>
      <w:r>
        <w:rPr>
          <w:rFonts w:hint="eastAsia" w:ascii="宋体" w:hAnsi="宋体"/>
        </w:rPr>
        <w:t>备注：本项目为线上电子招标项目，有意向参与本项目的供应商应当做好参与全流程电子招投标交易的充分准备。</w:t>
      </w:r>
    </w:p>
    <w:p w14:paraId="3E840681">
      <w:pPr>
        <w:spacing w:line="380" w:lineRule="exact"/>
        <w:ind w:firstLine="420" w:firstLineChars="200"/>
        <w:rPr>
          <w:rFonts w:ascii="宋体" w:hAnsi="宋体"/>
        </w:rPr>
      </w:pPr>
    </w:p>
    <w:p w14:paraId="3091AB91">
      <w:pPr>
        <w:spacing w:line="380" w:lineRule="exact"/>
        <w:ind w:left="420" w:leftChars="200"/>
        <w:rPr>
          <w:rFonts w:hint="eastAsia" w:ascii="宋体" w:hAnsi="宋体" w:eastAsia="宋体"/>
          <w:lang w:eastAsia="zh-CN"/>
        </w:rPr>
      </w:pPr>
      <w:r>
        <w:rPr>
          <w:rFonts w:ascii="宋体" w:hAnsi="宋体" w:cs="宋体"/>
          <w:kern w:val="0"/>
          <w:szCs w:val="21"/>
        </w:rPr>
        <w:t>标项</w:t>
      </w:r>
      <w:r>
        <w:rPr>
          <w:rFonts w:hint="eastAsia" w:ascii="宋体" w:hAnsi="宋体" w:cs="宋体"/>
          <w:kern w:val="0"/>
          <w:szCs w:val="21"/>
        </w:rPr>
        <w:t>三</w:t>
      </w:r>
      <w:r>
        <w:rPr>
          <w:rFonts w:ascii="宋体" w:hAnsi="宋体" w:cs="宋体"/>
          <w:kern w:val="0"/>
          <w:szCs w:val="21"/>
        </w:rPr>
        <w:br w:type="textWrapping"/>
      </w:r>
      <w:r>
        <w:rPr>
          <w:rFonts w:hint="eastAsia" w:ascii="宋体" w:hAnsi="宋体"/>
        </w:rPr>
        <w:t>标项名称：</w:t>
      </w:r>
      <w:r>
        <w:rPr>
          <w:rFonts w:hint="eastAsia" w:ascii="宋体" w:hAnsi="宋体"/>
          <w:lang w:eastAsia="zh-CN"/>
        </w:rPr>
        <w:t>广西医科大学2026-2028年纸质图书采购</w:t>
      </w:r>
      <w:r>
        <w:rPr>
          <w:rFonts w:hint="eastAsia" w:ascii="宋体" w:hAnsi="宋体"/>
          <w:lang w:val="en-US" w:eastAsia="zh-CN"/>
        </w:rPr>
        <w:t>-</w:t>
      </w:r>
      <w:r>
        <w:rPr>
          <w:rFonts w:ascii="宋体" w:hAnsi="宋体" w:cs="宋体"/>
          <w:kern w:val="0"/>
          <w:szCs w:val="21"/>
        </w:rPr>
        <w:t>标项</w:t>
      </w:r>
      <w:r>
        <w:rPr>
          <w:rFonts w:hint="eastAsia" w:ascii="宋体" w:hAnsi="宋体" w:cs="宋体"/>
          <w:kern w:val="0"/>
          <w:szCs w:val="21"/>
          <w:lang w:val="en-US" w:eastAsia="zh-CN"/>
        </w:rPr>
        <w:t>三</w:t>
      </w:r>
    </w:p>
    <w:p w14:paraId="2E294080">
      <w:pPr>
        <w:spacing w:line="380" w:lineRule="exact"/>
        <w:ind w:firstLine="420" w:firstLineChars="200"/>
        <w:rPr>
          <w:rFonts w:ascii="宋体" w:hAnsi="宋体"/>
        </w:rPr>
      </w:pPr>
      <w:r>
        <w:rPr>
          <w:rFonts w:hint="eastAsia" w:ascii="宋体" w:hAnsi="宋体"/>
        </w:rPr>
        <w:t>数量：1</w:t>
      </w:r>
    </w:p>
    <w:p w14:paraId="7D3E2CFE">
      <w:pPr>
        <w:spacing w:line="380" w:lineRule="exact"/>
        <w:ind w:firstLine="420" w:firstLineChars="200"/>
        <w:rPr>
          <w:rFonts w:ascii="宋体" w:hAnsi="宋体"/>
        </w:rPr>
      </w:pPr>
      <w:r>
        <w:rPr>
          <w:rFonts w:hint="eastAsia" w:ascii="宋体" w:hAnsi="宋体"/>
        </w:rPr>
        <w:t>预算金额（元）：</w:t>
      </w:r>
      <w:r>
        <w:rPr>
          <w:rFonts w:hint="eastAsia" w:ascii="宋体" w:hAnsi="宋体" w:cs="宋体"/>
        </w:rPr>
        <w:t>1400000.00</w:t>
      </w:r>
    </w:p>
    <w:p w14:paraId="742231AE">
      <w:pPr>
        <w:spacing w:line="380" w:lineRule="exact"/>
        <w:ind w:firstLine="420" w:firstLineChars="200"/>
        <w:rPr>
          <w:rFonts w:ascii="宋体" w:hAnsi="宋体" w:cs="宋体"/>
        </w:rPr>
      </w:pPr>
      <w:r>
        <w:rPr>
          <w:rFonts w:hint="eastAsia" w:ascii="宋体" w:hAnsi="宋体"/>
        </w:rPr>
        <w:t>简要规格描述或项目基本概况介绍、用途：</w:t>
      </w:r>
      <w:r>
        <w:rPr>
          <w:rFonts w:hint="eastAsia" w:ascii="宋体" w:hAnsi="宋体" w:cs="宋体"/>
          <w:bCs/>
          <w:kern w:val="0"/>
          <w:szCs w:val="21"/>
        </w:rPr>
        <w:t>中文纸质图书(含国内外文版)1批，</w:t>
      </w:r>
      <w:r>
        <w:rPr>
          <w:rFonts w:hint="eastAsia" w:ascii="宋体" w:hAnsi="宋体" w:cs="宋体"/>
          <w:szCs w:val="21"/>
        </w:rPr>
        <w:t>如需进一步了解详细内容，详见招标文件。</w:t>
      </w:r>
    </w:p>
    <w:p w14:paraId="48CF1BAF">
      <w:pPr>
        <w:spacing w:line="380" w:lineRule="exact"/>
        <w:ind w:firstLine="420" w:firstLineChars="200"/>
        <w:rPr>
          <w:rFonts w:ascii="宋体" w:hAnsi="宋体"/>
        </w:rPr>
      </w:pPr>
      <w:r>
        <w:rPr>
          <w:rFonts w:hint="eastAsia" w:ascii="宋体" w:hAnsi="宋体"/>
        </w:rPr>
        <w:t>最高限价（如有）：</w:t>
      </w:r>
      <w:r>
        <w:rPr>
          <w:rFonts w:hint="eastAsia" w:ascii="宋体" w:hAnsi="宋体" w:cs="宋体"/>
        </w:rPr>
        <w:t>1400000.00</w:t>
      </w:r>
    </w:p>
    <w:p w14:paraId="3E637AE7">
      <w:pPr>
        <w:spacing w:line="380" w:lineRule="exact"/>
        <w:ind w:firstLine="420" w:firstLineChars="200"/>
        <w:rPr>
          <w:rFonts w:ascii="宋体" w:hAnsi="宋体"/>
          <w:color w:val="FF0000"/>
        </w:rPr>
      </w:pPr>
      <w:r>
        <w:rPr>
          <w:rFonts w:hint="eastAsia" w:ascii="宋体" w:hAnsi="宋体"/>
        </w:rPr>
        <w:t>合同履约期限：详见采购需求。</w:t>
      </w:r>
    </w:p>
    <w:p w14:paraId="14B20D59">
      <w:pPr>
        <w:spacing w:line="380" w:lineRule="exact"/>
        <w:ind w:firstLine="420" w:firstLineChars="200"/>
        <w:rPr>
          <w:rFonts w:ascii="宋体" w:hAnsi="宋体"/>
        </w:rPr>
      </w:pPr>
      <w:r>
        <w:rPr>
          <w:rFonts w:hint="eastAsia" w:ascii="宋体" w:hAnsi="宋体"/>
        </w:rPr>
        <w:t>本标项（否）接受联合体投标</w:t>
      </w:r>
    </w:p>
    <w:p w14:paraId="61F75C75">
      <w:pPr>
        <w:spacing w:line="380" w:lineRule="exact"/>
        <w:ind w:firstLine="420" w:firstLineChars="200"/>
        <w:rPr>
          <w:rFonts w:ascii="宋体" w:hAnsi="宋体"/>
        </w:rPr>
      </w:pPr>
      <w:r>
        <w:rPr>
          <w:rFonts w:hint="eastAsia" w:ascii="宋体" w:hAnsi="宋体"/>
        </w:rPr>
        <w:t>备注：本项目为线上电子招标项目，有意向参与本项目的供应商应当做好参与全流程电子招投标交易的充分准备。</w:t>
      </w:r>
    </w:p>
    <w:p w14:paraId="2ED1BA73">
      <w:pPr>
        <w:spacing w:line="380" w:lineRule="exact"/>
        <w:ind w:firstLine="420" w:firstLineChars="200"/>
        <w:rPr>
          <w:rFonts w:ascii="宋体" w:hAnsi="宋体"/>
        </w:rPr>
      </w:pPr>
    </w:p>
    <w:p w14:paraId="3AA88541">
      <w:pPr>
        <w:spacing w:line="380" w:lineRule="exact"/>
        <w:ind w:left="420" w:leftChars="200"/>
        <w:rPr>
          <w:rFonts w:hint="default" w:ascii="宋体" w:hAnsi="宋体" w:eastAsia="宋体"/>
          <w:lang w:val="en-US" w:eastAsia="zh-CN"/>
        </w:rPr>
      </w:pPr>
      <w:r>
        <w:rPr>
          <w:rFonts w:ascii="宋体" w:hAnsi="宋体" w:cs="宋体"/>
          <w:kern w:val="0"/>
          <w:szCs w:val="21"/>
        </w:rPr>
        <w:t>标项</w:t>
      </w:r>
      <w:r>
        <w:rPr>
          <w:rFonts w:hint="eastAsia" w:ascii="宋体" w:hAnsi="宋体" w:cs="宋体"/>
          <w:kern w:val="0"/>
          <w:szCs w:val="21"/>
        </w:rPr>
        <w:t>四</w:t>
      </w:r>
      <w:r>
        <w:rPr>
          <w:rFonts w:ascii="宋体" w:hAnsi="宋体" w:cs="宋体"/>
          <w:kern w:val="0"/>
          <w:szCs w:val="21"/>
        </w:rPr>
        <w:br w:type="textWrapping"/>
      </w:r>
      <w:r>
        <w:rPr>
          <w:rFonts w:hint="eastAsia" w:ascii="宋体" w:hAnsi="宋体"/>
        </w:rPr>
        <w:t>标项名称：</w:t>
      </w:r>
      <w:r>
        <w:rPr>
          <w:rFonts w:hint="eastAsia" w:ascii="宋体" w:hAnsi="宋体"/>
          <w:lang w:eastAsia="zh-CN"/>
        </w:rPr>
        <w:t>广西医科大学2026-2028年纸质图书采购</w:t>
      </w:r>
      <w:r>
        <w:rPr>
          <w:rFonts w:hint="eastAsia" w:ascii="宋体" w:hAnsi="宋体"/>
          <w:lang w:val="en-US" w:eastAsia="zh-CN"/>
        </w:rPr>
        <w:t>-标项四</w:t>
      </w:r>
    </w:p>
    <w:p w14:paraId="64C2C4DF">
      <w:pPr>
        <w:spacing w:line="380" w:lineRule="exact"/>
        <w:ind w:firstLine="420" w:firstLineChars="200"/>
        <w:rPr>
          <w:rFonts w:ascii="宋体" w:hAnsi="宋体"/>
        </w:rPr>
      </w:pPr>
      <w:r>
        <w:rPr>
          <w:rFonts w:hint="eastAsia" w:ascii="宋体" w:hAnsi="宋体"/>
        </w:rPr>
        <w:t>数量：1</w:t>
      </w:r>
    </w:p>
    <w:p w14:paraId="6E239310">
      <w:pPr>
        <w:spacing w:line="380" w:lineRule="exact"/>
        <w:ind w:firstLine="420" w:firstLineChars="200"/>
        <w:rPr>
          <w:rFonts w:ascii="宋体" w:hAnsi="宋体"/>
        </w:rPr>
      </w:pPr>
      <w:r>
        <w:rPr>
          <w:rFonts w:hint="eastAsia" w:ascii="宋体" w:hAnsi="宋体"/>
        </w:rPr>
        <w:t>预算金额（元）：</w:t>
      </w:r>
      <w:r>
        <w:rPr>
          <w:rFonts w:hint="eastAsia" w:ascii="宋体" w:hAnsi="宋体" w:cs="宋体"/>
        </w:rPr>
        <w:t>1200000.00</w:t>
      </w:r>
    </w:p>
    <w:p w14:paraId="51E573B9">
      <w:pPr>
        <w:spacing w:line="380" w:lineRule="exact"/>
        <w:ind w:firstLine="420" w:firstLineChars="200"/>
        <w:rPr>
          <w:rFonts w:ascii="宋体" w:hAnsi="宋体" w:cs="宋体"/>
        </w:rPr>
      </w:pPr>
      <w:r>
        <w:rPr>
          <w:rFonts w:hint="eastAsia" w:ascii="宋体" w:hAnsi="宋体"/>
        </w:rPr>
        <w:t>简要规格描述或项目基本概况介绍、用途：</w:t>
      </w:r>
      <w:r>
        <w:rPr>
          <w:rFonts w:hint="eastAsia" w:ascii="宋体" w:hAnsi="宋体" w:cs="宋体"/>
          <w:bCs/>
          <w:kern w:val="0"/>
          <w:szCs w:val="21"/>
        </w:rPr>
        <w:t>中文纸质图书(含国内外文版)1批，</w:t>
      </w:r>
      <w:r>
        <w:rPr>
          <w:rFonts w:hint="eastAsia" w:ascii="宋体" w:hAnsi="宋体" w:cs="宋体"/>
          <w:szCs w:val="21"/>
        </w:rPr>
        <w:t>如需进一步了解详细内容，详见招标文件。</w:t>
      </w:r>
    </w:p>
    <w:p w14:paraId="7FBBEA27">
      <w:pPr>
        <w:spacing w:line="380" w:lineRule="exact"/>
        <w:ind w:firstLine="420" w:firstLineChars="200"/>
        <w:rPr>
          <w:rFonts w:ascii="宋体" w:hAnsi="宋体"/>
        </w:rPr>
      </w:pPr>
      <w:r>
        <w:rPr>
          <w:rFonts w:hint="eastAsia" w:ascii="宋体" w:hAnsi="宋体"/>
        </w:rPr>
        <w:t>最高限价（如有）：</w:t>
      </w:r>
      <w:r>
        <w:rPr>
          <w:rFonts w:hint="eastAsia" w:ascii="宋体" w:hAnsi="宋体" w:cs="宋体"/>
        </w:rPr>
        <w:t>1200000.00</w:t>
      </w:r>
    </w:p>
    <w:p w14:paraId="031E8437">
      <w:pPr>
        <w:spacing w:line="380" w:lineRule="exact"/>
        <w:ind w:firstLine="420" w:firstLineChars="200"/>
        <w:rPr>
          <w:rFonts w:ascii="宋体" w:hAnsi="宋体"/>
          <w:color w:val="FF0000"/>
        </w:rPr>
      </w:pPr>
      <w:r>
        <w:rPr>
          <w:rFonts w:hint="eastAsia" w:ascii="宋体" w:hAnsi="宋体"/>
        </w:rPr>
        <w:t>合同履约期限：</w:t>
      </w:r>
      <w:r>
        <w:rPr>
          <w:rFonts w:hint="eastAsia"/>
          <w:color w:val="auto"/>
          <w:highlight w:val="none"/>
        </w:rPr>
        <w:t>采购期限自合同签订之日起至2028年12月31日止；图书质保期至届满之日止。</w:t>
      </w:r>
    </w:p>
    <w:p w14:paraId="2A6A41CF">
      <w:pPr>
        <w:spacing w:line="380" w:lineRule="exact"/>
        <w:ind w:firstLine="420" w:firstLineChars="200"/>
        <w:rPr>
          <w:rFonts w:ascii="宋体" w:hAnsi="宋体"/>
        </w:rPr>
      </w:pPr>
      <w:r>
        <w:rPr>
          <w:rFonts w:hint="eastAsia" w:ascii="宋体" w:hAnsi="宋体"/>
        </w:rPr>
        <w:t>本标项（否）接受联合体投标</w:t>
      </w:r>
    </w:p>
    <w:p w14:paraId="00510072">
      <w:pPr>
        <w:spacing w:line="380" w:lineRule="exact"/>
        <w:ind w:firstLine="420" w:firstLineChars="200"/>
        <w:rPr>
          <w:rFonts w:ascii="宋体" w:hAnsi="宋体"/>
        </w:rPr>
      </w:pPr>
      <w:r>
        <w:rPr>
          <w:rFonts w:hint="eastAsia" w:ascii="宋体" w:hAnsi="宋体"/>
        </w:rPr>
        <w:t>备注：本项目为线上电子招标项目，有意向参与本项目的供应商应当做好参与全流程电子招投标交易的充分准备。</w:t>
      </w:r>
    </w:p>
    <w:p w14:paraId="0C66F485">
      <w:pPr>
        <w:spacing w:line="380" w:lineRule="exact"/>
        <w:rPr>
          <w:rFonts w:ascii="宋体" w:hAnsi="宋体"/>
          <w:b/>
        </w:rPr>
      </w:pPr>
      <w:bookmarkStart w:id="25" w:name="_Toc35393622"/>
      <w:bookmarkStart w:id="26" w:name="_Toc28359080"/>
      <w:bookmarkStart w:id="27" w:name="_Toc28359003"/>
      <w:bookmarkStart w:id="28" w:name="_Toc35393791"/>
      <w:r>
        <w:rPr>
          <w:rFonts w:hint="eastAsia" w:ascii="宋体" w:hAnsi="宋体"/>
          <w:b/>
        </w:rPr>
        <w:t>二、申请人的资格要求：</w:t>
      </w:r>
      <w:bookmarkEnd w:id="25"/>
      <w:bookmarkEnd w:id="26"/>
      <w:bookmarkEnd w:id="27"/>
      <w:bookmarkEnd w:id="28"/>
    </w:p>
    <w:p w14:paraId="57C7407E">
      <w:pPr>
        <w:spacing w:line="380" w:lineRule="exact"/>
        <w:ind w:firstLine="420" w:firstLineChars="200"/>
        <w:rPr>
          <w:rFonts w:ascii="宋体" w:hAnsi="宋体"/>
        </w:rPr>
      </w:pPr>
      <w:r>
        <w:rPr>
          <w:rFonts w:hint="eastAsia" w:ascii="宋体" w:hAnsi="宋体"/>
        </w:rPr>
        <w:t>1.满足《中华人民共和国政府采购法》第二十二条规定；</w:t>
      </w:r>
    </w:p>
    <w:p w14:paraId="3EE1FE5E">
      <w:pPr>
        <w:spacing w:line="380" w:lineRule="exact"/>
        <w:ind w:firstLine="420" w:firstLineChars="200"/>
        <w:rPr>
          <w:rFonts w:ascii="宋体" w:hAnsi="宋体"/>
        </w:rPr>
      </w:pPr>
      <w:bookmarkStart w:id="29" w:name="_Toc28359081"/>
      <w:bookmarkStart w:id="30" w:name="_Toc28359004"/>
      <w:r>
        <w:rPr>
          <w:rFonts w:ascii="宋体" w:hAnsi="宋体"/>
        </w:rPr>
        <w:t>2</w:t>
      </w:r>
      <w:r>
        <w:rPr>
          <w:rFonts w:hint="eastAsia" w:ascii="宋体" w:hAnsi="宋体"/>
        </w:rPr>
        <w:t>.落实政府采购政策需满足的资格要求：无；</w:t>
      </w:r>
    </w:p>
    <w:p w14:paraId="2385C77D">
      <w:pPr>
        <w:spacing w:line="380" w:lineRule="exact"/>
        <w:ind w:firstLine="420" w:firstLineChars="200"/>
        <w:rPr>
          <w:rFonts w:ascii="宋体" w:hAnsi="宋体"/>
          <w:i/>
          <w:iCs/>
          <w:u w:val="single"/>
        </w:rPr>
      </w:pPr>
      <w:r>
        <w:rPr>
          <w:rFonts w:hint="eastAsia" w:ascii="宋体" w:hAnsi="宋体"/>
        </w:rPr>
        <w:t>3.本项目的特定资格要求：投标人须具备有效的《中华人民共和国出版物经营许可证》。</w:t>
      </w:r>
    </w:p>
    <w:bookmarkEnd w:id="29"/>
    <w:bookmarkEnd w:id="30"/>
    <w:p w14:paraId="2B6E22F9">
      <w:pPr>
        <w:spacing w:line="380" w:lineRule="exact"/>
        <w:rPr>
          <w:rFonts w:ascii="宋体" w:hAnsi="宋体"/>
          <w:b/>
        </w:rPr>
      </w:pPr>
      <w:bookmarkStart w:id="31" w:name="_Toc35393623"/>
      <w:bookmarkStart w:id="32" w:name="_Toc35393792"/>
      <w:r>
        <w:rPr>
          <w:rFonts w:hint="eastAsia" w:ascii="宋体" w:hAnsi="宋体"/>
          <w:b/>
        </w:rPr>
        <w:t>三、获取招标文件</w:t>
      </w:r>
      <w:bookmarkEnd w:id="31"/>
      <w:bookmarkEnd w:id="32"/>
    </w:p>
    <w:p w14:paraId="0A398D1B">
      <w:pPr>
        <w:spacing w:line="380" w:lineRule="exact"/>
        <w:ind w:firstLine="420" w:firstLineChars="200"/>
        <w:rPr>
          <w:rFonts w:ascii="宋体" w:hAnsi="宋体"/>
        </w:rPr>
      </w:pPr>
      <w:r>
        <w:rPr>
          <w:rFonts w:hint="eastAsia" w:ascii="宋体" w:hAnsi="宋体"/>
        </w:rPr>
        <w:t>时间：</w:t>
      </w:r>
      <w:r>
        <w:rPr>
          <w:rFonts w:ascii="宋体" w:hAnsi="宋体"/>
          <w:u w:val="single"/>
        </w:rPr>
        <w:t>2026年</w:t>
      </w:r>
      <w:r>
        <w:rPr>
          <w:rFonts w:hint="eastAsia" w:ascii="宋体" w:hAnsi="宋体"/>
          <w:u w:val="single"/>
          <w:lang w:val="en-US" w:eastAsia="zh-CN"/>
        </w:rPr>
        <w:t>5</w:t>
      </w:r>
      <w:r>
        <w:rPr>
          <w:rFonts w:hint="eastAsia" w:ascii="宋体" w:hAnsi="宋体"/>
          <w:u w:val="single"/>
        </w:rPr>
        <w:t>月</w:t>
      </w:r>
      <w:r>
        <w:rPr>
          <w:rFonts w:hint="eastAsia" w:ascii="宋体" w:hAnsi="宋体"/>
          <w:u w:val="single"/>
          <w:lang w:val="en-US" w:eastAsia="zh-CN"/>
        </w:rPr>
        <w:t>7</w:t>
      </w:r>
      <w:r>
        <w:rPr>
          <w:rFonts w:hint="eastAsia" w:ascii="宋体" w:hAnsi="宋体"/>
          <w:u w:val="single"/>
        </w:rPr>
        <w:t>日</w:t>
      </w:r>
      <w:r>
        <w:rPr>
          <w:rFonts w:hint="eastAsia" w:ascii="宋体" w:hAnsi="宋体"/>
        </w:rPr>
        <w:t>至</w:t>
      </w:r>
      <w:r>
        <w:rPr>
          <w:rFonts w:ascii="宋体" w:hAnsi="宋体"/>
          <w:u w:val="single"/>
        </w:rPr>
        <w:t>2026年</w:t>
      </w:r>
      <w:r>
        <w:rPr>
          <w:rFonts w:hint="eastAsia" w:ascii="宋体" w:hAnsi="宋体"/>
          <w:u w:val="single"/>
          <w:lang w:val="en-US" w:eastAsia="zh-CN"/>
        </w:rPr>
        <w:t>5</w:t>
      </w:r>
      <w:r>
        <w:rPr>
          <w:rFonts w:hint="eastAsia" w:ascii="宋体" w:hAnsi="宋体"/>
          <w:u w:val="single"/>
        </w:rPr>
        <w:t>月</w:t>
      </w:r>
      <w:r>
        <w:rPr>
          <w:rFonts w:hint="eastAsia" w:ascii="宋体" w:hAnsi="宋体"/>
          <w:u w:val="single"/>
          <w:lang w:val="en-US" w:eastAsia="zh-CN"/>
        </w:rPr>
        <w:t>13</w:t>
      </w:r>
      <w:r>
        <w:rPr>
          <w:rFonts w:hint="eastAsia" w:ascii="宋体" w:hAnsi="宋体"/>
          <w:u w:val="single"/>
        </w:rPr>
        <w:t>日</w:t>
      </w:r>
      <w:r>
        <w:rPr>
          <w:rFonts w:hint="eastAsia" w:ascii="宋体" w:hAnsi="宋体"/>
        </w:rPr>
        <w:t>，每天上午</w:t>
      </w:r>
      <w:r>
        <w:rPr>
          <w:rFonts w:hint="eastAsia" w:ascii="宋体" w:hAnsi="宋体"/>
          <w:u w:val="single"/>
        </w:rPr>
        <w:t>8时30分</w:t>
      </w:r>
      <w:r>
        <w:rPr>
          <w:rFonts w:hint="eastAsia" w:ascii="宋体" w:hAnsi="宋体"/>
        </w:rPr>
        <w:t>至</w:t>
      </w:r>
      <w:r>
        <w:rPr>
          <w:rFonts w:hint="eastAsia" w:ascii="宋体" w:hAnsi="宋体"/>
          <w:u w:val="single"/>
        </w:rPr>
        <w:t>11时59分</w:t>
      </w:r>
      <w:r>
        <w:rPr>
          <w:rFonts w:hint="eastAsia" w:ascii="宋体" w:hAnsi="宋体"/>
        </w:rPr>
        <w:t>，下午</w:t>
      </w:r>
      <w:r>
        <w:rPr>
          <w:rFonts w:hint="eastAsia" w:ascii="宋体" w:hAnsi="宋体"/>
          <w:u w:val="single"/>
        </w:rPr>
        <w:t>12时00分</w:t>
      </w:r>
      <w:r>
        <w:rPr>
          <w:rFonts w:hint="eastAsia" w:ascii="宋体" w:hAnsi="宋体"/>
        </w:rPr>
        <w:t>至</w:t>
      </w:r>
      <w:r>
        <w:rPr>
          <w:rFonts w:hint="eastAsia" w:ascii="宋体" w:hAnsi="宋体"/>
          <w:u w:val="single"/>
        </w:rPr>
        <w:t>18时00分</w:t>
      </w:r>
      <w:r>
        <w:rPr>
          <w:rFonts w:hint="eastAsia" w:ascii="宋体" w:hAnsi="宋体"/>
        </w:rPr>
        <w:t>（北京时间，</w:t>
      </w:r>
      <w:r>
        <w:rPr>
          <w:rFonts w:ascii="宋体" w:hAnsi="宋体"/>
        </w:rPr>
        <w:t>法定节假日</w:t>
      </w:r>
      <w:r>
        <w:rPr>
          <w:rFonts w:hint="eastAsia" w:ascii="宋体" w:hAnsi="宋体"/>
        </w:rPr>
        <w:t>除外）</w:t>
      </w:r>
    </w:p>
    <w:p w14:paraId="62C82D11">
      <w:pPr>
        <w:spacing w:line="380" w:lineRule="exact"/>
        <w:ind w:firstLine="420" w:firstLineChars="200"/>
        <w:rPr>
          <w:rFonts w:ascii="宋体" w:hAnsi="宋体"/>
          <w:u w:val="single"/>
        </w:rPr>
      </w:pPr>
      <w:r>
        <w:rPr>
          <w:rFonts w:hint="eastAsia" w:ascii="宋体" w:hAnsi="宋体"/>
        </w:rPr>
        <w:t>地点（网址）：广西政府采购云平台（https://www.gcy.zfcg.gxzf.gov.cn/）</w:t>
      </w:r>
    </w:p>
    <w:p w14:paraId="38D5C9A9">
      <w:pPr>
        <w:spacing w:line="380" w:lineRule="exact"/>
        <w:ind w:firstLine="420" w:firstLineChars="200"/>
        <w:rPr>
          <w:rFonts w:ascii="宋体" w:hAnsi="宋体"/>
        </w:rPr>
      </w:pPr>
      <w:r>
        <w:rPr>
          <w:rFonts w:hint="eastAsia" w:ascii="宋体" w:hAnsi="宋体"/>
        </w:rPr>
        <w:t>方式：请登录广西政府采购云平台（https://www.gcy.zfcg.gxzf.gov.cn/）进行报名并获取采购文件；未注册的供应商可在广西政府采购云平台完成注册后再行报名。如在操作过程中遇到问题或需技术支持，请致电广西政府采购云平台客服热线：</w:t>
      </w:r>
      <w:r>
        <w:rPr>
          <w:rFonts w:ascii="宋体" w:hAnsi="宋体"/>
        </w:rPr>
        <w:t>95763</w:t>
      </w:r>
      <w:r>
        <w:rPr>
          <w:rFonts w:hint="eastAsia" w:ascii="宋体" w:hAnsi="宋体"/>
        </w:rPr>
        <w:t>。提示：供应商只有在“广西政府采购云平台”完成获取采购文件申请并下载了采购文件后才视作依法获取采购文件（法律法规所指的供应商获取采购文件时间以供应商完成获取采购文件申请后下载采购文件的时间为准）。</w:t>
      </w:r>
    </w:p>
    <w:p w14:paraId="2AA22C20">
      <w:pPr>
        <w:spacing w:line="380" w:lineRule="exact"/>
        <w:ind w:firstLine="420" w:firstLineChars="200"/>
        <w:rPr>
          <w:rFonts w:ascii="宋体" w:hAnsi="宋体"/>
        </w:rPr>
      </w:pPr>
      <w:r>
        <w:rPr>
          <w:rFonts w:ascii="宋体" w:hAnsi="宋体" w:cs="宋体"/>
          <w:kern w:val="0"/>
          <w:szCs w:val="21"/>
        </w:rPr>
        <w:t>售价（元）：</w:t>
      </w:r>
      <w:r>
        <w:rPr>
          <w:rFonts w:hint="eastAsia" w:ascii="宋体" w:hAnsi="宋体"/>
        </w:rPr>
        <w:t>0</w:t>
      </w:r>
    </w:p>
    <w:p w14:paraId="43E55568">
      <w:pPr>
        <w:spacing w:line="380" w:lineRule="exact"/>
        <w:rPr>
          <w:rFonts w:ascii="宋体" w:hAnsi="宋体"/>
          <w:b/>
        </w:rPr>
      </w:pPr>
      <w:bookmarkStart w:id="33" w:name="_Toc28359005"/>
      <w:bookmarkStart w:id="34" w:name="_Toc28359082"/>
      <w:bookmarkStart w:id="35" w:name="_Toc35393624"/>
      <w:bookmarkStart w:id="36" w:name="_Toc35393793"/>
      <w:r>
        <w:rPr>
          <w:rFonts w:hint="eastAsia" w:ascii="宋体" w:hAnsi="宋体"/>
          <w:b/>
        </w:rPr>
        <w:t>四、提交投标文件</w:t>
      </w:r>
      <w:bookmarkEnd w:id="33"/>
      <w:bookmarkEnd w:id="34"/>
      <w:r>
        <w:rPr>
          <w:rFonts w:hint="eastAsia" w:ascii="宋体" w:hAnsi="宋体"/>
          <w:b/>
        </w:rPr>
        <w:t>截止时间、开标时间和地点</w:t>
      </w:r>
      <w:bookmarkEnd w:id="35"/>
      <w:bookmarkEnd w:id="36"/>
    </w:p>
    <w:p w14:paraId="578C82BE">
      <w:pPr>
        <w:spacing w:line="380" w:lineRule="exact"/>
        <w:ind w:firstLine="420" w:firstLineChars="200"/>
        <w:rPr>
          <w:rFonts w:ascii="宋体" w:hAnsi="宋体"/>
          <w:bCs/>
        </w:rPr>
      </w:pPr>
      <w:r>
        <w:rPr>
          <w:rFonts w:hint="eastAsia" w:ascii="宋体" w:hAnsi="宋体"/>
          <w:bCs/>
        </w:rPr>
        <w:t>提交投标文件截止时间：2026年</w:t>
      </w:r>
      <w:r>
        <w:rPr>
          <w:rFonts w:hint="eastAsia" w:ascii="宋体" w:hAnsi="宋体"/>
          <w:bCs/>
          <w:lang w:val="en-US" w:eastAsia="zh-CN"/>
        </w:rPr>
        <w:t>5</w:t>
      </w:r>
      <w:r>
        <w:rPr>
          <w:rFonts w:hint="eastAsia" w:ascii="宋体" w:hAnsi="宋体"/>
          <w:bCs/>
        </w:rPr>
        <w:t>月</w:t>
      </w:r>
      <w:r>
        <w:rPr>
          <w:rFonts w:hint="eastAsia" w:ascii="宋体" w:hAnsi="宋体"/>
          <w:bCs/>
          <w:lang w:val="en-US" w:eastAsia="zh-CN"/>
        </w:rPr>
        <w:t>28</w:t>
      </w:r>
      <w:r>
        <w:rPr>
          <w:rFonts w:hint="eastAsia" w:ascii="宋体" w:hAnsi="宋体"/>
          <w:bCs/>
        </w:rPr>
        <w:t>日</w:t>
      </w:r>
      <w:r>
        <w:rPr>
          <w:rFonts w:ascii="宋体" w:hAnsi="宋体"/>
          <w:bCs/>
        </w:rPr>
        <w:t xml:space="preserve"> 09:30</w:t>
      </w:r>
      <w:r>
        <w:rPr>
          <w:rFonts w:hint="eastAsia" w:ascii="宋体" w:hAnsi="宋体"/>
          <w:bCs/>
        </w:rPr>
        <w:t>（北京时间）</w:t>
      </w:r>
    </w:p>
    <w:p w14:paraId="14553958">
      <w:pPr>
        <w:spacing w:line="380" w:lineRule="exact"/>
        <w:ind w:firstLine="420" w:firstLineChars="200"/>
        <w:rPr>
          <w:rFonts w:ascii="宋体" w:hAnsi="宋体"/>
          <w:bCs/>
        </w:rPr>
      </w:pPr>
      <w:r>
        <w:rPr>
          <w:rFonts w:hint="eastAsia" w:ascii="宋体" w:hAnsi="宋体"/>
          <w:bCs/>
        </w:rPr>
        <w:t>投标地点（网址）：广西政府采购云平台（https://www.gcy.zfcg.gxzf.gov.cn/）（</w:t>
      </w:r>
      <w:r>
        <w:rPr>
          <w:rFonts w:hint="eastAsia" w:ascii="宋体" w:hAnsi="宋体"/>
          <w:szCs w:val="21"/>
        </w:rPr>
        <w:t>本项目为全流程电子化项目，供</w:t>
      </w:r>
      <w:r>
        <w:rPr>
          <w:rFonts w:hint="eastAsia" w:ascii="宋体" w:hAnsi="宋体"/>
          <w:bCs/>
        </w:rPr>
        <w:t>应商应派法定代表人或委托代理人准时在线出席电子开评标会议，随时关注开评标进度，如在开评标过程中有电子询标，应在规定的时间内对电子询标函进行澄清回复。）</w:t>
      </w:r>
    </w:p>
    <w:p w14:paraId="16D21FA4">
      <w:pPr>
        <w:spacing w:line="380" w:lineRule="exact"/>
        <w:ind w:firstLine="420" w:firstLineChars="200"/>
        <w:rPr>
          <w:rFonts w:ascii="宋体" w:hAnsi="宋体"/>
          <w:bCs/>
        </w:rPr>
      </w:pPr>
      <w:r>
        <w:rPr>
          <w:rFonts w:hint="eastAsia" w:ascii="宋体" w:hAnsi="宋体"/>
          <w:bCs/>
        </w:rPr>
        <w:t>开标时间：2026年</w:t>
      </w:r>
      <w:r>
        <w:rPr>
          <w:rFonts w:hint="eastAsia" w:ascii="宋体" w:hAnsi="宋体"/>
          <w:bCs/>
          <w:lang w:val="en-US" w:eastAsia="zh-CN"/>
        </w:rPr>
        <w:t>5</w:t>
      </w:r>
      <w:r>
        <w:rPr>
          <w:rFonts w:hint="eastAsia" w:ascii="宋体" w:hAnsi="宋体"/>
          <w:bCs/>
        </w:rPr>
        <w:t>月</w:t>
      </w:r>
      <w:r>
        <w:rPr>
          <w:rFonts w:hint="eastAsia" w:ascii="宋体" w:hAnsi="宋体"/>
          <w:bCs/>
          <w:lang w:val="en-US" w:eastAsia="zh-CN"/>
        </w:rPr>
        <w:t>28</w:t>
      </w:r>
      <w:r>
        <w:rPr>
          <w:rFonts w:hint="eastAsia" w:ascii="宋体" w:hAnsi="宋体"/>
          <w:bCs/>
        </w:rPr>
        <w:t>日</w:t>
      </w:r>
      <w:r>
        <w:rPr>
          <w:rFonts w:ascii="宋体" w:hAnsi="宋体"/>
          <w:bCs/>
        </w:rPr>
        <w:t xml:space="preserve"> 09:30</w:t>
      </w:r>
      <w:r>
        <w:rPr>
          <w:rFonts w:hint="eastAsia" w:ascii="宋体" w:hAnsi="宋体"/>
          <w:bCs/>
        </w:rPr>
        <w:t>（北京时间）</w:t>
      </w:r>
    </w:p>
    <w:p w14:paraId="3A41941A">
      <w:pPr>
        <w:spacing w:line="380" w:lineRule="exact"/>
        <w:ind w:firstLine="420" w:firstLineChars="200"/>
        <w:rPr>
          <w:rFonts w:ascii="宋体" w:hAnsi="宋体"/>
        </w:rPr>
      </w:pPr>
      <w:r>
        <w:rPr>
          <w:rFonts w:hint="eastAsia" w:ascii="宋体" w:hAnsi="宋体"/>
          <w:bCs/>
        </w:rPr>
        <w:t>开标地点：广西政府采购云平台电子开标大厅</w:t>
      </w:r>
    </w:p>
    <w:p w14:paraId="7F89AB51">
      <w:pPr>
        <w:spacing w:line="380" w:lineRule="exact"/>
        <w:rPr>
          <w:rFonts w:ascii="宋体" w:hAnsi="宋体"/>
          <w:b/>
        </w:rPr>
      </w:pPr>
      <w:bookmarkStart w:id="37" w:name="_Toc35393625"/>
      <w:bookmarkStart w:id="38" w:name="_Toc28359007"/>
      <w:bookmarkStart w:id="39" w:name="_Toc28359084"/>
      <w:bookmarkStart w:id="40" w:name="_Toc35393794"/>
      <w:r>
        <w:rPr>
          <w:rFonts w:hint="eastAsia" w:ascii="宋体" w:hAnsi="宋体"/>
          <w:b/>
        </w:rPr>
        <w:t>五、公告期限</w:t>
      </w:r>
      <w:bookmarkEnd w:id="37"/>
      <w:bookmarkEnd w:id="38"/>
      <w:bookmarkEnd w:id="39"/>
      <w:bookmarkEnd w:id="40"/>
    </w:p>
    <w:p w14:paraId="4B144172">
      <w:pPr>
        <w:spacing w:line="380" w:lineRule="exact"/>
        <w:ind w:firstLine="420" w:firstLineChars="200"/>
        <w:rPr>
          <w:rFonts w:ascii="宋体" w:hAnsi="宋体"/>
          <w:kern w:val="0"/>
        </w:rPr>
      </w:pPr>
      <w:r>
        <w:rPr>
          <w:rFonts w:hint="eastAsia" w:ascii="宋体" w:hAnsi="宋体"/>
          <w:kern w:val="0"/>
        </w:rPr>
        <w:t>自本公告发布之日起5个工作日。</w:t>
      </w:r>
    </w:p>
    <w:p w14:paraId="02DE2377">
      <w:pPr>
        <w:spacing w:line="380" w:lineRule="exact"/>
        <w:rPr>
          <w:rFonts w:ascii="宋体" w:hAnsi="宋体"/>
          <w:b/>
        </w:rPr>
      </w:pPr>
      <w:bookmarkStart w:id="41" w:name="_Toc35393795"/>
      <w:bookmarkStart w:id="42" w:name="_Toc35393626"/>
      <w:r>
        <w:rPr>
          <w:rFonts w:hint="eastAsia" w:ascii="宋体" w:hAnsi="宋体"/>
          <w:b/>
        </w:rPr>
        <w:t>六、其他补充事宜</w:t>
      </w:r>
      <w:bookmarkEnd w:id="41"/>
      <w:bookmarkEnd w:id="42"/>
    </w:p>
    <w:p w14:paraId="2F63049E">
      <w:pPr>
        <w:snapToGrid w:val="0"/>
        <w:spacing w:line="350" w:lineRule="exact"/>
        <w:ind w:firstLine="420" w:firstLineChars="200"/>
        <w:rPr>
          <w:rFonts w:ascii="宋体" w:hAnsi="宋体"/>
          <w:b/>
          <w:bCs/>
          <w:color w:val="FF00FF"/>
          <w:szCs w:val="21"/>
        </w:rPr>
      </w:pPr>
      <w:r>
        <w:rPr>
          <w:rFonts w:hint="eastAsia" w:ascii="宋体" w:hAnsi="宋体"/>
        </w:rPr>
        <w:t>1.</w:t>
      </w:r>
      <w:r>
        <w:rPr>
          <w:rFonts w:hint="eastAsia" w:ascii="宋体" w:hAnsi="宋体" w:cs="Arial"/>
          <w:bCs/>
          <w:szCs w:val="21"/>
        </w:rPr>
        <w:t xml:space="preserve"> 投标保证金</w:t>
      </w:r>
      <w:r>
        <w:rPr>
          <w:rFonts w:hint="eastAsia" w:ascii="宋体" w:hAnsi="宋体"/>
          <w:szCs w:val="21"/>
        </w:rPr>
        <w:t>（人民币）</w:t>
      </w:r>
      <w:r>
        <w:rPr>
          <w:rFonts w:hint="eastAsia" w:ascii="宋体" w:hAnsi="宋体" w:cs="Arial"/>
          <w:szCs w:val="21"/>
        </w:rPr>
        <w:t>：</w:t>
      </w:r>
      <w:r>
        <w:rPr>
          <w:rFonts w:hint="eastAsia" w:ascii="宋体" w:hAnsi="宋体"/>
          <w:bCs/>
          <w:color w:val="FF0000"/>
          <w:u w:val="single"/>
        </w:rPr>
        <w:t xml:space="preserve"> </w:t>
      </w:r>
      <w:r>
        <w:rPr>
          <w:rFonts w:hint="eastAsia" w:ascii="宋体" w:hAnsi="宋体"/>
          <w:bCs/>
          <w:u w:val="single"/>
        </w:rPr>
        <w:t>标项一：</w:t>
      </w:r>
      <w:r>
        <w:rPr>
          <w:rFonts w:ascii="宋体" w:hAnsi="宋体"/>
          <w:bCs/>
          <w:u w:val="single"/>
        </w:rPr>
        <w:t xml:space="preserve">18000.00元； </w:t>
      </w:r>
      <w:r>
        <w:rPr>
          <w:rFonts w:hint="eastAsia" w:ascii="宋体" w:hAnsi="宋体"/>
          <w:bCs/>
          <w:u w:val="single"/>
        </w:rPr>
        <w:t>标项二：</w:t>
      </w:r>
      <w:r>
        <w:rPr>
          <w:rFonts w:ascii="宋体" w:hAnsi="宋体"/>
          <w:bCs/>
          <w:u w:val="single"/>
        </w:rPr>
        <w:t xml:space="preserve">16000.00元；标项三：14000.00 </w:t>
      </w:r>
      <w:r>
        <w:rPr>
          <w:rFonts w:hint="eastAsia" w:ascii="宋体" w:hAnsi="宋体"/>
          <w:bCs/>
          <w:u w:val="single"/>
        </w:rPr>
        <w:t>元；标项四：</w:t>
      </w:r>
      <w:r>
        <w:rPr>
          <w:rFonts w:ascii="宋体" w:hAnsi="宋体"/>
          <w:bCs/>
          <w:u w:val="single"/>
        </w:rPr>
        <w:t>12000.00元</w:t>
      </w:r>
      <w:r>
        <w:rPr>
          <w:rFonts w:hint="eastAsia" w:ascii="宋体"/>
          <w:szCs w:val="21"/>
        </w:rPr>
        <w:t>。</w:t>
      </w:r>
      <w:r>
        <w:rPr>
          <w:rFonts w:hint="eastAsia" w:ascii="宋体"/>
        </w:rPr>
        <w:t>（必须足额交纳）</w:t>
      </w:r>
      <w:r>
        <w:rPr>
          <w:rFonts w:hint="eastAsia" w:ascii="宋体" w:hAnsi="宋体"/>
          <w:szCs w:val="21"/>
        </w:rPr>
        <w:t>。</w:t>
      </w:r>
      <w:r>
        <w:rPr>
          <w:rFonts w:hint="eastAsia" w:ascii="宋体" w:hAnsi="宋体"/>
          <w:b/>
          <w:bCs/>
        </w:rPr>
        <w:t>（</w:t>
      </w:r>
      <w:r>
        <w:rPr>
          <w:rFonts w:hint="eastAsia" w:ascii="宋体" w:hAnsi="宋体"/>
          <w:b/>
          <w:bCs/>
          <w:color w:val="000000"/>
        </w:rPr>
        <w:t>必须足额交纳）</w:t>
      </w:r>
    </w:p>
    <w:p w14:paraId="5FAF14B1">
      <w:pPr>
        <w:snapToGrid w:val="0"/>
        <w:spacing w:line="350" w:lineRule="exact"/>
        <w:ind w:firstLine="420" w:firstLineChars="200"/>
        <w:rPr>
          <w:rFonts w:ascii="宋体" w:hAnsi="宋体" w:cs="Arial"/>
        </w:rPr>
      </w:pPr>
      <w:r>
        <w:rPr>
          <w:rFonts w:hint="eastAsia" w:ascii="宋体" w:hAnsi="宋体" w:cs="Arial"/>
        </w:rPr>
        <w:t>（1）投标保证金的交纳方式：支票、汇票、本票、网上银行或者银行、保险机构出具的保函等非现金形式。</w:t>
      </w:r>
    </w:p>
    <w:p w14:paraId="2EA2DC00">
      <w:pPr>
        <w:snapToGrid w:val="0"/>
        <w:spacing w:line="350" w:lineRule="exact"/>
        <w:ind w:firstLine="420" w:firstLineChars="200"/>
        <w:rPr>
          <w:rFonts w:ascii="宋体" w:hAnsi="宋体" w:cs="Arial"/>
        </w:rPr>
      </w:pPr>
      <w:r>
        <w:rPr>
          <w:rFonts w:hint="eastAsia" w:ascii="宋体" w:hAnsi="宋体" w:cs="Arial"/>
        </w:rPr>
        <w:t>（2）采用银行转账方式的，投标人应于提交投标文件截止时间前将投标保证金交至以下账户：</w:t>
      </w:r>
    </w:p>
    <w:p w14:paraId="34F8C1F4">
      <w:pPr>
        <w:snapToGrid w:val="0"/>
        <w:spacing w:line="350" w:lineRule="exact"/>
        <w:ind w:firstLine="420" w:firstLineChars="200"/>
        <w:rPr>
          <w:rFonts w:ascii="宋体" w:hAnsi="宋体" w:cs="Arial"/>
        </w:rPr>
      </w:pPr>
      <w:r>
        <w:rPr>
          <w:rFonts w:hint="eastAsia" w:ascii="宋体" w:hAnsi="宋体" w:cs="Arial"/>
        </w:rPr>
        <w:t>开户名称：广西国力招标有限公司</w:t>
      </w:r>
    </w:p>
    <w:p w14:paraId="4F15D7A4">
      <w:pPr>
        <w:snapToGrid w:val="0"/>
        <w:spacing w:line="350" w:lineRule="exact"/>
        <w:ind w:firstLine="420" w:firstLineChars="200"/>
        <w:rPr>
          <w:rFonts w:ascii="宋体" w:hAnsi="宋体" w:cs="Arial"/>
        </w:rPr>
      </w:pPr>
      <w:r>
        <w:rPr>
          <w:rFonts w:hint="eastAsia" w:ascii="宋体" w:hAnsi="宋体" w:cs="Arial"/>
        </w:rPr>
        <w:t>开户银行：广西北部湾银行金凯支行（网银支付可选广西北部湾银行江南支行）</w:t>
      </w:r>
    </w:p>
    <w:p w14:paraId="1534D35B">
      <w:pPr>
        <w:snapToGrid w:val="0"/>
        <w:spacing w:line="350" w:lineRule="exact"/>
        <w:ind w:firstLine="420" w:firstLineChars="200"/>
        <w:rPr>
          <w:rFonts w:ascii="宋体" w:hAnsi="宋体" w:cs="Arial"/>
        </w:rPr>
      </w:pPr>
      <w:r>
        <w:rPr>
          <w:rFonts w:hint="eastAsia" w:ascii="宋体" w:hAnsi="宋体" w:cs="Arial"/>
        </w:rPr>
        <w:t>银行账号：800109057455558</w:t>
      </w:r>
    </w:p>
    <w:p w14:paraId="05830494">
      <w:pPr>
        <w:snapToGrid w:val="0"/>
        <w:spacing w:line="350" w:lineRule="exact"/>
        <w:ind w:firstLine="420" w:firstLineChars="200"/>
        <w:rPr>
          <w:rFonts w:ascii="宋体" w:hAnsi="宋体" w:cs="Arial"/>
        </w:rPr>
      </w:pPr>
      <w:r>
        <w:rPr>
          <w:rFonts w:hint="eastAsia" w:ascii="宋体" w:hAnsi="宋体" w:cs="Arial"/>
        </w:rPr>
        <w:t>银行行号：313611002043</w:t>
      </w:r>
    </w:p>
    <w:p w14:paraId="568A3198">
      <w:pPr>
        <w:snapToGrid w:val="0"/>
        <w:spacing w:line="350" w:lineRule="exact"/>
        <w:ind w:firstLine="420" w:firstLineChars="200"/>
        <w:rPr>
          <w:rFonts w:ascii="宋体" w:hAnsi="宋体" w:cs="Arial"/>
        </w:rPr>
      </w:pPr>
      <w:r>
        <w:rPr>
          <w:rFonts w:hint="eastAsia" w:ascii="宋体" w:hAnsi="宋体" w:cs="Arial"/>
        </w:rPr>
        <w:t>（3）采用支票、汇票、本票或者保函等形式的，投标人应于提交投标文件截止时间前递交单独密封的支票、汇票、本票或者保函原件（电子保函除外）至我公司财务部。（财务部联系方式：地址：广西南宁市白沙大道53号松宇时代13楼；电话：0771-4915100、4915200）</w:t>
      </w:r>
    </w:p>
    <w:p w14:paraId="12ED3AD3">
      <w:pPr>
        <w:spacing w:line="380" w:lineRule="exact"/>
        <w:ind w:firstLine="420" w:firstLineChars="200"/>
        <w:rPr>
          <w:rFonts w:ascii="宋体" w:hAnsi="宋体" w:cs="Arial"/>
        </w:rPr>
      </w:pPr>
      <w:r>
        <w:rPr>
          <w:rFonts w:hint="eastAsia" w:ascii="宋体" w:hAnsi="宋体" w:cs="Arial"/>
        </w:rPr>
        <w:t>2.本项目需要落实的政府采购政策</w:t>
      </w:r>
    </w:p>
    <w:p w14:paraId="4BE43507">
      <w:pPr>
        <w:spacing w:line="380" w:lineRule="exact"/>
        <w:ind w:firstLine="420" w:firstLineChars="200"/>
        <w:rPr>
          <w:rFonts w:ascii="宋体" w:hAnsi="宋体" w:cs="Arial"/>
        </w:rPr>
      </w:pPr>
      <w:r>
        <w:rPr>
          <w:rFonts w:hint="eastAsia" w:ascii="宋体" w:hAnsi="宋体" w:cs="Arial"/>
          <w:szCs w:val="21"/>
        </w:rPr>
        <w:t>政府采购促进中小企业发展；政府采购支持采用本国产品的政策；强制采购节能产品；优先采购节能产品、环境标志产品；政府采购促进残疾人就业政策；政府采购支持监狱企业发展；政府采购扶持不发达地区和少数民族地区等。</w:t>
      </w:r>
    </w:p>
    <w:p w14:paraId="1556D453">
      <w:pPr>
        <w:spacing w:line="380" w:lineRule="exact"/>
        <w:ind w:firstLine="420" w:firstLineChars="200"/>
        <w:rPr>
          <w:rFonts w:ascii="宋体" w:hAnsi="宋体" w:cs="Arial"/>
        </w:rPr>
      </w:pPr>
      <w:r>
        <w:rPr>
          <w:rFonts w:hint="eastAsia" w:ascii="宋体" w:hAnsi="宋体" w:cs="Arial"/>
        </w:rPr>
        <w:t>3.网上公告媒体查询</w:t>
      </w:r>
    </w:p>
    <w:p w14:paraId="18551104">
      <w:pPr>
        <w:spacing w:line="380" w:lineRule="exact"/>
        <w:ind w:firstLine="420" w:firstLineChars="200"/>
        <w:rPr>
          <w:rFonts w:ascii="宋体" w:hAnsi="宋体" w:cs="Arial"/>
        </w:rPr>
      </w:pPr>
      <w:r>
        <w:rPr>
          <w:rFonts w:hint="eastAsia" w:ascii="宋体" w:hAnsi="宋体" w:cs="Arial"/>
        </w:rPr>
        <w:t>中国政府采购网（www.ccgp.gov.cn）、广西壮族自治区政府采购网（zfcg.gxzf.gov.cn）、广西壮族自治区公共资源交易中心网（</w:t>
      </w:r>
      <w:r>
        <w:rPr>
          <w:rFonts w:ascii="宋体" w:hAnsi="宋体" w:cs="Arial"/>
        </w:rPr>
        <w:t>gxggzy.gxzf.gov.cn）。</w:t>
      </w:r>
    </w:p>
    <w:p w14:paraId="118E563E">
      <w:pPr>
        <w:spacing w:line="380" w:lineRule="exact"/>
        <w:ind w:firstLine="420" w:firstLineChars="200"/>
        <w:rPr>
          <w:rFonts w:ascii="宋体" w:hAnsi="宋体"/>
        </w:rPr>
      </w:pPr>
      <w:r>
        <w:rPr>
          <w:rFonts w:hint="eastAsia" w:ascii="宋体" w:hAnsi="宋体"/>
        </w:rPr>
        <w:t>4.其他注意事项</w:t>
      </w:r>
    </w:p>
    <w:p w14:paraId="6ABE8F37">
      <w:pPr>
        <w:spacing w:line="380" w:lineRule="exact"/>
        <w:ind w:firstLine="420" w:firstLineChars="200"/>
        <w:rPr>
          <w:rFonts w:ascii="宋体" w:hAnsi="宋体"/>
        </w:rPr>
      </w:pPr>
      <w:r>
        <w:rPr>
          <w:rFonts w:hint="eastAsia" w:ascii="宋体" w:hAnsi="宋体"/>
        </w:rPr>
        <w:t>（1）本项目实行电子投标，供应商应按照本项目招标文件和广西政府采购云平台的要求编制、加密并提交投标文件。供应商在使用系统参与投标过程中遇到涉及平台使用的任何问题，可致电广西政府采购云平台技术支持热线咨询，联系方式：</w:t>
      </w:r>
      <w:r>
        <w:rPr>
          <w:rFonts w:ascii="宋体" w:hAnsi="宋体"/>
        </w:rPr>
        <w:t>95763</w:t>
      </w:r>
      <w:r>
        <w:rPr>
          <w:rFonts w:hint="eastAsia" w:ascii="宋体" w:hAnsi="宋体"/>
        </w:rPr>
        <w:t xml:space="preserve">。 </w:t>
      </w:r>
    </w:p>
    <w:p w14:paraId="644D951E">
      <w:pPr>
        <w:spacing w:line="380" w:lineRule="exact"/>
        <w:ind w:firstLine="420" w:firstLineChars="200"/>
        <w:rPr>
          <w:rFonts w:ascii="宋体" w:hAnsi="宋体"/>
        </w:rPr>
      </w:pPr>
      <w:r>
        <w:rPr>
          <w:rFonts w:hint="eastAsia" w:ascii="宋体" w:hAnsi="宋体"/>
        </w:rPr>
        <w:t xml:space="preserve">（2）供应商应及时熟悉掌握电子标系统操作指南（见广西政府采购云平台电子卖场首页右上角—服务中心—帮助中心—项目采购）。 </w:t>
      </w:r>
    </w:p>
    <w:p w14:paraId="57173893">
      <w:pPr>
        <w:spacing w:line="380" w:lineRule="exact"/>
        <w:ind w:firstLine="420" w:firstLineChars="200"/>
        <w:rPr>
          <w:rFonts w:ascii="宋体" w:hAnsi="宋体"/>
        </w:rPr>
      </w:pPr>
      <w:r>
        <w:rPr>
          <w:rFonts w:hint="eastAsia" w:ascii="宋体" w:hAnsi="宋体"/>
        </w:rPr>
        <w:t xml:space="preserve">（3）供应商应及时完成CA申领和绑定（见广西壮族自治区政府采购网—办事服务—下载专区-政采云CA证书办理操作指南） </w:t>
      </w:r>
    </w:p>
    <w:p w14:paraId="40CB1CFC">
      <w:pPr>
        <w:spacing w:line="380" w:lineRule="exact"/>
        <w:ind w:firstLine="420" w:firstLineChars="200"/>
        <w:rPr>
          <w:rFonts w:ascii="宋体" w:hAnsi="宋体"/>
        </w:rPr>
      </w:pPr>
      <w:r>
        <w:rPr>
          <w:rFonts w:hint="eastAsia" w:ascii="宋体" w:hAnsi="宋体"/>
        </w:rPr>
        <w:t xml:space="preserve">（4）供应商通过广西政府采购云平台投标客户端软件制作投标文件，广西政府采购云平台投标客户端软件请供应商自行前往下载并安装（见广西壮族自治区政府采购网—办事服务—下载专区-广西壮族自治区全流程电子招投标项目管理系统--供应商客户端）。 </w:t>
      </w:r>
    </w:p>
    <w:p w14:paraId="33562AD9">
      <w:pPr>
        <w:spacing w:line="380" w:lineRule="exact"/>
        <w:ind w:firstLine="420" w:firstLineChars="200"/>
        <w:rPr>
          <w:rFonts w:ascii="宋体" w:hAnsi="宋体"/>
        </w:rPr>
      </w:pPr>
      <w:r>
        <w:rPr>
          <w:rFonts w:hint="eastAsia" w:ascii="宋体" w:hAnsi="宋体"/>
        </w:rPr>
        <w:t xml:space="preserve">（5）因未注册入库、未办理CA数字证书、CA证书故障、操作不当等原因造成无法投标或投标失败等后果由供应商自行承担。 </w:t>
      </w:r>
    </w:p>
    <w:p w14:paraId="7AE61676">
      <w:pPr>
        <w:spacing w:line="380" w:lineRule="exact"/>
        <w:ind w:firstLine="420" w:firstLineChars="200"/>
        <w:rPr>
          <w:rFonts w:ascii="宋体" w:hAnsi="宋体"/>
        </w:rPr>
      </w:pPr>
      <w:r>
        <w:rPr>
          <w:rFonts w:hint="eastAsia" w:ascii="宋体" w:hAnsi="宋体"/>
        </w:rPr>
        <w:t>（6）投标文件网上提交截止后，广西政府采购云平台（电子标系统）自动提取所有投标文件，各供应商须在开标开始后30分钟内对上传广西政府采购云平台的投标文件进行解密，所有供应商在规定的解密时限内解密完成或解密时限结束后，本公司开启投标文件；供应商超过解密时限的，系统默认自动放弃。</w:t>
      </w:r>
    </w:p>
    <w:p w14:paraId="790EBF83">
      <w:pPr>
        <w:spacing w:line="380" w:lineRule="exact"/>
        <w:rPr>
          <w:rFonts w:ascii="宋体" w:hAnsi="宋体"/>
          <w:b/>
        </w:rPr>
      </w:pPr>
      <w:bookmarkStart w:id="43" w:name="_Toc35393796"/>
      <w:bookmarkStart w:id="44" w:name="_Toc28359085"/>
      <w:bookmarkStart w:id="45" w:name="_Toc35393627"/>
      <w:bookmarkStart w:id="46" w:name="_Toc28359008"/>
      <w:r>
        <w:rPr>
          <w:rFonts w:hint="eastAsia" w:ascii="宋体" w:hAnsi="宋体"/>
          <w:b/>
        </w:rPr>
        <w:t>七、对本次招标提出询问，请按</w:t>
      </w:r>
      <w:r>
        <w:rPr>
          <w:rFonts w:ascii="宋体" w:hAnsi="宋体"/>
          <w:b/>
        </w:rPr>
        <w:t>以下方式</w:t>
      </w:r>
      <w:r>
        <w:rPr>
          <w:rFonts w:hint="eastAsia" w:ascii="宋体" w:hAnsi="宋体"/>
          <w:b/>
        </w:rPr>
        <w:t>联系</w:t>
      </w:r>
      <w:bookmarkEnd w:id="43"/>
      <w:bookmarkEnd w:id="44"/>
      <w:bookmarkEnd w:id="45"/>
      <w:bookmarkEnd w:id="46"/>
    </w:p>
    <w:p w14:paraId="1DA64936">
      <w:pPr>
        <w:spacing w:line="380" w:lineRule="exact"/>
        <w:ind w:firstLine="420" w:firstLineChars="200"/>
        <w:rPr>
          <w:rFonts w:ascii="宋体" w:hAnsi="宋体"/>
        </w:rPr>
      </w:pPr>
      <w:r>
        <w:rPr>
          <w:rFonts w:hint="eastAsia" w:ascii="宋体" w:hAnsi="宋体"/>
        </w:rPr>
        <w:t>1.采购人信息</w:t>
      </w:r>
    </w:p>
    <w:p w14:paraId="37151321">
      <w:pPr>
        <w:spacing w:line="380" w:lineRule="exact"/>
        <w:ind w:firstLine="420" w:firstLineChars="200"/>
        <w:rPr>
          <w:rFonts w:ascii="宋体" w:hAnsi="宋体"/>
        </w:rPr>
      </w:pPr>
      <w:r>
        <w:rPr>
          <w:rFonts w:hint="eastAsia" w:ascii="宋体" w:hAnsi="宋体"/>
        </w:rPr>
        <w:t>名    称：广西医科大学</w:t>
      </w:r>
    </w:p>
    <w:p w14:paraId="6BDF7A7B">
      <w:pPr>
        <w:spacing w:line="380" w:lineRule="exact"/>
        <w:ind w:firstLine="420" w:firstLineChars="200"/>
        <w:rPr>
          <w:rFonts w:ascii="宋体" w:hAnsi="宋体"/>
        </w:rPr>
      </w:pPr>
      <w:r>
        <w:rPr>
          <w:rFonts w:hint="eastAsia" w:ascii="宋体" w:hAnsi="宋体"/>
        </w:rPr>
        <w:t>地    址：广西南宁市双拥路22号</w:t>
      </w:r>
    </w:p>
    <w:p w14:paraId="23A20FB0">
      <w:pPr>
        <w:spacing w:line="380" w:lineRule="exact"/>
        <w:ind w:firstLine="420" w:firstLineChars="200"/>
        <w:rPr>
          <w:rFonts w:ascii="宋体" w:hAnsi="宋体"/>
        </w:rPr>
      </w:pPr>
      <w:r>
        <w:rPr>
          <w:rFonts w:hint="eastAsia" w:ascii="宋体" w:hAnsi="宋体"/>
        </w:rPr>
        <w:t>项目联系人：黄老师</w:t>
      </w:r>
    </w:p>
    <w:p w14:paraId="19F24E9F">
      <w:pPr>
        <w:spacing w:line="380" w:lineRule="exact"/>
        <w:ind w:firstLine="420" w:firstLineChars="200"/>
        <w:rPr>
          <w:rFonts w:ascii="宋体" w:hAnsi="宋体" w:cs="宋体"/>
          <w:kern w:val="0"/>
          <w:szCs w:val="21"/>
          <w:highlight w:val="yellow"/>
        </w:rPr>
      </w:pPr>
      <w:r>
        <w:rPr>
          <w:rFonts w:ascii="宋体" w:hAnsi="宋体" w:cs="宋体"/>
          <w:kern w:val="0"/>
          <w:szCs w:val="21"/>
        </w:rPr>
        <w:t>项目联系方式：</w:t>
      </w:r>
      <w:r>
        <w:rPr>
          <w:rFonts w:hint="eastAsia" w:ascii="宋体" w:hAnsi="宋体" w:cs="宋体"/>
          <w:kern w:val="0"/>
          <w:szCs w:val="21"/>
        </w:rPr>
        <w:t xml:space="preserve">0771-5358884 </w:t>
      </w:r>
    </w:p>
    <w:p w14:paraId="1D970FB9">
      <w:pPr>
        <w:spacing w:line="380" w:lineRule="exact"/>
        <w:ind w:firstLine="420" w:firstLineChars="200"/>
        <w:rPr>
          <w:rFonts w:ascii="宋体" w:hAnsi="宋体"/>
        </w:rPr>
      </w:pPr>
    </w:p>
    <w:p w14:paraId="3C5B2351">
      <w:pPr>
        <w:spacing w:line="380" w:lineRule="exact"/>
        <w:ind w:firstLine="420" w:firstLineChars="200"/>
        <w:rPr>
          <w:rFonts w:ascii="宋体" w:hAnsi="宋体"/>
        </w:rPr>
      </w:pPr>
      <w:r>
        <w:rPr>
          <w:rFonts w:hint="eastAsia" w:ascii="宋体" w:hAnsi="宋体"/>
        </w:rPr>
        <w:t>2.采购代理机构信息</w:t>
      </w:r>
    </w:p>
    <w:p w14:paraId="06B342B6">
      <w:pPr>
        <w:spacing w:line="380" w:lineRule="exact"/>
        <w:ind w:firstLine="420" w:firstLineChars="200"/>
        <w:rPr>
          <w:rFonts w:ascii="宋体" w:hAnsi="宋体"/>
        </w:rPr>
      </w:pPr>
      <w:r>
        <w:rPr>
          <w:rFonts w:hint="eastAsia" w:ascii="宋体" w:hAnsi="宋体"/>
        </w:rPr>
        <w:t>名    称：广西国力招标有限公司</w:t>
      </w:r>
    </w:p>
    <w:p w14:paraId="3EDD816D">
      <w:pPr>
        <w:spacing w:line="380" w:lineRule="exact"/>
        <w:ind w:firstLine="420" w:firstLineChars="200"/>
        <w:rPr>
          <w:rFonts w:ascii="宋体" w:hAnsi="宋体"/>
        </w:rPr>
      </w:pPr>
      <w:r>
        <w:rPr>
          <w:rFonts w:hint="eastAsia" w:ascii="宋体" w:hAnsi="宋体"/>
        </w:rPr>
        <w:t>地    址：广西南宁市白沙大道53号松宇时代13楼</w:t>
      </w:r>
    </w:p>
    <w:p w14:paraId="6A3972FB">
      <w:pPr>
        <w:spacing w:line="380" w:lineRule="exact"/>
        <w:ind w:firstLine="420" w:firstLineChars="200"/>
        <w:rPr>
          <w:rFonts w:ascii="宋体" w:hAnsi="宋体"/>
        </w:rPr>
      </w:pPr>
      <w:r>
        <w:rPr>
          <w:rFonts w:hint="eastAsia" w:ascii="宋体" w:hAnsi="宋体"/>
        </w:rPr>
        <w:t>项目联系人：隆丽艺、李宁芳</w:t>
      </w:r>
    </w:p>
    <w:p w14:paraId="07F87EBE">
      <w:pPr>
        <w:spacing w:line="380" w:lineRule="exact"/>
        <w:ind w:firstLine="420" w:firstLineChars="200"/>
        <w:rPr>
          <w:rFonts w:ascii="宋体" w:hAnsi="宋体"/>
          <w:u w:val="single"/>
        </w:rPr>
      </w:pPr>
      <w:r>
        <w:rPr>
          <w:rFonts w:hint="eastAsia" w:ascii="宋体" w:hAnsi="宋体"/>
        </w:rPr>
        <w:t>项目联系方式：0771-4915558</w:t>
      </w:r>
    </w:p>
    <w:p w14:paraId="4FED31AC">
      <w:pPr>
        <w:spacing w:line="380" w:lineRule="exact"/>
        <w:ind w:firstLine="420" w:firstLineChars="200"/>
        <w:rPr>
          <w:rFonts w:ascii="宋体" w:hAnsi="宋体"/>
          <w:u w:val="single"/>
        </w:rPr>
      </w:pPr>
    </w:p>
    <w:p w14:paraId="253B7F1B">
      <w:pPr>
        <w:spacing w:line="380" w:lineRule="exact"/>
        <w:ind w:firstLine="420" w:firstLineChars="200"/>
        <w:rPr>
          <w:rFonts w:ascii="宋体" w:hAnsi="宋体"/>
          <w:u w:val="single"/>
        </w:rPr>
      </w:pPr>
    </w:p>
    <w:p w14:paraId="5F07530D">
      <w:pPr>
        <w:snapToGrid w:val="0"/>
        <w:spacing w:line="350" w:lineRule="exact"/>
        <w:ind w:left="238"/>
        <w:jc w:val="right"/>
        <w:rPr>
          <w:rFonts w:ascii="宋体" w:hAnsi="宋体"/>
        </w:rPr>
      </w:pPr>
      <w:r>
        <w:rPr>
          <w:rFonts w:hint="eastAsia" w:ascii="宋体" w:hAnsi="宋体"/>
        </w:rPr>
        <w:t>广西国力招标有限公司</w:t>
      </w:r>
    </w:p>
    <w:p w14:paraId="7F2505E6">
      <w:pPr>
        <w:spacing w:line="380" w:lineRule="exact"/>
        <w:ind w:right="210" w:firstLine="420" w:firstLineChars="200"/>
        <w:jc w:val="right"/>
        <w:rPr>
          <w:rFonts w:ascii="宋体" w:hAnsi="宋体"/>
          <w:u w:val="single"/>
        </w:rPr>
      </w:pPr>
      <w:r>
        <w:rPr>
          <w:rFonts w:ascii="宋体" w:hAnsi="宋体" w:cs="Arial"/>
        </w:rPr>
        <w:t>2026年</w:t>
      </w:r>
      <w:r>
        <w:rPr>
          <w:rFonts w:hint="eastAsia" w:ascii="宋体" w:hAnsi="宋体" w:cs="Arial"/>
          <w:lang w:val="en-US" w:eastAsia="zh-CN"/>
        </w:rPr>
        <w:t>5</w:t>
      </w:r>
      <w:r>
        <w:rPr>
          <w:rFonts w:hint="eastAsia" w:ascii="宋体" w:hAnsi="宋体" w:cs="Arial"/>
        </w:rPr>
        <w:t>月</w:t>
      </w:r>
      <w:r>
        <w:rPr>
          <w:rFonts w:hint="eastAsia" w:ascii="宋体" w:hAnsi="宋体" w:cs="Arial"/>
          <w:lang w:val="en-US" w:eastAsia="zh-CN"/>
        </w:rPr>
        <w:t>7</w:t>
      </w:r>
      <w:r>
        <w:rPr>
          <w:rFonts w:hint="eastAsia" w:ascii="宋体" w:hAnsi="宋体" w:cs="Arial"/>
        </w:rPr>
        <w:t>日</w:t>
      </w:r>
    </w:p>
    <w:p w14:paraId="6E640E74">
      <w:pPr>
        <w:jc w:val="center"/>
        <w:rPr>
          <w:rFonts w:ascii="宋体" w:hAnsi="宋体"/>
          <w:color w:val="FF00FF"/>
        </w:rPr>
      </w:pPr>
      <w:r>
        <w:rPr>
          <w:rFonts w:hint="eastAsia" w:ascii="宋体" w:hAnsi="宋体"/>
          <w:color w:val="FF00FF"/>
        </w:rPr>
        <w:t xml:space="preserve"> </w:t>
      </w:r>
    </w:p>
    <w:p w14:paraId="59A6574D">
      <w:pPr>
        <w:spacing w:line="400" w:lineRule="exact"/>
        <w:jc w:val="center"/>
        <w:rPr>
          <w:rFonts w:ascii="宋体"/>
          <w:sz w:val="32"/>
          <w:szCs w:val="32"/>
        </w:rPr>
      </w:pPr>
      <w:r>
        <w:rPr>
          <w:rFonts w:hint="eastAsia" w:ascii="宋体"/>
          <w:sz w:val="32"/>
          <w:szCs w:val="32"/>
        </w:rPr>
        <w:br w:type="page"/>
      </w:r>
    </w:p>
    <w:p w14:paraId="5DBC58CE">
      <w:pPr>
        <w:spacing w:line="400" w:lineRule="exact"/>
        <w:jc w:val="center"/>
        <w:rPr>
          <w:rFonts w:ascii="宋体"/>
          <w:sz w:val="32"/>
          <w:szCs w:val="32"/>
        </w:rPr>
      </w:pPr>
    </w:p>
    <w:p w14:paraId="46796E28">
      <w:pPr>
        <w:spacing w:line="400" w:lineRule="exact"/>
        <w:jc w:val="center"/>
        <w:rPr>
          <w:rFonts w:ascii="宋体"/>
          <w:sz w:val="32"/>
          <w:szCs w:val="32"/>
        </w:rPr>
      </w:pPr>
    </w:p>
    <w:p w14:paraId="3CF89D3F">
      <w:pPr>
        <w:spacing w:line="400" w:lineRule="exact"/>
        <w:jc w:val="center"/>
        <w:rPr>
          <w:rFonts w:ascii="宋体"/>
          <w:sz w:val="32"/>
          <w:szCs w:val="32"/>
        </w:rPr>
      </w:pPr>
    </w:p>
    <w:p w14:paraId="346D16E9">
      <w:pPr>
        <w:spacing w:line="400" w:lineRule="exact"/>
        <w:jc w:val="center"/>
        <w:rPr>
          <w:rFonts w:ascii="宋体"/>
          <w:sz w:val="32"/>
          <w:szCs w:val="32"/>
        </w:rPr>
      </w:pPr>
    </w:p>
    <w:p w14:paraId="1C132F6F">
      <w:pPr>
        <w:spacing w:line="400" w:lineRule="exact"/>
        <w:jc w:val="center"/>
        <w:rPr>
          <w:rFonts w:ascii="宋体"/>
          <w:sz w:val="32"/>
          <w:szCs w:val="32"/>
        </w:rPr>
      </w:pPr>
    </w:p>
    <w:p w14:paraId="1FCF1CF5">
      <w:pPr>
        <w:spacing w:line="400" w:lineRule="exact"/>
        <w:jc w:val="center"/>
        <w:rPr>
          <w:rFonts w:ascii="宋体"/>
          <w:sz w:val="32"/>
          <w:szCs w:val="32"/>
        </w:rPr>
      </w:pPr>
    </w:p>
    <w:p w14:paraId="476876C9">
      <w:pPr>
        <w:spacing w:line="400" w:lineRule="exact"/>
        <w:jc w:val="center"/>
        <w:rPr>
          <w:rFonts w:ascii="宋体"/>
          <w:sz w:val="32"/>
          <w:szCs w:val="32"/>
        </w:rPr>
      </w:pPr>
    </w:p>
    <w:p w14:paraId="5AD98AE1">
      <w:pPr>
        <w:spacing w:line="400" w:lineRule="exact"/>
        <w:jc w:val="center"/>
        <w:rPr>
          <w:rFonts w:ascii="宋体"/>
          <w:sz w:val="32"/>
          <w:szCs w:val="32"/>
        </w:rPr>
      </w:pPr>
    </w:p>
    <w:p w14:paraId="35A1BEA4">
      <w:pPr>
        <w:spacing w:line="400" w:lineRule="exact"/>
        <w:jc w:val="center"/>
        <w:rPr>
          <w:rFonts w:ascii="宋体"/>
          <w:sz w:val="32"/>
          <w:szCs w:val="32"/>
        </w:rPr>
      </w:pPr>
    </w:p>
    <w:p w14:paraId="0F7F18D0">
      <w:pPr>
        <w:spacing w:line="400" w:lineRule="exact"/>
        <w:jc w:val="center"/>
        <w:rPr>
          <w:rFonts w:ascii="宋体"/>
          <w:sz w:val="32"/>
          <w:szCs w:val="32"/>
        </w:rPr>
      </w:pPr>
    </w:p>
    <w:p w14:paraId="036E3500">
      <w:pPr>
        <w:spacing w:line="400" w:lineRule="exact"/>
        <w:jc w:val="center"/>
        <w:rPr>
          <w:rFonts w:ascii="宋体"/>
          <w:sz w:val="32"/>
          <w:szCs w:val="32"/>
        </w:rPr>
      </w:pPr>
    </w:p>
    <w:p w14:paraId="4C50E338">
      <w:pPr>
        <w:spacing w:line="400" w:lineRule="exact"/>
        <w:rPr>
          <w:rFonts w:ascii="宋体"/>
          <w:sz w:val="32"/>
          <w:szCs w:val="32"/>
        </w:rPr>
      </w:pPr>
    </w:p>
    <w:p w14:paraId="15C61ED8">
      <w:pPr>
        <w:pStyle w:val="46"/>
        <w:rPr>
          <w:sz w:val="44"/>
          <w:szCs w:val="44"/>
        </w:rPr>
      </w:pPr>
      <w:bookmarkStart w:id="47" w:name="_Toc476436173"/>
      <w:bookmarkStart w:id="48" w:name="_Toc476436432"/>
      <w:r>
        <w:rPr>
          <w:rFonts w:hint="eastAsia"/>
          <w:sz w:val="44"/>
          <w:szCs w:val="44"/>
        </w:rPr>
        <w:t>第二章  招标项目采购需求</w:t>
      </w:r>
      <w:bookmarkEnd w:id="47"/>
      <w:bookmarkEnd w:id="48"/>
    </w:p>
    <w:p w14:paraId="28D48192">
      <w:pPr>
        <w:snapToGrid w:val="0"/>
        <w:spacing w:beforeLines="50" w:afterLines="50"/>
        <w:ind w:left="238"/>
        <w:jc w:val="center"/>
        <w:rPr>
          <w:rFonts w:ascii="黑体" w:eastAsia="黑体"/>
          <w:sz w:val="32"/>
          <w:szCs w:val="32"/>
        </w:rPr>
      </w:pPr>
    </w:p>
    <w:p w14:paraId="02FAA09B">
      <w:pPr>
        <w:snapToGrid w:val="0"/>
        <w:spacing w:beforeLines="50" w:afterLines="50"/>
        <w:ind w:left="238"/>
        <w:jc w:val="center"/>
        <w:rPr>
          <w:rFonts w:ascii="黑体" w:eastAsia="黑体"/>
          <w:sz w:val="32"/>
          <w:szCs w:val="32"/>
        </w:rPr>
      </w:pPr>
    </w:p>
    <w:p w14:paraId="06BF4DEC">
      <w:pPr>
        <w:snapToGrid w:val="0"/>
        <w:spacing w:beforeLines="50" w:afterLines="50"/>
        <w:ind w:left="238"/>
        <w:jc w:val="center"/>
        <w:rPr>
          <w:rFonts w:ascii="黑体" w:eastAsia="黑体"/>
          <w:sz w:val="32"/>
          <w:szCs w:val="32"/>
        </w:rPr>
      </w:pPr>
    </w:p>
    <w:p w14:paraId="45FA5063">
      <w:pPr>
        <w:snapToGrid w:val="0"/>
        <w:spacing w:beforeLines="50" w:afterLines="50"/>
        <w:ind w:left="238"/>
        <w:jc w:val="center"/>
        <w:rPr>
          <w:rFonts w:ascii="黑体" w:eastAsia="黑体"/>
          <w:sz w:val="32"/>
          <w:szCs w:val="32"/>
        </w:rPr>
      </w:pPr>
    </w:p>
    <w:p w14:paraId="1DDDDBE7">
      <w:pPr>
        <w:snapToGrid w:val="0"/>
        <w:spacing w:beforeLines="50" w:afterLines="50"/>
        <w:ind w:left="238"/>
        <w:jc w:val="center"/>
        <w:rPr>
          <w:rFonts w:ascii="黑体" w:eastAsia="黑体"/>
          <w:sz w:val="32"/>
          <w:szCs w:val="32"/>
        </w:rPr>
      </w:pPr>
    </w:p>
    <w:p w14:paraId="4DF41DB1">
      <w:pPr>
        <w:snapToGrid w:val="0"/>
        <w:spacing w:beforeLines="50" w:afterLines="50"/>
        <w:ind w:left="238"/>
        <w:jc w:val="center"/>
        <w:rPr>
          <w:rFonts w:ascii="黑体" w:eastAsia="黑体"/>
          <w:sz w:val="32"/>
          <w:szCs w:val="32"/>
        </w:rPr>
      </w:pPr>
    </w:p>
    <w:p w14:paraId="71375717">
      <w:pPr>
        <w:spacing w:line="720" w:lineRule="auto"/>
        <w:jc w:val="center"/>
        <w:rPr>
          <w:b/>
          <w:sz w:val="32"/>
          <w:szCs w:val="32"/>
        </w:rPr>
      </w:pPr>
      <w:r>
        <w:rPr>
          <w:rFonts w:hint="eastAsia" w:ascii="仿宋_GB2312" w:eastAsia="仿宋_GB2312"/>
          <w:bCs/>
        </w:rPr>
        <w:br w:type="page"/>
      </w:r>
      <w:r>
        <w:rPr>
          <w:rFonts w:hint="eastAsia"/>
          <w:b/>
          <w:sz w:val="32"/>
          <w:szCs w:val="32"/>
        </w:rPr>
        <w:t>招标项目采购需求</w:t>
      </w:r>
    </w:p>
    <w:p w14:paraId="0C207BA0">
      <w:pPr>
        <w:widowControl/>
        <w:spacing w:line="320" w:lineRule="exact"/>
        <w:rPr>
          <w:rFonts w:ascii="宋体" w:cs="Arial"/>
          <w:b/>
          <w:bCs/>
          <w:kern w:val="0"/>
          <w:sz w:val="32"/>
          <w:szCs w:val="32"/>
        </w:rPr>
      </w:pPr>
    </w:p>
    <w:p w14:paraId="56981970">
      <w:pPr>
        <w:spacing w:line="276" w:lineRule="auto"/>
        <w:rPr>
          <w:rFonts w:ascii="宋体"/>
          <w:color w:val="000000"/>
          <w:szCs w:val="21"/>
        </w:rPr>
      </w:pPr>
      <w:r>
        <w:rPr>
          <w:rFonts w:hint="eastAsia" w:ascii="宋体"/>
          <w:b/>
          <w:color w:val="000000"/>
          <w:szCs w:val="21"/>
        </w:rPr>
        <w:t>说明：</w:t>
      </w:r>
    </w:p>
    <w:p w14:paraId="41BF316D">
      <w:pPr>
        <w:spacing w:line="276" w:lineRule="auto"/>
        <w:ind w:firstLine="437"/>
        <w:rPr>
          <w:rFonts w:ascii="宋体"/>
          <w:b/>
          <w:bCs/>
          <w:szCs w:val="21"/>
        </w:rPr>
      </w:pPr>
      <w:r>
        <w:rPr>
          <w:rFonts w:hint="eastAsia" w:ascii="宋体"/>
          <w:b/>
          <w:bCs/>
          <w:szCs w:val="21"/>
        </w:rPr>
        <w:t>一、本需求表</w:t>
      </w:r>
      <w:r>
        <w:rPr>
          <w:rFonts w:hint="eastAsia" w:ascii="宋体"/>
          <w:b/>
          <w:szCs w:val="21"/>
        </w:rPr>
        <w:t>中的品牌型号仅起参考作用，投标人可选用其他品牌型号替代，但这些替代的品牌型号要实质上相当于或优于参考品牌型号及其技术参数性能（配置）要求。</w:t>
      </w:r>
      <w:r>
        <w:rPr>
          <w:rFonts w:hint="eastAsia" w:ascii="宋体"/>
          <w:b/>
          <w:bCs/>
          <w:szCs w:val="21"/>
        </w:rPr>
        <w:t>本需求表中参考品牌型号及技术参数性能（配置）不明确或有误的，或投标人选用其他品牌型号替代的，请以详细、正确的品牌型号、技术参数性能配置填写投标报价表和技术响应表。</w:t>
      </w:r>
      <w:r>
        <w:rPr>
          <w:rFonts w:hint="eastAsia" w:ascii="宋体"/>
          <w:b/>
          <w:szCs w:val="21"/>
        </w:rPr>
        <w:t>技术响应表须按技术参数及性能（配置）要求一一对应响应。</w:t>
      </w:r>
    </w:p>
    <w:p w14:paraId="7390FFE6">
      <w:pPr>
        <w:spacing w:line="276" w:lineRule="auto"/>
        <w:ind w:firstLine="437"/>
        <w:rPr>
          <w:rFonts w:ascii="宋体"/>
          <w:b/>
          <w:szCs w:val="21"/>
        </w:rPr>
      </w:pPr>
      <w:r>
        <w:rPr>
          <w:rFonts w:hint="eastAsia" w:ascii="宋体"/>
          <w:b/>
          <w:bCs/>
          <w:szCs w:val="21"/>
        </w:rPr>
        <w:t>二、本需求表</w:t>
      </w:r>
      <w:r>
        <w:rPr>
          <w:rFonts w:hint="eastAsia" w:ascii="宋体" w:hAnsi="宋体"/>
          <w:b/>
          <w:szCs w:val="21"/>
        </w:rPr>
        <w:t>中</w:t>
      </w:r>
      <w:r>
        <w:rPr>
          <w:rFonts w:hint="eastAsia" w:ascii="宋体"/>
          <w:b/>
          <w:szCs w:val="21"/>
        </w:rPr>
        <w:t>标注“▲”的条款均为实质性要求或条件，投标人必须作出满足或者优于该要求和条件的承诺</w:t>
      </w:r>
      <w:r>
        <w:rPr>
          <w:rFonts w:hint="eastAsia" w:ascii="宋体" w:hAnsi="宋体"/>
          <w:b/>
          <w:szCs w:val="21"/>
        </w:rPr>
        <w:t>（另有要求的除外）</w:t>
      </w:r>
      <w:r>
        <w:rPr>
          <w:rFonts w:hint="eastAsia" w:ascii="宋体"/>
          <w:b/>
          <w:szCs w:val="21"/>
        </w:rPr>
        <w:t>，否则投标无效。</w:t>
      </w:r>
    </w:p>
    <w:p w14:paraId="139845DC">
      <w:pPr>
        <w:spacing w:line="276" w:lineRule="auto"/>
        <w:ind w:firstLine="437"/>
        <w:rPr>
          <w:rFonts w:ascii="宋体"/>
          <w:b/>
          <w:bCs/>
          <w:szCs w:val="21"/>
        </w:rPr>
      </w:pPr>
      <w:r>
        <w:rPr>
          <w:rFonts w:hint="eastAsia" w:ascii="宋体"/>
          <w:b/>
          <w:color w:val="000000"/>
          <w:szCs w:val="21"/>
        </w:rPr>
        <w:t>三、</w:t>
      </w:r>
      <w:r>
        <w:rPr>
          <w:rFonts w:hint="eastAsia" w:ascii="宋体"/>
          <w:b/>
          <w:bCs/>
          <w:szCs w:val="21"/>
        </w:rPr>
        <w:t>根据财库〔2019〕9号及财库〔2019〕19号文件规定，台式计算机，便携式计算机、平板式微型计算机，激光打印机，针式打印机，液晶显示器，制冷压缩机（冷水机组、水源热泵机组、溴化锂吸收式冷水机组），空调机组[多联式空调（热泵）机组（制冷量＞14000W），单元式空气调节机（制冷量＞14000W）]，专用制冷、空调设备（机房空调），镇流器（管型荧光灯镇流器），空调机[房间空气调节器、多联式空调（热泵）机组（制冷量≤14000W）、单元式空气调节机（制冷量≤14000W）]，电热水器，普通照明用双端荧光灯，电视设备[普通电视设备（电视机）]，视频设备（视频监控设备、监视器），便器（坐便器、蹲便器、小便器），水嘴均为节能产品政府采购品目清单内标注“★”的品目，属于政府强制采购节能产品。若采购货物属于以上品目清单的产品时，投标人的投标货物必须使用政府强制采购的节能产品，投标人必须在投标文件中提供由国家确定的认证机构出具的处于有效期之内的节能产品认证证书复印件（加盖投标人公章），否则相应投标无效。</w:t>
      </w:r>
    </w:p>
    <w:p w14:paraId="571F34FB">
      <w:pPr>
        <w:spacing w:line="276" w:lineRule="auto"/>
        <w:ind w:firstLine="437"/>
        <w:rPr>
          <w:rFonts w:ascii="宋体"/>
          <w:b/>
          <w:bCs/>
          <w:color w:val="FF0000"/>
          <w:szCs w:val="21"/>
        </w:rPr>
      </w:pPr>
      <w:r>
        <w:rPr>
          <w:rFonts w:hint="eastAsia" w:ascii="宋体"/>
          <w:b/>
          <w:bCs/>
          <w:szCs w:val="21"/>
        </w:rPr>
        <w:t>四、凡在“技术参数及性能（配置）要求”中表述为“标配”或“标准配置”的设备，投标人应在投标报价明细表中将其标配参数详细列明，否则该投标无效。</w:t>
      </w:r>
    </w:p>
    <w:p w14:paraId="539C9002">
      <w:pPr>
        <w:spacing w:line="276" w:lineRule="auto"/>
        <w:ind w:firstLine="437"/>
        <w:rPr>
          <w:rFonts w:ascii="宋体"/>
          <w:b/>
          <w:bCs/>
          <w:szCs w:val="21"/>
        </w:rPr>
      </w:pPr>
      <w:r>
        <w:rPr>
          <w:rFonts w:hint="eastAsia" w:ascii="宋体"/>
          <w:b/>
          <w:bCs/>
          <w:szCs w:val="21"/>
        </w:rPr>
        <w:t>五、招标文件中所要求提供的证明材料，如为英文文本的请提供中文翻释文本。</w:t>
      </w:r>
    </w:p>
    <w:p w14:paraId="40C53790">
      <w:pPr>
        <w:spacing w:line="276" w:lineRule="auto"/>
        <w:ind w:firstLine="437"/>
        <w:rPr>
          <w:rFonts w:ascii="宋体"/>
          <w:b/>
          <w:bCs/>
          <w:szCs w:val="21"/>
        </w:rPr>
      </w:pPr>
      <w:r>
        <w:rPr>
          <w:rFonts w:hint="eastAsia" w:ascii="宋体"/>
          <w:b/>
          <w:bCs/>
          <w:szCs w:val="21"/>
        </w:rPr>
        <w:t>六、投标人必须自行为其投标产品侵犯其他投标人或专利人的专利成果承担相应法律责任；同时，具有产品专利的投标人应在其投标文件中提供与其自有产品专利相关的有效证明材料，否则，不能就其产品的专利在本项目投标过程中被侵权问题提出异议。</w:t>
      </w:r>
    </w:p>
    <w:p w14:paraId="391E91BC">
      <w:pPr>
        <w:spacing w:line="276" w:lineRule="auto"/>
        <w:ind w:firstLine="437"/>
        <w:rPr>
          <w:rFonts w:ascii="宋体"/>
          <w:b/>
          <w:bCs/>
          <w:szCs w:val="21"/>
        </w:rPr>
      </w:pPr>
      <w:r>
        <w:rPr>
          <w:rFonts w:hint="eastAsia" w:ascii="宋体"/>
          <w:b/>
          <w:bCs/>
          <w:szCs w:val="21"/>
        </w:rPr>
        <w:t>七、投标人所投标货物或服务如有国家相关标准、行业标准、地方标准或者其他标准、规范要求的按相关规定执行，若执行标准有修改或更新按最新版本执行。</w:t>
      </w:r>
    </w:p>
    <w:p w14:paraId="0147BF4A">
      <w:pPr>
        <w:spacing w:line="276" w:lineRule="auto"/>
        <w:ind w:firstLine="437"/>
        <w:rPr>
          <w:rFonts w:eastAsia="黑体"/>
        </w:rPr>
      </w:pPr>
      <w:r>
        <w:rPr>
          <w:rStyle w:val="57"/>
          <w:rFonts w:hint="eastAsia"/>
          <w:b/>
        </w:rPr>
        <w:t>八、本项目采购书目以采购人核心出版社（见附录一）的书目为主。本项目接受投标人对多个分标进行投标，但为了投标人能更好的服务采购人，</w:t>
      </w:r>
      <w:r>
        <w:rPr>
          <w:rFonts w:hint="eastAsia" w:ascii="宋体"/>
          <w:b/>
          <w:szCs w:val="21"/>
        </w:rPr>
        <w:t>标项1、标项2、标项3、标项4</w:t>
      </w:r>
      <w:r>
        <w:rPr>
          <w:rStyle w:val="57"/>
          <w:rFonts w:hint="eastAsia"/>
          <w:b/>
        </w:rPr>
        <w:t>的投标人只允许中一个分标，评标顺序为</w:t>
      </w:r>
      <w:r>
        <w:rPr>
          <w:rFonts w:hint="eastAsia" w:ascii="宋体"/>
          <w:b/>
          <w:szCs w:val="21"/>
        </w:rPr>
        <w:t>标项1→标项2→标项3→标项4</w:t>
      </w:r>
      <w:r>
        <w:rPr>
          <w:rStyle w:val="57"/>
          <w:rFonts w:hint="eastAsia"/>
          <w:b/>
        </w:rPr>
        <w:t>；采购人应当确定评审委员会推荐排名第一的中标候选人为中标供应商。</w:t>
      </w:r>
    </w:p>
    <w:p w14:paraId="7E7352F1">
      <w:pPr>
        <w:spacing w:line="276" w:lineRule="auto"/>
        <w:ind w:firstLine="437"/>
        <w:rPr>
          <w:rFonts w:ascii="宋体"/>
          <w:b/>
          <w:bCs/>
          <w:szCs w:val="21"/>
        </w:rPr>
      </w:pPr>
      <w:r>
        <w:rPr>
          <w:rFonts w:hint="eastAsia" w:ascii="宋体"/>
          <w:b/>
          <w:bCs/>
          <w:szCs w:val="21"/>
        </w:rPr>
        <w:t>九、</w:t>
      </w:r>
      <w:r>
        <w:rPr>
          <w:rFonts w:hint="eastAsia" w:ascii="宋体" w:hAnsi="宋体"/>
          <w:b/>
          <w:szCs w:val="21"/>
        </w:rPr>
        <w:t>采购标的对应的中小企业划分标准所属行业：根据《关于印发中小企业划型标准规定的通知》（工信部联企业〔</w:t>
      </w:r>
      <w:r>
        <w:rPr>
          <w:rFonts w:ascii="宋体" w:hAnsi="宋体"/>
          <w:b/>
          <w:szCs w:val="21"/>
        </w:rPr>
        <w:t>2011〕300号），本次采购标的属于：批发业。</w:t>
      </w:r>
    </w:p>
    <w:p w14:paraId="715368B6">
      <w:pPr>
        <w:spacing w:line="380" w:lineRule="exact"/>
        <w:ind w:firstLine="435"/>
        <w:rPr>
          <w:rFonts w:ascii="宋体" w:hAnsi="宋体" w:cs="宋体"/>
          <w:b/>
          <w:bCs/>
          <w:szCs w:val="21"/>
        </w:rPr>
      </w:pPr>
      <w:r>
        <w:rPr>
          <w:rFonts w:hint="eastAsia" w:ascii="宋体" w:hAnsi="宋体" w:cs="宋体"/>
          <w:b/>
          <w:bCs/>
          <w:szCs w:val="21"/>
        </w:rPr>
        <w:t>十、本项目标项一采购预算：180.00万元（最高限价金额：180.00万元）；标项二采购预算：160.00万元（最高限价金额：160.00万元）；标项三采购预算：140.00万元（最高限价金额：140.00万元）；标项四采购预算：1</w:t>
      </w:r>
      <w:r>
        <w:rPr>
          <w:rFonts w:hint="eastAsia" w:ascii="宋体" w:hAnsi="宋体" w:cs="宋体"/>
          <w:b/>
          <w:bCs/>
          <w:szCs w:val="21"/>
          <w:lang w:val="en-US" w:eastAsia="zh-CN"/>
        </w:rPr>
        <w:t>2</w:t>
      </w:r>
      <w:r>
        <w:rPr>
          <w:rFonts w:hint="eastAsia" w:ascii="宋体" w:hAnsi="宋体" w:cs="宋体"/>
          <w:b/>
          <w:bCs/>
          <w:szCs w:val="21"/>
        </w:rPr>
        <w:t>0.00万元（最高限价金额：1</w:t>
      </w:r>
      <w:r>
        <w:rPr>
          <w:rFonts w:hint="eastAsia" w:ascii="宋体" w:hAnsi="宋体" w:cs="宋体"/>
          <w:b/>
          <w:bCs/>
          <w:szCs w:val="21"/>
          <w:lang w:val="en-US" w:eastAsia="zh-CN"/>
        </w:rPr>
        <w:t>2</w:t>
      </w:r>
      <w:r>
        <w:rPr>
          <w:rFonts w:hint="eastAsia" w:ascii="宋体" w:hAnsi="宋体" w:cs="宋体"/>
          <w:b/>
          <w:bCs/>
          <w:szCs w:val="21"/>
        </w:rPr>
        <w:t>0.00万元）。</w:t>
      </w:r>
    </w:p>
    <w:p w14:paraId="28774E22">
      <w:pPr>
        <w:spacing w:line="400" w:lineRule="exact"/>
        <w:ind w:firstLine="435"/>
        <w:rPr>
          <w:rFonts w:ascii="宋体"/>
          <w:b/>
          <w:bCs/>
          <w:color w:val="FF33CC"/>
          <w:sz w:val="28"/>
          <w:szCs w:val="28"/>
        </w:rPr>
      </w:pPr>
    </w:p>
    <w:p w14:paraId="4E691454">
      <w:pPr>
        <w:spacing w:line="380" w:lineRule="exact"/>
        <w:ind w:firstLine="420" w:firstLineChars="200"/>
        <w:rPr>
          <w:rFonts w:hint="eastAsia"/>
          <w:b/>
          <w:sz w:val="24"/>
        </w:rPr>
      </w:pPr>
      <w:r>
        <w:rPr>
          <w:rFonts w:hint="eastAsia" w:ascii="宋体"/>
          <w:szCs w:val="21"/>
        </w:rPr>
        <w:br w:type="page"/>
      </w:r>
    </w:p>
    <w:tbl>
      <w:tblPr>
        <w:tblStyle w:val="50"/>
        <w:tblW w:w="98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978"/>
        <w:gridCol w:w="660"/>
        <w:gridCol w:w="570"/>
        <w:gridCol w:w="6793"/>
      </w:tblGrid>
      <w:tr w14:paraId="0755E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1" w:type="dxa"/>
            <w:tcBorders>
              <w:top w:val="single" w:color="auto" w:sz="4" w:space="0"/>
              <w:left w:val="single" w:color="auto" w:sz="4" w:space="0"/>
              <w:bottom w:val="single" w:color="auto" w:sz="4" w:space="0"/>
              <w:right w:val="single" w:color="auto" w:sz="4" w:space="0"/>
            </w:tcBorders>
            <w:vAlign w:val="center"/>
          </w:tcPr>
          <w:p w14:paraId="7D039CDD">
            <w:pPr>
              <w:spacing w:line="380" w:lineRule="exact"/>
              <w:jc w:val="center"/>
              <w:rPr>
                <w:rFonts w:ascii="Calibri" w:hAnsi="Calibri"/>
                <w:b/>
                <w:color w:val="auto"/>
                <w:szCs w:val="22"/>
                <w:highlight w:val="none"/>
              </w:rPr>
            </w:pPr>
            <w:r>
              <w:rPr>
                <w:rFonts w:hint="eastAsia" w:ascii="Calibri" w:hAnsi="Calibri"/>
                <w:b/>
                <w:color w:val="auto"/>
                <w:szCs w:val="22"/>
                <w:highlight w:val="none"/>
              </w:rPr>
              <w:t>分标号</w:t>
            </w:r>
          </w:p>
        </w:tc>
        <w:tc>
          <w:tcPr>
            <w:tcW w:w="978" w:type="dxa"/>
            <w:tcBorders>
              <w:top w:val="single" w:color="auto" w:sz="4" w:space="0"/>
              <w:left w:val="single" w:color="auto" w:sz="4" w:space="0"/>
              <w:bottom w:val="single" w:color="auto" w:sz="4" w:space="0"/>
              <w:right w:val="single" w:color="auto" w:sz="4" w:space="0"/>
            </w:tcBorders>
            <w:vAlign w:val="center"/>
          </w:tcPr>
          <w:p w14:paraId="2C1CDBEA">
            <w:pPr>
              <w:spacing w:line="380" w:lineRule="exact"/>
              <w:jc w:val="center"/>
              <w:rPr>
                <w:rFonts w:ascii="Calibri" w:hAnsi="Calibri"/>
                <w:b/>
                <w:color w:val="auto"/>
                <w:szCs w:val="22"/>
                <w:highlight w:val="none"/>
              </w:rPr>
            </w:pPr>
            <w:r>
              <w:rPr>
                <w:rFonts w:hint="eastAsia" w:ascii="Calibri" w:hAnsi="Calibri"/>
                <w:b/>
                <w:color w:val="auto"/>
                <w:szCs w:val="22"/>
                <w:highlight w:val="none"/>
              </w:rPr>
              <w:t>货物</w:t>
            </w:r>
          </w:p>
          <w:p w14:paraId="310C7B6D">
            <w:pPr>
              <w:spacing w:line="380" w:lineRule="exact"/>
              <w:jc w:val="center"/>
              <w:rPr>
                <w:rFonts w:ascii="Calibri" w:hAnsi="Calibri"/>
                <w:b/>
                <w:color w:val="auto"/>
                <w:szCs w:val="22"/>
                <w:highlight w:val="none"/>
              </w:rPr>
            </w:pPr>
            <w:r>
              <w:rPr>
                <w:rFonts w:hint="eastAsia" w:ascii="Calibri" w:hAnsi="Calibri"/>
                <w:b/>
                <w:color w:val="auto"/>
                <w:szCs w:val="22"/>
                <w:highlight w:val="none"/>
              </w:rPr>
              <w:t>名称</w:t>
            </w:r>
          </w:p>
        </w:tc>
        <w:tc>
          <w:tcPr>
            <w:tcW w:w="660" w:type="dxa"/>
            <w:tcBorders>
              <w:top w:val="single" w:color="auto" w:sz="4" w:space="0"/>
              <w:left w:val="single" w:color="auto" w:sz="4" w:space="0"/>
              <w:bottom w:val="single" w:color="auto" w:sz="4" w:space="0"/>
              <w:right w:val="single" w:color="auto" w:sz="4" w:space="0"/>
            </w:tcBorders>
            <w:vAlign w:val="center"/>
          </w:tcPr>
          <w:p w14:paraId="5760F002">
            <w:pPr>
              <w:spacing w:line="380" w:lineRule="exact"/>
              <w:jc w:val="center"/>
              <w:rPr>
                <w:rFonts w:ascii="Calibri" w:hAnsi="Calibri"/>
                <w:b/>
                <w:color w:val="auto"/>
                <w:szCs w:val="22"/>
                <w:highlight w:val="none"/>
              </w:rPr>
            </w:pPr>
            <w:r>
              <w:rPr>
                <w:rFonts w:hint="eastAsia" w:ascii="Calibri" w:hAnsi="Calibri"/>
                <w:b/>
                <w:color w:val="auto"/>
                <w:szCs w:val="22"/>
                <w:highlight w:val="none"/>
              </w:rPr>
              <w:t>数量</w:t>
            </w:r>
          </w:p>
        </w:tc>
        <w:tc>
          <w:tcPr>
            <w:tcW w:w="570" w:type="dxa"/>
            <w:tcBorders>
              <w:top w:val="single" w:color="auto" w:sz="4" w:space="0"/>
              <w:left w:val="single" w:color="auto" w:sz="4" w:space="0"/>
              <w:bottom w:val="single" w:color="auto" w:sz="4" w:space="0"/>
              <w:right w:val="single" w:color="auto" w:sz="4" w:space="0"/>
            </w:tcBorders>
            <w:vAlign w:val="center"/>
          </w:tcPr>
          <w:p w14:paraId="6D491078">
            <w:pPr>
              <w:spacing w:line="380" w:lineRule="exact"/>
              <w:jc w:val="center"/>
              <w:rPr>
                <w:rFonts w:ascii="Calibri" w:hAnsi="Calibri"/>
                <w:b/>
                <w:color w:val="auto"/>
                <w:szCs w:val="22"/>
                <w:highlight w:val="none"/>
              </w:rPr>
            </w:pPr>
            <w:r>
              <w:rPr>
                <w:rFonts w:hint="eastAsia" w:ascii="Calibri" w:hAnsi="Calibri"/>
                <w:b/>
                <w:color w:val="auto"/>
                <w:szCs w:val="22"/>
                <w:highlight w:val="none"/>
              </w:rPr>
              <w:t>单位</w:t>
            </w:r>
          </w:p>
        </w:tc>
        <w:tc>
          <w:tcPr>
            <w:tcW w:w="6793" w:type="dxa"/>
            <w:tcBorders>
              <w:top w:val="single" w:color="auto" w:sz="4" w:space="0"/>
              <w:left w:val="single" w:color="auto" w:sz="4" w:space="0"/>
              <w:bottom w:val="single" w:color="auto" w:sz="4" w:space="0"/>
              <w:right w:val="single" w:color="auto" w:sz="4" w:space="0"/>
            </w:tcBorders>
            <w:vAlign w:val="center"/>
          </w:tcPr>
          <w:p w14:paraId="0DE36C68">
            <w:pPr>
              <w:spacing w:line="380" w:lineRule="exact"/>
              <w:jc w:val="center"/>
              <w:rPr>
                <w:rFonts w:ascii="Calibri" w:hAnsi="Calibri"/>
                <w:b/>
                <w:color w:val="auto"/>
                <w:szCs w:val="22"/>
                <w:highlight w:val="none"/>
              </w:rPr>
            </w:pPr>
            <w:r>
              <w:rPr>
                <w:rFonts w:hint="eastAsia" w:ascii="Calibri" w:hAnsi="Calibri"/>
                <w:b/>
                <w:color w:val="auto"/>
                <w:szCs w:val="22"/>
                <w:highlight w:val="none"/>
              </w:rPr>
              <w:t>技术参数及性能（配置）要求</w:t>
            </w:r>
          </w:p>
        </w:tc>
      </w:tr>
      <w:tr w14:paraId="0E770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1" w:type="dxa"/>
            <w:tcBorders>
              <w:top w:val="single" w:color="auto" w:sz="4" w:space="0"/>
              <w:left w:val="single" w:color="auto" w:sz="4" w:space="0"/>
              <w:bottom w:val="single" w:color="auto" w:sz="4" w:space="0"/>
              <w:right w:val="single" w:color="auto" w:sz="4" w:space="0"/>
            </w:tcBorders>
            <w:vAlign w:val="center"/>
          </w:tcPr>
          <w:p w14:paraId="59D6E089">
            <w:pPr>
              <w:spacing w:line="380" w:lineRule="exact"/>
              <w:jc w:val="center"/>
              <w:rPr>
                <w:rFonts w:ascii="宋体" w:hAnsi="宋体" w:cs="宋体"/>
                <w:b/>
                <w:bCs/>
                <w:color w:val="auto"/>
                <w:szCs w:val="22"/>
                <w:highlight w:val="none"/>
              </w:rPr>
            </w:pPr>
            <w:r>
              <w:rPr>
                <w:rFonts w:hint="eastAsia" w:ascii="宋体" w:hAnsi="宋体" w:cs="宋体"/>
                <w:b/>
                <w:bCs/>
                <w:color w:val="auto"/>
                <w:szCs w:val="22"/>
                <w:highlight w:val="none"/>
              </w:rPr>
              <w:t>一</w:t>
            </w:r>
          </w:p>
        </w:tc>
        <w:tc>
          <w:tcPr>
            <w:tcW w:w="978" w:type="dxa"/>
            <w:tcBorders>
              <w:top w:val="single" w:color="auto" w:sz="4" w:space="0"/>
              <w:left w:val="single" w:color="auto" w:sz="4" w:space="0"/>
              <w:right w:val="single" w:color="auto" w:sz="4" w:space="0"/>
            </w:tcBorders>
            <w:vAlign w:val="center"/>
          </w:tcPr>
          <w:p w14:paraId="51235F24">
            <w:pPr>
              <w:spacing w:line="380" w:lineRule="exact"/>
              <w:jc w:val="center"/>
              <w:rPr>
                <w:rFonts w:ascii="Calibri" w:hAnsi="Calibri"/>
                <w:color w:val="auto"/>
                <w:szCs w:val="22"/>
                <w:highlight w:val="none"/>
              </w:rPr>
            </w:pPr>
            <w:r>
              <w:rPr>
                <w:rFonts w:hint="eastAsia" w:ascii="Calibri" w:hAnsi="Calibri"/>
                <w:color w:val="auto"/>
                <w:szCs w:val="22"/>
                <w:highlight w:val="none"/>
              </w:rPr>
              <w:t>内地版中外文纸质图书</w:t>
            </w:r>
          </w:p>
        </w:tc>
        <w:tc>
          <w:tcPr>
            <w:tcW w:w="660" w:type="dxa"/>
            <w:tcBorders>
              <w:top w:val="single" w:color="auto" w:sz="4" w:space="0"/>
              <w:left w:val="single" w:color="auto" w:sz="4" w:space="0"/>
              <w:bottom w:val="single" w:color="auto" w:sz="4" w:space="0"/>
              <w:right w:val="single" w:color="auto" w:sz="4" w:space="0"/>
            </w:tcBorders>
            <w:vAlign w:val="center"/>
          </w:tcPr>
          <w:p w14:paraId="3084A21B">
            <w:pPr>
              <w:spacing w:line="380" w:lineRule="exact"/>
              <w:jc w:val="center"/>
              <w:rPr>
                <w:rFonts w:ascii="Calibri" w:hAnsi="Calibri"/>
                <w:color w:val="auto"/>
                <w:szCs w:val="22"/>
                <w:highlight w:val="none"/>
              </w:rPr>
            </w:pPr>
            <w:r>
              <w:rPr>
                <w:rFonts w:hint="eastAsia" w:ascii="Calibri" w:hAnsi="Calibri"/>
                <w:color w:val="auto"/>
                <w:szCs w:val="22"/>
                <w:highlight w:val="none"/>
              </w:rPr>
              <w:t>1</w:t>
            </w:r>
          </w:p>
        </w:tc>
        <w:tc>
          <w:tcPr>
            <w:tcW w:w="570" w:type="dxa"/>
            <w:tcBorders>
              <w:top w:val="single" w:color="auto" w:sz="4" w:space="0"/>
              <w:left w:val="single" w:color="auto" w:sz="4" w:space="0"/>
              <w:bottom w:val="single" w:color="auto" w:sz="4" w:space="0"/>
              <w:right w:val="single" w:color="auto" w:sz="4" w:space="0"/>
            </w:tcBorders>
            <w:vAlign w:val="center"/>
          </w:tcPr>
          <w:p w14:paraId="0EC1D4BA">
            <w:pPr>
              <w:spacing w:line="380" w:lineRule="exact"/>
              <w:jc w:val="center"/>
              <w:rPr>
                <w:rFonts w:ascii="Calibri" w:hAnsi="Calibri"/>
                <w:color w:val="auto"/>
                <w:szCs w:val="22"/>
                <w:highlight w:val="none"/>
              </w:rPr>
            </w:pPr>
            <w:r>
              <w:rPr>
                <w:rFonts w:hint="eastAsia" w:ascii="Calibri" w:hAnsi="Calibri"/>
                <w:color w:val="auto"/>
                <w:szCs w:val="22"/>
                <w:highlight w:val="none"/>
              </w:rPr>
              <w:t>批</w:t>
            </w:r>
          </w:p>
        </w:tc>
        <w:tc>
          <w:tcPr>
            <w:tcW w:w="6793" w:type="dxa"/>
            <w:tcBorders>
              <w:top w:val="single" w:color="auto" w:sz="4" w:space="0"/>
              <w:left w:val="single" w:color="auto" w:sz="4" w:space="0"/>
              <w:right w:val="single" w:color="auto" w:sz="4" w:space="0"/>
            </w:tcBorders>
            <w:vAlign w:val="top"/>
          </w:tcPr>
          <w:p w14:paraId="7482A74F">
            <w:pPr>
              <w:ind w:firstLine="420" w:firstLineChars="200"/>
              <w:rPr>
                <w:rFonts w:ascii="宋体"/>
                <w:color w:val="auto"/>
                <w:szCs w:val="21"/>
                <w:highlight w:val="none"/>
              </w:rPr>
            </w:pPr>
            <w:r>
              <w:rPr>
                <w:rFonts w:hint="eastAsia"/>
                <w:color w:val="auto"/>
                <w:highlight w:val="none"/>
              </w:rPr>
              <w:t>2025-2028年出版的图书（采购人特别要求的教学、科研用书则不限年代），在学科内容上以生物科学、医药卫生类为主，其他学科为辅；在层次类别上以教学应用型、学术型、研究型为主，兼顾一般性读物。合同期内中标人每周向采购人提交</w:t>
            </w:r>
            <w:r>
              <w:rPr>
                <w:rFonts w:hint="eastAsia" w:ascii="宋体"/>
                <w:color w:val="auto"/>
                <w:szCs w:val="21"/>
                <w:highlight w:val="none"/>
              </w:rPr>
              <w:t>采访书目（具体以附件1第二条第1项“</w:t>
            </w:r>
            <w:r>
              <w:rPr>
                <w:rFonts w:hint="eastAsia"/>
                <w:color w:val="auto"/>
                <w:highlight w:val="none"/>
              </w:rPr>
              <w:t>采访书目数据要求”为准</w:t>
            </w:r>
            <w:r>
              <w:rPr>
                <w:rFonts w:hint="eastAsia" w:ascii="宋体"/>
                <w:color w:val="auto"/>
                <w:szCs w:val="21"/>
                <w:highlight w:val="none"/>
              </w:rPr>
              <w:t>）供采购人选择，采购人也可根据自身情况向中标人提供拟采购的书目。</w:t>
            </w:r>
          </w:p>
          <w:p w14:paraId="75BECC0A">
            <w:pPr>
              <w:ind w:firstLine="420" w:firstLineChars="200"/>
              <w:rPr>
                <w:color w:val="auto"/>
                <w:highlight w:val="none"/>
              </w:rPr>
            </w:pPr>
            <w:r>
              <w:rPr>
                <w:rFonts w:hint="eastAsia"/>
                <w:color w:val="auto"/>
                <w:highlight w:val="none"/>
              </w:rPr>
              <w:t>采购人分批采购。采购人可在</w:t>
            </w:r>
            <w:r>
              <w:rPr>
                <w:rFonts w:hint="eastAsia" w:ascii="宋体"/>
                <w:color w:val="auto"/>
                <w:szCs w:val="21"/>
                <w:highlight w:val="none"/>
              </w:rPr>
              <w:t>采访书目与采购人拟采购书目的范围内自行</w:t>
            </w:r>
            <w:r>
              <w:rPr>
                <w:rFonts w:hint="eastAsia"/>
                <w:color w:val="auto"/>
                <w:highlight w:val="none"/>
              </w:rPr>
              <w:t>选择每一批次采购图书明细，中标人应确保每年度可供应的生物科学、医药卫生类专业图书（《中国图书馆分类法》中的Q、R类）货款金额所占</w:t>
            </w:r>
            <w:r>
              <w:rPr>
                <w:rFonts w:hint="eastAsia"/>
                <w:color w:val="auto"/>
                <w:highlight w:val="none"/>
                <w:lang w:val="en-US" w:eastAsia="zh-CN"/>
              </w:rPr>
              <w:t>当年</w:t>
            </w:r>
            <w:r>
              <w:rPr>
                <w:rFonts w:hint="eastAsia"/>
                <w:color w:val="auto"/>
                <w:highlight w:val="none"/>
              </w:rPr>
              <w:t>供货总金额的比例不得低于50%，其他图书也应以《中国图书馆分类法》中的A、B、C、N、O类为主。</w:t>
            </w:r>
          </w:p>
          <w:p w14:paraId="5842ED19">
            <w:pPr>
              <w:ind w:firstLine="420" w:firstLineChars="200"/>
              <w:rPr>
                <w:rFonts w:ascii="Calibri" w:hAnsi="Calibri"/>
                <w:color w:val="auto"/>
                <w:szCs w:val="22"/>
                <w:highlight w:val="none"/>
              </w:rPr>
            </w:pPr>
            <w:r>
              <w:rPr>
                <w:rFonts w:hint="eastAsia"/>
                <w:color w:val="auto"/>
                <w:highlight w:val="none"/>
              </w:rPr>
              <w:t>每本书均需按照采购人要求的编目数据及加工服务（详见《服务需求及要求》中“服务要求”）。</w:t>
            </w:r>
          </w:p>
        </w:tc>
      </w:tr>
      <w:tr w14:paraId="03C5C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1" w:type="dxa"/>
            <w:tcBorders>
              <w:top w:val="single" w:color="auto" w:sz="4" w:space="0"/>
              <w:left w:val="single" w:color="auto" w:sz="4" w:space="0"/>
              <w:bottom w:val="single" w:color="auto" w:sz="4" w:space="0"/>
              <w:right w:val="single" w:color="auto" w:sz="4" w:space="0"/>
            </w:tcBorders>
            <w:vAlign w:val="center"/>
          </w:tcPr>
          <w:p w14:paraId="03D1F26D">
            <w:pPr>
              <w:spacing w:line="380" w:lineRule="exact"/>
              <w:jc w:val="center"/>
              <w:rPr>
                <w:rFonts w:ascii="宋体" w:hAnsi="宋体" w:cs="宋体"/>
                <w:color w:val="auto"/>
                <w:szCs w:val="22"/>
                <w:highlight w:val="none"/>
              </w:rPr>
            </w:pPr>
            <w:r>
              <w:rPr>
                <w:rFonts w:hint="eastAsia" w:ascii="宋体" w:hAnsi="宋体" w:cs="宋体"/>
                <w:color w:val="auto"/>
                <w:szCs w:val="22"/>
                <w:highlight w:val="none"/>
              </w:rPr>
              <w:t>二</w:t>
            </w:r>
          </w:p>
        </w:tc>
        <w:tc>
          <w:tcPr>
            <w:tcW w:w="978" w:type="dxa"/>
            <w:tcBorders>
              <w:left w:val="single" w:color="auto" w:sz="4" w:space="0"/>
              <w:right w:val="single" w:color="auto" w:sz="4" w:space="0"/>
            </w:tcBorders>
            <w:vAlign w:val="center"/>
          </w:tcPr>
          <w:p w14:paraId="062A84F8">
            <w:pPr>
              <w:spacing w:line="380" w:lineRule="exact"/>
              <w:jc w:val="center"/>
              <w:rPr>
                <w:rFonts w:ascii="Calibri" w:hAnsi="Calibri"/>
                <w:color w:val="auto"/>
                <w:szCs w:val="22"/>
                <w:highlight w:val="none"/>
              </w:rPr>
            </w:pPr>
            <w:r>
              <w:rPr>
                <w:rFonts w:hint="eastAsia" w:ascii="Calibri" w:hAnsi="Calibri"/>
                <w:color w:val="auto"/>
                <w:szCs w:val="22"/>
                <w:highlight w:val="none"/>
              </w:rPr>
              <w:t>内地版中外文纸质图书</w:t>
            </w:r>
          </w:p>
        </w:tc>
        <w:tc>
          <w:tcPr>
            <w:tcW w:w="660" w:type="dxa"/>
            <w:tcBorders>
              <w:top w:val="single" w:color="auto" w:sz="4" w:space="0"/>
              <w:left w:val="single" w:color="auto" w:sz="4" w:space="0"/>
              <w:bottom w:val="single" w:color="auto" w:sz="4" w:space="0"/>
              <w:right w:val="single" w:color="auto" w:sz="4" w:space="0"/>
            </w:tcBorders>
            <w:vAlign w:val="center"/>
          </w:tcPr>
          <w:p w14:paraId="22C1645C">
            <w:pPr>
              <w:spacing w:line="380" w:lineRule="exact"/>
              <w:jc w:val="center"/>
              <w:rPr>
                <w:rFonts w:ascii="Calibri" w:hAnsi="Calibri"/>
                <w:color w:val="auto"/>
                <w:szCs w:val="22"/>
                <w:highlight w:val="none"/>
              </w:rPr>
            </w:pPr>
            <w:r>
              <w:rPr>
                <w:rFonts w:hint="eastAsia" w:ascii="Calibri" w:hAnsi="Calibri"/>
                <w:color w:val="auto"/>
                <w:szCs w:val="22"/>
                <w:highlight w:val="none"/>
              </w:rPr>
              <w:t>1</w:t>
            </w:r>
          </w:p>
        </w:tc>
        <w:tc>
          <w:tcPr>
            <w:tcW w:w="570" w:type="dxa"/>
            <w:tcBorders>
              <w:top w:val="single" w:color="auto" w:sz="4" w:space="0"/>
              <w:left w:val="single" w:color="auto" w:sz="4" w:space="0"/>
              <w:bottom w:val="single" w:color="auto" w:sz="4" w:space="0"/>
              <w:right w:val="single" w:color="auto" w:sz="4" w:space="0"/>
            </w:tcBorders>
            <w:vAlign w:val="center"/>
          </w:tcPr>
          <w:p w14:paraId="6C198A36">
            <w:pPr>
              <w:spacing w:line="380" w:lineRule="exact"/>
              <w:jc w:val="center"/>
              <w:rPr>
                <w:rFonts w:ascii="Calibri" w:hAnsi="Calibri"/>
                <w:color w:val="auto"/>
                <w:szCs w:val="22"/>
                <w:highlight w:val="none"/>
              </w:rPr>
            </w:pPr>
            <w:r>
              <w:rPr>
                <w:rFonts w:hint="eastAsia" w:ascii="Calibri" w:hAnsi="Calibri"/>
                <w:color w:val="auto"/>
                <w:szCs w:val="22"/>
                <w:highlight w:val="none"/>
              </w:rPr>
              <w:t>批</w:t>
            </w:r>
          </w:p>
        </w:tc>
        <w:tc>
          <w:tcPr>
            <w:tcW w:w="6793" w:type="dxa"/>
            <w:tcBorders>
              <w:left w:val="single" w:color="auto" w:sz="4" w:space="0"/>
              <w:right w:val="single" w:color="auto" w:sz="4" w:space="0"/>
            </w:tcBorders>
            <w:vAlign w:val="top"/>
          </w:tcPr>
          <w:p w14:paraId="0DF3C4E7">
            <w:pPr>
              <w:ind w:firstLine="420" w:firstLineChars="200"/>
              <w:rPr>
                <w:rFonts w:ascii="宋体"/>
                <w:color w:val="auto"/>
                <w:szCs w:val="21"/>
                <w:highlight w:val="none"/>
              </w:rPr>
            </w:pPr>
            <w:r>
              <w:rPr>
                <w:rFonts w:hint="eastAsia"/>
                <w:color w:val="auto"/>
                <w:highlight w:val="none"/>
              </w:rPr>
              <w:t>2025-2028年出版的图书（采购人特别要求的教学、科研用书则不限年代），在学科内容上以生物科学、医药卫生类为主，其他学科为辅；在层次类别上以教学应用型、学术型、研究型为主，兼顾一般性读物。合同期内中标人每周向采购人提交</w:t>
            </w:r>
            <w:r>
              <w:rPr>
                <w:rFonts w:hint="eastAsia" w:ascii="宋体"/>
                <w:color w:val="auto"/>
                <w:szCs w:val="21"/>
                <w:highlight w:val="none"/>
              </w:rPr>
              <w:t>采访书目（具体以附件1第二条第1项“</w:t>
            </w:r>
            <w:r>
              <w:rPr>
                <w:rFonts w:hint="eastAsia"/>
                <w:color w:val="auto"/>
                <w:highlight w:val="none"/>
              </w:rPr>
              <w:t>采访书目数据要求”为准</w:t>
            </w:r>
            <w:r>
              <w:rPr>
                <w:rFonts w:hint="eastAsia" w:ascii="宋体"/>
                <w:color w:val="auto"/>
                <w:szCs w:val="21"/>
                <w:highlight w:val="none"/>
              </w:rPr>
              <w:t>）供采购人选择，采购人也可根据自身情况向中标人提供拟采购的书目。</w:t>
            </w:r>
          </w:p>
          <w:p w14:paraId="4538F727">
            <w:pPr>
              <w:ind w:firstLine="420" w:firstLineChars="200"/>
              <w:rPr>
                <w:color w:val="auto"/>
                <w:highlight w:val="none"/>
              </w:rPr>
            </w:pPr>
            <w:r>
              <w:rPr>
                <w:rFonts w:hint="eastAsia"/>
                <w:color w:val="auto"/>
                <w:highlight w:val="none"/>
              </w:rPr>
              <w:t>采购人分批采购。采购人可在</w:t>
            </w:r>
            <w:r>
              <w:rPr>
                <w:rFonts w:hint="eastAsia" w:ascii="宋体"/>
                <w:color w:val="auto"/>
                <w:szCs w:val="21"/>
                <w:highlight w:val="none"/>
              </w:rPr>
              <w:t>采访书目与采购人拟采购书目的范围内自行</w:t>
            </w:r>
            <w:r>
              <w:rPr>
                <w:rFonts w:hint="eastAsia"/>
                <w:color w:val="auto"/>
                <w:highlight w:val="none"/>
              </w:rPr>
              <w:t>选择每一批次采购图书明细，中标人应确保每年度可供应的生物科学、医药卫生类专业图书（《中国图书馆分类法》中的Q、R类）货款金额所占</w:t>
            </w:r>
            <w:r>
              <w:rPr>
                <w:rFonts w:hint="eastAsia"/>
                <w:color w:val="auto"/>
                <w:highlight w:val="none"/>
                <w:lang w:eastAsia="zh-CN"/>
              </w:rPr>
              <w:t>当年</w:t>
            </w:r>
            <w:r>
              <w:rPr>
                <w:rFonts w:hint="eastAsia"/>
                <w:color w:val="auto"/>
                <w:highlight w:val="none"/>
              </w:rPr>
              <w:t>供货总金额的比例不得低于50%，其他图书也应以《中国图书馆分类法》中的D、E、F、S、T类为主。</w:t>
            </w:r>
          </w:p>
          <w:p w14:paraId="5DC05CDE">
            <w:pPr>
              <w:ind w:firstLine="420" w:firstLineChars="200"/>
              <w:rPr>
                <w:rFonts w:ascii="Calibri" w:hAnsi="Calibri"/>
                <w:color w:val="auto"/>
                <w:szCs w:val="22"/>
                <w:highlight w:val="none"/>
              </w:rPr>
            </w:pPr>
            <w:r>
              <w:rPr>
                <w:rFonts w:hint="eastAsia"/>
                <w:color w:val="auto"/>
                <w:highlight w:val="none"/>
              </w:rPr>
              <w:t>每本书均需按照采购人要求的编目数据及加工服务（详见《服务需求及要求》中“服务要求”）。</w:t>
            </w:r>
          </w:p>
        </w:tc>
      </w:tr>
      <w:tr w14:paraId="62523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1" w:type="dxa"/>
            <w:tcBorders>
              <w:top w:val="single" w:color="auto" w:sz="4" w:space="0"/>
              <w:left w:val="single" w:color="auto" w:sz="4" w:space="0"/>
              <w:bottom w:val="single" w:color="auto" w:sz="4" w:space="0"/>
              <w:right w:val="single" w:color="auto" w:sz="4" w:space="0"/>
            </w:tcBorders>
            <w:vAlign w:val="center"/>
          </w:tcPr>
          <w:p w14:paraId="46FAF195">
            <w:pPr>
              <w:spacing w:line="380" w:lineRule="exact"/>
              <w:jc w:val="center"/>
              <w:rPr>
                <w:rFonts w:ascii="宋体" w:hAnsi="宋体" w:cs="宋体"/>
                <w:color w:val="auto"/>
                <w:szCs w:val="22"/>
                <w:highlight w:val="none"/>
              </w:rPr>
            </w:pPr>
            <w:r>
              <w:rPr>
                <w:rFonts w:hint="eastAsia" w:ascii="宋体" w:hAnsi="宋体" w:cs="宋体"/>
                <w:color w:val="auto"/>
                <w:szCs w:val="22"/>
                <w:highlight w:val="none"/>
              </w:rPr>
              <w:t>三</w:t>
            </w:r>
          </w:p>
        </w:tc>
        <w:tc>
          <w:tcPr>
            <w:tcW w:w="978" w:type="dxa"/>
            <w:tcBorders>
              <w:left w:val="single" w:color="auto" w:sz="4" w:space="0"/>
              <w:right w:val="single" w:color="auto" w:sz="4" w:space="0"/>
            </w:tcBorders>
            <w:vAlign w:val="center"/>
          </w:tcPr>
          <w:p w14:paraId="1E165365">
            <w:pPr>
              <w:spacing w:line="380" w:lineRule="exact"/>
              <w:jc w:val="center"/>
              <w:rPr>
                <w:rFonts w:ascii="Calibri" w:hAnsi="Calibri"/>
                <w:color w:val="auto"/>
                <w:szCs w:val="22"/>
                <w:highlight w:val="none"/>
              </w:rPr>
            </w:pPr>
            <w:r>
              <w:rPr>
                <w:rFonts w:hint="eastAsia" w:ascii="Calibri" w:hAnsi="Calibri"/>
                <w:color w:val="auto"/>
                <w:szCs w:val="22"/>
                <w:highlight w:val="none"/>
              </w:rPr>
              <w:t>内地版中外文纸质图书</w:t>
            </w:r>
          </w:p>
        </w:tc>
        <w:tc>
          <w:tcPr>
            <w:tcW w:w="660" w:type="dxa"/>
            <w:tcBorders>
              <w:top w:val="single" w:color="auto" w:sz="4" w:space="0"/>
              <w:left w:val="single" w:color="auto" w:sz="4" w:space="0"/>
              <w:bottom w:val="single" w:color="auto" w:sz="4" w:space="0"/>
              <w:right w:val="single" w:color="auto" w:sz="4" w:space="0"/>
            </w:tcBorders>
            <w:vAlign w:val="center"/>
          </w:tcPr>
          <w:p w14:paraId="7146DCAD">
            <w:pPr>
              <w:spacing w:line="380" w:lineRule="exact"/>
              <w:jc w:val="center"/>
              <w:rPr>
                <w:rFonts w:ascii="Calibri" w:hAnsi="Calibri"/>
                <w:color w:val="auto"/>
                <w:szCs w:val="22"/>
                <w:highlight w:val="none"/>
              </w:rPr>
            </w:pPr>
            <w:r>
              <w:rPr>
                <w:rFonts w:hint="eastAsia" w:ascii="Calibri" w:hAnsi="Calibri"/>
                <w:color w:val="auto"/>
                <w:szCs w:val="22"/>
                <w:highlight w:val="none"/>
              </w:rPr>
              <w:t>1</w:t>
            </w:r>
          </w:p>
        </w:tc>
        <w:tc>
          <w:tcPr>
            <w:tcW w:w="570" w:type="dxa"/>
            <w:tcBorders>
              <w:top w:val="single" w:color="auto" w:sz="4" w:space="0"/>
              <w:left w:val="single" w:color="auto" w:sz="4" w:space="0"/>
              <w:bottom w:val="single" w:color="auto" w:sz="4" w:space="0"/>
              <w:right w:val="single" w:color="auto" w:sz="4" w:space="0"/>
            </w:tcBorders>
            <w:vAlign w:val="center"/>
          </w:tcPr>
          <w:p w14:paraId="7EF0F789">
            <w:pPr>
              <w:spacing w:line="380" w:lineRule="exact"/>
              <w:jc w:val="center"/>
              <w:rPr>
                <w:rFonts w:ascii="Calibri" w:hAnsi="Calibri"/>
                <w:color w:val="auto"/>
                <w:szCs w:val="22"/>
                <w:highlight w:val="none"/>
              </w:rPr>
            </w:pPr>
            <w:r>
              <w:rPr>
                <w:rFonts w:hint="eastAsia" w:ascii="Calibri" w:hAnsi="Calibri"/>
                <w:color w:val="auto"/>
                <w:szCs w:val="22"/>
                <w:highlight w:val="none"/>
              </w:rPr>
              <w:t>批</w:t>
            </w:r>
          </w:p>
        </w:tc>
        <w:tc>
          <w:tcPr>
            <w:tcW w:w="6793" w:type="dxa"/>
            <w:tcBorders>
              <w:left w:val="single" w:color="auto" w:sz="4" w:space="0"/>
              <w:right w:val="single" w:color="auto" w:sz="4" w:space="0"/>
            </w:tcBorders>
            <w:vAlign w:val="top"/>
          </w:tcPr>
          <w:p w14:paraId="044D9C2B">
            <w:pPr>
              <w:ind w:firstLine="420" w:firstLineChars="200"/>
              <w:rPr>
                <w:rFonts w:ascii="宋体"/>
                <w:color w:val="auto"/>
                <w:szCs w:val="21"/>
                <w:highlight w:val="none"/>
              </w:rPr>
            </w:pPr>
            <w:r>
              <w:rPr>
                <w:rFonts w:hint="eastAsia"/>
                <w:color w:val="auto"/>
                <w:highlight w:val="none"/>
              </w:rPr>
              <w:t>2025-2028年出版的图书（采购人特别要求的教学、科研用书则不限年代），在学科内容上以生物科学、医药卫生类为主，其他学科为辅；在层次类别上以教学应用型、学术型、研究型为主，兼顾一般性读物。合同期内中标人每周向采购人提交</w:t>
            </w:r>
            <w:r>
              <w:rPr>
                <w:rFonts w:hint="eastAsia" w:ascii="宋体"/>
                <w:color w:val="auto"/>
                <w:szCs w:val="21"/>
                <w:highlight w:val="none"/>
              </w:rPr>
              <w:t>采访书目（具体以附件1第二条第1项“</w:t>
            </w:r>
            <w:r>
              <w:rPr>
                <w:rFonts w:hint="eastAsia"/>
                <w:color w:val="auto"/>
                <w:highlight w:val="none"/>
              </w:rPr>
              <w:t>采访书目数据要求”为准</w:t>
            </w:r>
            <w:r>
              <w:rPr>
                <w:rFonts w:hint="eastAsia" w:ascii="宋体"/>
                <w:color w:val="auto"/>
                <w:szCs w:val="21"/>
                <w:highlight w:val="none"/>
              </w:rPr>
              <w:t>）供采购人选择，采购人也可根据自身情况向中标人提供拟采购的书目。</w:t>
            </w:r>
          </w:p>
          <w:p w14:paraId="1269B3E9">
            <w:pPr>
              <w:ind w:firstLine="420" w:firstLineChars="200"/>
              <w:rPr>
                <w:color w:val="auto"/>
                <w:highlight w:val="none"/>
              </w:rPr>
            </w:pPr>
            <w:r>
              <w:rPr>
                <w:rFonts w:hint="eastAsia"/>
                <w:color w:val="auto"/>
                <w:highlight w:val="none"/>
              </w:rPr>
              <w:t>采购人分批采购。采购人可在</w:t>
            </w:r>
            <w:r>
              <w:rPr>
                <w:rFonts w:hint="eastAsia" w:ascii="宋体"/>
                <w:color w:val="auto"/>
                <w:szCs w:val="21"/>
                <w:highlight w:val="none"/>
              </w:rPr>
              <w:t>采访书目与采购人拟采购书目的范围内自行</w:t>
            </w:r>
            <w:r>
              <w:rPr>
                <w:rFonts w:hint="eastAsia"/>
                <w:color w:val="auto"/>
                <w:highlight w:val="none"/>
              </w:rPr>
              <w:t>选择每一批次采购图书明细，中标人应确保每年度可供应的生物科学、医药卫生类专业图书（《中国图书馆分类法》中的Q、R类）货款金额所占</w:t>
            </w:r>
            <w:r>
              <w:rPr>
                <w:rFonts w:hint="eastAsia"/>
                <w:color w:val="auto"/>
                <w:highlight w:val="none"/>
                <w:lang w:eastAsia="zh-CN"/>
              </w:rPr>
              <w:t>当年</w:t>
            </w:r>
            <w:r>
              <w:rPr>
                <w:rFonts w:hint="eastAsia"/>
                <w:color w:val="auto"/>
                <w:highlight w:val="none"/>
              </w:rPr>
              <w:t>供货总金额的比例不得低于50%，其他图书也应以《中国图书馆分类法》中的G、I、P、U、V类为主。</w:t>
            </w:r>
          </w:p>
          <w:p w14:paraId="32396A69">
            <w:pPr>
              <w:ind w:firstLine="420" w:firstLineChars="200"/>
              <w:rPr>
                <w:rFonts w:ascii="Calibri" w:hAnsi="Calibri"/>
                <w:color w:val="auto"/>
                <w:szCs w:val="22"/>
                <w:highlight w:val="none"/>
              </w:rPr>
            </w:pPr>
            <w:r>
              <w:rPr>
                <w:rFonts w:hint="eastAsia"/>
                <w:color w:val="auto"/>
                <w:highlight w:val="none"/>
              </w:rPr>
              <w:t>每本书均需按照采购人要求的编目数据及加工服务（详见《服务需求及要求》中“服务要求”）。</w:t>
            </w:r>
          </w:p>
        </w:tc>
      </w:tr>
      <w:tr w14:paraId="26852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1" w:type="dxa"/>
            <w:tcBorders>
              <w:top w:val="single" w:color="auto" w:sz="4" w:space="0"/>
              <w:left w:val="single" w:color="auto" w:sz="4" w:space="0"/>
              <w:bottom w:val="single" w:color="auto" w:sz="4" w:space="0"/>
              <w:right w:val="single" w:color="auto" w:sz="4" w:space="0"/>
            </w:tcBorders>
            <w:vAlign w:val="center"/>
          </w:tcPr>
          <w:p w14:paraId="50AB39EF">
            <w:pPr>
              <w:spacing w:line="380" w:lineRule="exact"/>
              <w:jc w:val="center"/>
              <w:rPr>
                <w:rFonts w:ascii="宋体" w:hAnsi="宋体" w:cs="宋体"/>
                <w:color w:val="auto"/>
                <w:szCs w:val="22"/>
                <w:highlight w:val="none"/>
              </w:rPr>
            </w:pPr>
            <w:r>
              <w:rPr>
                <w:rFonts w:hint="eastAsia" w:ascii="宋体" w:hAnsi="宋体" w:cs="宋体"/>
                <w:color w:val="auto"/>
                <w:szCs w:val="22"/>
                <w:highlight w:val="none"/>
              </w:rPr>
              <w:t>四</w:t>
            </w:r>
          </w:p>
        </w:tc>
        <w:tc>
          <w:tcPr>
            <w:tcW w:w="978" w:type="dxa"/>
            <w:tcBorders>
              <w:left w:val="single" w:color="auto" w:sz="4" w:space="0"/>
              <w:bottom w:val="single" w:color="auto" w:sz="4" w:space="0"/>
              <w:right w:val="single" w:color="auto" w:sz="4" w:space="0"/>
            </w:tcBorders>
            <w:vAlign w:val="center"/>
          </w:tcPr>
          <w:p w14:paraId="10789869">
            <w:pPr>
              <w:spacing w:line="380" w:lineRule="exact"/>
              <w:jc w:val="center"/>
              <w:rPr>
                <w:rFonts w:ascii="Calibri" w:hAnsi="Calibri"/>
                <w:color w:val="auto"/>
                <w:szCs w:val="22"/>
                <w:highlight w:val="none"/>
              </w:rPr>
            </w:pPr>
            <w:r>
              <w:rPr>
                <w:rFonts w:hint="eastAsia" w:ascii="Calibri" w:hAnsi="Calibri"/>
                <w:color w:val="auto"/>
                <w:szCs w:val="22"/>
                <w:highlight w:val="none"/>
              </w:rPr>
              <w:t>内地版中外文纸质图书</w:t>
            </w:r>
          </w:p>
        </w:tc>
        <w:tc>
          <w:tcPr>
            <w:tcW w:w="660" w:type="dxa"/>
            <w:tcBorders>
              <w:top w:val="single" w:color="auto" w:sz="4" w:space="0"/>
              <w:left w:val="single" w:color="auto" w:sz="4" w:space="0"/>
              <w:bottom w:val="single" w:color="auto" w:sz="4" w:space="0"/>
              <w:right w:val="single" w:color="auto" w:sz="4" w:space="0"/>
            </w:tcBorders>
            <w:vAlign w:val="center"/>
          </w:tcPr>
          <w:p w14:paraId="335B168A">
            <w:pPr>
              <w:spacing w:line="380" w:lineRule="exact"/>
              <w:jc w:val="center"/>
              <w:rPr>
                <w:rFonts w:ascii="Calibri" w:hAnsi="Calibri"/>
                <w:color w:val="auto"/>
                <w:szCs w:val="22"/>
                <w:highlight w:val="none"/>
              </w:rPr>
            </w:pPr>
            <w:r>
              <w:rPr>
                <w:rFonts w:hint="eastAsia" w:ascii="Calibri" w:hAnsi="Calibri"/>
                <w:color w:val="auto"/>
                <w:szCs w:val="22"/>
                <w:highlight w:val="none"/>
              </w:rPr>
              <w:t>1</w:t>
            </w:r>
          </w:p>
        </w:tc>
        <w:tc>
          <w:tcPr>
            <w:tcW w:w="570" w:type="dxa"/>
            <w:tcBorders>
              <w:top w:val="single" w:color="auto" w:sz="4" w:space="0"/>
              <w:left w:val="single" w:color="auto" w:sz="4" w:space="0"/>
              <w:bottom w:val="single" w:color="auto" w:sz="4" w:space="0"/>
              <w:right w:val="single" w:color="auto" w:sz="4" w:space="0"/>
            </w:tcBorders>
            <w:vAlign w:val="center"/>
          </w:tcPr>
          <w:p w14:paraId="7FBDB46B">
            <w:pPr>
              <w:spacing w:line="380" w:lineRule="exact"/>
              <w:jc w:val="center"/>
              <w:rPr>
                <w:rFonts w:ascii="Calibri" w:hAnsi="Calibri"/>
                <w:color w:val="auto"/>
                <w:szCs w:val="22"/>
                <w:highlight w:val="none"/>
              </w:rPr>
            </w:pPr>
            <w:r>
              <w:rPr>
                <w:rFonts w:hint="eastAsia" w:ascii="Calibri" w:hAnsi="Calibri"/>
                <w:color w:val="auto"/>
                <w:szCs w:val="22"/>
                <w:highlight w:val="none"/>
              </w:rPr>
              <w:t>批</w:t>
            </w:r>
          </w:p>
        </w:tc>
        <w:tc>
          <w:tcPr>
            <w:tcW w:w="6793" w:type="dxa"/>
            <w:tcBorders>
              <w:left w:val="single" w:color="auto" w:sz="4" w:space="0"/>
              <w:bottom w:val="single" w:color="auto" w:sz="4" w:space="0"/>
              <w:right w:val="single" w:color="auto" w:sz="4" w:space="0"/>
            </w:tcBorders>
            <w:vAlign w:val="top"/>
          </w:tcPr>
          <w:p w14:paraId="4A6401A8">
            <w:pPr>
              <w:ind w:firstLine="420" w:firstLineChars="200"/>
              <w:rPr>
                <w:rFonts w:ascii="宋体"/>
                <w:color w:val="auto"/>
                <w:szCs w:val="21"/>
                <w:highlight w:val="none"/>
              </w:rPr>
            </w:pPr>
            <w:r>
              <w:rPr>
                <w:rFonts w:hint="eastAsia"/>
                <w:color w:val="auto"/>
                <w:highlight w:val="none"/>
              </w:rPr>
              <w:t>2025-2028年出版的图书（采购人特别要求的教学、科研用书则不限年代），在学科内容上以生物科学、医药卫生类为主，其他学科为辅；在层次类别上以教学应用型、学术型、研究型为主，兼顾一般性读物。合同期内中标人每周向采购人提交</w:t>
            </w:r>
            <w:r>
              <w:rPr>
                <w:rFonts w:hint="eastAsia" w:ascii="宋体"/>
                <w:color w:val="auto"/>
                <w:szCs w:val="21"/>
                <w:highlight w:val="none"/>
              </w:rPr>
              <w:t>采访书目（具体以附件1第二条第1项“</w:t>
            </w:r>
            <w:r>
              <w:rPr>
                <w:rFonts w:hint="eastAsia"/>
                <w:color w:val="auto"/>
                <w:highlight w:val="none"/>
              </w:rPr>
              <w:t>采访书目数据要求”为准</w:t>
            </w:r>
            <w:r>
              <w:rPr>
                <w:rFonts w:hint="eastAsia" w:ascii="宋体"/>
                <w:color w:val="auto"/>
                <w:szCs w:val="21"/>
                <w:highlight w:val="none"/>
              </w:rPr>
              <w:t>）供采购人选择，采购人也可根据自身情况向中标人提供拟采购的书目。</w:t>
            </w:r>
          </w:p>
          <w:p w14:paraId="6D4A9B62">
            <w:pPr>
              <w:ind w:firstLine="420" w:firstLineChars="200"/>
              <w:rPr>
                <w:color w:val="auto"/>
                <w:highlight w:val="none"/>
              </w:rPr>
            </w:pPr>
            <w:r>
              <w:rPr>
                <w:rFonts w:hint="eastAsia"/>
                <w:color w:val="auto"/>
                <w:highlight w:val="none"/>
              </w:rPr>
              <w:t>采购人分批采购。采购人可在</w:t>
            </w:r>
            <w:r>
              <w:rPr>
                <w:rFonts w:hint="eastAsia" w:ascii="宋体"/>
                <w:color w:val="auto"/>
                <w:szCs w:val="21"/>
                <w:highlight w:val="none"/>
              </w:rPr>
              <w:t>采访书目与采购人拟采购书目的范围内自行</w:t>
            </w:r>
            <w:r>
              <w:rPr>
                <w:rFonts w:hint="eastAsia"/>
                <w:color w:val="auto"/>
                <w:highlight w:val="none"/>
              </w:rPr>
              <w:t>选择每一批次采购图书明细，中标人应确保每年度可供应的生物科学、医药卫生类专业图书（《中国图书馆分类法》中的Q、R类）货款金额所占</w:t>
            </w:r>
            <w:r>
              <w:rPr>
                <w:rFonts w:hint="eastAsia"/>
                <w:color w:val="auto"/>
                <w:highlight w:val="none"/>
                <w:lang w:eastAsia="zh-CN"/>
              </w:rPr>
              <w:t>当年</w:t>
            </w:r>
            <w:r>
              <w:rPr>
                <w:rFonts w:hint="eastAsia"/>
                <w:color w:val="auto"/>
                <w:highlight w:val="none"/>
              </w:rPr>
              <w:t>供货总金额的比例不得低于50%，其他图书也应以《中国图书馆分类法》中的H、J、K、X、Z类为主。</w:t>
            </w:r>
          </w:p>
          <w:p w14:paraId="673FAE31">
            <w:pPr>
              <w:ind w:firstLine="420" w:firstLineChars="200"/>
              <w:rPr>
                <w:rFonts w:ascii="Calibri" w:hAnsi="Calibri"/>
                <w:color w:val="auto"/>
                <w:szCs w:val="22"/>
                <w:highlight w:val="none"/>
              </w:rPr>
            </w:pPr>
            <w:r>
              <w:rPr>
                <w:rFonts w:hint="eastAsia"/>
                <w:color w:val="auto"/>
                <w:highlight w:val="none"/>
              </w:rPr>
              <w:t>每本书均需按照采购人要求的编目数据及加工服务（详见《服务需求及要求》中“服务要求”）。</w:t>
            </w:r>
          </w:p>
        </w:tc>
      </w:tr>
      <w:tr w14:paraId="7AD00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62" w:type="dxa"/>
            <w:gridSpan w:val="5"/>
            <w:tcBorders>
              <w:top w:val="single" w:color="auto" w:sz="4" w:space="0"/>
              <w:left w:val="single" w:color="auto" w:sz="4" w:space="0"/>
              <w:bottom w:val="single" w:color="auto" w:sz="4" w:space="0"/>
              <w:right w:val="single" w:color="auto" w:sz="4" w:space="0"/>
            </w:tcBorders>
            <w:vAlign w:val="center"/>
          </w:tcPr>
          <w:p w14:paraId="12672486">
            <w:pPr>
              <w:rPr>
                <w:color w:val="auto"/>
                <w:highlight w:val="none"/>
              </w:rPr>
            </w:pPr>
            <w:r>
              <w:rPr>
                <w:rFonts w:hint="eastAsia"/>
                <w:color w:val="auto"/>
                <w:highlight w:val="none"/>
              </w:rPr>
              <w:t>备注：</w:t>
            </w:r>
          </w:p>
          <w:p w14:paraId="19F0D5A4">
            <w:pPr>
              <w:ind w:firstLine="420" w:firstLineChars="200"/>
              <w:rPr>
                <w:rFonts w:ascii="Calibri" w:cs="Courier New"/>
                <w:color w:val="auto"/>
                <w:szCs w:val="22"/>
                <w:highlight w:val="none"/>
              </w:rPr>
            </w:pPr>
            <w:r>
              <w:rPr>
                <w:rFonts w:eastAsia="宋体" w:cs="Courier New" w:asciiTheme="minorHAnsi" w:hAnsiTheme="minorHAnsi"/>
                <w:color w:val="auto"/>
                <w:szCs w:val="22"/>
                <w:highlight w:val="none"/>
              </w:rPr>
              <w:t>1</w:t>
            </w:r>
            <w:r>
              <w:rPr>
                <w:rFonts w:hint="eastAsia" w:ascii="Calibri" w:cs="Courier New"/>
                <w:color w:val="auto"/>
                <w:szCs w:val="22"/>
                <w:highlight w:val="none"/>
              </w:rPr>
              <w:t>、四个分标的图书互不重复。</w:t>
            </w:r>
          </w:p>
          <w:p w14:paraId="6988AB30">
            <w:pPr>
              <w:ind w:firstLine="420" w:firstLineChars="200"/>
              <w:rPr>
                <w:rFonts w:hint="eastAsia"/>
                <w:color w:val="auto"/>
                <w:highlight w:val="none"/>
              </w:rPr>
            </w:pPr>
            <w:r>
              <w:rPr>
                <w:rFonts w:hint="eastAsia"/>
                <w:color w:val="auto"/>
                <w:highlight w:val="none"/>
              </w:rPr>
              <w:t>2、以下类型图书不在采购人选购范围之内：⑴不符合办学层次和要求的图书，如高职高专、少儿、中小学用书；非国民教育的，如成教、自考等。⑵文学类以图画为主的非特指定选购书；面向青少年的科普读物；图多字少的图书；少数民族文字的图书；纯粹标准。⑶磁带以及与磁带配套的图书、纯粹的光盘（非图书附盘）。⑷开本≤</w:t>
            </w:r>
            <w:r>
              <w:rPr>
                <w:color w:val="auto"/>
                <w:highlight w:val="none"/>
              </w:rPr>
              <w:t>64开的图书，活页、挂图、乐谱、线装书、袋装书等。</w:t>
            </w:r>
          </w:p>
        </w:tc>
      </w:tr>
      <w:tr w14:paraId="690B2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862" w:type="dxa"/>
            <w:gridSpan w:val="5"/>
            <w:tcBorders>
              <w:top w:val="single" w:color="auto" w:sz="4" w:space="0"/>
              <w:left w:val="single" w:color="auto" w:sz="4" w:space="0"/>
              <w:bottom w:val="single" w:color="auto" w:sz="4" w:space="0"/>
              <w:right w:val="single" w:color="auto" w:sz="4" w:space="0"/>
            </w:tcBorders>
            <w:vAlign w:val="center"/>
          </w:tcPr>
          <w:p w14:paraId="3FA672FF">
            <w:pPr>
              <w:spacing w:line="380" w:lineRule="exact"/>
              <w:rPr>
                <w:rFonts w:ascii="新宋体" w:hAnsi="Calibri" w:eastAsia="新宋体"/>
                <w:color w:val="auto"/>
                <w:szCs w:val="21"/>
                <w:highlight w:val="none"/>
              </w:rPr>
            </w:pPr>
            <w:r>
              <w:rPr>
                <w:rFonts w:hint="eastAsia" w:ascii="宋体" w:hAnsi="宋体"/>
                <w:b/>
                <w:color w:val="auto"/>
                <w:szCs w:val="21"/>
                <w:highlight w:val="none"/>
              </w:rPr>
              <w:t>商务</w:t>
            </w:r>
            <w:r>
              <w:rPr>
                <w:rFonts w:hint="eastAsia" w:ascii="新宋体" w:hAnsi="Calibri" w:eastAsia="新宋体"/>
                <w:b/>
                <w:color w:val="auto"/>
                <w:szCs w:val="21"/>
                <w:highlight w:val="none"/>
              </w:rPr>
              <w:t>要求表</w:t>
            </w:r>
          </w:p>
        </w:tc>
      </w:tr>
      <w:tr w14:paraId="11AA8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39" w:type="dxa"/>
            <w:gridSpan w:val="2"/>
            <w:tcBorders>
              <w:top w:val="single" w:color="auto" w:sz="4" w:space="0"/>
              <w:left w:val="single" w:color="auto" w:sz="4" w:space="0"/>
              <w:bottom w:val="single" w:color="auto" w:sz="4" w:space="0"/>
              <w:right w:val="single" w:color="auto" w:sz="4" w:space="0"/>
            </w:tcBorders>
            <w:vAlign w:val="center"/>
          </w:tcPr>
          <w:p w14:paraId="5FF47787">
            <w:pPr>
              <w:spacing w:line="380" w:lineRule="exact"/>
              <w:jc w:val="center"/>
              <w:rPr>
                <w:rFonts w:ascii="宋体" w:hAnsi="宋体" w:cs="宋体"/>
                <w:color w:val="auto"/>
                <w:szCs w:val="21"/>
                <w:highlight w:val="none"/>
              </w:rPr>
            </w:pPr>
            <w:r>
              <w:rPr>
                <w:rFonts w:hint="eastAsia" w:ascii="宋体" w:hAnsi="宋体" w:cs="宋体"/>
                <w:color w:val="auto"/>
                <w:szCs w:val="21"/>
                <w:highlight w:val="none"/>
              </w:rPr>
              <w:t>规范标准</w:t>
            </w:r>
          </w:p>
        </w:tc>
        <w:tc>
          <w:tcPr>
            <w:tcW w:w="8023" w:type="dxa"/>
            <w:gridSpan w:val="3"/>
            <w:tcBorders>
              <w:top w:val="single" w:color="auto" w:sz="4" w:space="0"/>
              <w:left w:val="single" w:color="auto" w:sz="4" w:space="0"/>
              <w:bottom w:val="single" w:color="auto" w:sz="4" w:space="0"/>
              <w:right w:val="single" w:color="auto" w:sz="4" w:space="0"/>
            </w:tcBorders>
            <w:vAlign w:val="center"/>
          </w:tcPr>
          <w:p w14:paraId="7CDB02EA">
            <w:pPr>
              <w:spacing w:line="380" w:lineRule="exact"/>
              <w:ind w:firstLine="420" w:firstLineChars="200"/>
              <w:jc w:val="left"/>
              <w:rPr>
                <w:rFonts w:ascii="宋体" w:hAnsi="宋体" w:cs="Arial"/>
                <w:color w:val="auto"/>
                <w:szCs w:val="21"/>
                <w:highlight w:val="none"/>
              </w:rPr>
            </w:pPr>
            <w:r>
              <w:rPr>
                <w:rFonts w:hint="eastAsia" w:ascii="宋体" w:hAnsi="宋体" w:cs="Arial"/>
                <w:color w:val="auto"/>
                <w:szCs w:val="21"/>
                <w:highlight w:val="none"/>
              </w:rPr>
              <w:t>采购标的</w:t>
            </w:r>
            <w:r>
              <w:rPr>
                <w:rFonts w:hint="eastAsia"/>
                <w:color w:val="auto"/>
                <w:highlight w:val="none"/>
              </w:rPr>
              <w:t>须适用</w:t>
            </w:r>
            <w:r>
              <w:rPr>
                <w:rFonts w:hint="eastAsia" w:ascii="宋体" w:hAnsi="宋体" w:cs="Arial"/>
                <w:color w:val="auto"/>
                <w:szCs w:val="21"/>
                <w:highlight w:val="none"/>
              </w:rPr>
              <w:t>的国家标准、行业标准、地方标准或者其他标准、规范。</w:t>
            </w:r>
          </w:p>
        </w:tc>
      </w:tr>
      <w:tr w14:paraId="0A78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39" w:type="dxa"/>
            <w:gridSpan w:val="2"/>
            <w:tcBorders>
              <w:top w:val="single" w:color="auto" w:sz="4" w:space="0"/>
              <w:left w:val="single" w:color="auto" w:sz="4" w:space="0"/>
              <w:bottom w:val="single" w:color="auto" w:sz="4" w:space="0"/>
              <w:right w:val="single" w:color="auto" w:sz="4" w:space="0"/>
            </w:tcBorders>
            <w:vAlign w:val="center"/>
          </w:tcPr>
          <w:p w14:paraId="57F89C40">
            <w:pPr>
              <w:spacing w:line="380" w:lineRule="exact"/>
              <w:jc w:val="center"/>
              <w:rPr>
                <w:rFonts w:ascii="宋体" w:hAnsi="宋体" w:cs="宋体"/>
                <w:color w:val="auto"/>
                <w:szCs w:val="21"/>
                <w:highlight w:val="none"/>
              </w:rPr>
            </w:pPr>
            <w:r>
              <w:rPr>
                <w:rFonts w:hint="eastAsia" w:ascii="宋体" w:hAnsi="Calibri"/>
                <w:b/>
                <w:color w:val="auto"/>
                <w:szCs w:val="21"/>
                <w:highlight w:val="none"/>
              </w:rPr>
              <w:t>▲</w:t>
            </w:r>
            <w:r>
              <w:rPr>
                <w:rFonts w:hint="eastAsia" w:ascii="宋体" w:hAnsi="宋体" w:cs="宋体"/>
                <w:color w:val="auto"/>
                <w:szCs w:val="21"/>
                <w:highlight w:val="none"/>
              </w:rPr>
              <w:t>交货时间及地点</w:t>
            </w:r>
          </w:p>
        </w:tc>
        <w:tc>
          <w:tcPr>
            <w:tcW w:w="8023" w:type="dxa"/>
            <w:gridSpan w:val="3"/>
            <w:tcBorders>
              <w:top w:val="single" w:color="auto" w:sz="4" w:space="0"/>
              <w:left w:val="single" w:color="auto" w:sz="4" w:space="0"/>
              <w:bottom w:val="single" w:color="auto" w:sz="4" w:space="0"/>
              <w:right w:val="single" w:color="auto" w:sz="4" w:space="0"/>
            </w:tcBorders>
            <w:vAlign w:val="center"/>
          </w:tcPr>
          <w:p w14:paraId="541D6AA9">
            <w:pPr>
              <w:spacing w:line="380" w:lineRule="exact"/>
              <w:ind w:firstLine="420" w:firstLineChars="200"/>
              <w:rPr>
                <w:color w:val="auto"/>
                <w:highlight w:val="none"/>
              </w:rPr>
            </w:pPr>
            <w:r>
              <w:rPr>
                <w:rFonts w:hint="eastAsia" w:ascii="Calibri" w:hAnsi="Calibri"/>
                <w:color w:val="auto"/>
                <w:szCs w:val="22"/>
                <w:highlight w:val="none"/>
              </w:rPr>
              <w:t>交货时间：</w:t>
            </w:r>
            <w:r>
              <w:rPr>
                <w:rFonts w:hint="eastAsia"/>
                <w:color w:val="auto"/>
                <w:highlight w:val="none"/>
              </w:rPr>
              <w:t>按照采购人订单要求的时间交货。</w:t>
            </w:r>
          </w:p>
          <w:p w14:paraId="2EA35CB2">
            <w:pPr>
              <w:spacing w:line="380" w:lineRule="exact"/>
              <w:ind w:firstLine="420" w:firstLineChars="200"/>
              <w:rPr>
                <w:rFonts w:ascii="新宋体" w:hAnsi="Calibri" w:eastAsia="新宋体"/>
                <w:color w:val="auto"/>
                <w:szCs w:val="21"/>
                <w:highlight w:val="none"/>
              </w:rPr>
            </w:pPr>
            <w:r>
              <w:rPr>
                <w:rFonts w:hint="eastAsia" w:ascii="Calibri" w:hAnsi="Calibri"/>
                <w:color w:val="auto"/>
                <w:szCs w:val="22"/>
                <w:highlight w:val="none"/>
              </w:rPr>
              <w:t>交货地点：南宁市内采购人指定地点（广西南宁市青秀区双拥路</w:t>
            </w:r>
            <w:r>
              <w:rPr>
                <w:rFonts w:ascii="Calibri" w:hAnsi="Calibri"/>
                <w:color w:val="auto"/>
                <w:szCs w:val="22"/>
                <w:highlight w:val="none"/>
              </w:rPr>
              <w:t>22</w:t>
            </w:r>
            <w:r>
              <w:rPr>
                <w:rFonts w:hint="eastAsia" w:ascii="Calibri" w:hAnsi="Calibri"/>
                <w:color w:val="auto"/>
                <w:szCs w:val="22"/>
                <w:highlight w:val="none"/>
              </w:rPr>
              <w:t>号</w:t>
            </w:r>
            <w:r>
              <w:rPr>
                <w:rFonts w:hint="eastAsia" w:ascii="宋体" w:hAnsi="宋体"/>
                <w:color w:val="auto"/>
                <w:szCs w:val="21"/>
                <w:highlight w:val="none"/>
              </w:rPr>
              <w:t>广西医科大学校本部图书馆</w:t>
            </w:r>
            <w:r>
              <w:rPr>
                <w:rFonts w:hint="eastAsia" w:ascii="Calibri" w:hAnsi="Calibri"/>
                <w:color w:val="auto"/>
                <w:szCs w:val="22"/>
                <w:highlight w:val="none"/>
              </w:rPr>
              <w:t>）。</w:t>
            </w:r>
          </w:p>
        </w:tc>
      </w:tr>
      <w:tr w14:paraId="2260C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839" w:type="dxa"/>
            <w:gridSpan w:val="2"/>
            <w:tcBorders>
              <w:top w:val="single" w:color="auto" w:sz="4" w:space="0"/>
              <w:left w:val="single" w:color="auto" w:sz="4" w:space="0"/>
              <w:bottom w:val="single" w:color="auto" w:sz="4" w:space="0"/>
              <w:right w:val="single" w:color="auto" w:sz="4" w:space="0"/>
            </w:tcBorders>
            <w:vAlign w:val="center"/>
          </w:tcPr>
          <w:p w14:paraId="4A4B27D9">
            <w:pPr>
              <w:spacing w:line="380" w:lineRule="exact"/>
              <w:jc w:val="center"/>
              <w:rPr>
                <w:rFonts w:ascii="宋体" w:hAnsi="宋体" w:cs="宋体"/>
                <w:color w:val="auto"/>
                <w:szCs w:val="21"/>
                <w:highlight w:val="none"/>
              </w:rPr>
            </w:pPr>
            <w:r>
              <w:rPr>
                <w:rFonts w:hint="eastAsia" w:ascii="宋体" w:hAnsi="Calibri"/>
                <w:b/>
                <w:color w:val="auto"/>
                <w:szCs w:val="21"/>
                <w:highlight w:val="none"/>
              </w:rPr>
              <w:t>▲</w:t>
            </w:r>
            <w:r>
              <w:rPr>
                <w:rFonts w:hint="eastAsia" w:ascii="宋体" w:hAnsi="宋体" w:cs="宋体"/>
                <w:color w:val="auto"/>
                <w:szCs w:val="21"/>
                <w:highlight w:val="none"/>
              </w:rPr>
              <w:t>售后服务保障响应时间要求</w:t>
            </w:r>
          </w:p>
        </w:tc>
        <w:tc>
          <w:tcPr>
            <w:tcW w:w="8023" w:type="dxa"/>
            <w:gridSpan w:val="3"/>
            <w:tcBorders>
              <w:top w:val="single" w:color="auto" w:sz="4" w:space="0"/>
              <w:left w:val="single" w:color="auto" w:sz="4" w:space="0"/>
              <w:bottom w:val="single" w:color="auto" w:sz="4" w:space="0"/>
              <w:right w:val="single" w:color="auto" w:sz="4" w:space="0"/>
            </w:tcBorders>
            <w:vAlign w:val="center"/>
          </w:tcPr>
          <w:p w14:paraId="7FEC2A7E">
            <w:pPr>
              <w:ind w:firstLine="420" w:firstLineChars="200"/>
              <w:rPr>
                <w:rFonts w:ascii="新宋体" w:hAnsi="Calibri" w:eastAsia="新宋体"/>
                <w:color w:val="auto"/>
                <w:szCs w:val="21"/>
                <w:highlight w:val="none"/>
              </w:rPr>
            </w:pPr>
            <w:r>
              <w:rPr>
                <w:rFonts w:hint="eastAsia"/>
                <w:color w:val="auto"/>
                <w:highlight w:val="none"/>
              </w:rPr>
              <w:t>接到采购人通知后投标人须在24小时内给予答复，需要到现场解决的，到达时间不得超过72小时，投标时提供售后服务方案、声明有无定期回访、有无其他增值服务等。</w:t>
            </w:r>
          </w:p>
        </w:tc>
      </w:tr>
      <w:tr w14:paraId="6D584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39" w:type="dxa"/>
            <w:gridSpan w:val="2"/>
            <w:tcBorders>
              <w:top w:val="single" w:color="auto" w:sz="4" w:space="0"/>
              <w:left w:val="single" w:color="auto" w:sz="4" w:space="0"/>
              <w:bottom w:val="single" w:color="auto" w:sz="4" w:space="0"/>
              <w:right w:val="single" w:color="auto" w:sz="4" w:space="0"/>
            </w:tcBorders>
            <w:vAlign w:val="center"/>
          </w:tcPr>
          <w:p w14:paraId="2DC386AA">
            <w:pPr>
              <w:spacing w:line="380" w:lineRule="exact"/>
              <w:jc w:val="center"/>
              <w:rPr>
                <w:rFonts w:ascii="宋体" w:hAnsi="宋体" w:cs="宋体"/>
                <w:color w:val="auto"/>
                <w:szCs w:val="21"/>
                <w:highlight w:val="none"/>
              </w:rPr>
            </w:pPr>
            <w:r>
              <w:rPr>
                <w:rFonts w:hint="eastAsia" w:ascii="宋体" w:hAnsi="Calibri"/>
                <w:b/>
                <w:color w:val="auto"/>
                <w:szCs w:val="21"/>
                <w:highlight w:val="none"/>
              </w:rPr>
              <w:t>▲</w:t>
            </w:r>
            <w:r>
              <w:rPr>
                <w:rFonts w:hint="eastAsia" w:ascii="宋体" w:hAnsi="宋体" w:cs="宋体"/>
                <w:color w:val="auto"/>
                <w:szCs w:val="21"/>
                <w:highlight w:val="none"/>
              </w:rPr>
              <w:t>付款方式</w:t>
            </w:r>
          </w:p>
        </w:tc>
        <w:tc>
          <w:tcPr>
            <w:tcW w:w="8023" w:type="dxa"/>
            <w:gridSpan w:val="3"/>
            <w:tcBorders>
              <w:top w:val="single" w:color="auto" w:sz="4" w:space="0"/>
              <w:left w:val="single" w:color="auto" w:sz="4" w:space="0"/>
              <w:bottom w:val="single" w:color="auto" w:sz="4" w:space="0"/>
              <w:right w:val="single" w:color="auto" w:sz="4" w:space="0"/>
            </w:tcBorders>
            <w:vAlign w:val="center"/>
          </w:tcPr>
          <w:p w14:paraId="332414FD">
            <w:pPr>
              <w:ind w:firstLine="420" w:firstLineChars="200"/>
              <w:rPr>
                <w:rFonts w:ascii="新宋体" w:hAnsi="Calibri" w:eastAsia="新宋体"/>
                <w:color w:val="auto"/>
                <w:szCs w:val="21"/>
                <w:highlight w:val="none"/>
              </w:rPr>
            </w:pPr>
            <w:r>
              <w:rPr>
                <w:rFonts w:hint="eastAsia"/>
                <w:color w:val="auto"/>
                <w:highlight w:val="none"/>
              </w:rPr>
              <w:t>根据实际采购情况一年分两次</w:t>
            </w:r>
            <w:r>
              <w:rPr>
                <w:color w:val="auto"/>
                <w:highlight w:val="none"/>
              </w:rPr>
              <w:t>付款，</w:t>
            </w:r>
            <w:r>
              <w:rPr>
                <w:rFonts w:hint="eastAsia"/>
                <w:color w:val="auto"/>
                <w:highlight w:val="none"/>
              </w:rPr>
              <w:t>一次为9月中旬以前，一次为12月中旬以前，根据到货验收合格的实洋结算。</w:t>
            </w:r>
            <w:r>
              <w:rPr>
                <w:color w:val="auto"/>
                <w:highlight w:val="none"/>
              </w:rPr>
              <w:t>中标人按图书实洋款</w:t>
            </w:r>
            <w:r>
              <w:rPr>
                <w:rFonts w:hint="eastAsia"/>
                <w:color w:val="auto"/>
                <w:highlight w:val="none"/>
              </w:rPr>
              <w:t>向采购人提交真实、合法、有效的</w:t>
            </w:r>
            <w:r>
              <w:rPr>
                <w:color w:val="auto"/>
                <w:highlight w:val="none"/>
              </w:rPr>
              <w:t>发票</w:t>
            </w:r>
            <w:r>
              <w:rPr>
                <w:rFonts w:hint="eastAsia"/>
                <w:color w:val="auto"/>
                <w:highlight w:val="none"/>
              </w:rPr>
              <w:t>及税控清单</w:t>
            </w:r>
            <w:r>
              <w:rPr>
                <w:color w:val="auto"/>
                <w:highlight w:val="none"/>
              </w:rPr>
              <w:t>，采购</w:t>
            </w:r>
            <w:r>
              <w:rPr>
                <w:rFonts w:hint="eastAsia"/>
                <w:color w:val="auto"/>
                <w:highlight w:val="none"/>
              </w:rPr>
              <w:t>人</w:t>
            </w:r>
            <w:r>
              <w:rPr>
                <w:color w:val="auto"/>
                <w:highlight w:val="none"/>
              </w:rPr>
              <w:t>收到发票</w:t>
            </w:r>
            <w:r>
              <w:rPr>
                <w:rFonts w:hint="eastAsia"/>
                <w:color w:val="auto"/>
                <w:highlight w:val="none"/>
              </w:rPr>
              <w:t>及税控清单之日10个工作日内</w:t>
            </w:r>
            <w:r>
              <w:rPr>
                <w:color w:val="auto"/>
                <w:highlight w:val="none"/>
              </w:rPr>
              <w:t>付款。</w:t>
            </w:r>
          </w:p>
        </w:tc>
      </w:tr>
      <w:tr w14:paraId="07C50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39" w:type="dxa"/>
            <w:gridSpan w:val="2"/>
            <w:tcBorders>
              <w:top w:val="single" w:color="auto" w:sz="4" w:space="0"/>
              <w:left w:val="single" w:color="auto" w:sz="4" w:space="0"/>
              <w:bottom w:val="single" w:color="auto" w:sz="4" w:space="0"/>
              <w:right w:val="single" w:color="auto" w:sz="4" w:space="0"/>
            </w:tcBorders>
            <w:vAlign w:val="center"/>
          </w:tcPr>
          <w:p w14:paraId="6E36B586">
            <w:pPr>
              <w:spacing w:line="380" w:lineRule="exact"/>
              <w:jc w:val="center"/>
              <w:rPr>
                <w:rFonts w:ascii="宋体" w:hAnsi="宋体" w:cs="宋体"/>
                <w:color w:val="auto"/>
                <w:szCs w:val="21"/>
                <w:highlight w:val="none"/>
              </w:rPr>
            </w:pPr>
            <w:r>
              <w:rPr>
                <w:rFonts w:hint="eastAsia" w:ascii="宋体" w:hAnsi="宋体" w:cs="宋体"/>
                <w:color w:val="auto"/>
                <w:szCs w:val="21"/>
                <w:highlight w:val="none"/>
              </w:rPr>
              <w:t>其他要求</w:t>
            </w:r>
          </w:p>
        </w:tc>
        <w:tc>
          <w:tcPr>
            <w:tcW w:w="8023" w:type="dxa"/>
            <w:gridSpan w:val="3"/>
            <w:tcBorders>
              <w:top w:val="single" w:color="auto" w:sz="4" w:space="0"/>
              <w:left w:val="single" w:color="auto" w:sz="4" w:space="0"/>
              <w:bottom w:val="single" w:color="auto" w:sz="4" w:space="0"/>
              <w:right w:val="single" w:color="auto" w:sz="4" w:space="0"/>
            </w:tcBorders>
            <w:vAlign w:val="center"/>
          </w:tcPr>
          <w:p w14:paraId="55DA37B1">
            <w:pPr>
              <w:ind w:firstLine="420" w:firstLineChars="200"/>
              <w:rPr>
                <w:color w:val="auto"/>
                <w:highlight w:val="none"/>
              </w:rPr>
            </w:pPr>
            <w:r>
              <w:rPr>
                <w:rFonts w:hint="eastAsia"/>
                <w:color w:val="auto"/>
                <w:highlight w:val="none"/>
              </w:rPr>
              <w:t>一、总体要求</w:t>
            </w:r>
          </w:p>
          <w:p w14:paraId="58A261B5">
            <w:pPr>
              <w:ind w:firstLine="420" w:firstLineChars="200"/>
              <w:rPr>
                <w:rFonts w:ascii="新宋体" w:hAnsi="Calibri" w:eastAsia="新宋体"/>
                <w:color w:val="auto"/>
                <w:szCs w:val="21"/>
                <w:highlight w:val="none"/>
              </w:rPr>
            </w:pPr>
            <w:r>
              <w:rPr>
                <w:rFonts w:hint="eastAsia" w:ascii="宋体" w:hAnsi="Calibri"/>
                <w:b/>
                <w:color w:val="auto"/>
                <w:szCs w:val="21"/>
                <w:highlight w:val="none"/>
              </w:rPr>
              <w:t>▲</w:t>
            </w:r>
            <w:r>
              <w:rPr>
                <w:rFonts w:hint="eastAsia" w:ascii="新宋体" w:hAnsi="Calibri" w:eastAsia="新宋体"/>
                <w:color w:val="auto"/>
                <w:szCs w:val="21"/>
                <w:highlight w:val="none"/>
              </w:rPr>
              <w:t>1、</w:t>
            </w:r>
            <w:r>
              <w:rPr>
                <w:rFonts w:hint="eastAsia"/>
                <w:b/>
                <w:color w:val="auto"/>
                <w:highlight w:val="none"/>
              </w:rPr>
              <w:t>折扣率报价：</w:t>
            </w:r>
            <w:r>
              <w:rPr>
                <w:rFonts w:hint="eastAsia"/>
                <w:color w:val="auto"/>
                <w:highlight w:val="none"/>
              </w:rPr>
              <w:t>投标人根据自身履行合同的成本（包括但不限于图书采购与加工成本、运输[至交货地点]、</w:t>
            </w:r>
            <w:r>
              <w:rPr>
                <w:rFonts w:hint="eastAsia" w:ascii="宋体"/>
                <w:color w:val="auto"/>
                <w:szCs w:val="21"/>
                <w:highlight w:val="none"/>
              </w:rPr>
              <w:t>验收、</w:t>
            </w:r>
            <w:r>
              <w:rPr>
                <w:rFonts w:hint="eastAsia"/>
                <w:color w:val="auto"/>
                <w:highlight w:val="none"/>
              </w:rPr>
              <w:t>售后服务等所有费用及应缴税、费）的情况，按照go折扣率报价。采购人采购的所有图书均按实洋价付款，图书出版的标价为码洋价，</w:t>
            </w:r>
            <w:r>
              <w:rPr>
                <w:rFonts w:hint="eastAsia"/>
                <w:b/>
                <w:color w:val="auto"/>
                <w:highlight w:val="none"/>
              </w:rPr>
              <w:t>实洋价＝码洋价</w:t>
            </w:r>
            <w:r>
              <w:rPr>
                <w:b/>
                <w:color w:val="auto"/>
                <w:highlight w:val="none"/>
              </w:rPr>
              <w:t>×</w:t>
            </w:r>
            <w:r>
              <w:rPr>
                <w:rFonts w:hint="eastAsia"/>
                <w:b/>
                <w:color w:val="auto"/>
                <w:highlight w:val="none"/>
              </w:rPr>
              <w:t>中标折扣率。</w:t>
            </w:r>
          </w:p>
          <w:p w14:paraId="798EAC28">
            <w:pPr>
              <w:ind w:firstLine="420" w:firstLineChars="200"/>
              <w:rPr>
                <w:color w:val="auto"/>
                <w:highlight w:val="none"/>
              </w:rPr>
            </w:pPr>
            <w:r>
              <w:rPr>
                <w:rFonts w:hint="eastAsia"/>
                <w:color w:val="auto"/>
                <w:highlight w:val="none"/>
              </w:rPr>
              <w:t>2、</w:t>
            </w:r>
            <w:r>
              <w:rPr>
                <w:rFonts w:hint="eastAsia" w:ascii="Calibri"/>
                <w:color w:val="auto"/>
                <w:szCs w:val="22"/>
                <w:highlight w:val="none"/>
              </w:rPr>
              <w:t>中标人</w:t>
            </w:r>
            <w:r>
              <w:rPr>
                <w:rFonts w:hint="eastAsia"/>
                <w:color w:val="auto"/>
                <w:highlight w:val="none"/>
              </w:rPr>
              <w:t>向采购人交付的图书</w:t>
            </w:r>
            <w:r>
              <w:rPr>
                <w:rFonts w:hint="eastAsia" w:ascii="Calibri"/>
                <w:color w:val="auto"/>
                <w:szCs w:val="22"/>
                <w:highlight w:val="none"/>
              </w:rPr>
              <w:t>必须为正版、</w:t>
            </w:r>
            <w:r>
              <w:rPr>
                <w:rFonts w:hint="eastAsia"/>
                <w:color w:val="auto"/>
                <w:highlight w:val="none"/>
              </w:rPr>
              <w:t>无任何使用痕迹、内容完整且处于原始出厂状态的图书。</w:t>
            </w:r>
          </w:p>
          <w:p w14:paraId="3C8FDFDC">
            <w:pPr>
              <w:ind w:firstLine="420" w:firstLineChars="200"/>
              <w:rPr>
                <w:color w:val="auto"/>
                <w:highlight w:val="none"/>
              </w:rPr>
            </w:pPr>
            <w:r>
              <w:rPr>
                <w:rFonts w:hint="eastAsia"/>
                <w:color w:val="auto"/>
                <w:highlight w:val="none"/>
              </w:rPr>
              <w:t>二、其它</w:t>
            </w:r>
          </w:p>
          <w:p w14:paraId="16D3F578">
            <w:pPr>
              <w:ind w:firstLine="420" w:firstLineChars="200"/>
              <w:rPr>
                <w:color w:val="auto"/>
                <w:highlight w:val="none"/>
              </w:rPr>
            </w:pPr>
            <w:r>
              <w:rPr>
                <w:rFonts w:hint="eastAsia"/>
                <w:color w:val="auto"/>
                <w:highlight w:val="none"/>
              </w:rPr>
              <w:t>1、</w:t>
            </w:r>
            <w:r>
              <w:rPr>
                <w:rFonts w:hint="eastAsia" w:asciiTheme="minorHAnsi" w:hAnsiTheme="minorHAnsi"/>
                <w:color w:val="auto"/>
                <w:szCs w:val="24"/>
                <w:highlight w:val="none"/>
              </w:rPr>
              <w:t>投标人有从事图书经销和</w:t>
            </w:r>
            <w:r>
              <w:rPr>
                <w:rFonts w:hint="eastAsia" w:cs="Arial" w:asciiTheme="minorHAnsi" w:hAnsiTheme="minorHAnsi"/>
                <w:bCs/>
                <w:color w:val="auto"/>
                <w:szCs w:val="24"/>
                <w:highlight w:val="none"/>
              </w:rPr>
              <w:t>编目数据</w:t>
            </w:r>
            <w:r>
              <w:rPr>
                <w:rFonts w:hint="eastAsia" w:asciiTheme="minorHAnsi" w:hAnsiTheme="minorHAnsi"/>
                <w:color w:val="auto"/>
                <w:szCs w:val="24"/>
                <w:highlight w:val="none"/>
              </w:rPr>
              <w:t>业务的专业人员，近</w:t>
            </w:r>
            <w:r>
              <w:rPr>
                <w:rFonts w:asciiTheme="minorHAnsi" w:hAnsiTheme="minorHAnsi"/>
                <w:color w:val="auto"/>
                <w:szCs w:val="24"/>
                <w:highlight w:val="none"/>
              </w:rPr>
              <w:t>5</w:t>
            </w:r>
            <w:r>
              <w:rPr>
                <w:rFonts w:hint="eastAsia" w:asciiTheme="minorHAnsi" w:hAnsiTheme="minorHAnsi"/>
                <w:color w:val="auto"/>
                <w:szCs w:val="24"/>
                <w:highlight w:val="none"/>
              </w:rPr>
              <w:t>年内曾为图书馆供应图书并提供相应标准机读数据服务。</w:t>
            </w:r>
          </w:p>
          <w:p w14:paraId="0B27CF30">
            <w:pPr>
              <w:ind w:firstLine="420" w:firstLineChars="200"/>
              <w:rPr>
                <w:color w:val="auto"/>
                <w:highlight w:val="none"/>
              </w:rPr>
            </w:pPr>
            <w:r>
              <w:rPr>
                <w:rFonts w:hint="eastAsia"/>
                <w:bCs/>
                <w:color w:val="auto"/>
                <w:highlight w:val="none"/>
              </w:rPr>
              <w:t>2、</w:t>
            </w:r>
            <w:r>
              <w:rPr>
                <w:rFonts w:hint="eastAsia"/>
                <w:color w:val="auto"/>
                <w:highlight w:val="none"/>
              </w:rPr>
              <w:t>投标人与图书出版单位有广泛、良好的合作供货关系，有直接业务联系的核心出版社数量多。经营图书品种丰富，应能覆盖学校所有学科，并确保提供图书馆采购的图书为正版图书，对附录一所列的本馆核心出版社出版的</w:t>
            </w:r>
            <w:r>
              <w:rPr>
                <w:rFonts w:hint="eastAsia" w:cs="宋体"/>
                <w:color w:val="auto"/>
                <w:highlight w:val="none"/>
              </w:rPr>
              <w:t>高等教育本科及以上水平</w:t>
            </w:r>
            <w:r>
              <w:rPr>
                <w:rFonts w:hint="eastAsia"/>
                <w:color w:val="auto"/>
                <w:highlight w:val="none"/>
              </w:rPr>
              <w:t>图书做到全品种供应。</w:t>
            </w:r>
          </w:p>
          <w:p w14:paraId="6B5ED04F">
            <w:pPr>
              <w:ind w:firstLine="420" w:firstLineChars="200"/>
              <w:rPr>
                <w:color w:val="auto"/>
                <w:highlight w:val="none"/>
              </w:rPr>
            </w:pPr>
            <w:r>
              <w:rPr>
                <w:rFonts w:hint="eastAsia"/>
                <w:color w:val="auto"/>
                <w:highlight w:val="none"/>
              </w:rPr>
              <w:t>3、投标人应具有良好的图书配送服务系统，有稳定的供货渠道、仓储设施、固定的营业场所和图书配送工具。</w:t>
            </w:r>
          </w:p>
          <w:p w14:paraId="02123B54">
            <w:pPr>
              <w:ind w:firstLine="420" w:firstLineChars="200"/>
              <w:rPr>
                <w:color w:val="auto"/>
                <w:highlight w:val="none"/>
              </w:rPr>
            </w:pPr>
            <w:r>
              <w:rPr>
                <w:rFonts w:hint="eastAsia"/>
                <w:color w:val="auto"/>
                <w:highlight w:val="none"/>
              </w:rPr>
              <w:t>4、投标人能提供符合国家财税法规定制度要求的售书发票，所有图书经采购人验收无误后按人民币实洋价结算。</w:t>
            </w:r>
          </w:p>
          <w:p w14:paraId="63B4AA85">
            <w:pPr>
              <w:ind w:firstLine="420" w:firstLineChars="200"/>
              <w:rPr>
                <w:color w:val="auto"/>
                <w:highlight w:val="none"/>
              </w:rPr>
            </w:pPr>
            <w:r>
              <w:rPr>
                <w:rFonts w:hint="eastAsia"/>
                <w:color w:val="auto"/>
                <w:highlight w:val="none"/>
              </w:rPr>
              <w:t>5、对在“信用中国”网站(www.creditchina.gov.cn)、中国政府采购网(www.ccgp.gov.cn)列入失信被执行人、重大税收违法案件当事人名单、政府采购严重违法失信行为记录名单及其他不符合《中华人民共和国政府采购法》第二十二条规定条件的投标人，不得参与政府采购活动。</w:t>
            </w:r>
          </w:p>
          <w:p w14:paraId="69E4FD3E">
            <w:pPr>
              <w:ind w:firstLine="420" w:firstLineChars="200"/>
              <w:rPr>
                <w:color w:val="auto"/>
                <w:highlight w:val="none"/>
              </w:rPr>
            </w:pPr>
            <w:r>
              <w:rPr>
                <w:rFonts w:hint="eastAsia"/>
                <w:color w:val="auto"/>
                <w:highlight w:val="none"/>
              </w:rPr>
              <w:t>6、中标人不得以任何形式和理由转包中标项目。</w:t>
            </w:r>
          </w:p>
          <w:p w14:paraId="6D061B91">
            <w:pPr>
              <w:ind w:firstLine="420" w:firstLineChars="200"/>
              <w:rPr>
                <w:rFonts w:ascii="新宋体" w:hAnsi="Calibri" w:eastAsia="新宋体"/>
                <w:color w:val="auto"/>
                <w:szCs w:val="21"/>
                <w:highlight w:val="none"/>
              </w:rPr>
            </w:pPr>
            <w:r>
              <w:rPr>
                <w:rFonts w:hint="eastAsia"/>
                <w:color w:val="auto"/>
                <w:highlight w:val="none"/>
              </w:rPr>
              <w:t>7、投标人投标时请在投标文件中提供具体的售后服务方案。</w:t>
            </w:r>
          </w:p>
        </w:tc>
      </w:tr>
      <w:tr w14:paraId="255A3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39" w:type="dxa"/>
            <w:gridSpan w:val="2"/>
            <w:tcBorders>
              <w:top w:val="single" w:color="auto" w:sz="4" w:space="0"/>
              <w:left w:val="single" w:color="auto" w:sz="4" w:space="0"/>
              <w:bottom w:val="single" w:color="auto" w:sz="4" w:space="0"/>
              <w:right w:val="single" w:color="auto" w:sz="4" w:space="0"/>
            </w:tcBorders>
            <w:vAlign w:val="center"/>
          </w:tcPr>
          <w:p w14:paraId="51B79719">
            <w:pPr>
              <w:spacing w:line="380" w:lineRule="exact"/>
              <w:jc w:val="center"/>
              <w:rPr>
                <w:rFonts w:ascii="宋体" w:hAnsi="宋体" w:cs="宋体"/>
                <w:color w:val="auto"/>
                <w:szCs w:val="21"/>
                <w:highlight w:val="none"/>
              </w:rPr>
            </w:pPr>
            <w:r>
              <w:rPr>
                <w:rFonts w:hint="eastAsia" w:ascii="宋体" w:hAnsi="宋体" w:cs="宋体"/>
                <w:color w:val="auto"/>
                <w:szCs w:val="21"/>
                <w:highlight w:val="none"/>
              </w:rPr>
              <w:t>采购标的验收标准</w:t>
            </w:r>
          </w:p>
        </w:tc>
        <w:tc>
          <w:tcPr>
            <w:tcW w:w="8023" w:type="dxa"/>
            <w:gridSpan w:val="3"/>
            <w:tcBorders>
              <w:top w:val="single" w:color="auto" w:sz="4" w:space="0"/>
              <w:left w:val="single" w:color="auto" w:sz="4" w:space="0"/>
              <w:bottom w:val="single" w:color="auto" w:sz="4" w:space="0"/>
              <w:right w:val="single" w:color="auto" w:sz="4" w:space="0"/>
            </w:tcBorders>
            <w:vAlign w:val="center"/>
          </w:tcPr>
          <w:p w14:paraId="74CE21BB">
            <w:pPr>
              <w:ind w:firstLine="420" w:firstLineChars="200"/>
              <w:rPr>
                <w:color w:val="auto"/>
                <w:highlight w:val="none"/>
              </w:rPr>
            </w:pPr>
            <w:r>
              <w:rPr>
                <w:rFonts w:hint="eastAsia"/>
                <w:color w:val="auto"/>
                <w:highlight w:val="none"/>
              </w:rPr>
              <w:t>1、验收过程中所产生的一切费用均由中标人承担。报价时应考虑相关费用。</w:t>
            </w:r>
          </w:p>
          <w:p w14:paraId="720EAE63">
            <w:pPr>
              <w:ind w:firstLine="420" w:firstLineChars="200"/>
              <w:rPr>
                <w:rFonts w:ascii="Calibri" w:hAnsi="Calibri"/>
                <w:color w:val="auto"/>
                <w:szCs w:val="22"/>
                <w:highlight w:val="none"/>
              </w:rPr>
            </w:pPr>
            <w:r>
              <w:rPr>
                <w:rFonts w:hint="eastAsia"/>
                <w:color w:val="auto"/>
                <w:highlight w:val="none"/>
              </w:rPr>
              <w:t>2、在项目验收过程中，采购人将同时按照采购文件以及投标人投标文件承诺的条款进行逐项验收，如项目验收不合格，由中标人返工直至合格，有关返工、再行验收，以及给采购人造成的损失等费用由中标人承担。连续两次项目验收不合格的，或发现中标人在投标文件中相关产品检测报告和资质证书有弄虚作假的行为，或在投标文件中有针对技术商务条款有虚假响应情况的，采购人将不予验收，并依据相关法律规定追究中标人的责任，由此带来的一切损失由中标人自行承担。</w:t>
            </w:r>
          </w:p>
        </w:tc>
      </w:tr>
      <w:tr w14:paraId="025D4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39" w:type="dxa"/>
            <w:gridSpan w:val="2"/>
            <w:tcBorders>
              <w:top w:val="single" w:color="auto" w:sz="4" w:space="0"/>
              <w:left w:val="single" w:color="auto" w:sz="4" w:space="0"/>
              <w:bottom w:val="single" w:color="auto" w:sz="4" w:space="0"/>
              <w:right w:val="single" w:color="auto" w:sz="4" w:space="0"/>
            </w:tcBorders>
            <w:vAlign w:val="center"/>
          </w:tcPr>
          <w:p w14:paraId="3FB6CA2C">
            <w:pPr>
              <w:tabs>
                <w:tab w:val="left" w:pos="180"/>
                <w:tab w:val="left" w:pos="1620"/>
              </w:tabs>
              <w:spacing w:line="380" w:lineRule="exact"/>
              <w:jc w:val="center"/>
              <w:rPr>
                <w:rFonts w:ascii="宋体" w:hAnsi="宋体" w:cs="宋体"/>
                <w:color w:val="auto"/>
                <w:szCs w:val="21"/>
                <w:highlight w:val="none"/>
              </w:rPr>
            </w:pPr>
            <w:r>
              <w:rPr>
                <w:rFonts w:hint="eastAsia" w:ascii="宋体" w:hAnsi="宋体" w:cs="宋体"/>
                <w:color w:val="auto"/>
                <w:szCs w:val="22"/>
                <w:highlight w:val="none"/>
              </w:rPr>
              <w:t>履约保证金</w:t>
            </w:r>
          </w:p>
        </w:tc>
        <w:tc>
          <w:tcPr>
            <w:tcW w:w="8023" w:type="dxa"/>
            <w:gridSpan w:val="3"/>
            <w:tcBorders>
              <w:top w:val="single" w:color="auto" w:sz="4" w:space="0"/>
              <w:left w:val="single" w:color="auto" w:sz="4" w:space="0"/>
              <w:bottom w:val="single" w:color="auto" w:sz="4" w:space="0"/>
              <w:right w:val="single" w:color="auto" w:sz="4" w:space="0"/>
            </w:tcBorders>
            <w:vAlign w:val="center"/>
          </w:tcPr>
          <w:p w14:paraId="5F1EDCF1">
            <w:pPr>
              <w:autoSpaceDE/>
              <w:autoSpaceDN/>
              <w:snapToGrid/>
              <w:ind w:firstLine="420" w:firstLineChars="200"/>
              <w:textAlignment w:val="auto"/>
              <w:rPr>
                <w:rFonts w:ascii="宋体"/>
                <w:color w:val="auto"/>
                <w:szCs w:val="21"/>
                <w:highlight w:val="none"/>
              </w:rPr>
            </w:pPr>
            <w:r>
              <w:rPr>
                <w:rFonts w:hint="eastAsia"/>
                <w:color w:val="auto"/>
                <w:highlight w:val="none"/>
              </w:rPr>
              <w:t>履约保证金金额：每一</w:t>
            </w:r>
            <w:r>
              <w:rPr>
                <w:rFonts w:hint="eastAsia" w:ascii="Arial" w:hAnsi="Arial" w:cs="Arial"/>
                <w:bCs/>
                <w:color w:val="auto"/>
                <w:szCs w:val="21"/>
                <w:highlight w:val="none"/>
              </w:rPr>
              <w:t>分标的履约保证金为该分标</w:t>
            </w:r>
            <w:r>
              <w:rPr>
                <w:rFonts w:hint="eastAsia"/>
                <w:color w:val="auto"/>
                <w:highlight w:val="none"/>
              </w:rPr>
              <w:t>预算金额的</w:t>
            </w:r>
            <w:r>
              <w:rPr>
                <w:color w:val="auto"/>
                <w:highlight w:val="none"/>
              </w:rPr>
              <w:t>2%</w:t>
            </w:r>
            <w:r>
              <w:rPr>
                <w:rFonts w:hint="eastAsia" w:ascii="宋体"/>
                <w:color w:val="auto"/>
                <w:szCs w:val="21"/>
                <w:highlight w:val="none"/>
              </w:rPr>
              <w:t>。</w:t>
            </w:r>
          </w:p>
          <w:p w14:paraId="4FB9297E">
            <w:pPr>
              <w:autoSpaceDE/>
              <w:autoSpaceDN/>
              <w:snapToGrid/>
              <w:ind w:firstLine="420" w:firstLineChars="200"/>
              <w:textAlignment w:val="auto"/>
              <w:rPr>
                <w:rFonts w:ascii="宋体"/>
                <w:color w:val="auto"/>
                <w:szCs w:val="21"/>
                <w:highlight w:val="none"/>
              </w:rPr>
            </w:pPr>
            <w:r>
              <w:rPr>
                <w:rFonts w:hint="eastAsia" w:ascii="宋体"/>
                <w:color w:val="auto"/>
                <w:szCs w:val="21"/>
                <w:highlight w:val="none"/>
              </w:rPr>
              <w:t>履约保证金提交方式：</w:t>
            </w:r>
            <w:r>
              <w:rPr>
                <w:rFonts w:hint="eastAsia"/>
                <w:color w:val="auto"/>
                <w:highlight w:val="none"/>
              </w:rPr>
              <w:t>支票、汇票、本票</w:t>
            </w:r>
            <w:r>
              <w:rPr>
                <w:rFonts w:hint="eastAsia" w:ascii="宋体"/>
                <w:color w:val="auto"/>
                <w:szCs w:val="21"/>
                <w:highlight w:val="none"/>
              </w:rPr>
              <w:t>、银行转账</w:t>
            </w:r>
            <w:r>
              <w:rPr>
                <w:rFonts w:hint="eastAsia"/>
                <w:color w:val="auto"/>
                <w:highlight w:val="none"/>
              </w:rPr>
              <w:t>或者金融机构、担保机构出具的保函等非现金形式</w:t>
            </w:r>
            <w:r>
              <w:rPr>
                <w:rFonts w:hint="eastAsia" w:ascii="宋体"/>
                <w:color w:val="auto"/>
                <w:szCs w:val="21"/>
                <w:highlight w:val="none"/>
              </w:rPr>
              <w:t>。</w:t>
            </w:r>
          </w:p>
          <w:p w14:paraId="6B2EB049">
            <w:pPr>
              <w:autoSpaceDE/>
              <w:autoSpaceDN/>
              <w:snapToGrid/>
              <w:ind w:firstLine="420" w:firstLineChars="200"/>
              <w:textAlignment w:val="auto"/>
              <w:rPr>
                <w:color w:val="auto"/>
                <w:highlight w:val="none"/>
              </w:rPr>
            </w:pPr>
            <w:r>
              <w:rPr>
                <w:rFonts w:hint="eastAsia"/>
                <w:color w:val="auto"/>
                <w:highlight w:val="none"/>
              </w:rPr>
              <w:t>履约保证金指定账户：</w:t>
            </w:r>
          </w:p>
          <w:p w14:paraId="0D33A8D0">
            <w:pPr>
              <w:spacing w:line="380" w:lineRule="exact"/>
              <w:ind w:firstLine="420" w:firstLineChars="200"/>
              <w:rPr>
                <w:color w:val="auto"/>
                <w:highlight w:val="none"/>
              </w:rPr>
            </w:pPr>
            <w:r>
              <w:rPr>
                <w:rFonts w:hint="eastAsia"/>
                <w:color w:val="auto"/>
                <w:highlight w:val="none"/>
              </w:rPr>
              <w:t>户名：广西医科大学</w:t>
            </w:r>
          </w:p>
          <w:p w14:paraId="1485FAAB">
            <w:pPr>
              <w:spacing w:line="380" w:lineRule="exact"/>
              <w:ind w:firstLine="420" w:firstLineChars="200"/>
              <w:rPr>
                <w:color w:val="auto"/>
                <w:highlight w:val="none"/>
              </w:rPr>
            </w:pPr>
            <w:r>
              <w:rPr>
                <w:rFonts w:hint="eastAsia"/>
                <w:color w:val="auto"/>
                <w:highlight w:val="none"/>
              </w:rPr>
              <w:t>账号：622357485287</w:t>
            </w:r>
          </w:p>
          <w:p w14:paraId="29AE9EF7">
            <w:pPr>
              <w:spacing w:line="380" w:lineRule="exact"/>
              <w:ind w:firstLine="420" w:firstLineChars="200"/>
              <w:rPr>
                <w:color w:val="auto"/>
                <w:highlight w:val="none"/>
              </w:rPr>
            </w:pPr>
            <w:r>
              <w:rPr>
                <w:rFonts w:hint="eastAsia"/>
                <w:color w:val="auto"/>
                <w:highlight w:val="none"/>
              </w:rPr>
              <w:t>开户银行：中行南宁市医科大支行（上级支行：中行南宁市青秀支行）</w:t>
            </w:r>
          </w:p>
          <w:p w14:paraId="7AE08BBF">
            <w:pPr>
              <w:spacing w:line="380" w:lineRule="exact"/>
              <w:ind w:firstLine="420" w:firstLineChars="200"/>
              <w:rPr>
                <w:rFonts w:ascii="宋体"/>
                <w:b/>
                <w:color w:val="auto"/>
                <w:szCs w:val="20"/>
                <w:highlight w:val="none"/>
              </w:rPr>
            </w:pPr>
            <w:r>
              <w:rPr>
                <w:rFonts w:hint="eastAsia"/>
                <w:color w:val="auto"/>
                <w:highlight w:val="none"/>
              </w:rPr>
              <w:t>联行号：104611010332</w:t>
            </w:r>
          </w:p>
        </w:tc>
      </w:tr>
    </w:tbl>
    <w:p w14:paraId="729B0290">
      <w:pPr>
        <w:spacing w:line="240" w:lineRule="auto"/>
        <w:ind w:firstLine="0" w:firstLineChars="0"/>
        <w:rPr>
          <w:rFonts w:hint="eastAsia"/>
          <w:b/>
          <w:color w:val="auto"/>
          <w:sz w:val="24"/>
          <w:highlight w:val="none"/>
        </w:rPr>
      </w:pPr>
      <w:r>
        <w:rPr>
          <w:rFonts w:hint="eastAsia"/>
          <w:b/>
          <w:color w:val="auto"/>
          <w:sz w:val="24"/>
          <w:highlight w:val="none"/>
        </w:rPr>
        <w:br w:type="page"/>
      </w:r>
    </w:p>
    <w:p w14:paraId="6DB2A935">
      <w:pPr>
        <w:spacing w:line="380" w:lineRule="exact"/>
        <w:ind w:firstLine="480" w:firstLineChars="200"/>
        <w:rPr>
          <w:b/>
          <w:color w:val="auto"/>
          <w:sz w:val="24"/>
          <w:highlight w:val="none"/>
        </w:rPr>
      </w:pPr>
      <w:r>
        <w:rPr>
          <w:rFonts w:hint="eastAsia"/>
          <w:b/>
          <w:color w:val="auto"/>
          <w:sz w:val="24"/>
          <w:highlight w:val="none"/>
        </w:rPr>
        <w:t>附件1：</w:t>
      </w:r>
    </w:p>
    <w:p w14:paraId="18C16C01">
      <w:pPr>
        <w:rPr>
          <w:color w:val="auto"/>
          <w:highlight w:val="none"/>
        </w:rPr>
      </w:pPr>
    </w:p>
    <w:p w14:paraId="01C3EE0E">
      <w:pPr>
        <w:jc w:val="center"/>
        <w:rPr>
          <w:b/>
          <w:color w:val="auto"/>
          <w:sz w:val="28"/>
          <w:szCs w:val="28"/>
          <w:highlight w:val="none"/>
        </w:rPr>
      </w:pPr>
      <w:r>
        <w:rPr>
          <w:rFonts w:hint="eastAsia"/>
          <w:b/>
          <w:color w:val="auto"/>
          <w:sz w:val="28"/>
          <w:szCs w:val="28"/>
          <w:highlight w:val="none"/>
        </w:rPr>
        <w:t>服务需求及要求</w:t>
      </w:r>
    </w:p>
    <w:p w14:paraId="02BBA332">
      <w:pPr>
        <w:spacing w:line="380" w:lineRule="exact"/>
        <w:ind w:firstLine="420" w:firstLineChars="200"/>
        <w:rPr>
          <w:rFonts w:hAnsi="宋体" w:cs="Courier New"/>
          <w:color w:val="auto"/>
          <w:highlight w:val="none"/>
        </w:rPr>
      </w:pPr>
      <w:r>
        <w:rPr>
          <w:rFonts w:hint="eastAsia" w:hAnsi="宋体" w:cs="Courier New"/>
          <w:color w:val="auto"/>
          <w:highlight w:val="none"/>
        </w:rPr>
        <w:t>主要采购2025-2028年出版的</w:t>
      </w:r>
      <w:r>
        <w:rPr>
          <w:rFonts w:hint="eastAsia" w:ascii="宋体" w:hAnsi="宋体"/>
          <w:color w:val="auto"/>
          <w:szCs w:val="21"/>
          <w:highlight w:val="none"/>
        </w:rPr>
        <w:t>高等教育本科及以上水平</w:t>
      </w:r>
      <w:r>
        <w:rPr>
          <w:rFonts w:hint="eastAsia" w:hAnsi="宋体" w:cs="Courier New"/>
          <w:color w:val="auto"/>
          <w:highlight w:val="none"/>
        </w:rPr>
        <w:t>图书</w:t>
      </w:r>
      <w:r>
        <w:rPr>
          <w:rFonts w:ascii="Arial" w:hAnsi="宋体" w:cs="Arial"/>
          <w:color w:val="auto"/>
          <w:szCs w:val="21"/>
          <w:highlight w:val="none"/>
        </w:rPr>
        <w:t>（</w:t>
      </w:r>
      <w:r>
        <w:rPr>
          <w:rFonts w:hint="eastAsia" w:ascii="Arial" w:hAnsi="宋体" w:cs="Arial"/>
          <w:color w:val="auto"/>
          <w:szCs w:val="21"/>
          <w:highlight w:val="none"/>
        </w:rPr>
        <w:t>读者</w:t>
      </w:r>
      <w:r>
        <w:rPr>
          <w:rFonts w:ascii="Arial" w:hAnsi="宋体" w:cs="Arial"/>
          <w:color w:val="auto"/>
          <w:szCs w:val="21"/>
          <w:highlight w:val="none"/>
        </w:rPr>
        <w:t>推荐的教学</w:t>
      </w:r>
      <w:r>
        <w:rPr>
          <w:rFonts w:hint="eastAsia" w:ascii="Arial" w:hAnsi="宋体" w:cs="Arial"/>
          <w:color w:val="auto"/>
          <w:szCs w:val="21"/>
          <w:highlight w:val="none"/>
        </w:rPr>
        <w:t>、科研</w:t>
      </w:r>
      <w:r>
        <w:rPr>
          <w:rFonts w:ascii="Arial" w:hAnsi="宋体" w:cs="Arial"/>
          <w:color w:val="auto"/>
          <w:szCs w:val="21"/>
          <w:highlight w:val="none"/>
        </w:rPr>
        <w:t>用书</w:t>
      </w:r>
      <w:r>
        <w:rPr>
          <w:rFonts w:hint="eastAsia" w:ascii="Arial" w:hAnsi="宋体" w:cs="Arial"/>
          <w:color w:val="auto"/>
          <w:szCs w:val="21"/>
          <w:highlight w:val="none"/>
        </w:rPr>
        <w:t>则</w:t>
      </w:r>
      <w:r>
        <w:rPr>
          <w:rFonts w:ascii="Arial" w:hAnsi="宋体" w:cs="Arial"/>
          <w:color w:val="auto"/>
          <w:szCs w:val="21"/>
          <w:highlight w:val="none"/>
        </w:rPr>
        <w:t>不限年代）</w:t>
      </w:r>
      <w:r>
        <w:rPr>
          <w:rFonts w:hint="eastAsia" w:hAnsi="宋体" w:cs="Courier New"/>
          <w:color w:val="auto"/>
          <w:highlight w:val="none"/>
        </w:rPr>
        <w:t>，图书在学科内容上以生物科学、医药卫生类为主，其他学科为辅；在层次类别上以教学应用型、学术型、研究型为主，兼顾一般性读物。要求每个分标生物科学、医药卫生类图书金额</w:t>
      </w:r>
      <w:r>
        <w:rPr>
          <w:rFonts w:hint="eastAsia" w:ascii="宋体" w:hAnsi="宋体" w:cs="宋体"/>
          <w:color w:val="auto"/>
          <w:szCs w:val="21"/>
          <w:highlight w:val="none"/>
        </w:rPr>
        <w:t>（实洋）</w:t>
      </w:r>
      <w:r>
        <w:rPr>
          <w:rFonts w:hint="eastAsia" w:hAnsi="宋体" w:cs="Courier New"/>
          <w:color w:val="auto"/>
          <w:highlight w:val="none"/>
        </w:rPr>
        <w:t>占采购总金额的比例不低于50%。</w:t>
      </w:r>
    </w:p>
    <w:p w14:paraId="7652C852">
      <w:pPr>
        <w:spacing w:line="440" w:lineRule="exact"/>
        <w:ind w:firstLine="420" w:firstLineChars="200"/>
        <w:rPr>
          <w:color w:val="auto"/>
          <w:highlight w:val="none"/>
        </w:rPr>
      </w:pPr>
      <w:r>
        <w:rPr>
          <w:rFonts w:hint="eastAsia"/>
          <w:color w:val="auto"/>
          <w:highlight w:val="none"/>
        </w:rPr>
        <w:t xml:space="preserve">一、商务及技术要求   </w:t>
      </w:r>
    </w:p>
    <w:p w14:paraId="60DBFB95">
      <w:pPr>
        <w:spacing w:line="440" w:lineRule="exact"/>
        <w:ind w:firstLine="420" w:firstLineChars="200"/>
        <w:rPr>
          <w:color w:val="auto"/>
          <w:highlight w:val="none"/>
        </w:rPr>
      </w:pPr>
      <w:r>
        <w:rPr>
          <w:rFonts w:hint="eastAsia"/>
          <w:color w:val="auto"/>
          <w:highlight w:val="none"/>
        </w:rPr>
        <w:t>1.投标人为具有新闻出版行政部门颁发的有效的《中华人民共和国出版物经营许可证》、专门从事图书经销的法人单位，有从事图书经销和数据加工业务的专业人员，近5年来有为图书馆供应图书并</w:t>
      </w:r>
      <w:bookmarkStart w:id="49" w:name="OLE_LINK4"/>
      <w:bookmarkStart w:id="50" w:name="OLE_LINK3"/>
      <w:r>
        <w:rPr>
          <w:rFonts w:hint="eastAsia"/>
          <w:color w:val="auto"/>
          <w:highlight w:val="none"/>
        </w:rPr>
        <w:t>提供相应标准机读数据的经历</w:t>
      </w:r>
      <w:bookmarkEnd w:id="49"/>
      <w:bookmarkEnd w:id="50"/>
      <w:r>
        <w:rPr>
          <w:rFonts w:hint="eastAsia"/>
          <w:color w:val="auto"/>
          <w:highlight w:val="none"/>
        </w:rPr>
        <w:t>。</w:t>
      </w:r>
    </w:p>
    <w:p w14:paraId="724F5E77">
      <w:pPr>
        <w:spacing w:line="440" w:lineRule="exact"/>
        <w:ind w:firstLine="420" w:firstLineChars="200"/>
        <w:rPr>
          <w:color w:val="auto"/>
          <w:highlight w:val="none"/>
        </w:rPr>
      </w:pPr>
      <w:r>
        <w:rPr>
          <w:rFonts w:hint="eastAsia"/>
          <w:bCs/>
          <w:color w:val="auto"/>
          <w:highlight w:val="none"/>
        </w:rPr>
        <w:t>2.</w:t>
      </w:r>
      <w:r>
        <w:rPr>
          <w:rFonts w:hint="eastAsia"/>
          <w:color w:val="auto"/>
          <w:highlight w:val="none"/>
        </w:rPr>
        <w:t>投标人与图书出版单位有广泛、良好的合作供货关系，有直接业务联系的核心出版社数量多。经营图书品种丰富，应能覆盖学校所有学科，并确保提供图书馆采购的图书为正版图书，对附录一所列的本馆核心出版社出版的</w:t>
      </w:r>
      <w:r>
        <w:rPr>
          <w:rFonts w:hint="eastAsia" w:cs="宋体"/>
          <w:color w:val="auto"/>
          <w:highlight w:val="none"/>
        </w:rPr>
        <w:t>高等教育本科及以上水平</w:t>
      </w:r>
      <w:r>
        <w:rPr>
          <w:rFonts w:hint="eastAsia"/>
          <w:color w:val="auto"/>
          <w:highlight w:val="none"/>
        </w:rPr>
        <w:t>图书做到全品种供应。</w:t>
      </w:r>
    </w:p>
    <w:p w14:paraId="69E7E52D">
      <w:pPr>
        <w:spacing w:line="440" w:lineRule="exact"/>
        <w:ind w:firstLine="420" w:firstLineChars="200"/>
        <w:rPr>
          <w:color w:val="auto"/>
          <w:highlight w:val="none"/>
        </w:rPr>
      </w:pPr>
      <w:r>
        <w:rPr>
          <w:rFonts w:hint="eastAsia"/>
          <w:color w:val="auto"/>
          <w:highlight w:val="none"/>
        </w:rPr>
        <w:t>3.投标人应具有良好的图书配送服务系统，有稳定的供货渠道、仓储设施、固定的营业场所和图书配送工具。</w:t>
      </w:r>
    </w:p>
    <w:p w14:paraId="004FE98F">
      <w:pPr>
        <w:spacing w:line="440" w:lineRule="exact"/>
        <w:ind w:firstLine="420" w:firstLineChars="200"/>
        <w:jc w:val="both"/>
        <w:rPr>
          <w:color w:val="auto"/>
          <w:highlight w:val="none"/>
        </w:rPr>
      </w:pPr>
      <w:r>
        <w:rPr>
          <w:rFonts w:hint="eastAsia"/>
          <w:color w:val="auto"/>
          <w:highlight w:val="none"/>
        </w:rPr>
        <w:t>4.投标人能提供符合国家财税法规定制度要求的售书发票，所有图书经采购人验收无误后按人民币实洋价结算。</w:t>
      </w:r>
    </w:p>
    <w:p w14:paraId="14BFD03E">
      <w:pPr>
        <w:spacing w:line="440" w:lineRule="exact"/>
        <w:ind w:firstLine="420" w:firstLineChars="200"/>
        <w:rPr>
          <w:color w:val="auto"/>
          <w:highlight w:val="none"/>
        </w:rPr>
      </w:pPr>
      <w:r>
        <w:rPr>
          <w:rFonts w:hint="eastAsia"/>
          <w:color w:val="auto"/>
          <w:highlight w:val="none"/>
        </w:rPr>
        <w:t>5.对在“信用中国”网站(www.creditchina.gov.cn)、中国政府采购网(www.ccgp.gov.cn)列入失信被执行人、重大税收违法案件当事人名单、政府采购严重违法失信行为记录名单及其他不符合《中华人民共和国政府采购法》第二十二条规定条件的投标人，不得参与政府采购活动。</w:t>
      </w:r>
    </w:p>
    <w:p w14:paraId="1DA4A455">
      <w:pPr>
        <w:spacing w:line="440" w:lineRule="exact"/>
        <w:ind w:firstLine="420" w:firstLineChars="200"/>
        <w:jc w:val="both"/>
        <w:rPr>
          <w:color w:val="auto"/>
          <w:highlight w:val="none"/>
        </w:rPr>
      </w:pPr>
      <w:r>
        <w:rPr>
          <w:rFonts w:hint="eastAsia"/>
          <w:color w:val="auto"/>
          <w:highlight w:val="none"/>
        </w:rPr>
        <w:t>6.中标人不得以任何形式和理由转包中标项目。</w:t>
      </w:r>
    </w:p>
    <w:p w14:paraId="50410F80">
      <w:pPr>
        <w:spacing w:line="440" w:lineRule="exact"/>
        <w:ind w:firstLine="420" w:firstLineChars="200"/>
        <w:rPr>
          <w:color w:val="auto"/>
          <w:highlight w:val="none"/>
        </w:rPr>
      </w:pPr>
    </w:p>
    <w:p w14:paraId="6AFC7D82">
      <w:pPr>
        <w:spacing w:line="440" w:lineRule="exact"/>
        <w:ind w:firstLine="420" w:firstLineChars="200"/>
        <w:rPr>
          <w:color w:val="auto"/>
          <w:highlight w:val="none"/>
        </w:rPr>
      </w:pPr>
      <w:r>
        <w:rPr>
          <w:rFonts w:hint="eastAsia"/>
          <w:color w:val="auto"/>
          <w:highlight w:val="none"/>
        </w:rPr>
        <w:t>▲二、服务要求</w:t>
      </w:r>
    </w:p>
    <w:p w14:paraId="7367E686">
      <w:pPr>
        <w:spacing w:line="440" w:lineRule="exact"/>
        <w:ind w:firstLine="420" w:firstLineChars="200"/>
        <w:rPr>
          <w:color w:val="auto"/>
          <w:highlight w:val="none"/>
        </w:rPr>
      </w:pPr>
      <w:r>
        <w:rPr>
          <w:rFonts w:hint="eastAsia"/>
          <w:color w:val="auto"/>
          <w:highlight w:val="none"/>
        </w:rPr>
        <w:t>1.采访书目数据要求</w:t>
      </w:r>
    </w:p>
    <w:p w14:paraId="74039E15">
      <w:pPr>
        <w:spacing w:line="440" w:lineRule="exact"/>
        <w:ind w:firstLine="420" w:firstLineChars="200"/>
        <w:rPr>
          <w:color w:val="auto"/>
          <w:highlight w:val="none"/>
        </w:rPr>
      </w:pPr>
      <w:r>
        <w:rPr>
          <w:rFonts w:hint="eastAsia"/>
          <w:color w:val="auto"/>
          <w:highlight w:val="none"/>
        </w:rPr>
        <w:t>1.1 中标人每周分社科和自科提供规范、详实、准确的新书征订书目数据，提供的书目数据应符合采购方的办学层次及选购范围；在图书没有版本变化的情况下不得重复；不得含有特价图书信息。</w:t>
      </w:r>
    </w:p>
    <w:p w14:paraId="49D49220">
      <w:pPr>
        <w:spacing w:line="440" w:lineRule="exact"/>
        <w:ind w:firstLine="420" w:firstLineChars="200"/>
        <w:rPr>
          <w:color w:val="auto"/>
          <w:highlight w:val="none"/>
        </w:rPr>
      </w:pPr>
      <w:r>
        <w:rPr>
          <w:rFonts w:hint="eastAsia"/>
          <w:color w:val="auto"/>
          <w:highlight w:val="none"/>
        </w:rPr>
        <w:t>1.2 书目</w:t>
      </w:r>
      <w:r>
        <w:rPr>
          <w:rFonts w:hint="eastAsia" w:cs="Arial"/>
          <w:bCs/>
          <w:color w:val="auto"/>
          <w:highlight w:val="none"/>
        </w:rPr>
        <w:t>数据必须100%</w:t>
      </w:r>
      <w:r>
        <w:rPr>
          <w:rFonts w:hint="eastAsia"/>
          <w:color w:val="auto"/>
          <w:highlight w:val="none"/>
        </w:rPr>
        <w:t>覆盖《本馆核心出版社》（附录一）高等教育本科及以上水平的全品种图书目录信息；提供全品种图书供应（不符合本馆收藏范围的除外）；可根据采购人要求提供个性化采访数据，如专题书目；不得因为供货折扣原因屏蔽任何图书品种，并须积极联系出版社获得合作包销图书品种信息。每期书目信息报道不得重复。</w:t>
      </w:r>
    </w:p>
    <w:p w14:paraId="7AF6B142">
      <w:pPr>
        <w:spacing w:line="440" w:lineRule="exact"/>
        <w:ind w:firstLine="420" w:firstLineChars="200"/>
        <w:rPr>
          <w:rFonts w:cs="宋体"/>
          <w:color w:val="auto"/>
          <w:highlight w:val="none"/>
        </w:rPr>
      </w:pPr>
      <w:r>
        <w:rPr>
          <w:rFonts w:hint="eastAsia"/>
          <w:color w:val="auto"/>
          <w:highlight w:val="none"/>
        </w:rPr>
        <w:t>1.3 中标人</w:t>
      </w:r>
      <w:r>
        <w:rPr>
          <w:rFonts w:hint="eastAsia" w:cs="宋体"/>
          <w:color w:val="auto"/>
          <w:highlight w:val="none"/>
        </w:rPr>
        <w:t>必须以CNMARC数据形式提供采访书目数据</w:t>
      </w:r>
      <w:r>
        <w:rPr>
          <w:rFonts w:hint="eastAsia"/>
          <w:color w:val="auto"/>
          <w:highlight w:val="none"/>
        </w:rPr>
        <w:t>，采访数据必须包括正书名、著者（译者、编者等）、ISBN号、版别（本）、出版地、出版者、出版时间、价格、类号、页码、开本、装帧、内容提要等字段。翻译的购权版图书除包括书名、著者中文译名外，还应提供英文书名、著者英文姓名、原版版次。</w:t>
      </w:r>
      <w:r>
        <w:rPr>
          <w:rFonts w:hint="eastAsia" w:cs="宋体"/>
          <w:color w:val="auto"/>
          <w:highlight w:val="none"/>
        </w:rPr>
        <w:t>大套丛编中单种图书有单独ISBN号的要分别列出单种图书信息，大套图书在必要时须提供子（细）目供参考。提供的所有采访数据须能在采购人图书馆集成管理系统中无障碍使用。</w:t>
      </w:r>
    </w:p>
    <w:p w14:paraId="64FB36CC">
      <w:pPr>
        <w:spacing w:line="440" w:lineRule="exact"/>
        <w:ind w:firstLine="420" w:firstLineChars="200"/>
        <w:rPr>
          <w:color w:val="auto"/>
          <w:highlight w:val="none"/>
        </w:rPr>
      </w:pPr>
      <w:r>
        <w:rPr>
          <w:color w:val="auto"/>
          <w:highlight w:val="none"/>
        </w:rPr>
        <w:t xml:space="preserve">2. </w:t>
      </w:r>
      <w:r>
        <w:rPr>
          <w:rFonts w:hint="eastAsia"/>
          <w:color w:val="auto"/>
          <w:highlight w:val="none"/>
        </w:rPr>
        <w:t>订单发出及反馈</w:t>
      </w:r>
    </w:p>
    <w:p w14:paraId="147219D6">
      <w:pPr>
        <w:spacing w:line="440" w:lineRule="exact"/>
        <w:ind w:firstLine="420" w:firstLineChars="200"/>
        <w:rPr>
          <w:rFonts w:asciiTheme="minorHAnsi" w:hAnsiTheme="minorHAnsi"/>
          <w:color w:val="auto"/>
          <w:szCs w:val="24"/>
          <w:highlight w:val="none"/>
        </w:rPr>
      </w:pPr>
      <w:r>
        <w:rPr>
          <w:rFonts w:asciiTheme="minorHAnsi" w:hAnsiTheme="minorHAnsi"/>
          <w:color w:val="auto"/>
          <w:szCs w:val="24"/>
          <w:highlight w:val="none"/>
        </w:rPr>
        <w:t xml:space="preserve">2.1 </w:t>
      </w:r>
      <w:r>
        <w:rPr>
          <w:rFonts w:hint="eastAsia" w:asciiTheme="minorHAnsi" w:hAnsiTheme="minorHAnsi"/>
          <w:color w:val="auto"/>
          <w:szCs w:val="24"/>
          <w:highlight w:val="none"/>
        </w:rPr>
        <w:t>采购人在合同有效期内分批次不定时向中标供应商发出订单。</w:t>
      </w:r>
    </w:p>
    <w:p w14:paraId="7855E587">
      <w:pPr>
        <w:spacing w:line="440" w:lineRule="exact"/>
        <w:ind w:firstLine="420" w:firstLineChars="200"/>
        <w:rPr>
          <w:rFonts w:cs="Arial"/>
          <w:bCs/>
          <w:color w:val="auto"/>
          <w:highlight w:val="none"/>
        </w:rPr>
      </w:pPr>
      <w:r>
        <w:rPr>
          <w:color w:val="auto"/>
          <w:highlight w:val="none"/>
        </w:rPr>
        <w:t xml:space="preserve">2.2 </w:t>
      </w:r>
      <w:r>
        <w:rPr>
          <w:rFonts w:hint="eastAsia"/>
          <w:color w:val="auto"/>
          <w:highlight w:val="none"/>
        </w:rPr>
        <w:t>订单处理方式：收到采购人订单后的</w:t>
      </w:r>
      <w:r>
        <w:rPr>
          <w:color w:val="auto"/>
          <w:highlight w:val="none"/>
        </w:rPr>
        <w:t>2个工作日内</w:t>
      </w:r>
      <w:r>
        <w:rPr>
          <w:rFonts w:hint="eastAsia"/>
          <w:color w:val="auto"/>
          <w:highlight w:val="none"/>
        </w:rPr>
        <w:t>书面回复采购人确认收到订单，</w:t>
      </w:r>
      <w:r>
        <w:rPr>
          <w:rFonts w:hint="eastAsia" w:cs="Arial"/>
          <w:bCs/>
          <w:color w:val="auto"/>
          <w:highlight w:val="none"/>
        </w:rPr>
        <w:t>此后每周均须主动告知订单状态，包括上报出版社、配货、发货、到货率及加工情况等。</w:t>
      </w:r>
    </w:p>
    <w:p w14:paraId="1253747E">
      <w:pPr>
        <w:spacing w:line="440" w:lineRule="exact"/>
        <w:ind w:firstLine="420" w:firstLineChars="200"/>
        <w:rPr>
          <w:rFonts w:asciiTheme="minorHAnsi" w:hAnsiTheme="minorHAnsi" w:cstheme="minorBidi"/>
          <w:bCs w:val="0"/>
          <w:color w:val="auto"/>
          <w:szCs w:val="24"/>
          <w:highlight w:val="none"/>
        </w:rPr>
      </w:pPr>
      <w:r>
        <w:rPr>
          <w:rFonts w:asciiTheme="minorHAnsi" w:hAnsiTheme="minorHAnsi" w:cstheme="minorBidi"/>
          <w:bCs w:val="0"/>
          <w:color w:val="auto"/>
          <w:szCs w:val="24"/>
          <w:highlight w:val="none"/>
        </w:rPr>
        <w:t xml:space="preserve">2.3 </w:t>
      </w:r>
      <w:r>
        <w:rPr>
          <w:rFonts w:hint="eastAsia" w:asciiTheme="minorHAnsi" w:hAnsiTheme="minorHAnsi" w:cstheme="minorBidi"/>
          <w:bCs w:val="0"/>
          <w:color w:val="auto"/>
          <w:szCs w:val="24"/>
          <w:highlight w:val="none"/>
        </w:rPr>
        <w:t>订单查重：</w:t>
      </w:r>
      <w:r>
        <w:rPr>
          <w:rFonts w:hint="eastAsia" w:asciiTheme="minorHAnsi" w:hAnsiTheme="minorHAnsi"/>
          <w:color w:val="auto"/>
          <w:szCs w:val="24"/>
          <w:highlight w:val="none"/>
        </w:rPr>
        <w:t>中标人应进行订单查重（本批订单与历史订单查重、本批订单互相查重），</w:t>
      </w:r>
      <w:r>
        <w:rPr>
          <w:rFonts w:hint="eastAsia" w:asciiTheme="minorHAnsi" w:hAnsiTheme="minorHAnsi" w:cstheme="minorBidi"/>
          <w:bCs w:val="0"/>
          <w:color w:val="auto"/>
          <w:szCs w:val="24"/>
          <w:highlight w:val="none"/>
        </w:rPr>
        <w:t>如发现重复订购的情况，应在确认收到订单时告知采购人。</w:t>
      </w:r>
    </w:p>
    <w:p w14:paraId="26A8B069">
      <w:pPr>
        <w:spacing w:line="440" w:lineRule="exact"/>
        <w:ind w:firstLine="420" w:firstLineChars="200"/>
        <w:rPr>
          <w:rFonts w:asciiTheme="minorHAnsi" w:hAnsiTheme="minorHAnsi" w:cstheme="minorBidi"/>
          <w:bCs w:val="0"/>
          <w:color w:val="auto"/>
          <w:szCs w:val="24"/>
          <w:highlight w:val="none"/>
        </w:rPr>
      </w:pPr>
      <w:r>
        <w:rPr>
          <w:rFonts w:asciiTheme="minorHAnsi" w:hAnsiTheme="minorHAnsi" w:cstheme="minorBidi"/>
          <w:bCs w:val="0"/>
          <w:color w:val="auto"/>
          <w:szCs w:val="24"/>
          <w:highlight w:val="none"/>
        </w:rPr>
        <w:t xml:space="preserve">2.4 </w:t>
      </w:r>
      <w:r>
        <w:rPr>
          <w:rFonts w:hint="eastAsia" w:asciiTheme="minorHAnsi" w:hAnsiTheme="minorHAnsi" w:cstheme="minorBidi"/>
          <w:bCs w:val="0"/>
          <w:color w:val="auto"/>
          <w:szCs w:val="24"/>
          <w:highlight w:val="none"/>
        </w:rPr>
        <w:t>订单反馈：</w:t>
      </w:r>
    </w:p>
    <w:p w14:paraId="30846D2F">
      <w:pPr>
        <w:spacing w:line="440" w:lineRule="exact"/>
        <w:ind w:firstLine="420" w:firstLineChars="200"/>
        <w:rPr>
          <w:b/>
          <w:color w:val="auto"/>
          <w:highlight w:val="none"/>
        </w:rPr>
      </w:pPr>
      <w:r>
        <w:rPr>
          <w:rFonts w:hint="eastAsia" w:cs="Arial"/>
          <w:bCs/>
          <w:color w:val="auto"/>
          <w:highlight w:val="none"/>
        </w:rPr>
        <w:t>中标人</w:t>
      </w:r>
      <w:r>
        <w:rPr>
          <w:rFonts w:hint="eastAsia"/>
          <w:color w:val="auto"/>
          <w:highlight w:val="none"/>
        </w:rPr>
        <w:t>若发现订单中有不符合</w:t>
      </w:r>
      <w:r>
        <w:rPr>
          <w:rFonts w:hint="eastAsia" w:cs="Courier New" w:asciiTheme="minorEastAsia" w:hAnsiTheme="minorEastAsia"/>
          <w:color w:val="auto"/>
          <w:szCs w:val="22"/>
          <w:highlight w:val="none"/>
        </w:rPr>
        <w:t>采购需求</w:t>
      </w:r>
      <w:r>
        <w:rPr>
          <w:rFonts w:hint="eastAsia"/>
          <w:color w:val="auto"/>
          <w:highlight w:val="none"/>
        </w:rPr>
        <w:t>的图书，应在确认收到订单之日起</w:t>
      </w:r>
      <w:r>
        <w:rPr>
          <w:rFonts w:cs="Arial"/>
          <w:bCs/>
          <w:color w:val="auto"/>
          <w:highlight w:val="none"/>
        </w:rPr>
        <w:t>3日内</w:t>
      </w:r>
      <w:r>
        <w:rPr>
          <w:rFonts w:hint="eastAsia"/>
          <w:color w:val="auto"/>
          <w:highlight w:val="none"/>
        </w:rPr>
        <w:t>书面通知采购人请求确认是否继续订购；若发现图书实际情况（如</w:t>
      </w:r>
      <w:r>
        <w:rPr>
          <w:color w:val="auto"/>
          <w:highlight w:val="none"/>
        </w:rPr>
        <w:t>ISBN号、书名、著者、价格</w:t>
      </w:r>
      <w:r>
        <w:rPr>
          <w:rFonts w:hint="eastAsia"/>
          <w:color w:val="auto"/>
          <w:highlight w:val="none"/>
        </w:rPr>
        <w:t>、版次</w:t>
      </w:r>
      <w:r>
        <w:rPr>
          <w:color w:val="auto"/>
          <w:highlight w:val="none"/>
        </w:rPr>
        <w:t>等</w:t>
      </w:r>
      <w:r>
        <w:rPr>
          <w:rFonts w:hint="eastAsia"/>
          <w:color w:val="auto"/>
          <w:highlight w:val="none"/>
        </w:rPr>
        <w:t>）与订单信息不一致的，</w:t>
      </w:r>
      <w:r>
        <w:rPr>
          <w:color w:val="auto"/>
          <w:highlight w:val="none"/>
        </w:rPr>
        <w:t>应</w:t>
      </w:r>
      <w:r>
        <w:rPr>
          <w:rFonts w:hint="eastAsia"/>
          <w:color w:val="auto"/>
          <w:highlight w:val="none"/>
        </w:rPr>
        <w:t>书面通知采购人修改有关订单数据、重新确认订购需求。</w:t>
      </w:r>
    </w:p>
    <w:p w14:paraId="635D7106">
      <w:pPr>
        <w:spacing w:line="440" w:lineRule="exact"/>
        <w:ind w:firstLine="420" w:firstLineChars="200"/>
        <w:rPr>
          <w:color w:val="auto"/>
          <w:highlight w:val="none"/>
        </w:rPr>
      </w:pPr>
      <w:r>
        <w:rPr>
          <w:color w:val="auto"/>
          <w:highlight w:val="none"/>
        </w:rPr>
        <w:t xml:space="preserve">3. </w:t>
      </w:r>
      <w:r>
        <w:rPr>
          <w:rFonts w:hint="eastAsia"/>
          <w:color w:val="auto"/>
          <w:highlight w:val="none"/>
        </w:rPr>
        <w:t>图书供货周期与到书率</w:t>
      </w:r>
    </w:p>
    <w:p w14:paraId="2FDA3E01">
      <w:pPr>
        <w:spacing w:line="440" w:lineRule="exact"/>
        <w:ind w:firstLine="420" w:firstLineChars="200"/>
        <w:rPr>
          <w:color w:val="auto"/>
          <w:highlight w:val="none"/>
        </w:rPr>
      </w:pPr>
      <w:r>
        <w:rPr>
          <w:rFonts w:hint="eastAsia" w:cs="Arial"/>
          <w:bCs/>
          <w:color w:val="auto"/>
          <w:highlight w:val="none"/>
        </w:rPr>
        <w:t xml:space="preserve">3.1 </w:t>
      </w:r>
      <w:r>
        <w:rPr>
          <w:rFonts w:hint="eastAsia"/>
          <w:color w:val="auto"/>
          <w:highlight w:val="none"/>
        </w:rPr>
        <w:t>中标人必须在采购人订单所列书目范围内的确定供应得图书品种、数量并按时交货。图书交货品种、数量以采购人验收确认为准。合同期内，每年供货周期内的到书率不低于95%，到书率统计口径具体如下：</w:t>
      </w:r>
    </w:p>
    <w:p w14:paraId="01B577CC">
      <w:pPr>
        <w:spacing w:line="440" w:lineRule="exact"/>
        <w:ind w:firstLine="420" w:firstLineChars="200"/>
        <w:rPr>
          <w:color w:val="auto"/>
          <w:highlight w:val="none"/>
        </w:rPr>
      </w:pPr>
      <w:r>
        <w:rPr>
          <w:rFonts w:hint="eastAsia"/>
          <w:color w:val="auto"/>
          <w:highlight w:val="none"/>
        </w:rPr>
        <w:t>（1）第一年的供货周期为合同签订之日起至2026年11月30日，第二年、第三年的供货周期为当年1月1日至当年11月30日。</w:t>
      </w:r>
    </w:p>
    <w:p w14:paraId="5D11993E">
      <w:pPr>
        <w:spacing w:line="440" w:lineRule="exact"/>
        <w:ind w:firstLine="420" w:firstLineChars="200"/>
        <w:rPr>
          <w:color w:val="auto"/>
          <w:highlight w:val="none"/>
        </w:rPr>
      </w:pPr>
      <w:r>
        <w:rPr>
          <w:rFonts w:hint="eastAsia"/>
          <w:color w:val="auto"/>
          <w:highlight w:val="none"/>
        </w:rPr>
        <w:t>（2）到书率系以当年供货周期内的图书采购总数量为计算基数，截至当年末仍未出版的图书数量不计入计算基数。</w:t>
      </w:r>
    </w:p>
    <w:p w14:paraId="579DEFB0">
      <w:pPr>
        <w:spacing w:line="440" w:lineRule="exact"/>
        <w:ind w:firstLine="420" w:firstLineChars="200"/>
        <w:rPr>
          <w:color w:val="auto"/>
          <w:highlight w:val="none"/>
        </w:rPr>
      </w:pPr>
      <w:r>
        <w:rPr>
          <w:rFonts w:hint="eastAsia"/>
          <w:color w:val="auto"/>
          <w:highlight w:val="none"/>
        </w:rPr>
        <w:t>对于未能及时供应的图书，中标人要定期向采购人提供未到书目并注明原因，如“已采购未到货”、“包销书”、“合作书”、“出版社缺货”、“不适藏撤销”等，同时提出补缺措施。</w:t>
      </w:r>
    </w:p>
    <w:p w14:paraId="03C9ED22">
      <w:pPr>
        <w:spacing w:line="440" w:lineRule="exact"/>
        <w:ind w:firstLine="420" w:firstLineChars="200"/>
        <w:jc w:val="both"/>
        <w:rPr>
          <w:color w:val="auto"/>
          <w:highlight w:val="none"/>
        </w:rPr>
      </w:pPr>
      <w:r>
        <w:rPr>
          <w:rFonts w:hint="eastAsia"/>
          <w:color w:val="auto"/>
          <w:highlight w:val="none"/>
        </w:rPr>
        <w:t>（</w:t>
      </w:r>
      <w:r>
        <w:rPr>
          <w:color w:val="auto"/>
          <w:highlight w:val="none"/>
        </w:rPr>
        <w:t>3</w:t>
      </w:r>
      <w:r>
        <w:rPr>
          <w:rFonts w:hint="eastAsia"/>
          <w:color w:val="auto"/>
          <w:highlight w:val="none"/>
        </w:rPr>
        <w:t>）每年供货周期截止日（即当年的</w:t>
      </w:r>
      <w:r>
        <w:rPr>
          <w:color w:val="auto"/>
          <w:highlight w:val="none"/>
        </w:rPr>
        <w:t>11</w:t>
      </w:r>
      <w:r>
        <w:rPr>
          <w:rFonts w:hint="eastAsia"/>
          <w:color w:val="auto"/>
          <w:highlight w:val="none"/>
        </w:rPr>
        <w:t>月</w:t>
      </w:r>
      <w:r>
        <w:rPr>
          <w:color w:val="auto"/>
          <w:highlight w:val="none"/>
        </w:rPr>
        <w:t>30</w:t>
      </w:r>
      <w:r>
        <w:rPr>
          <w:rFonts w:hint="eastAsia"/>
          <w:color w:val="auto"/>
          <w:highlight w:val="none"/>
        </w:rPr>
        <w:t>日）之后，采购人不再接收中标人根据当年订单交付的图书，当年的供货金额按截止日前已验收图书为准进行结算。若中标人仍将图书运至采购人指定地点的，应自行承担由此产生的全部费用而不得要求甲方支付货款或给予任何补偿、赔偿。中标人在下一年度供货周期交付上一年度订单项下图书的，采购人有权决定是否接收。</w:t>
      </w:r>
    </w:p>
    <w:p w14:paraId="2FBC3831">
      <w:pPr>
        <w:spacing w:line="440" w:lineRule="exact"/>
        <w:ind w:firstLine="420" w:firstLineChars="200"/>
        <w:jc w:val="both"/>
        <w:rPr>
          <w:rFonts w:cs="宋体"/>
          <w:color w:val="auto"/>
          <w:highlight w:val="none"/>
        </w:rPr>
      </w:pPr>
      <w:r>
        <w:rPr>
          <w:rFonts w:hint="eastAsia" w:cs="宋体"/>
          <w:color w:val="auto"/>
          <w:highlight w:val="none"/>
        </w:rPr>
        <w:t xml:space="preserve">3.2 </w:t>
      </w:r>
      <w:r>
        <w:rPr>
          <w:rFonts w:hint="eastAsia"/>
          <w:color w:val="auto"/>
          <w:highlight w:val="none"/>
        </w:rPr>
        <w:t>中标人确认收到订单之日起</w:t>
      </w:r>
      <w:r>
        <w:rPr>
          <w:rFonts w:hint="eastAsia" w:cs="宋体"/>
          <w:color w:val="auto"/>
          <w:highlight w:val="none"/>
        </w:rPr>
        <w:t>超过90天中标人仍未交付的图书，</w:t>
      </w:r>
      <w:r>
        <w:rPr>
          <w:rFonts w:hint="eastAsia"/>
          <w:color w:val="auto"/>
          <w:highlight w:val="none"/>
        </w:rPr>
        <w:t>采购人有权直接向出版社、著者、</w:t>
      </w:r>
      <w:r>
        <w:rPr>
          <w:rFonts w:hint="eastAsia" w:cs="宋体"/>
          <w:color w:val="auto"/>
          <w:highlight w:val="none"/>
        </w:rPr>
        <w:t>其他供应商或零售店</w:t>
      </w:r>
      <w:r>
        <w:rPr>
          <w:rFonts w:hint="eastAsia"/>
          <w:color w:val="auto"/>
          <w:highlight w:val="none"/>
        </w:rPr>
        <w:t>采购，中标人须按采购人所付货款（即所采购图书的码洋价乘以采购数量）的五倍向采购人支付违约金。</w:t>
      </w:r>
    </w:p>
    <w:p w14:paraId="59F79E4B">
      <w:pPr>
        <w:spacing w:line="440" w:lineRule="exact"/>
        <w:ind w:firstLine="420" w:firstLineChars="200"/>
        <w:rPr>
          <w:rFonts w:cs="Arial"/>
          <w:bCs/>
          <w:color w:val="auto"/>
          <w:highlight w:val="none"/>
        </w:rPr>
      </w:pPr>
      <w:r>
        <w:rPr>
          <w:rFonts w:hint="eastAsia"/>
          <w:color w:val="auto"/>
          <w:highlight w:val="none"/>
        </w:rPr>
        <w:t>3.3 中标人需配合图书馆读者推荐购买图书、急编书的及时送达。通过快递、送货上门等方式所产生的费用由中标人承担。</w:t>
      </w:r>
    </w:p>
    <w:p w14:paraId="0B808D46">
      <w:pPr>
        <w:spacing w:line="440" w:lineRule="exact"/>
        <w:ind w:firstLine="420" w:firstLineChars="200"/>
        <w:rPr>
          <w:color w:val="auto"/>
          <w:highlight w:val="none"/>
        </w:rPr>
      </w:pPr>
      <w:r>
        <w:rPr>
          <w:rFonts w:hint="eastAsia"/>
          <w:color w:val="auto"/>
          <w:highlight w:val="none"/>
        </w:rPr>
        <w:t>4. 图书验收与退换货</w:t>
      </w:r>
    </w:p>
    <w:p w14:paraId="5DB86ABA">
      <w:pPr>
        <w:spacing w:line="440" w:lineRule="exact"/>
        <w:ind w:firstLine="420" w:firstLineChars="200"/>
        <w:rPr>
          <w:rFonts w:ascii="宋体" w:hAnsi="宋体" w:cs="Arial"/>
          <w:bCs/>
          <w:color w:val="auto"/>
          <w:szCs w:val="21"/>
          <w:highlight w:val="none"/>
        </w:rPr>
      </w:pPr>
      <w:r>
        <w:rPr>
          <w:rFonts w:hint="eastAsia" w:ascii="宋体" w:hAnsi="宋体" w:cs="Arial"/>
          <w:bCs/>
          <w:color w:val="auto"/>
          <w:szCs w:val="21"/>
          <w:highlight w:val="none"/>
        </w:rPr>
        <w:t>4.1 中标人</w:t>
      </w:r>
      <w:r>
        <w:rPr>
          <w:rFonts w:hint="eastAsia"/>
          <w:color w:val="auto"/>
          <w:highlight w:val="none"/>
        </w:rPr>
        <w:t>应严格执行图书行业国家标准和行业标准，提供的图书必须为正版图书。盗版图书一经发现，除假一赔十外，还需承担由此造成的一切后果，同时供需合同自动终止。</w:t>
      </w:r>
    </w:p>
    <w:p w14:paraId="06E35989">
      <w:pPr>
        <w:spacing w:line="440" w:lineRule="exact"/>
        <w:ind w:firstLine="420" w:firstLineChars="200"/>
        <w:rPr>
          <w:rFonts w:cs="Arial"/>
          <w:bCs/>
          <w:color w:val="auto"/>
          <w:highlight w:val="none"/>
        </w:rPr>
      </w:pPr>
      <w:r>
        <w:rPr>
          <w:rFonts w:cs="Arial"/>
          <w:bCs/>
          <w:color w:val="auto"/>
          <w:highlight w:val="none"/>
        </w:rPr>
        <w:t xml:space="preserve">4.2 </w:t>
      </w:r>
      <w:r>
        <w:rPr>
          <w:rFonts w:hint="eastAsia" w:cs="Arial"/>
          <w:bCs/>
          <w:color w:val="auto"/>
          <w:highlight w:val="none"/>
        </w:rPr>
        <w:t>采购人</w:t>
      </w:r>
      <w:r>
        <w:rPr>
          <w:rFonts w:hint="eastAsia"/>
          <w:color w:val="auto"/>
          <w:highlight w:val="none"/>
        </w:rPr>
        <w:t>订单中如含有不符合采购需求中“</w:t>
      </w:r>
      <w:r>
        <w:rPr>
          <w:rFonts w:hint="eastAsia" w:ascii="Calibri" w:hAnsi="Calibri"/>
          <w:b/>
          <w:color w:val="auto"/>
          <w:szCs w:val="22"/>
          <w:highlight w:val="none"/>
        </w:rPr>
        <w:t>技术参数及性能（配置）要求”的图书</w:t>
      </w:r>
      <w:r>
        <w:rPr>
          <w:rFonts w:hint="eastAsia"/>
          <w:color w:val="auto"/>
          <w:highlight w:val="none"/>
        </w:rPr>
        <w:t>，若中标人未依照第</w:t>
      </w:r>
      <w:r>
        <w:rPr>
          <w:color w:val="auto"/>
          <w:highlight w:val="none"/>
        </w:rPr>
        <w:t>2.4款的规定书面通知采购人请求确认是否继续订购</w:t>
      </w:r>
      <w:r>
        <w:rPr>
          <w:rFonts w:hint="eastAsia"/>
          <w:color w:val="auto"/>
          <w:highlight w:val="none"/>
        </w:rPr>
        <w:t>的，中标人在初步验收或加工前应先选择剔除，并将剔除图书目录发给采购人确认。若中标人未将应剔除图书目录发给采购人确认的，对于中标人交付的不符合</w:t>
      </w:r>
      <w:r>
        <w:rPr>
          <w:rFonts w:hint="eastAsia" w:ascii="Calibri" w:hAnsi="Calibri"/>
          <w:b/>
          <w:color w:val="auto"/>
          <w:szCs w:val="22"/>
          <w:highlight w:val="none"/>
        </w:rPr>
        <w:t>采购需求的图书</w:t>
      </w:r>
      <w:r>
        <w:rPr>
          <w:rFonts w:hint="eastAsia"/>
          <w:color w:val="auto"/>
          <w:highlight w:val="none"/>
        </w:rPr>
        <w:t>，即使中标人已按照第</w:t>
      </w:r>
      <w:r>
        <w:rPr>
          <w:color w:val="auto"/>
          <w:highlight w:val="none"/>
        </w:rPr>
        <w:t>5</w:t>
      </w:r>
      <w:r>
        <w:rPr>
          <w:rFonts w:hint="eastAsia"/>
          <w:color w:val="auto"/>
          <w:highlight w:val="none"/>
        </w:rPr>
        <w:t>条图书加工要求进行加工的，采购人仍有权退货，由此造成的损失由中标人自行承担。</w:t>
      </w:r>
    </w:p>
    <w:p w14:paraId="5AEE88D3">
      <w:pPr>
        <w:spacing w:line="440" w:lineRule="exact"/>
        <w:ind w:firstLine="420" w:firstLineChars="200"/>
        <w:rPr>
          <w:color w:val="auto"/>
          <w:highlight w:val="none"/>
        </w:rPr>
      </w:pPr>
      <w:r>
        <w:rPr>
          <w:rFonts w:hint="eastAsia" w:cs="Arial"/>
          <w:bCs/>
          <w:color w:val="auto"/>
          <w:highlight w:val="none"/>
        </w:rPr>
        <w:t>4.3 中标人通过远程登录</w:t>
      </w:r>
      <w:r>
        <w:rPr>
          <w:rFonts w:hint="eastAsia"/>
          <w:color w:val="auto"/>
          <w:highlight w:val="none"/>
        </w:rPr>
        <w:t>Interlib图书馆集成管理系统进行图书验收，必须通过图书验收管理模块中的“预订验收处理”进行验收，如通过“直接验收处理”验收造成的后果及损失由中标人自行承担。</w:t>
      </w:r>
    </w:p>
    <w:p w14:paraId="0C03FF5E">
      <w:pPr>
        <w:spacing w:line="440" w:lineRule="exact"/>
        <w:ind w:firstLine="420" w:firstLineChars="200"/>
        <w:rPr>
          <w:rFonts w:cs="宋体"/>
          <w:color w:val="auto"/>
          <w:highlight w:val="none"/>
        </w:rPr>
      </w:pPr>
      <w:r>
        <w:rPr>
          <w:rFonts w:hint="eastAsia"/>
          <w:color w:val="auto"/>
          <w:highlight w:val="none"/>
        </w:rPr>
        <w:t>4.4 图书订购的品种、复本均由采购人决定，中标人不得自行搭配。如验收发现与订单不符，中标人需无条件接受退货；</w:t>
      </w:r>
      <w:r>
        <w:rPr>
          <w:rFonts w:hint="eastAsia" w:cs="宋体"/>
          <w:color w:val="auto"/>
          <w:highlight w:val="none"/>
        </w:rPr>
        <w:t>对不适合采购人入藏的图书，确因书目识别困难而造成误订的，中标人需无条件接受退货。</w:t>
      </w:r>
    </w:p>
    <w:p w14:paraId="10685E2B">
      <w:pPr>
        <w:spacing w:line="440" w:lineRule="exact"/>
        <w:ind w:firstLine="420" w:firstLineChars="200"/>
        <w:rPr>
          <w:color w:val="auto"/>
          <w:highlight w:val="none"/>
        </w:rPr>
      </w:pPr>
      <w:r>
        <w:rPr>
          <w:rFonts w:hint="eastAsia" w:cs="宋体"/>
          <w:color w:val="auto"/>
          <w:highlight w:val="none"/>
        </w:rPr>
        <w:t xml:space="preserve">4.5 </w:t>
      </w:r>
      <w:r>
        <w:rPr>
          <w:rFonts w:hint="eastAsia"/>
          <w:color w:val="auto"/>
          <w:highlight w:val="none"/>
        </w:rPr>
        <w:t>凡是印刷图文不清、污损、缺页、倒页、脱页、缺附件、光盘破损等质量不合格的图书，无论加工与否，一律予以退货，由此造成的损失及费用全部由中标人承担。</w:t>
      </w:r>
    </w:p>
    <w:p w14:paraId="0EF140C3">
      <w:pPr>
        <w:spacing w:line="440" w:lineRule="exact"/>
        <w:ind w:firstLine="420" w:firstLineChars="200"/>
        <w:rPr>
          <w:rFonts w:ascii="宋体" w:cs="宋体"/>
          <w:color w:val="auto"/>
          <w:szCs w:val="21"/>
          <w:highlight w:val="none"/>
        </w:rPr>
      </w:pPr>
      <w:r>
        <w:rPr>
          <w:rFonts w:hint="eastAsia" w:ascii="宋体" w:cs="宋体"/>
          <w:color w:val="auto"/>
          <w:szCs w:val="21"/>
          <w:highlight w:val="none"/>
        </w:rPr>
        <w:t>4.6 采购人</w:t>
      </w:r>
      <w:r>
        <w:rPr>
          <w:rFonts w:hint="eastAsia"/>
          <w:color w:val="auto"/>
          <w:highlight w:val="none"/>
        </w:rPr>
        <w:t>验收发现图书与发货单不相符时应及时通知中标人到验收地核实。中标人接到通知之日起2个工作日内核对，如不能</w:t>
      </w:r>
      <w:r>
        <w:rPr>
          <w:rFonts w:hint="eastAsia" w:ascii="宋体" w:cs="宋体"/>
          <w:color w:val="auto"/>
          <w:szCs w:val="21"/>
          <w:highlight w:val="none"/>
        </w:rPr>
        <w:t>在此期间确认核算的，以采购人验收的实际数额计算书款金额。</w:t>
      </w:r>
    </w:p>
    <w:p w14:paraId="584E219A">
      <w:pPr>
        <w:spacing w:line="440" w:lineRule="exact"/>
        <w:ind w:firstLine="420" w:firstLineChars="200"/>
        <w:rPr>
          <w:color w:val="auto"/>
          <w:highlight w:val="none"/>
        </w:rPr>
      </w:pPr>
      <w:r>
        <w:rPr>
          <w:rFonts w:hint="eastAsia"/>
          <w:color w:val="auto"/>
          <w:highlight w:val="none"/>
        </w:rPr>
        <w:t>4.7中标人须采取切实有效的图书供应保障措施，确保每年度供应的</w:t>
      </w:r>
      <w:r>
        <w:rPr>
          <w:rFonts w:hint="eastAsia" w:ascii="Calibri" w:cs="Courier New"/>
          <w:color w:val="auto"/>
          <w:szCs w:val="22"/>
          <w:highlight w:val="none"/>
        </w:rPr>
        <w:t>生物科学、医药卫生类专业图书的</w:t>
      </w:r>
      <w:r>
        <w:rPr>
          <w:rFonts w:hint="eastAsia"/>
          <w:color w:val="auto"/>
          <w:highlight w:val="none"/>
        </w:rPr>
        <w:t>数量（按货款金额计算）不低于采购需求中“</w:t>
      </w:r>
      <w:r>
        <w:rPr>
          <w:rFonts w:hint="eastAsia" w:ascii="Calibri" w:hAnsi="Calibri"/>
          <w:b/>
          <w:color w:val="auto"/>
          <w:szCs w:val="22"/>
          <w:highlight w:val="none"/>
        </w:rPr>
        <w:t>技术参数及性能（配置）要求”所列的</w:t>
      </w:r>
      <w:r>
        <w:rPr>
          <w:rFonts w:hint="eastAsia" w:ascii="Calibri" w:cs="Courier New"/>
          <w:color w:val="auto"/>
          <w:szCs w:val="22"/>
          <w:highlight w:val="none"/>
        </w:rPr>
        <w:t>比例，且不得以任何理由要求降低该比例</w:t>
      </w:r>
      <w:r>
        <w:rPr>
          <w:rFonts w:hint="eastAsia"/>
          <w:color w:val="auto"/>
          <w:highlight w:val="none"/>
        </w:rPr>
        <w:t>。</w:t>
      </w:r>
    </w:p>
    <w:p w14:paraId="486BE397">
      <w:pPr>
        <w:pStyle w:val="26"/>
        <w:spacing w:line="440" w:lineRule="exact"/>
        <w:ind w:firstLine="420" w:firstLineChars="200"/>
        <w:rPr>
          <w:b/>
          <w:color w:val="auto"/>
          <w:highlight w:val="none"/>
        </w:rPr>
      </w:pPr>
      <w:r>
        <w:rPr>
          <w:rFonts w:hint="eastAsia" w:cs="Arial"/>
          <w:color w:val="auto"/>
          <w:highlight w:val="none"/>
        </w:rPr>
        <w:t>5.图书</w:t>
      </w:r>
      <w:r>
        <w:rPr>
          <w:rFonts w:hint="eastAsia"/>
          <w:color w:val="auto"/>
          <w:highlight w:val="none"/>
        </w:rPr>
        <w:t>加工要求：</w:t>
      </w:r>
    </w:p>
    <w:p w14:paraId="1D759430">
      <w:pPr>
        <w:spacing w:line="440" w:lineRule="exact"/>
        <w:ind w:firstLine="420" w:firstLineChars="200"/>
        <w:rPr>
          <w:color w:val="auto"/>
          <w:highlight w:val="none"/>
        </w:rPr>
      </w:pPr>
      <w:r>
        <w:rPr>
          <w:rFonts w:hint="eastAsia"/>
          <w:color w:val="auto"/>
          <w:highlight w:val="none"/>
        </w:rPr>
        <w:t>中标人在递交每一批图书时，应按采购人要求免费进行图书加工。</w:t>
      </w:r>
    </w:p>
    <w:p w14:paraId="42C2C623">
      <w:pPr>
        <w:spacing w:line="440" w:lineRule="exact"/>
        <w:ind w:firstLine="420" w:firstLineChars="200"/>
        <w:rPr>
          <w:color w:val="auto"/>
          <w:highlight w:val="none"/>
        </w:rPr>
      </w:pPr>
      <w:r>
        <w:rPr>
          <w:rFonts w:hint="eastAsia"/>
          <w:color w:val="auto"/>
          <w:highlight w:val="none"/>
        </w:rPr>
        <w:t>⑴图书加工前，应将配送的书目（按订单顺序列好）发给采购人审核，无误后方可按采购人要求加工。装帧怪异的图书，需通过电话、电子邮件或</w:t>
      </w:r>
      <w:r>
        <w:rPr>
          <w:color w:val="auto"/>
          <w:highlight w:val="none"/>
        </w:rPr>
        <w:t>QQ经采访人员确认后才能加工。</w:t>
      </w:r>
    </w:p>
    <w:p w14:paraId="4537F83E">
      <w:pPr>
        <w:spacing w:line="440" w:lineRule="exact"/>
        <w:ind w:firstLine="420" w:firstLineChars="200"/>
        <w:jc w:val="both"/>
        <w:rPr>
          <w:color w:val="auto"/>
          <w:highlight w:val="none"/>
        </w:rPr>
      </w:pPr>
      <w:r>
        <w:rPr>
          <w:rFonts w:hint="eastAsia"/>
          <w:color w:val="auto"/>
          <w:highlight w:val="none"/>
        </w:rPr>
        <w:t>⑵盖馆藏章：每册书盖</w:t>
      </w:r>
      <w:r>
        <w:rPr>
          <w:color w:val="auto"/>
          <w:highlight w:val="none"/>
        </w:rPr>
        <w:t>2个章，一处在书名页（居中，不要挡文字），另一处在书口中间（居中，字体朝向封面）。</w:t>
      </w:r>
    </w:p>
    <w:p w14:paraId="0F3B3FF6">
      <w:pPr>
        <w:spacing w:line="440" w:lineRule="exact"/>
        <w:ind w:firstLine="420" w:firstLineChars="200"/>
        <w:rPr>
          <w:color w:val="auto"/>
          <w:highlight w:val="none"/>
        </w:rPr>
      </w:pPr>
      <w:r>
        <w:rPr>
          <w:rFonts w:hint="eastAsia"/>
          <w:color w:val="auto"/>
          <w:highlight w:val="none"/>
        </w:rPr>
        <w:t>⑶贴条形码：每册书贴</w:t>
      </w:r>
      <w:r>
        <w:rPr>
          <w:color w:val="auto"/>
          <w:highlight w:val="none"/>
        </w:rPr>
        <w:t>4cm×2cm材质为PET纸张，碳带为全树脂打印的同一号条形码2张（白色，撕不烂）。1张贴在书名页，另1张贴在最后一页。同一批书条形码必须连续。条形码需印制清晰，背胶粘性强，使用中不易脱落。</w:t>
      </w:r>
    </w:p>
    <w:p w14:paraId="6F11873F">
      <w:pPr>
        <w:spacing w:line="440" w:lineRule="exact"/>
        <w:ind w:left="0" w:firstLine="420" w:firstLineChars="200"/>
        <w:rPr>
          <w:color w:val="auto"/>
          <w:highlight w:val="none"/>
        </w:rPr>
      </w:pPr>
      <w:r>
        <w:rPr>
          <w:rFonts w:hint="eastAsia"/>
          <w:color w:val="auto"/>
          <w:highlight w:val="none"/>
        </w:rPr>
        <w:t>⑷贴书标并覆膜。书标贴在封底右上角，书标需印制清晰，背胶粘性强，使用中不易脱落。</w:t>
      </w:r>
    </w:p>
    <w:p w14:paraId="0E7E75A6">
      <w:pPr>
        <w:spacing w:line="440" w:lineRule="exact"/>
        <w:ind w:firstLine="420" w:firstLineChars="200"/>
        <w:rPr>
          <w:color w:val="auto"/>
          <w:highlight w:val="none"/>
        </w:rPr>
      </w:pPr>
      <w:r>
        <w:rPr>
          <w:rFonts w:hint="eastAsia"/>
          <w:color w:val="auto"/>
          <w:highlight w:val="none"/>
        </w:rPr>
        <w:t>⑸每册书贴符合图书馆</w:t>
      </w:r>
      <w:r>
        <w:rPr>
          <w:color w:val="auto"/>
          <w:highlight w:val="none"/>
        </w:rPr>
        <w:t>RFID设备使用的RFID高频图书标签（尺寸为50*50mm，需加广西医科大学的LOGO，参考参数见附录二）一片，相邻图书应错位粘贴。</w:t>
      </w:r>
      <w:r>
        <w:rPr>
          <w:rFonts w:hint="eastAsia" w:cs="宋体"/>
          <w:color w:val="auto"/>
          <w:highlight w:val="none"/>
        </w:rPr>
        <w:t>中标人需额外配送</w:t>
      </w:r>
      <w:r>
        <w:rPr>
          <w:rFonts w:cs="宋体"/>
          <w:color w:val="auto"/>
          <w:highlight w:val="none"/>
        </w:rPr>
        <w:t>2%的RFID高频图书标签耗材。RFID高频</w:t>
      </w:r>
      <w:r>
        <w:rPr>
          <w:rFonts w:hint="eastAsia"/>
          <w:color w:val="auto"/>
          <w:highlight w:val="none"/>
        </w:rPr>
        <w:t>图书标签样本如图：</w:t>
      </w:r>
    </w:p>
    <w:p w14:paraId="24741B3A">
      <w:pPr>
        <w:spacing w:line="440" w:lineRule="exact"/>
        <w:ind w:firstLine="420" w:firstLineChars="200"/>
        <w:rPr>
          <w:rFonts w:ascii="宋体" w:hAnsi="宋体"/>
          <w:color w:val="auto"/>
          <w:szCs w:val="21"/>
          <w:highlight w:val="none"/>
        </w:rPr>
      </w:pPr>
      <w:r>
        <w:rPr>
          <w:color w:val="auto"/>
          <w:highlight w:val="none"/>
        </w:rPr>
        <w:drawing>
          <wp:anchor distT="0" distB="0" distL="114300" distR="114300" simplePos="0" relativeHeight="251659264" behindDoc="1" locked="0" layoutInCell="1" allowOverlap="1">
            <wp:simplePos x="0" y="0"/>
            <wp:positionH relativeFrom="column">
              <wp:posOffset>1955800</wp:posOffset>
            </wp:positionH>
            <wp:positionV relativeFrom="paragraph">
              <wp:posOffset>49530</wp:posOffset>
            </wp:positionV>
            <wp:extent cx="2298700" cy="2146300"/>
            <wp:effectExtent l="0" t="0" r="6350" b="6350"/>
            <wp:wrapNone/>
            <wp:docPr id="1" name="图片 5" descr="QQ截图2018030710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QQ截图20180307104218"/>
                    <pic:cNvPicPr>
                      <a:picLocks noChangeAspect="1"/>
                    </pic:cNvPicPr>
                  </pic:nvPicPr>
                  <pic:blipFill>
                    <a:blip r:embed="rId9" cstate="print"/>
                    <a:stretch>
                      <a:fillRect/>
                    </a:stretch>
                  </pic:blipFill>
                  <pic:spPr>
                    <a:xfrm>
                      <a:off x="0" y="0"/>
                      <a:ext cx="2298700" cy="2146300"/>
                    </a:xfrm>
                    <a:prstGeom prst="rect">
                      <a:avLst/>
                    </a:prstGeom>
                    <a:noFill/>
                    <a:ln>
                      <a:noFill/>
                    </a:ln>
                  </pic:spPr>
                </pic:pic>
              </a:graphicData>
            </a:graphic>
          </wp:anchor>
        </w:drawing>
      </w:r>
    </w:p>
    <w:p w14:paraId="15454336">
      <w:pPr>
        <w:spacing w:line="440" w:lineRule="exact"/>
        <w:ind w:firstLine="420" w:firstLineChars="200"/>
        <w:rPr>
          <w:color w:val="auto"/>
          <w:highlight w:val="none"/>
        </w:rPr>
      </w:pPr>
    </w:p>
    <w:p w14:paraId="1D301881">
      <w:pPr>
        <w:spacing w:line="440" w:lineRule="exact"/>
        <w:ind w:firstLine="420" w:firstLineChars="200"/>
        <w:rPr>
          <w:color w:val="auto"/>
          <w:highlight w:val="none"/>
        </w:rPr>
      </w:pPr>
    </w:p>
    <w:p w14:paraId="5928D4F1">
      <w:pPr>
        <w:spacing w:line="440" w:lineRule="exact"/>
        <w:ind w:firstLine="420" w:firstLineChars="200"/>
        <w:rPr>
          <w:color w:val="auto"/>
          <w:highlight w:val="none"/>
        </w:rPr>
      </w:pPr>
    </w:p>
    <w:p w14:paraId="0E7E17B7">
      <w:pPr>
        <w:spacing w:line="440" w:lineRule="exact"/>
        <w:ind w:firstLine="420" w:firstLineChars="200"/>
        <w:rPr>
          <w:color w:val="auto"/>
          <w:highlight w:val="none"/>
        </w:rPr>
      </w:pPr>
    </w:p>
    <w:p w14:paraId="16608C1E">
      <w:pPr>
        <w:spacing w:line="440" w:lineRule="exact"/>
        <w:ind w:firstLine="420" w:firstLineChars="200"/>
        <w:rPr>
          <w:color w:val="auto"/>
          <w:highlight w:val="none"/>
        </w:rPr>
      </w:pPr>
    </w:p>
    <w:p w14:paraId="10EC1D10">
      <w:pPr>
        <w:spacing w:line="440" w:lineRule="exact"/>
        <w:ind w:left="0" w:firstLine="420" w:firstLineChars="200"/>
        <w:rPr>
          <w:color w:val="auto"/>
          <w:highlight w:val="none"/>
        </w:rPr>
      </w:pPr>
    </w:p>
    <w:p w14:paraId="4D23B133">
      <w:pPr>
        <w:spacing w:line="440" w:lineRule="exact"/>
        <w:ind w:left="0" w:firstLine="420" w:firstLineChars="200"/>
        <w:rPr>
          <w:color w:val="auto"/>
          <w:highlight w:val="none"/>
        </w:rPr>
      </w:pPr>
    </w:p>
    <w:p w14:paraId="6D51C8D1">
      <w:pPr>
        <w:spacing w:line="440" w:lineRule="exact"/>
        <w:ind w:left="0" w:firstLine="420" w:firstLineChars="200"/>
        <w:rPr>
          <w:color w:val="auto"/>
          <w:highlight w:val="none"/>
        </w:rPr>
      </w:pPr>
    </w:p>
    <w:p w14:paraId="7591EB37">
      <w:pPr>
        <w:spacing w:line="440" w:lineRule="exact"/>
        <w:ind w:firstLine="420" w:firstLineChars="200"/>
        <w:rPr>
          <w:color w:val="auto"/>
          <w:highlight w:val="none"/>
        </w:rPr>
      </w:pPr>
      <w:r>
        <w:rPr>
          <w:rFonts w:hint="eastAsia"/>
          <w:color w:val="auto"/>
          <w:highlight w:val="none"/>
        </w:rPr>
        <w:t>⑹影印版或内地出版的外文书，按CALIS著录标准处理，若不能确定可电话或QQ咨询图书馆采编人员。若作为西文图书处理，中标人应提供相应的USMARC编目数据（不做905字段）并加盖馆藏章，不用贴条形码（加工要求除不用贴条形码、索书号外，其余同中文图书）。此类图书需单独打包。</w:t>
      </w:r>
    </w:p>
    <w:p w14:paraId="79F98F65">
      <w:pPr>
        <w:spacing w:line="440" w:lineRule="exact"/>
        <w:ind w:firstLine="420" w:firstLineChars="200"/>
        <w:rPr>
          <w:rFonts w:cs="Arial"/>
          <w:bCs/>
          <w:color w:val="auto"/>
          <w:highlight w:val="none"/>
        </w:rPr>
      </w:pPr>
      <w:r>
        <w:rPr>
          <w:rFonts w:hint="eastAsia"/>
          <w:color w:val="auto"/>
          <w:highlight w:val="none"/>
        </w:rPr>
        <w:t>⑺图书打包须按图书条形码号顺序从下至上、从左到右摆放，以便验收。</w:t>
      </w:r>
    </w:p>
    <w:p w14:paraId="75FEFD9D">
      <w:pPr>
        <w:spacing w:line="440" w:lineRule="exact"/>
        <w:ind w:firstLine="420" w:firstLineChars="200"/>
        <w:rPr>
          <w:color w:val="auto"/>
          <w:highlight w:val="none"/>
        </w:rPr>
      </w:pPr>
      <w:r>
        <w:rPr>
          <w:rFonts w:hint="eastAsia"/>
          <w:color w:val="auto"/>
          <w:highlight w:val="none"/>
        </w:rPr>
        <w:t>6. 图书编目数据要求</w:t>
      </w:r>
    </w:p>
    <w:p w14:paraId="52546DD7">
      <w:pPr>
        <w:spacing w:line="440" w:lineRule="exact"/>
        <w:ind w:firstLine="420" w:firstLineChars="200"/>
        <w:rPr>
          <w:rFonts w:ascii="宋体" w:cs="Arial"/>
          <w:bCs/>
          <w:color w:val="auto"/>
          <w:highlight w:val="none"/>
        </w:rPr>
      </w:pPr>
      <w:r>
        <w:rPr>
          <w:rFonts w:hint="eastAsia" w:ascii="宋体"/>
          <w:color w:val="auto"/>
          <w:highlight w:val="none"/>
        </w:rPr>
        <w:t>中标人应具备合规获取权威书目数据、标准化编目作业的能力，确保编目数据的准确性，保障图书馆管理系统的正常使用及图书借阅、检索效率。中标人</w:t>
      </w:r>
      <w:r>
        <w:rPr>
          <w:rFonts w:hint="eastAsia"/>
          <w:color w:val="auto"/>
          <w:highlight w:val="none"/>
        </w:rPr>
        <w:t>随书免费提供图书机读编目数据，配送率达100%，与图书同时配送到馆(</w:t>
      </w:r>
      <w:r>
        <w:rPr>
          <w:rFonts w:hint="eastAsia"/>
          <w:b/>
          <w:color w:val="auto"/>
          <w:highlight w:val="none"/>
        </w:rPr>
        <w:t>具体要求见附录三图书分编细则</w:t>
      </w:r>
      <w:r>
        <w:rPr>
          <w:rFonts w:hint="eastAsia"/>
          <w:color w:val="auto"/>
          <w:highlight w:val="none"/>
        </w:rPr>
        <w:t>)。标引的同时要给索书号，索书号依据著者姓名四角号码取号，如作者姓名为三个字，第一个字取左右两个角号码，第二、三个字取左上角号码；作者姓名为两个字，每个字各取左右两个角号码。</w:t>
      </w:r>
      <w:r>
        <w:rPr>
          <w:rFonts w:hint="eastAsia" w:ascii="宋体" w:cs="宋体"/>
          <w:color w:val="auto"/>
          <w:highlight w:val="none"/>
        </w:rPr>
        <w:t>分类标引和主题标引要准确，差错率不能高于1%。</w:t>
      </w:r>
    </w:p>
    <w:p w14:paraId="0C06AA0D">
      <w:pPr>
        <w:spacing w:line="440" w:lineRule="exact"/>
        <w:ind w:firstLine="420" w:firstLineChars="200"/>
        <w:rPr>
          <w:color w:val="auto"/>
          <w:highlight w:val="none"/>
        </w:rPr>
      </w:pPr>
      <w:r>
        <w:rPr>
          <w:rFonts w:hint="eastAsia"/>
          <w:color w:val="auto"/>
          <w:highlight w:val="none"/>
        </w:rPr>
        <w:t>7. 现采要求</w:t>
      </w:r>
    </w:p>
    <w:p w14:paraId="76B65923">
      <w:pPr>
        <w:spacing w:line="440" w:lineRule="exact"/>
        <w:ind w:firstLine="420" w:firstLineChars="200"/>
        <w:rPr>
          <w:rFonts w:ascii="宋体"/>
          <w:color w:val="auto"/>
          <w:szCs w:val="21"/>
          <w:highlight w:val="none"/>
        </w:rPr>
      </w:pPr>
      <w:r>
        <w:rPr>
          <w:rFonts w:hint="eastAsia" w:ascii="宋体" w:cs="宋体" w:hAnsiTheme="minorHAnsi"/>
          <w:color w:val="auto"/>
          <w:szCs w:val="21"/>
          <w:highlight w:val="none"/>
        </w:rPr>
        <w:t>成交供应商根据采购人的需要，每年</w:t>
      </w:r>
      <w:r>
        <w:rPr>
          <w:rFonts w:hint="eastAsia" w:hAnsiTheme="minorHAnsi"/>
          <w:color w:val="auto"/>
          <w:szCs w:val="21"/>
          <w:highlight w:val="none"/>
        </w:rPr>
        <w:t>组织采购人参加全国大型书市</w:t>
      </w:r>
      <w:r>
        <w:rPr>
          <w:rFonts w:hint="eastAsia" w:hAnsiTheme="minorHAnsi"/>
          <w:bCs w:val="0"/>
          <w:color w:val="auto"/>
          <w:szCs w:val="24"/>
          <w:highlight w:val="none"/>
        </w:rPr>
        <w:t>或大学书市现采活动</w:t>
      </w:r>
      <w:r>
        <w:rPr>
          <w:rFonts w:hAnsiTheme="minorHAnsi"/>
          <w:bCs w:val="0"/>
          <w:color w:val="auto"/>
          <w:szCs w:val="24"/>
          <w:highlight w:val="none"/>
        </w:rPr>
        <w:t>1-2</w:t>
      </w:r>
      <w:r>
        <w:rPr>
          <w:rFonts w:hint="eastAsia" w:hAnsiTheme="minorHAnsi"/>
          <w:bCs w:val="0"/>
          <w:color w:val="auto"/>
          <w:szCs w:val="24"/>
          <w:highlight w:val="none"/>
        </w:rPr>
        <w:t>次</w:t>
      </w:r>
      <w:r>
        <w:rPr>
          <w:rFonts w:hint="eastAsia" w:hAnsiTheme="minorHAnsi"/>
          <w:color w:val="auto"/>
          <w:szCs w:val="21"/>
          <w:highlight w:val="none"/>
        </w:rPr>
        <w:t>，</w:t>
      </w:r>
      <w:r>
        <w:rPr>
          <w:rFonts w:hint="eastAsia" w:hAnsiTheme="minorHAnsi"/>
          <w:bCs w:val="0"/>
          <w:color w:val="auto"/>
          <w:szCs w:val="24"/>
          <w:highlight w:val="none"/>
        </w:rPr>
        <w:t>提供</w:t>
      </w:r>
      <w:r>
        <w:rPr>
          <w:rFonts w:hint="eastAsia"/>
          <w:color w:val="auto"/>
          <w:highlight w:val="none"/>
        </w:rPr>
        <w:t>图书</w:t>
      </w:r>
      <w:r>
        <w:rPr>
          <w:rFonts w:hint="eastAsia" w:hAnsiTheme="minorHAnsi"/>
          <w:bCs w:val="0"/>
          <w:color w:val="auto"/>
          <w:szCs w:val="24"/>
          <w:highlight w:val="none"/>
        </w:rPr>
        <w:t>采集器及馆藏数据的导入导出服务，并提供协助人员，保证现采顺利进行。</w:t>
      </w:r>
      <w:r>
        <w:rPr>
          <w:rFonts w:hint="eastAsia"/>
          <w:color w:val="auto"/>
          <w:highlight w:val="none"/>
        </w:rPr>
        <w:t>采购人与中标人各自承担己方与己方工作人员参加现采所产生的费用。</w:t>
      </w:r>
    </w:p>
    <w:p w14:paraId="4C867831">
      <w:pPr>
        <w:spacing w:line="440" w:lineRule="exact"/>
        <w:ind w:firstLine="420" w:firstLineChars="200"/>
        <w:rPr>
          <w:bCs/>
          <w:color w:val="auto"/>
          <w:highlight w:val="none"/>
        </w:rPr>
      </w:pPr>
      <w:r>
        <w:rPr>
          <w:rFonts w:hint="eastAsia"/>
          <w:color w:val="auto"/>
          <w:highlight w:val="none"/>
        </w:rPr>
        <w:t>8. 图书</w:t>
      </w:r>
      <w:r>
        <w:rPr>
          <w:rFonts w:hint="eastAsia"/>
          <w:bCs/>
          <w:color w:val="auto"/>
          <w:highlight w:val="none"/>
        </w:rPr>
        <w:t>质保</w:t>
      </w:r>
    </w:p>
    <w:p w14:paraId="5DBDDFF8">
      <w:pPr>
        <w:spacing w:line="440" w:lineRule="exact"/>
        <w:ind w:firstLine="420" w:firstLineChars="200"/>
        <w:rPr>
          <w:color w:val="auto"/>
          <w:highlight w:val="none"/>
        </w:rPr>
      </w:pPr>
      <w:r>
        <w:rPr>
          <w:rFonts w:hint="eastAsia" w:ascii="宋体"/>
          <w:color w:val="auto"/>
          <w:highlight w:val="none"/>
        </w:rPr>
        <w:t>8.1</w:t>
      </w:r>
      <w:r>
        <w:rPr>
          <w:rFonts w:hint="eastAsia"/>
          <w:color w:val="auto"/>
          <w:highlight w:val="none"/>
        </w:rPr>
        <w:t xml:space="preserve"> 图书质保期为入馆之日起一年。质保期内图书如出现破损、脱页等装帧质量问题的，中标人负责及时补书或换书。</w:t>
      </w:r>
    </w:p>
    <w:p w14:paraId="584603B6">
      <w:pPr>
        <w:spacing w:line="440" w:lineRule="exact"/>
        <w:ind w:firstLine="420" w:firstLineChars="200"/>
        <w:rPr>
          <w:color w:val="auto"/>
          <w:highlight w:val="none"/>
        </w:rPr>
      </w:pPr>
      <w:r>
        <w:rPr>
          <w:rFonts w:hint="eastAsia"/>
          <w:bCs/>
          <w:color w:val="auto"/>
          <w:highlight w:val="none"/>
        </w:rPr>
        <w:t xml:space="preserve">8.2 </w:t>
      </w:r>
      <w:r>
        <w:rPr>
          <w:rFonts w:hint="eastAsia"/>
          <w:color w:val="auto"/>
          <w:highlight w:val="none"/>
        </w:rPr>
        <w:t>合同因解除或到期而终止的，对于质保期于合同终止之后届满的图书，中标人仍应承担</w:t>
      </w:r>
      <w:r>
        <w:rPr>
          <w:rFonts w:hint="eastAsia"/>
          <w:bCs/>
          <w:color w:val="auto"/>
          <w:highlight w:val="none"/>
        </w:rPr>
        <w:t>质保</w:t>
      </w:r>
      <w:r>
        <w:rPr>
          <w:rFonts w:hint="eastAsia"/>
          <w:color w:val="auto"/>
          <w:highlight w:val="none"/>
        </w:rPr>
        <w:t>责任直至其质保期届满。</w:t>
      </w:r>
    </w:p>
    <w:p w14:paraId="1109360F">
      <w:pPr>
        <w:spacing w:line="440" w:lineRule="exact"/>
        <w:ind w:firstLine="420" w:firstLineChars="200"/>
        <w:rPr>
          <w:color w:val="auto"/>
          <w:highlight w:val="none"/>
        </w:rPr>
      </w:pPr>
      <w:r>
        <w:rPr>
          <w:rFonts w:hint="eastAsia"/>
          <w:color w:val="auto"/>
          <w:highlight w:val="none"/>
        </w:rPr>
        <w:t>9. 物流与图书配送要求</w:t>
      </w:r>
    </w:p>
    <w:p w14:paraId="296BA83B">
      <w:pPr>
        <w:spacing w:line="440" w:lineRule="exact"/>
        <w:ind w:firstLine="420" w:firstLineChars="200"/>
        <w:rPr>
          <w:color w:val="auto"/>
          <w:highlight w:val="none"/>
        </w:rPr>
      </w:pPr>
      <w:r>
        <w:rPr>
          <w:rFonts w:hint="eastAsia"/>
          <w:color w:val="auto"/>
          <w:highlight w:val="none"/>
        </w:rPr>
        <w:t>9.1 中标人在图书发货前对其进行满足于运输距离、防潮、防霉、防破损装卸要求以及按采购人要求包装，以保证图书安全快捷到达采购人指定地点，现场签收。</w:t>
      </w:r>
    </w:p>
    <w:p w14:paraId="22219D8D">
      <w:pPr>
        <w:spacing w:line="440" w:lineRule="exact"/>
        <w:ind w:firstLine="420" w:firstLineChars="200"/>
        <w:rPr>
          <w:color w:val="auto"/>
          <w:highlight w:val="none"/>
        </w:rPr>
      </w:pPr>
      <w:r>
        <w:rPr>
          <w:rFonts w:hint="eastAsia"/>
          <w:color w:val="auto"/>
          <w:highlight w:val="none"/>
        </w:rPr>
        <w:t>9.2 中标人按照要求将图书包装整齐（每包书外包装上写明批次，总包数，分包数，学校名称）送到采购人指定地点并按要求摆放。每批图书提供包内清单一份、总清单两份（总清单需加盖中标人公章；除按包号列清图书基本信息外，还需注明批次、包数、总码洋、总册数、总实洋、条码段），同时提供电子版发货清单。全部费用由中标人承担。</w:t>
      </w:r>
    </w:p>
    <w:p w14:paraId="7EA5F3F3">
      <w:pPr>
        <w:spacing w:line="440" w:lineRule="exact"/>
        <w:ind w:firstLine="420" w:firstLineChars="200"/>
        <w:rPr>
          <w:color w:val="auto"/>
          <w:highlight w:val="none"/>
        </w:rPr>
      </w:pPr>
      <w:r>
        <w:rPr>
          <w:rFonts w:hint="eastAsia" w:cs="Arial"/>
          <w:bCs/>
          <w:color w:val="auto"/>
          <w:highlight w:val="none"/>
        </w:rPr>
        <w:t xml:space="preserve">9.3 </w:t>
      </w:r>
      <w:r>
        <w:rPr>
          <w:rFonts w:hint="eastAsia"/>
          <w:color w:val="auto"/>
          <w:highlight w:val="none"/>
        </w:rPr>
        <w:t>中标人负责将采购人验收和典藏好的图书打包运送到采购人指定的地点和书库（包括广西医科大学武鸣校区图书馆、五象校区图书馆），所需费用由中标人承担。</w:t>
      </w:r>
    </w:p>
    <w:p w14:paraId="3F8CA74A">
      <w:pPr>
        <w:pStyle w:val="26"/>
        <w:spacing w:line="440" w:lineRule="exact"/>
        <w:ind w:firstLine="420" w:firstLineChars="200"/>
        <w:rPr>
          <w:color w:val="auto"/>
          <w:highlight w:val="none"/>
        </w:rPr>
      </w:pPr>
      <w:r>
        <w:rPr>
          <w:rFonts w:hint="eastAsia"/>
          <w:color w:val="auto"/>
          <w:highlight w:val="none"/>
        </w:rPr>
        <w:t>10. 其他要求</w:t>
      </w:r>
    </w:p>
    <w:p w14:paraId="11FA9F06">
      <w:pPr>
        <w:spacing w:line="440" w:lineRule="exact"/>
        <w:ind w:firstLine="420" w:firstLineChars="200"/>
        <w:rPr>
          <w:b/>
          <w:color w:val="auto"/>
          <w:highlight w:val="none"/>
        </w:rPr>
      </w:pPr>
      <w:r>
        <w:rPr>
          <w:rFonts w:hint="eastAsia" w:ascii="宋体"/>
          <w:color w:val="auto"/>
          <w:szCs w:val="21"/>
          <w:highlight w:val="none"/>
        </w:rPr>
        <w:t xml:space="preserve">10.1 </w:t>
      </w:r>
      <w:r>
        <w:rPr>
          <w:rFonts w:hint="eastAsia"/>
          <w:color w:val="auto"/>
          <w:highlight w:val="none"/>
        </w:rPr>
        <w:t>采购人如有图书到馆分编、加工等要求的，如修改典藏地址、贴RFID标签、图书上架、打包图书并搬运至图书馆指定地点等，中标人须提供相应人员及设备完成相关工作且不另行收取费用。</w:t>
      </w:r>
    </w:p>
    <w:p w14:paraId="56B35430">
      <w:pPr>
        <w:spacing w:line="440" w:lineRule="exact"/>
        <w:ind w:firstLine="420" w:firstLineChars="200"/>
        <w:rPr>
          <w:color w:val="auto"/>
          <w:highlight w:val="none"/>
        </w:rPr>
      </w:pPr>
      <w:r>
        <w:rPr>
          <w:rFonts w:hint="eastAsia"/>
          <w:color w:val="auto"/>
          <w:highlight w:val="none"/>
        </w:rPr>
        <w:t>10.2 中标人每年（2026年、2027年、2028年）免费赠送图书馆社科类优秀图书（适合大学本科及以上层次读者阅读）至少50册并按采购人指定时间送达，具体由双方另行协商确定。</w:t>
      </w:r>
    </w:p>
    <w:p w14:paraId="38B19951">
      <w:pPr>
        <w:spacing w:line="440" w:lineRule="exact"/>
        <w:ind w:firstLine="420" w:firstLineChars="200"/>
        <w:rPr>
          <w:color w:val="auto"/>
          <w:highlight w:val="none"/>
        </w:rPr>
      </w:pPr>
      <w:r>
        <w:rPr>
          <w:rFonts w:hint="eastAsia"/>
          <w:color w:val="auto"/>
          <w:highlight w:val="none"/>
        </w:rPr>
        <w:t>10.3合同期内，每年供货完成后中标人需提供当年服务自评报告，内容包括书目数据数量、覆盖率、时效性、到货周期与到书率、配书与加工质量等。</w:t>
      </w:r>
    </w:p>
    <w:p w14:paraId="10539723">
      <w:pPr>
        <w:spacing w:line="440" w:lineRule="exact"/>
        <w:ind w:firstLine="420" w:firstLineChars="200"/>
        <w:jc w:val="both"/>
        <w:rPr>
          <w:color w:val="auto"/>
          <w:highlight w:val="none"/>
        </w:rPr>
      </w:pPr>
      <w:r>
        <w:rPr>
          <w:rFonts w:hint="eastAsia"/>
          <w:color w:val="auto"/>
          <w:highlight w:val="none"/>
        </w:rPr>
        <w:t>11．考核</w:t>
      </w:r>
    </w:p>
    <w:p w14:paraId="71D9E3F7">
      <w:pPr>
        <w:spacing w:line="440" w:lineRule="exact"/>
        <w:ind w:firstLine="420" w:firstLineChars="200"/>
        <w:jc w:val="both"/>
        <w:rPr>
          <w:color w:val="auto"/>
          <w:highlight w:val="none"/>
        </w:rPr>
      </w:pPr>
      <w:r>
        <w:rPr>
          <w:rFonts w:hint="eastAsia"/>
          <w:color w:val="auto"/>
          <w:highlight w:val="none"/>
        </w:rPr>
        <w:t>11.1 中标人须参加采购人设定的考核，考核合同期内动态进行。考核评估的内容及标准将按照招标文件技术服务要求以及中标人的承诺进行，详见上述服务需求1-10条。</w:t>
      </w:r>
    </w:p>
    <w:p w14:paraId="4F0B7B28">
      <w:pPr>
        <w:spacing w:line="440" w:lineRule="exact"/>
        <w:ind w:firstLine="420" w:firstLineChars="200"/>
        <w:jc w:val="both"/>
        <w:rPr>
          <w:color w:val="auto"/>
          <w:highlight w:val="none"/>
        </w:rPr>
      </w:pPr>
      <w:r>
        <w:rPr>
          <w:rFonts w:hint="eastAsia"/>
          <w:color w:val="auto"/>
          <w:highlight w:val="none"/>
        </w:rPr>
        <w:t>11.2中标人考核不合格，采购人在有依据的前提下，根据履约情况扣履约保证金，情节严重者将上报财政监管部门，直至依法解除合同。</w:t>
      </w:r>
    </w:p>
    <w:p w14:paraId="06809443">
      <w:pPr>
        <w:spacing w:line="440" w:lineRule="exact"/>
        <w:ind w:firstLine="420" w:firstLineChars="200"/>
        <w:jc w:val="both"/>
        <w:rPr>
          <w:color w:val="auto"/>
          <w:highlight w:val="none"/>
        </w:rPr>
      </w:pPr>
      <w:r>
        <w:rPr>
          <w:rFonts w:hint="eastAsia"/>
          <w:color w:val="auto"/>
          <w:highlight w:val="none"/>
        </w:rPr>
        <w:t>12．违约责任</w:t>
      </w:r>
    </w:p>
    <w:p w14:paraId="0AF099FE">
      <w:pPr>
        <w:spacing w:line="440" w:lineRule="exact"/>
        <w:ind w:firstLine="420" w:firstLineChars="200"/>
        <w:rPr>
          <w:rFonts w:cs="宋体"/>
          <w:color w:val="auto"/>
          <w:kern w:val="0"/>
          <w:highlight w:val="none"/>
        </w:rPr>
      </w:pPr>
      <w:r>
        <w:rPr>
          <w:rFonts w:cs="宋体"/>
          <w:color w:val="auto"/>
          <w:highlight w:val="none"/>
        </w:rPr>
        <w:t xml:space="preserve">12.1 </w:t>
      </w:r>
      <w:r>
        <w:rPr>
          <w:rFonts w:hint="eastAsia"/>
          <w:color w:val="auto"/>
          <w:highlight w:val="none"/>
        </w:rPr>
        <w:t>非因出版社原因，</w:t>
      </w:r>
      <w:r>
        <w:rPr>
          <w:rFonts w:hint="eastAsia" w:cs="宋体"/>
          <w:color w:val="auto"/>
          <w:highlight w:val="none"/>
        </w:rPr>
        <w:t>中标人有以下情形之一的，</w:t>
      </w:r>
      <w:r>
        <w:rPr>
          <w:rFonts w:hint="eastAsia" w:cs="宋体"/>
          <w:color w:val="auto"/>
          <w:kern w:val="0"/>
          <w:highlight w:val="none"/>
        </w:rPr>
        <w:t>采购人有权终止</w:t>
      </w:r>
      <w:r>
        <w:rPr>
          <w:rFonts w:hint="eastAsia"/>
          <w:color w:val="auto"/>
          <w:highlight w:val="none"/>
        </w:rPr>
        <w:t>中标人</w:t>
      </w:r>
      <w:r>
        <w:rPr>
          <w:rFonts w:hint="eastAsia" w:cs="宋体"/>
          <w:color w:val="auto"/>
          <w:kern w:val="0"/>
          <w:highlight w:val="none"/>
        </w:rPr>
        <w:t>的供货资格并解除合同，</w:t>
      </w:r>
      <w:r>
        <w:rPr>
          <w:rFonts w:hint="eastAsia"/>
          <w:color w:val="auto"/>
          <w:highlight w:val="none"/>
        </w:rPr>
        <w:t>中标人应向采购人支付相应分标采购预算金额</w:t>
      </w:r>
      <w:r>
        <w:rPr>
          <w:color w:val="auto"/>
          <w:highlight w:val="none"/>
        </w:rPr>
        <w:t>20%</w:t>
      </w:r>
      <w:r>
        <w:rPr>
          <w:rFonts w:hint="eastAsia"/>
          <w:color w:val="auto"/>
          <w:highlight w:val="none"/>
        </w:rPr>
        <w:t>的违约金</w:t>
      </w:r>
      <w:r>
        <w:rPr>
          <w:rFonts w:hint="eastAsia" w:cs="宋体"/>
          <w:color w:val="auto"/>
          <w:kern w:val="0"/>
          <w:highlight w:val="none"/>
        </w:rPr>
        <w:t>：</w:t>
      </w:r>
    </w:p>
    <w:p w14:paraId="67FADFD9">
      <w:pPr>
        <w:spacing w:line="440" w:lineRule="exact"/>
        <w:ind w:firstLine="420" w:firstLineChars="200"/>
        <w:rPr>
          <w:rFonts w:cs="宋体"/>
          <w:color w:val="auto"/>
          <w:kern w:val="0"/>
          <w:highlight w:val="none"/>
        </w:rPr>
      </w:pPr>
      <w:r>
        <w:rPr>
          <w:rFonts w:hint="eastAsia" w:cs="宋体"/>
          <w:color w:val="auto"/>
          <w:kern w:val="0"/>
          <w:highlight w:val="none"/>
        </w:rPr>
        <w:t>（</w:t>
      </w:r>
      <w:r>
        <w:rPr>
          <w:rFonts w:cs="宋体"/>
          <w:color w:val="auto"/>
          <w:kern w:val="0"/>
          <w:highlight w:val="none"/>
        </w:rPr>
        <w:t>1</w:t>
      </w:r>
      <w:r>
        <w:rPr>
          <w:rFonts w:hint="eastAsia" w:cs="宋体"/>
          <w:color w:val="auto"/>
          <w:kern w:val="0"/>
          <w:highlight w:val="none"/>
        </w:rPr>
        <w:t>）</w:t>
      </w:r>
      <w:r>
        <w:rPr>
          <w:rFonts w:hint="eastAsia"/>
          <w:color w:val="auto"/>
          <w:highlight w:val="none"/>
        </w:rPr>
        <w:t>第一年或第二年的到书率未达到</w:t>
      </w:r>
      <w:r>
        <w:rPr>
          <w:color w:val="auto"/>
          <w:highlight w:val="none"/>
        </w:rPr>
        <w:t>95%</w:t>
      </w:r>
      <w:r>
        <w:rPr>
          <w:rFonts w:hint="eastAsia"/>
          <w:color w:val="auto"/>
          <w:highlight w:val="none"/>
        </w:rPr>
        <w:t>的</w:t>
      </w:r>
      <w:r>
        <w:rPr>
          <w:rFonts w:hint="eastAsia" w:cs="宋体"/>
          <w:color w:val="auto"/>
          <w:kern w:val="0"/>
          <w:highlight w:val="none"/>
        </w:rPr>
        <w:t>；</w:t>
      </w:r>
    </w:p>
    <w:p w14:paraId="527B0F3A">
      <w:pPr>
        <w:spacing w:line="440" w:lineRule="exact"/>
        <w:ind w:firstLine="420" w:firstLineChars="200"/>
        <w:rPr>
          <w:color w:val="auto"/>
          <w:highlight w:val="none"/>
        </w:rPr>
      </w:pPr>
      <w:r>
        <w:rPr>
          <w:rFonts w:hint="eastAsia" w:cs="宋体"/>
          <w:color w:val="auto"/>
          <w:kern w:val="0"/>
          <w:highlight w:val="none"/>
        </w:rPr>
        <w:t>（</w:t>
      </w:r>
      <w:r>
        <w:rPr>
          <w:rFonts w:cs="宋体"/>
          <w:color w:val="auto"/>
          <w:kern w:val="0"/>
          <w:highlight w:val="none"/>
        </w:rPr>
        <w:t>2</w:t>
      </w:r>
      <w:r>
        <w:rPr>
          <w:rFonts w:hint="eastAsia" w:cs="宋体"/>
          <w:color w:val="auto"/>
          <w:kern w:val="0"/>
          <w:highlight w:val="none"/>
        </w:rPr>
        <w:t>）</w:t>
      </w:r>
      <w:r>
        <w:rPr>
          <w:rFonts w:hint="eastAsia"/>
          <w:color w:val="auto"/>
          <w:highlight w:val="none"/>
        </w:rPr>
        <w:t>第一年或第二年</w:t>
      </w:r>
      <w:r>
        <w:rPr>
          <w:rFonts w:hint="eastAsia" w:cs="宋体"/>
          <w:color w:val="auto"/>
          <w:kern w:val="0"/>
          <w:highlight w:val="none"/>
        </w:rPr>
        <w:t>供货周期内所交付的</w:t>
      </w:r>
      <w:r>
        <w:rPr>
          <w:rFonts w:hint="eastAsia" w:ascii="Calibri" w:cs="Courier New"/>
          <w:color w:val="auto"/>
          <w:szCs w:val="22"/>
          <w:highlight w:val="none"/>
        </w:rPr>
        <w:t>生物科学、医药卫生类专业图书</w:t>
      </w:r>
      <w:r>
        <w:rPr>
          <w:rFonts w:hint="eastAsia"/>
          <w:color w:val="auto"/>
          <w:highlight w:val="none"/>
        </w:rPr>
        <w:t>货款金额所占当年度供货总金额的比例低于</w:t>
      </w:r>
      <w:r>
        <w:rPr>
          <w:color w:val="auto"/>
          <w:highlight w:val="none"/>
        </w:rPr>
        <w:t>50%</w:t>
      </w:r>
      <w:r>
        <w:rPr>
          <w:rFonts w:hint="eastAsia"/>
          <w:color w:val="auto"/>
          <w:highlight w:val="none"/>
        </w:rPr>
        <w:t>的；</w:t>
      </w:r>
    </w:p>
    <w:p w14:paraId="0FF3E750">
      <w:pPr>
        <w:spacing w:line="440" w:lineRule="exact"/>
        <w:ind w:firstLine="420" w:firstLineChars="200"/>
        <w:rPr>
          <w:rFonts w:cs="宋体"/>
          <w:color w:val="auto"/>
          <w:highlight w:val="none"/>
        </w:rPr>
      </w:pPr>
      <w:r>
        <w:rPr>
          <w:rFonts w:hint="eastAsia"/>
          <w:color w:val="auto"/>
          <w:highlight w:val="none"/>
        </w:rPr>
        <w:t>（</w:t>
      </w:r>
      <w:r>
        <w:rPr>
          <w:color w:val="auto"/>
          <w:highlight w:val="none"/>
        </w:rPr>
        <w:t>3</w:t>
      </w:r>
      <w:r>
        <w:rPr>
          <w:rFonts w:hint="eastAsia"/>
          <w:color w:val="auto"/>
          <w:highlight w:val="none"/>
        </w:rPr>
        <w:t>）合同期内累计</w:t>
      </w:r>
      <w:r>
        <w:rPr>
          <w:color w:val="auto"/>
          <w:highlight w:val="none"/>
        </w:rPr>
        <w:t>3</w:t>
      </w:r>
      <w:r>
        <w:rPr>
          <w:rFonts w:hint="eastAsia"/>
          <w:color w:val="auto"/>
          <w:highlight w:val="none"/>
        </w:rPr>
        <w:t>次未按采购人要求完成图书加工及</w:t>
      </w:r>
      <w:r>
        <w:rPr>
          <w:color w:val="auto"/>
          <w:highlight w:val="none"/>
        </w:rPr>
        <w:t>/</w:t>
      </w:r>
      <w:r>
        <w:rPr>
          <w:rFonts w:hint="eastAsia"/>
          <w:color w:val="auto"/>
          <w:highlight w:val="none"/>
        </w:rPr>
        <w:t>或图书编目工作的；</w:t>
      </w:r>
    </w:p>
    <w:p w14:paraId="2E147326">
      <w:pPr>
        <w:spacing w:line="440" w:lineRule="exact"/>
        <w:ind w:firstLine="420" w:firstLineChars="200"/>
        <w:rPr>
          <w:color w:val="auto"/>
          <w:highlight w:val="none"/>
        </w:rPr>
      </w:pPr>
      <w:r>
        <w:rPr>
          <w:rFonts w:hint="eastAsia"/>
          <w:color w:val="auto"/>
          <w:highlight w:val="none"/>
        </w:rPr>
        <w:t>（</w:t>
      </w:r>
      <w:r>
        <w:rPr>
          <w:color w:val="auto"/>
          <w:highlight w:val="none"/>
        </w:rPr>
        <w:t>4</w:t>
      </w:r>
      <w:r>
        <w:rPr>
          <w:rFonts w:hint="eastAsia"/>
          <w:color w:val="auto"/>
          <w:highlight w:val="none"/>
        </w:rPr>
        <w:t>）采购人经核查后认定中标人关于未到书目原因的说明为虚假的。</w:t>
      </w:r>
    </w:p>
    <w:p w14:paraId="320738CD">
      <w:pPr>
        <w:spacing w:line="440" w:lineRule="exact"/>
        <w:ind w:firstLine="420" w:firstLineChars="200"/>
        <w:rPr>
          <w:color w:val="auto"/>
          <w:highlight w:val="none"/>
        </w:rPr>
      </w:pPr>
      <w:r>
        <w:rPr>
          <w:rFonts w:hint="eastAsia"/>
          <w:color w:val="auto"/>
          <w:highlight w:val="none"/>
        </w:rPr>
        <w:t>12.2 采购人逾期支付货款的，每逾期一日，应向中标人支付应付未付金额万分之一的逾期违约金；逾期超过六十日仍未支付的，中标人有权中止向采购人供应图书。</w:t>
      </w:r>
    </w:p>
    <w:p w14:paraId="3816E16B">
      <w:pPr>
        <w:spacing w:line="420" w:lineRule="exact"/>
        <w:rPr>
          <w:rFonts w:ascii="宋体" w:hAnsi="宋体"/>
          <w:b/>
          <w:szCs w:val="21"/>
        </w:rPr>
      </w:pPr>
    </w:p>
    <w:p w14:paraId="02633838">
      <w:pPr>
        <w:spacing w:line="420" w:lineRule="exact"/>
        <w:rPr>
          <w:rFonts w:ascii="宋体" w:hAnsi="宋体"/>
          <w:b/>
          <w:szCs w:val="21"/>
        </w:rPr>
      </w:pPr>
      <w:r>
        <w:rPr>
          <w:rFonts w:hint="eastAsia" w:ascii="宋体" w:hAnsi="宋体"/>
          <w:b/>
          <w:szCs w:val="21"/>
        </w:rPr>
        <w:t>附录一  本馆核心出版社目录：</w:t>
      </w:r>
    </w:p>
    <w:p w14:paraId="1245CEE5">
      <w:pPr>
        <w:spacing w:line="420" w:lineRule="exact"/>
        <w:rPr>
          <w:rFonts w:ascii="宋体" w:hAnsi="宋体"/>
          <w:szCs w:val="21"/>
        </w:rPr>
      </w:pPr>
      <w:r>
        <w:rPr>
          <w:rFonts w:hint="eastAsia" w:ascii="宋体" w:hAnsi="宋体"/>
          <w:szCs w:val="21"/>
        </w:rPr>
        <w:t>人民卫生出版社            中国医药科技出版社          中国中医药出版社</w:t>
      </w:r>
    </w:p>
    <w:p w14:paraId="64954206">
      <w:pPr>
        <w:spacing w:line="420" w:lineRule="exact"/>
        <w:rPr>
          <w:rFonts w:ascii="宋体" w:hAnsi="宋体"/>
          <w:szCs w:val="21"/>
        </w:rPr>
      </w:pPr>
      <w:r>
        <w:rPr>
          <w:rFonts w:hint="eastAsia" w:ascii="宋体" w:hAnsi="宋体"/>
          <w:szCs w:val="21"/>
        </w:rPr>
        <w:t>北京大学医学出版社        中国协和医科大学出版社      科学出版社</w:t>
      </w:r>
    </w:p>
    <w:p w14:paraId="64234E56">
      <w:pPr>
        <w:spacing w:line="420" w:lineRule="exact"/>
        <w:rPr>
          <w:rFonts w:ascii="宋体" w:hAnsi="宋体"/>
          <w:szCs w:val="21"/>
        </w:rPr>
      </w:pPr>
      <w:r>
        <w:rPr>
          <w:rFonts w:hint="eastAsia" w:ascii="宋体" w:hAnsi="宋体"/>
          <w:szCs w:val="21"/>
        </w:rPr>
        <w:t xml:space="preserve">化学工业出版社            高等教育出版社              </w:t>
      </w:r>
      <w:r>
        <w:rPr>
          <w:rFonts w:hint="eastAsia" w:ascii="宋体" w:hAnsi="宋体" w:cs="宋体"/>
          <w:color w:val="000000"/>
          <w:szCs w:val="21"/>
        </w:rPr>
        <w:t>科学技术文献出版社</w:t>
      </w:r>
    </w:p>
    <w:p w14:paraId="3943EEBC">
      <w:pPr>
        <w:spacing w:line="420" w:lineRule="exact"/>
        <w:rPr>
          <w:rFonts w:ascii="宋体" w:hAnsi="宋体"/>
          <w:szCs w:val="21"/>
        </w:rPr>
      </w:pPr>
      <w:r>
        <w:rPr>
          <w:rFonts w:hint="eastAsia" w:ascii="宋体" w:hAnsi="宋体"/>
          <w:szCs w:val="21"/>
        </w:rPr>
        <w:t>机械工业出版社            人民邮电出版社              电子工业出版社</w:t>
      </w:r>
    </w:p>
    <w:p w14:paraId="3289B46B">
      <w:pPr>
        <w:spacing w:line="420" w:lineRule="exact"/>
        <w:rPr>
          <w:rFonts w:ascii="宋体" w:hAnsi="宋体"/>
          <w:szCs w:val="21"/>
        </w:rPr>
      </w:pPr>
      <w:r>
        <w:rPr>
          <w:rFonts w:hint="eastAsia" w:ascii="宋体" w:hAnsi="宋体"/>
          <w:szCs w:val="21"/>
        </w:rPr>
        <w:t xml:space="preserve">世界图书出版有限公司      </w:t>
      </w:r>
      <w:r>
        <w:rPr>
          <w:rFonts w:hint="eastAsia" w:ascii="宋体" w:hAnsi="宋体"/>
          <w:color w:val="000000"/>
          <w:szCs w:val="21"/>
        </w:rPr>
        <w:t xml:space="preserve">天津科技翻译出版有限公司    </w:t>
      </w:r>
      <w:r>
        <w:rPr>
          <w:rFonts w:hint="eastAsia" w:ascii="宋体" w:hAnsi="宋体"/>
          <w:szCs w:val="21"/>
        </w:rPr>
        <w:t>中国社会科学出版社</w:t>
      </w:r>
    </w:p>
    <w:p w14:paraId="3F91274B">
      <w:pPr>
        <w:spacing w:line="420" w:lineRule="exact"/>
        <w:rPr>
          <w:rFonts w:ascii="宋体" w:hAnsi="宋体"/>
          <w:szCs w:val="21"/>
        </w:rPr>
      </w:pPr>
      <w:r>
        <w:rPr>
          <w:rFonts w:hint="eastAsia" w:ascii="宋体" w:hAnsi="宋体"/>
          <w:szCs w:val="21"/>
        </w:rPr>
        <w:t>中信出版社                商务印书馆                  人民出版社</w:t>
      </w:r>
    </w:p>
    <w:p w14:paraId="1953C40D">
      <w:pPr>
        <w:spacing w:line="420" w:lineRule="exact"/>
        <w:rPr>
          <w:rFonts w:ascii="宋体" w:hAnsi="宋体"/>
          <w:szCs w:val="21"/>
        </w:rPr>
      </w:pPr>
      <w:r>
        <w:rPr>
          <w:rFonts w:hint="eastAsia" w:ascii="宋体" w:hAnsi="宋体"/>
          <w:szCs w:val="21"/>
        </w:rPr>
        <w:t>社会科学文献出版社        外语教学与研究出版社        生活</w:t>
      </w:r>
      <w:r>
        <w:rPr>
          <w:rFonts w:ascii="宋体" w:hAnsi="宋体"/>
          <w:szCs w:val="21"/>
        </w:rPr>
        <w:t>.</w:t>
      </w:r>
      <w:r>
        <w:rPr>
          <w:rFonts w:hint="eastAsia" w:ascii="宋体" w:hAnsi="宋体"/>
          <w:szCs w:val="21"/>
        </w:rPr>
        <w:t>读书</w:t>
      </w:r>
      <w:r>
        <w:rPr>
          <w:rFonts w:ascii="宋体" w:hAnsi="宋体"/>
          <w:szCs w:val="21"/>
        </w:rPr>
        <w:t>.</w:t>
      </w:r>
      <w:r>
        <w:rPr>
          <w:rFonts w:hint="eastAsia" w:ascii="宋体" w:hAnsi="宋体"/>
          <w:szCs w:val="21"/>
        </w:rPr>
        <w:t>新知三联出版社</w:t>
      </w:r>
    </w:p>
    <w:p w14:paraId="79AA8238">
      <w:pPr>
        <w:spacing w:line="420" w:lineRule="exact"/>
        <w:rPr>
          <w:rFonts w:ascii="宋体" w:hAnsi="宋体"/>
          <w:szCs w:val="21"/>
        </w:rPr>
      </w:pPr>
      <w:r>
        <w:rPr>
          <w:rFonts w:hint="eastAsia" w:ascii="宋体" w:hAnsi="宋体"/>
          <w:szCs w:val="21"/>
        </w:rPr>
        <w:t>新华出版社                中华书局                    知识产权出版社</w:t>
      </w:r>
    </w:p>
    <w:p w14:paraId="7EAC9087">
      <w:pPr>
        <w:spacing w:line="420" w:lineRule="exact"/>
        <w:rPr>
          <w:rFonts w:ascii="宋体" w:hAnsi="宋体"/>
          <w:szCs w:val="21"/>
        </w:rPr>
      </w:pPr>
      <w:r>
        <w:rPr>
          <w:rFonts w:hint="eastAsia" w:ascii="宋体" w:hAnsi="宋体"/>
          <w:szCs w:val="21"/>
        </w:rPr>
        <w:t>人民文学出版社            作家出版社                  上海外语教育出版社</w:t>
      </w:r>
    </w:p>
    <w:p w14:paraId="52FE4BA7">
      <w:pPr>
        <w:spacing w:line="420" w:lineRule="exact"/>
        <w:rPr>
          <w:rFonts w:ascii="宋体" w:hAnsi="宋体"/>
          <w:szCs w:val="21"/>
        </w:rPr>
      </w:pPr>
      <w:r>
        <w:rPr>
          <w:rFonts w:hint="eastAsia" w:ascii="宋体" w:hAnsi="宋体"/>
          <w:szCs w:val="21"/>
        </w:rPr>
        <w:t>清华大学出版社            北京大学出版社              中国人民大学出版社</w:t>
      </w:r>
    </w:p>
    <w:p w14:paraId="6C2928B8">
      <w:pPr>
        <w:spacing w:line="420" w:lineRule="exact"/>
        <w:rPr>
          <w:rFonts w:ascii="宋体" w:hAnsi="宋体"/>
          <w:szCs w:val="21"/>
        </w:rPr>
      </w:pPr>
      <w:r>
        <w:rPr>
          <w:rFonts w:hint="eastAsia" w:ascii="宋体" w:hAnsi="宋体"/>
          <w:szCs w:val="21"/>
        </w:rPr>
        <w:t>复旦大学出版社            上海交通大学出版社          浙江大学出版社</w:t>
      </w:r>
    </w:p>
    <w:p w14:paraId="659EBA1A">
      <w:pPr>
        <w:spacing w:line="420" w:lineRule="exact"/>
        <w:rPr>
          <w:rFonts w:ascii="宋体" w:hAnsi="宋体"/>
          <w:szCs w:val="21"/>
        </w:rPr>
      </w:pPr>
      <w:r>
        <w:rPr>
          <w:rFonts w:hint="eastAsia" w:ascii="宋体" w:hAnsi="宋体"/>
          <w:szCs w:val="21"/>
        </w:rPr>
        <w:t>华中科技大学出版社        北京理工大学出版社          武汉大学出版社</w:t>
      </w:r>
    </w:p>
    <w:p w14:paraId="781A2F3A">
      <w:pPr>
        <w:spacing w:line="420" w:lineRule="exact"/>
        <w:rPr>
          <w:rFonts w:ascii="宋体" w:hAnsi="宋体"/>
          <w:szCs w:val="21"/>
        </w:rPr>
      </w:pPr>
      <w:r>
        <w:rPr>
          <w:rFonts w:hint="eastAsia" w:ascii="宋体" w:hAnsi="宋体"/>
          <w:szCs w:val="21"/>
        </w:rPr>
        <w:t>南京大学出版社            中山大学出版社              东南大学出版社</w:t>
      </w:r>
    </w:p>
    <w:p w14:paraId="1F1A7155">
      <w:pPr>
        <w:spacing w:line="420" w:lineRule="exact"/>
        <w:rPr>
          <w:rFonts w:ascii="宋体" w:hAnsi="宋体"/>
          <w:szCs w:val="21"/>
        </w:rPr>
      </w:pPr>
      <w:r>
        <w:rPr>
          <w:rFonts w:hint="eastAsia" w:ascii="宋体" w:hAnsi="宋体"/>
          <w:szCs w:val="21"/>
        </w:rPr>
        <w:t>四川大学出版社            中南大学出版社              吉林大学出版社</w:t>
      </w:r>
    </w:p>
    <w:p w14:paraId="1C87F878">
      <w:pPr>
        <w:spacing w:line="420" w:lineRule="exact"/>
        <w:rPr>
          <w:rFonts w:ascii="宋体" w:hAnsi="宋体"/>
          <w:szCs w:val="21"/>
        </w:rPr>
      </w:pPr>
      <w:r>
        <w:rPr>
          <w:rFonts w:hint="eastAsia" w:ascii="宋体" w:hAnsi="宋体"/>
          <w:szCs w:val="21"/>
        </w:rPr>
        <w:t>广西师范大学出版社        中国科学技术出版社          辽宁科学技术出版社</w:t>
      </w:r>
    </w:p>
    <w:p w14:paraId="179AED78">
      <w:pPr>
        <w:spacing w:line="420" w:lineRule="exact"/>
        <w:rPr>
          <w:rFonts w:ascii="宋体" w:hAnsi="宋体" w:cs="宋体"/>
          <w:color w:val="000000"/>
          <w:szCs w:val="21"/>
        </w:rPr>
      </w:pPr>
      <w:r>
        <w:rPr>
          <w:rFonts w:hint="eastAsia" w:ascii="宋体" w:hAnsi="宋体" w:cs="宋体"/>
          <w:color w:val="000000"/>
          <w:szCs w:val="21"/>
        </w:rPr>
        <w:t xml:space="preserve">北京科学技术出版社        </w:t>
      </w:r>
      <w:r>
        <w:rPr>
          <w:rFonts w:hint="eastAsia" w:ascii="宋体" w:hAnsi="宋体"/>
          <w:szCs w:val="21"/>
        </w:rPr>
        <w:t>上海科学技术出版社          吉林科学技术出版社</w:t>
      </w:r>
    </w:p>
    <w:p w14:paraId="75542AE0">
      <w:pPr>
        <w:spacing w:line="420" w:lineRule="exact"/>
        <w:rPr>
          <w:rFonts w:ascii="宋体" w:hAnsi="宋体"/>
          <w:szCs w:val="21"/>
        </w:rPr>
      </w:pPr>
      <w:r>
        <w:rPr>
          <w:rFonts w:hint="eastAsia" w:ascii="宋体" w:hAnsi="宋体"/>
          <w:szCs w:val="21"/>
        </w:rPr>
        <w:t>天津科学技术出版社        湖南科学技术出版社          河南科学技术出版社</w:t>
      </w:r>
    </w:p>
    <w:p w14:paraId="32FEDA24">
      <w:pPr>
        <w:pStyle w:val="26"/>
        <w:spacing w:line="420" w:lineRule="exact"/>
        <w:rPr>
          <w:rFonts w:hAnsi="宋体"/>
          <w:b/>
          <w:bCs/>
        </w:rPr>
      </w:pPr>
    </w:p>
    <w:p w14:paraId="44CEC0A3">
      <w:pPr>
        <w:pStyle w:val="26"/>
        <w:spacing w:line="440" w:lineRule="exact"/>
        <w:rPr>
          <w:rFonts w:hAnsi="宋体"/>
          <w:b/>
        </w:rPr>
      </w:pPr>
      <w:r>
        <w:rPr>
          <w:rFonts w:hint="eastAsia" w:hAnsi="宋体"/>
          <w:b/>
          <w:bCs/>
        </w:rPr>
        <w:t xml:space="preserve">附录二  </w:t>
      </w:r>
      <w:r>
        <w:rPr>
          <w:rFonts w:hint="eastAsia" w:hAnsi="宋体"/>
          <w:b/>
        </w:rPr>
        <w:t>RFID高频图书标签要求：</w:t>
      </w:r>
    </w:p>
    <w:p w14:paraId="37D9305E">
      <w:pPr>
        <w:spacing w:line="420" w:lineRule="exact"/>
        <w:ind w:left="420"/>
        <w:rPr>
          <w:rFonts w:ascii="宋体" w:hAnsi="宋体"/>
          <w:szCs w:val="21"/>
        </w:rPr>
      </w:pPr>
      <w:r>
        <w:rPr>
          <w:rFonts w:hint="eastAsia" w:ascii="宋体" w:hAnsi="宋体"/>
          <w:szCs w:val="21"/>
        </w:rPr>
        <w:t>1. 标签中有存储器，存储在其中的资料可重复读、写。</w:t>
      </w:r>
    </w:p>
    <w:p w14:paraId="0C8AC186">
      <w:pPr>
        <w:spacing w:line="420" w:lineRule="exact"/>
        <w:ind w:left="420"/>
        <w:rPr>
          <w:rFonts w:ascii="宋体" w:hAnsi="宋体"/>
          <w:szCs w:val="21"/>
        </w:rPr>
      </w:pPr>
      <w:r>
        <w:rPr>
          <w:rFonts w:hint="eastAsia" w:ascii="宋体" w:hAnsi="宋体"/>
          <w:szCs w:val="21"/>
        </w:rPr>
        <w:t>2. 标签可以非接触式地读取和写入，加快文献流通的处理速度。</w:t>
      </w:r>
    </w:p>
    <w:p w14:paraId="661B3732">
      <w:pPr>
        <w:spacing w:line="420" w:lineRule="exact"/>
        <w:ind w:left="420"/>
        <w:rPr>
          <w:rFonts w:ascii="宋体" w:hAnsi="宋体"/>
          <w:szCs w:val="21"/>
        </w:rPr>
      </w:pPr>
      <w:r>
        <w:rPr>
          <w:rFonts w:hint="eastAsia" w:ascii="宋体" w:hAnsi="宋体"/>
          <w:szCs w:val="21"/>
        </w:rPr>
        <w:t>3. 标签具有一定的抗冲突性，能保证多个标签的同时可靠识别。</w:t>
      </w:r>
    </w:p>
    <w:p w14:paraId="2825F3A4">
      <w:pPr>
        <w:spacing w:line="420" w:lineRule="exact"/>
        <w:ind w:left="420"/>
        <w:rPr>
          <w:rFonts w:ascii="宋体" w:hAnsi="宋体"/>
          <w:szCs w:val="21"/>
        </w:rPr>
      </w:pPr>
      <w:r>
        <w:rPr>
          <w:rFonts w:hint="eastAsia" w:ascii="宋体" w:hAnsi="宋体"/>
          <w:szCs w:val="21"/>
        </w:rPr>
        <w:t>4. 安全性高，可防止存储在其中的信息被随意读取或改写。</w:t>
      </w:r>
    </w:p>
    <w:p w14:paraId="249B58F7">
      <w:pPr>
        <w:spacing w:line="420" w:lineRule="exact"/>
        <w:ind w:left="420"/>
        <w:rPr>
          <w:rFonts w:ascii="宋体" w:hAnsi="宋体"/>
          <w:szCs w:val="21"/>
        </w:rPr>
      </w:pPr>
      <w:r>
        <w:rPr>
          <w:rFonts w:hint="eastAsia" w:ascii="宋体" w:hAnsi="宋体"/>
          <w:szCs w:val="21"/>
        </w:rPr>
        <w:t>5. 标签为无源标签，须符合ISO15693，ISO18000-3等标准并无字段修改或兼容ISO15693、ISO18000-3标准。</w:t>
      </w:r>
    </w:p>
    <w:p w14:paraId="75B5A081">
      <w:pPr>
        <w:spacing w:line="420" w:lineRule="exact"/>
        <w:ind w:left="420"/>
        <w:rPr>
          <w:rFonts w:ascii="宋体" w:hAnsi="宋体"/>
          <w:szCs w:val="21"/>
        </w:rPr>
      </w:pPr>
      <w:r>
        <w:rPr>
          <w:rFonts w:hint="eastAsia" w:ascii="宋体" w:hAnsi="宋体"/>
          <w:szCs w:val="21"/>
        </w:rPr>
        <w:t>6. 具有不可改写的唯一序列号（UID）。</w:t>
      </w:r>
    </w:p>
    <w:p w14:paraId="6CE219F8">
      <w:pPr>
        <w:spacing w:line="420" w:lineRule="exact"/>
        <w:ind w:left="420"/>
        <w:rPr>
          <w:rFonts w:ascii="宋体" w:hAnsi="宋体"/>
          <w:szCs w:val="21"/>
        </w:rPr>
      </w:pPr>
      <w:r>
        <w:rPr>
          <w:rFonts w:hint="eastAsia" w:ascii="宋体" w:hAnsi="宋体"/>
          <w:szCs w:val="21"/>
        </w:rPr>
        <w:t>7. 采用倒装法封装(Flip-Chip)。</w:t>
      </w:r>
    </w:p>
    <w:p w14:paraId="09C7301C">
      <w:pPr>
        <w:spacing w:line="420" w:lineRule="exact"/>
        <w:ind w:left="420"/>
        <w:rPr>
          <w:rFonts w:ascii="宋体" w:hAnsi="宋体"/>
          <w:szCs w:val="21"/>
        </w:rPr>
      </w:pPr>
      <w:r>
        <w:rPr>
          <w:rFonts w:hint="eastAsia" w:ascii="宋体" w:hAnsi="宋体"/>
          <w:szCs w:val="21"/>
        </w:rPr>
        <w:t>8. 标签的天线为铝或铜质天线，采用蚀刻法工艺制造。</w:t>
      </w:r>
    </w:p>
    <w:p w14:paraId="29B0EB58">
      <w:pPr>
        <w:spacing w:line="420" w:lineRule="exact"/>
        <w:ind w:left="420"/>
        <w:rPr>
          <w:rFonts w:ascii="宋体" w:hAnsi="宋体"/>
          <w:szCs w:val="21"/>
        </w:rPr>
      </w:pPr>
      <w:r>
        <w:rPr>
          <w:rFonts w:hint="eastAsia" w:ascii="宋体" w:hAnsi="宋体"/>
          <w:szCs w:val="21"/>
        </w:rPr>
        <w:t>9. 用户可自定义数据格式和内容，扩展性良好。</w:t>
      </w:r>
    </w:p>
    <w:p w14:paraId="599DB79A">
      <w:pPr>
        <w:spacing w:line="420" w:lineRule="exact"/>
        <w:ind w:left="420"/>
        <w:rPr>
          <w:rFonts w:ascii="宋体" w:hAnsi="宋体"/>
          <w:szCs w:val="21"/>
        </w:rPr>
      </w:pPr>
      <w:r>
        <w:rPr>
          <w:rFonts w:hint="eastAsia" w:ascii="宋体" w:hAnsi="宋体"/>
          <w:szCs w:val="21"/>
        </w:rPr>
        <w:t>10. 图书用标签采用AFI位作为防盗的安全标志方法，且AFI标志位必须可以由用户自由修改。</w:t>
      </w:r>
    </w:p>
    <w:p w14:paraId="7EFEA372">
      <w:pPr>
        <w:spacing w:line="420" w:lineRule="exact"/>
        <w:ind w:left="420"/>
        <w:rPr>
          <w:rFonts w:ascii="宋体" w:hAnsi="宋体"/>
          <w:szCs w:val="21"/>
        </w:rPr>
      </w:pPr>
      <w:r>
        <w:rPr>
          <w:rFonts w:hint="eastAsia" w:ascii="宋体" w:hAnsi="宋体"/>
          <w:szCs w:val="21"/>
        </w:rPr>
        <w:t>11. 标签固有频率误差频率达到ISO标准的要求。</w:t>
      </w:r>
    </w:p>
    <w:p w14:paraId="34022D77">
      <w:pPr>
        <w:spacing w:line="420" w:lineRule="exact"/>
        <w:ind w:left="420"/>
        <w:rPr>
          <w:rFonts w:ascii="宋体" w:hAnsi="宋体"/>
          <w:szCs w:val="21"/>
        </w:rPr>
      </w:pPr>
      <w:r>
        <w:rPr>
          <w:rFonts w:hint="eastAsia" w:ascii="宋体" w:hAnsi="宋体"/>
          <w:szCs w:val="21"/>
        </w:rPr>
        <w:t>12. 相关RFID阅读产品设备可在短时间内读取存储在标签中的资料（实际工作环境，若以标签容量1024bits为标准计算，每种工序中标签的读取速度都能达到0.1s之内）。</w:t>
      </w:r>
    </w:p>
    <w:p w14:paraId="0C29958B">
      <w:pPr>
        <w:spacing w:line="420" w:lineRule="exact"/>
        <w:ind w:left="420"/>
        <w:rPr>
          <w:rFonts w:ascii="宋体" w:hAnsi="宋体"/>
          <w:szCs w:val="21"/>
        </w:rPr>
      </w:pPr>
      <w:r>
        <w:rPr>
          <w:rFonts w:hint="eastAsia" w:ascii="宋体" w:hAnsi="宋体"/>
          <w:szCs w:val="21"/>
        </w:rPr>
        <w:t>13. 标签为带不干胶的、单片的标签，粘贴到书籍时不需要再刷胶或者配粘纸，粘贴后不易撕毁、脱落，芯片数据保存时间应不少于10年，同时应保证采用的中性粘胶对图书无损害。中性粘胶PH值为6～8之间。</w:t>
      </w:r>
    </w:p>
    <w:p w14:paraId="5BDCB564">
      <w:pPr>
        <w:spacing w:line="420" w:lineRule="exact"/>
        <w:ind w:left="420"/>
        <w:rPr>
          <w:rFonts w:ascii="宋体" w:hAnsi="宋体"/>
          <w:szCs w:val="21"/>
        </w:rPr>
      </w:pPr>
      <w:r>
        <w:rPr>
          <w:rFonts w:hint="eastAsia" w:ascii="宋体" w:hAnsi="宋体"/>
          <w:szCs w:val="21"/>
        </w:rPr>
        <w:t>14. 工作频率：13.56MHz</w:t>
      </w:r>
    </w:p>
    <w:p w14:paraId="3D80D04C">
      <w:pPr>
        <w:spacing w:line="420" w:lineRule="exact"/>
        <w:ind w:left="420"/>
        <w:rPr>
          <w:rFonts w:ascii="宋体" w:hAnsi="宋体"/>
          <w:szCs w:val="21"/>
        </w:rPr>
      </w:pPr>
      <w:r>
        <w:rPr>
          <w:rFonts w:hint="eastAsia" w:ascii="宋体" w:hAnsi="宋体"/>
          <w:szCs w:val="21"/>
        </w:rPr>
        <w:t>15. 有效使用寿命：≥10年</w:t>
      </w:r>
    </w:p>
    <w:p w14:paraId="328BD45D">
      <w:pPr>
        <w:spacing w:line="420" w:lineRule="exact"/>
        <w:ind w:left="420"/>
        <w:rPr>
          <w:rFonts w:ascii="宋体" w:hAnsi="宋体"/>
          <w:szCs w:val="21"/>
        </w:rPr>
      </w:pPr>
      <w:r>
        <w:rPr>
          <w:rFonts w:hint="eastAsia" w:ascii="宋体" w:hAnsi="宋体"/>
          <w:szCs w:val="21"/>
        </w:rPr>
        <w:t>16. 内存容量：≥1024bits</w:t>
      </w:r>
    </w:p>
    <w:p w14:paraId="53634486">
      <w:pPr>
        <w:spacing w:line="420" w:lineRule="exact"/>
        <w:ind w:left="420"/>
        <w:jc w:val="left"/>
        <w:rPr>
          <w:rFonts w:ascii="宋体" w:hAnsi="宋体"/>
          <w:szCs w:val="21"/>
        </w:rPr>
      </w:pPr>
      <w:r>
        <w:rPr>
          <w:rFonts w:hint="eastAsia" w:ascii="宋体" w:hAnsi="宋体"/>
          <w:szCs w:val="21"/>
        </w:rPr>
        <w:t>17. 有效擦写次数：≥10万次</w:t>
      </w:r>
    </w:p>
    <w:p w14:paraId="6B778B4C">
      <w:pPr>
        <w:spacing w:line="420" w:lineRule="exact"/>
        <w:ind w:left="420"/>
        <w:rPr>
          <w:rFonts w:ascii="宋体" w:hAnsi="宋体"/>
          <w:szCs w:val="21"/>
        </w:rPr>
      </w:pPr>
      <w:r>
        <w:rPr>
          <w:rFonts w:hint="eastAsia" w:ascii="宋体" w:hAnsi="宋体"/>
          <w:szCs w:val="21"/>
        </w:rPr>
        <w:t>18. 使用环境温度范围：-20℃～75℃</w:t>
      </w:r>
    </w:p>
    <w:p w14:paraId="7AFF8889">
      <w:pPr>
        <w:spacing w:line="420" w:lineRule="exact"/>
        <w:ind w:left="420"/>
        <w:jc w:val="left"/>
        <w:rPr>
          <w:rFonts w:ascii="宋体" w:hAnsi="宋体"/>
          <w:szCs w:val="21"/>
        </w:rPr>
      </w:pPr>
      <w:r>
        <w:rPr>
          <w:rFonts w:hint="eastAsia" w:ascii="宋体" w:hAnsi="宋体"/>
          <w:szCs w:val="21"/>
        </w:rPr>
        <w:t>19. 识别距离：2～10cm</w:t>
      </w:r>
    </w:p>
    <w:p w14:paraId="38F90F74">
      <w:pPr>
        <w:spacing w:line="420" w:lineRule="exact"/>
        <w:ind w:left="420"/>
        <w:jc w:val="left"/>
        <w:rPr>
          <w:rFonts w:ascii="宋体" w:hAnsi="宋体"/>
          <w:szCs w:val="21"/>
        </w:rPr>
      </w:pPr>
      <w:r>
        <w:rPr>
          <w:rFonts w:hint="eastAsia" w:ascii="宋体" w:hAnsi="宋体"/>
          <w:szCs w:val="21"/>
        </w:rPr>
        <w:t>20. 标签中可存储借书时间、还书时间、借阅证件ID、图书条码号、图书书名等基本信息。</w:t>
      </w:r>
    </w:p>
    <w:p w14:paraId="7373A47F">
      <w:pPr>
        <w:pStyle w:val="26"/>
        <w:spacing w:line="420" w:lineRule="exact"/>
        <w:rPr>
          <w:rFonts w:hAnsi="宋体"/>
          <w:b/>
          <w:bCs/>
        </w:rPr>
      </w:pPr>
      <w:r>
        <w:rPr>
          <w:rFonts w:hint="eastAsia" w:hAnsi="宋体"/>
        </w:rPr>
        <w:t>21.</w:t>
      </w:r>
      <w:r>
        <w:rPr>
          <w:rFonts w:hint="eastAsia"/>
        </w:rPr>
        <w:t xml:space="preserve"> </w:t>
      </w:r>
      <w:r>
        <w:rPr>
          <w:rFonts w:hint="eastAsia" w:hAnsi="宋体"/>
        </w:rPr>
        <w:t>标签须具备监测控制功能，用于监控标签的状态。当标签被阅读或识别时，可判断图书资料是否允许被带出馆外。</w:t>
      </w:r>
    </w:p>
    <w:p w14:paraId="0B74ACC1">
      <w:pPr>
        <w:pStyle w:val="26"/>
        <w:spacing w:line="420" w:lineRule="exact"/>
        <w:rPr>
          <w:rFonts w:hAnsi="宋体"/>
          <w:b/>
          <w:bCs/>
        </w:rPr>
      </w:pPr>
    </w:p>
    <w:p w14:paraId="1EED4CB8">
      <w:pPr>
        <w:pStyle w:val="26"/>
        <w:spacing w:line="420" w:lineRule="exact"/>
        <w:rPr>
          <w:rFonts w:hAnsi="宋体"/>
          <w:b/>
          <w:bCs/>
        </w:rPr>
      </w:pPr>
      <w:r>
        <w:rPr>
          <w:rFonts w:hint="eastAsia" w:hAnsi="宋体"/>
          <w:b/>
        </w:rPr>
        <w:t xml:space="preserve">附录三   </w:t>
      </w:r>
      <w:r>
        <w:rPr>
          <w:rFonts w:hint="eastAsia" w:hAnsi="宋体"/>
          <w:b/>
          <w:bCs/>
        </w:rPr>
        <w:t>图书分编细则：</w:t>
      </w:r>
    </w:p>
    <w:p w14:paraId="55E648B3">
      <w:pPr>
        <w:pStyle w:val="26"/>
        <w:spacing w:line="420" w:lineRule="exact"/>
        <w:ind w:firstLine="420" w:firstLineChars="200"/>
        <w:rPr>
          <w:rFonts w:hAnsi="宋体"/>
          <w:b/>
          <w:bCs/>
        </w:rPr>
      </w:pPr>
      <w:r>
        <w:rPr>
          <w:rFonts w:ascii="Arial" w:hAnsi="宋体" w:cs="Arial"/>
          <w:bCs/>
        </w:rPr>
        <w:t>以下</w:t>
      </w:r>
      <w:r>
        <w:rPr>
          <w:rFonts w:hint="eastAsia" w:ascii="Arial" w:hAnsi="宋体" w:cs="Arial"/>
          <w:bCs/>
        </w:rPr>
        <w:t>图书</w:t>
      </w:r>
      <w:r>
        <w:rPr>
          <w:rFonts w:ascii="Arial" w:hAnsi="宋体" w:cs="Arial"/>
          <w:bCs/>
        </w:rPr>
        <w:t>在做机读目录数据时须严格按照</w:t>
      </w:r>
      <w:r>
        <w:rPr>
          <w:rFonts w:ascii="Arial" w:hAnsi="Arial" w:cs="Arial"/>
          <w:bCs/>
        </w:rPr>
        <w:t>CALIS</w:t>
      </w:r>
      <w:r>
        <w:rPr>
          <w:rFonts w:ascii="Arial" w:hAnsi="宋体" w:cs="Arial"/>
          <w:bCs/>
        </w:rPr>
        <w:t>标准进行著录；分类标引以《中国图书馆分类法》（最新版）为准，分类要尽量细化和准确，该复分的须复分，该仿分的须仿分，严格按照中图法进行分类标引，使每一种图书能准确入其类，例如图书题名中明确带有</w:t>
      </w:r>
      <w:r>
        <w:rPr>
          <w:rFonts w:ascii="Arial" w:hAnsi="Arial" w:cs="Arial"/>
          <w:bCs/>
        </w:rPr>
        <w:t>“</w:t>
      </w:r>
      <w:r>
        <w:rPr>
          <w:rFonts w:ascii="Arial" w:hAnsi="宋体" w:cs="Arial"/>
          <w:bCs/>
        </w:rPr>
        <w:t>试题</w:t>
      </w:r>
      <w:r>
        <w:rPr>
          <w:rFonts w:ascii="Arial" w:hAnsi="Arial" w:cs="Arial"/>
          <w:bCs/>
        </w:rPr>
        <w:t>”</w:t>
      </w:r>
      <w:r>
        <w:rPr>
          <w:rFonts w:ascii="Arial" w:hAnsi="宋体" w:cs="Arial"/>
          <w:bCs/>
        </w:rPr>
        <w:t>、</w:t>
      </w:r>
      <w:r>
        <w:rPr>
          <w:rFonts w:ascii="Arial" w:hAnsi="Arial" w:cs="Arial"/>
          <w:bCs/>
        </w:rPr>
        <w:t>“</w:t>
      </w:r>
      <w:r>
        <w:rPr>
          <w:rFonts w:ascii="Arial" w:hAnsi="宋体" w:cs="Arial"/>
          <w:bCs/>
        </w:rPr>
        <w:t>习题</w:t>
      </w:r>
      <w:r>
        <w:rPr>
          <w:rFonts w:ascii="Arial" w:hAnsi="Arial" w:cs="Arial"/>
          <w:bCs/>
        </w:rPr>
        <w:t>”</w:t>
      </w:r>
      <w:r>
        <w:rPr>
          <w:rFonts w:ascii="Arial" w:hAnsi="宋体" w:cs="Arial"/>
          <w:bCs/>
        </w:rPr>
        <w:t>、</w:t>
      </w:r>
      <w:r>
        <w:rPr>
          <w:rFonts w:ascii="Arial" w:hAnsi="Arial" w:cs="Arial"/>
          <w:bCs/>
        </w:rPr>
        <w:t>“</w:t>
      </w:r>
      <w:r>
        <w:rPr>
          <w:rFonts w:ascii="Arial" w:hAnsi="宋体" w:cs="Arial"/>
          <w:bCs/>
        </w:rPr>
        <w:t>题解</w:t>
      </w:r>
      <w:r>
        <w:rPr>
          <w:rFonts w:ascii="Arial" w:hAnsi="Arial" w:cs="Arial"/>
          <w:bCs/>
        </w:rPr>
        <w:t>”</w:t>
      </w:r>
      <w:r>
        <w:rPr>
          <w:rFonts w:ascii="Arial" w:hAnsi="宋体" w:cs="Arial"/>
          <w:bCs/>
        </w:rPr>
        <w:t>字样的，须在主类号后加复分号</w:t>
      </w:r>
      <w:r>
        <w:rPr>
          <w:rFonts w:ascii="Arial" w:hAnsi="Arial" w:cs="Arial"/>
          <w:bCs/>
        </w:rPr>
        <w:t>“-44”</w:t>
      </w:r>
      <w:r>
        <w:rPr>
          <w:rFonts w:ascii="Arial" w:hAnsi="宋体" w:cs="Arial"/>
          <w:bCs/>
        </w:rPr>
        <w:t>；如图书封面上标有</w:t>
      </w:r>
      <w:r>
        <w:rPr>
          <w:rFonts w:ascii="Arial" w:hAnsi="Arial" w:cs="Arial"/>
          <w:bCs/>
        </w:rPr>
        <w:t>“...</w:t>
      </w:r>
      <w:r>
        <w:rPr>
          <w:rFonts w:ascii="Arial" w:hAnsi="宋体" w:cs="Arial"/>
          <w:bCs/>
        </w:rPr>
        <w:t>教材</w:t>
      </w:r>
      <w:r>
        <w:rPr>
          <w:rFonts w:ascii="Arial" w:hAnsi="Arial" w:cs="Arial"/>
          <w:bCs/>
        </w:rPr>
        <w:t>”</w:t>
      </w:r>
      <w:r>
        <w:rPr>
          <w:rFonts w:ascii="Arial" w:hAnsi="宋体" w:cs="Arial"/>
          <w:bCs/>
        </w:rPr>
        <w:t>字样的，须在主类号后加复分号</w:t>
      </w:r>
      <w:r>
        <w:rPr>
          <w:rFonts w:ascii="Arial" w:hAnsi="Arial" w:cs="Arial"/>
          <w:bCs/>
        </w:rPr>
        <w:t>“-43”</w:t>
      </w:r>
      <w:r>
        <w:rPr>
          <w:rFonts w:ascii="Arial" w:hAnsi="宋体" w:cs="Arial"/>
          <w:bCs/>
        </w:rPr>
        <w:t>；主题标引须准确，能准确反映图书的内容，且主题标引和分类标引相对应。</w:t>
      </w:r>
    </w:p>
    <w:p w14:paraId="3AA37FAE">
      <w:pPr>
        <w:pStyle w:val="26"/>
        <w:spacing w:line="420" w:lineRule="exact"/>
        <w:ind w:firstLine="420" w:firstLineChars="200"/>
        <w:rPr>
          <w:rFonts w:hAnsi="宋体"/>
          <w:b/>
          <w:bCs/>
        </w:rPr>
      </w:pPr>
      <w:r>
        <w:rPr>
          <w:rFonts w:hint="eastAsia" w:hAnsi="宋体"/>
          <w:b/>
          <w:bCs/>
        </w:rPr>
        <w:t>一、</w:t>
      </w:r>
      <w:r>
        <w:rPr>
          <w:rFonts w:hint="eastAsia" w:hAnsi="宋体"/>
          <w:b/>
        </w:rPr>
        <w:t>中文图书分编细则：</w:t>
      </w:r>
    </w:p>
    <w:p w14:paraId="17D3A6D4">
      <w:pPr>
        <w:spacing w:line="360" w:lineRule="auto"/>
        <w:ind w:firstLine="359" w:firstLineChars="171"/>
        <w:rPr>
          <w:rFonts w:ascii="Arial" w:hAnsi="宋体" w:cs="Arial"/>
          <w:bCs/>
          <w:szCs w:val="21"/>
        </w:rPr>
      </w:pPr>
      <w:r>
        <w:rPr>
          <w:rFonts w:hint="eastAsia" w:ascii="Arial" w:hAnsi="宋体" w:cs="Arial"/>
          <w:bCs/>
          <w:szCs w:val="21"/>
        </w:rPr>
        <w:t>1、中标人为到馆图书提供CNMARC数据，数据要与到馆图书一一对应。CNMARC数据要求符合CALIS著录规则，以《CALIS联机合作编目手册》、《CALIS联合目录中文图书著录细则》以及CALIS新发布的规定为著录规范。编目数据分类标引要严格按《中国图书馆分类法》最新版执行；主题标引严格按照《中图分类主题词表》（Web版优先）执行，不允许抄袭CIP数据。CNMARC数据著录要求详尽，相应字段有则必备，能够完全反映图书信息，</w:t>
      </w:r>
      <w:r>
        <w:rPr>
          <w:rFonts w:ascii="Arial" w:hAnsi="宋体" w:cs="Arial"/>
          <w:bCs/>
          <w:szCs w:val="21"/>
        </w:rPr>
        <w:t>准确、全面地揭示图书的内容特征及外形特征。</w:t>
      </w:r>
    </w:p>
    <w:p w14:paraId="011985C3">
      <w:pPr>
        <w:pStyle w:val="26"/>
        <w:spacing w:line="420" w:lineRule="exact"/>
        <w:ind w:firstLine="420" w:firstLineChars="200"/>
        <w:rPr>
          <w:rFonts w:ascii="Arial" w:hAnsi="宋体" w:cs="Arial"/>
          <w:bCs/>
        </w:rPr>
      </w:pPr>
      <w:r>
        <w:rPr>
          <w:rFonts w:hint="eastAsia" w:ascii="Arial" w:hAnsi="宋体" w:cs="Arial"/>
          <w:bCs/>
        </w:rPr>
        <w:t>2、</w:t>
      </w:r>
      <w:r>
        <w:rPr>
          <w:rFonts w:ascii="Arial" w:hAnsi="宋体" w:cs="Arial"/>
          <w:bCs/>
        </w:rPr>
        <w:t>每条机读编目数据主要包括如下字段：记录头标、目次区、</w:t>
      </w:r>
      <w:r>
        <w:rPr>
          <w:rFonts w:ascii="Arial" w:hAnsi="Arial" w:cs="Arial"/>
          <w:bCs/>
        </w:rPr>
        <w:t>“0”</w:t>
      </w:r>
      <w:r>
        <w:rPr>
          <w:rFonts w:ascii="Arial" w:hAnsi="宋体" w:cs="Arial"/>
          <w:bCs/>
        </w:rPr>
        <w:t>标识块</w:t>
      </w:r>
      <w:r>
        <w:rPr>
          <w:rFonts w:ascii="Arial" w:hAnsi="Arial" w:cs="Arial"/>
          <w:bCs/>
        </w:rPr>
        <w:t>[001</w:t>
      </w:r>
      <w:r>
        <w:rPr>
          <w:rFonts w:ascii="Arial" w:hAnsi="宋体" w:cs="Arial"/>
          <w:bCs/>
        </w:rPr>
        <w:t>（自动生成）、</w:t>
      </w:r>
      <w:r>
        <w:rPr>
          <w:rFonts w:ascii="Arial" w:hAnsi="Arial" w:cs="Arial"/>
          <w:bCs/>
        </w:rPr>
        <w:t>010</w:t>
      </w:r>
      <w:r>
        <w:rPr>
          <w:rFonts w:ascii="Arial" w:hAnsi="宋体" w:cs="Arial"/>
          <w:bCs/>
        </w:rPr>
        <w:t>国际标准书号、</w:t>
      </w:r>
      <w:r>
        <w:rPr>
          <w:rFonts w:ascii="Arial" w:hAnsi="Arial" w:cs="Arial"/>
          <w:bCs/>
        </w:rPr>
        <w:t>013</w:t>
      </w:r>
      <w:r>
        <w:rPr>
          <w:rFonts w:ascii="Arial" w:hAnsi="宋体" w:cs="Arial"/>
          <w:bCs/>
        </w:rPr>
        <w:t>国际标准音乐出版物号、</w:t>
      </w:r>
      <w:r>
        <w:rPr>
          <w:rFonts w:ascii="Arial" w:hAnsi="Arial" w:cs="Arial"/>
          <w:bCs/>
        </w:rPr>
        <w:t>014</w:t>
      </w:r>
      <w:r>
        <w:rPr>
          <w:rFonts w:ascii="Arial" w:hAnsi="宋体" w:cs="Arial"/>
          <w:bCs/>
        </w:rPr>
        <w:t>论文标识号、</w:t>
      </w:r>
      <w:r>
        <w:rPr>
          <w:rFonts w:ascii="Arial" w:hAnsi="Arial" w:cs="Arial"/>
          <w:bCs/>
        </w:rPr>
        <w:t>015</w:t>
      </w:r>
      <w:r>
        <w:rPr>
          <w:rFonts w:ascii="Arial" w:hAnsi="宋体" w:cs="Arial"/>
          <w:bCs/>
        </w:rPr>
        <w:t>国际标准技术报告号、</w:t>
      </w:r>
      <w:r>
        <w:rPr>
          <w:rFonts w:ascii="Arial" w:hAnsi="Arial" w:cs="Arial"/>
          <w:bCs/>
        </w:rPr>
        <w:t>016</w:t>
      </w:r>
      <w:r>
        <w:rPr>
          <w:rFonts w:ascii="Arial" w:hAnsi="宋体" w:cs="Arial"/>
          <w:bCs/>
        </w:rPr>
        <w:t>国际标准录音号、</w:t>
      </w:r>
      <w:r>
        <w:rPr>
          <w:rFonts w:ascii="Arial" w:hAnsi="Arial" w:cs="Arial"/>
          <w:bCs/>
        </w:rPr>
        <w:t>022</w:t>
      </w:r>
      <w:r>
        <w:rPr>
          <w:rFonts w:ascii="Arial" w:hAnsi="宋体" w:cs="Arial"/>
          <w:bCs/>
        </w:rPr>
        <w:t>、政府出版物号、</w:t>
      </w:r>
      <w:r>
        <w:rPr>
          <w:rFonts w:ascii="Arial" w:hAnsi="Arial" w:cs="Arial"/>
          <w:bCs/>
        </w:rPr>
        <w:t>091</w:t>
      </w:r>
      <w:r>
        <w:rPr>
          <w:rFonts w:ascii="Arial" w:hAnsi="宋体" w:cs="Arial"/>
          <w:bCs/>
        </w:rPr>
        <w:t>统一书刊号、</w:t>
      </w:r>
      <w:r>
        <w:rPr>
          <w:rFonts w:ascii="Arial" w:hAnsi="Arial" w:cs="Arial"/>
          <w:bCs/>
        </w:rPr>
        <w:t>094</w:t>
      </w:r>
      <w:r>
        <w:rPr>
          <w:rFonts w:ascii="Arial" w:hAnsi="宋体" w:cs="Arial"/>
          <w:bCs/>
        </w:rPr>
        <w:t>标准号等等</w:t>
      </w:r>
      <w:r>
        <w:rPr>
          <w:rFonts w:ascii="Arial" w:hAnsi="Arial" w:cs="Arial"/>
          <w:bCs/>
        </w:rPr>
        <w:t>]</w:t>
      </w:r>
      <w:r>
        <w:rPr>
          <w:rFonts w:ascii="Arial" w:hAnsi="宋体" w:cs="Arial"/>
          <w:bCs/>
        </w:rPr>
        <w:t>、</w:t>
      </w:r>
      <w:r>
        <w:rPr>
          <w:rFonts w:ascii="Arial" w:hAnsi="Arial" w:cs="Arial"/>
          <w:bCs/>
        </w:rPr>
        <w:t>“1”</w:t>
      </w:r>
      <w:r>
        <w:rPr>
          <w:rFonts w:ascii="Arial" w:hAnsi="宋体" w:cs="Arial"/>
          <w:bCs/>
        </w:rPr>
        <w:t>编码信息块</w:t>
      </w:r>
      <w:r>
        <w:rPr>
          <w:rFonts w:ascii="Arial" w:hAnsi="Arial" w:cs="Arial"/>
          <w:bCs/>
        </w:rPr>
        <w:t>[100</w:t>
      </w:r>
      <w:r>
        <w:rPr>
          <w:rFonts w:ascii="Arial" w:hAnsi="宋体" w:cs="Arial"/>
          <w:bCs/>
        </w:rPr>
        <w:t>通用处理数据、</w:t>
      </w:r>
      <w:r>
        <w:rPr>
          <w:rFonts w:ascii="Arial" w:hAnsi="Arial" w:cs="Arial"/>
          <w:bCs/>
        </w:rPr>
        <w:t>101</w:t>
      </w:r>
      <w:r>
        <w:rPr>
          <w:rFonts w:ascii="Arial" w:hAnsi="宋体" w:cs="Arial"/>
          <w:bCs/>
        </w:rPr>
        <w:t>作品语种、</w:t>
      </w:r>
      <w:r>
        <w:rPr>
          <w:rFonts w:ascii="Arial" w:hAnsi="Arial" w:cs="Arial"/>
          <w:bCs/>
        </w:rPr>
        <w:t>102</w:t>
      </w:r>
      <w:r>
        <w:rPr>
          <w:rFonts w:ascii="Arial" w:hAnsi="宋体" w:cs="Arial"/>
          <w:bCs/>
        </w:rPr>
        <w:t>出版或制作国别、</w:t>
      </w:r>
      <w:r>
        <w:rPr>
          <w:rFonts w:ascii="Arial" w:hAnsi="Arial" w:cs="Arial"/>
          <w:bCs/>
        </w:rPr>
        <w:t>105</w:t>
      </w:r>
      <w:r>
        <w:rPr>
          <w:rFonts w:ascii="Arial" w:hAnsi="宋体" w:cs="Arial"/>
          <w:bCs/>
        </w:rPr>
        <w:t>编码数据字段（文字资料、专著）、</w:t>
      </w:r>
      <w:r>
        <w:rPr>
          <w:rFonts w:ascii="Arial" w:hAnsi="Arial" w:cs="Arial"/>
          <w:bCs/>
        </w:rPr>
        <w:t>106</w:t>
      </w:r>
      <w:r>
        <w:rPr>
          <w:rFonts w:ascii="Arial" w:hAnsi="宋体" w:cs="Arial"/>
          <w:bCs/>
        </w:rPr>
        <w:t>编码数据字段（文字资料：形态特征）等等</w:t>
      </w:r>
      <w:r>
        <w:rPr>
          <w:rFonts w:ascii="Arial" w:hAnsi="Arial" w:cs="Arial"/>
          <w:bCs/>
        </w:rPr>
        <w:t>]</w:t>
      </w:r>
      <w:r>
        <w:rPr>
          <w:rFonts w:ascii="Arial" w:hAnsi="宋体" w:cs="Arial"/>
          <w:bCs/>
        </w:rPr>
        <w:t>、</w:t>
      </w:r>
      <w:r>
        <w:rPr>
          <w:rFonts w:ascii="Arial" w:hAnsi="Arial" w:cs="Arial"/>
          <w:bCs/>
        </w:rPr>
        <w:t>“2”</w:t>
      </w:r>
      <w:r>
        <w:rPr>
          <w:rFonts w:ascii="Arial" w:hAnsi="宋体" w:cs="Arial"/>
          <w:bCs/>
        </w:rPr>
        <w:t>著录信息块（</w:t>
      </w:r>
      <w:r>
        <w:rPr>
          <w:rFonts w:ascii="Arial" w:hAnsi="Arial" w:cs="Arial"/>
          <w:bCs/>
        </w:rPr>
        <w:t>200</w:t>
      </w:r>
      <w:r>
        <w:rPr>
          <w:rFonts w:ascii="Arial" w:hAnsi="宋体" w:cs="Arial"/>
          <w:bCs/>
        </w:rPr>
        <w:t>题名与责任说明项、</w:t>
      </w:r>
      <w:r>
        <w:rPr>
          <w:rFonts w:ascii="Arial" w:hAnsi="Arial" w:cs="Arial"/>
          <w:bCs/>
        </w:rPr>
        <w:t>205</w:t>
      </w:r>
      <w:r>
        <w:rPr>
          <w:rFonts w:ascii="Arial" w:hAnsi="宋体" w:cs="Arial"/>
          <w:bCs/>
        </w:rPr>
        <w:t>版本说明项、</w:t>
      </w:r>
      <w:r>
        <w:rPr>
          <w:rFonts w:ascii="Arial" w:hAnsi="Arial" w:cs="Arial"/>
          <w:bCs/>
        </w:rPr>
        <w:t>210</w:t>
      </w:r>
      <w:r>
        <w:rPr>
          <w:rFonts w:ascii="Arial" w:hAnsi="宋体" w:cs="Arial"/>
          <w:bCs/>
        </w:rPr>
        <w:t>出版发行项、</w:t>
      </w:r>
      <w:r>
        <w:rPr>
          <w:rFonts w:ascii="Arial" w:hAnsi="Arial" w:cs="Arial"/>
          <w:bCs/>
        </w:rPr>
        <w:t>215</w:t>
      </w:r>
      <w:r>
        <w:rPr>
          <w:rFonts w:ascii="Arial" w:hAnsi="宋体" w:cs="Arial"/>
          <w:bCs/>
        </w:rPr>
        <w:t>载体形态项、</w:t>
      </w:r>
      <w:r>
        <w:rPr>
          <w:rFonts w:ascii="Arial" w:hAnsi="Arial" w:cs="Arial"/>
          <w:bCs/>
        </w:rPr>
        <w:t>225</w:t>
      </w:r>
      <w:r>
        <w:rPr>
          <w:rFonts w:ascii="Arial" w:hAnsi="宋体" w:cs="Arial"/>
          <w:bCs/>
        </w:rPr>
        <w:t>丛编项等）、</w:t>
      </w:r>
      <w:r>
        <w:rPr>
          <w:rFonts w:ascii="Arial" w:hAnsi="Arial" w:cs="Arial"/>
          <w:bCs/>
        </w:rPr>
        <w:t>“3”</w:t>
      </w:r>
      <w:r>
        <w:rPr>
          <w:rFonts w:ascii="Arial" w:hAnsi="宋体" w:cs="Arial"/>
          <w:bCs/>
        </w:rPr>
        <w:t>附注块（</w:t>
      </w:r>
      <w:r>
        <w:rPr>
          <w:rFonts w:ascii="Arial" w:hAnsi="Arial" w:cs="Arial"/>
          <w:bCs/>
        </w:rPr>
        <w:t>300</w:t>
      </w:r>
      <w:r>
        <w:rPr>
          <w:rFonts w:ascii="Arial" w:hAnsi="宋体" w:cs="Arial"/>
          <w:bCs/>
        </w:rPr>
        <w:t>一般性附注、</w:t>
      </w:r>
      <w:r>
        <w:rPr>
          <w:rFonts w:ascii="Arial" w:hAnsi="Arial" w:cs="Arial"/>
          <w:bCs/>
        </w:rPr>
        <w:t>304</w:t>
      </w:r>
      <w:r>
        <w:rPr>
          <w:rFonts w:ascii="Arial" w:hAnsi="宋体" w:cs="Arial"/>
          <w:bCs/>
        </w:rPr>
        <w:t>题名与责任说明附注、</w:t>
      </w:r>
      <w:r>
        <w:rPr>
          <w:rFonts w:ascii="Arial" w:hAnsi="Arial" w:cs="Arial"/>
          <w:bCs/>
        </w:rPr>
        <w:t>330</w:t>
      </w:r>
      <w:r>
        <w:rPr>
          <w:rFonts w:ascii="Arial" w:hAnsi="宋体" w:cs="Arial"/>
          <w:bCs/>
        </w:rPr>
        <w:t>提要或文摘附注等）、</w:t>
      </w:r>
      <w:r>
        <w:rPr>
          <w:rFonts w:ascii="Arial" w:hAnsi="Arial" w:cs="Arial"/>
          <w:bCs/>
        </w:rPr>
        <w:t>“4”</w:t>
      </w:r>
      <w:r>
        <w:rPr>
          <w:rFonts w:ascii="Arial" w:hAnsi="宋体" w:cs="Arial"/>
          <w:bCs/>
        </w:rPr>
        <w:t>连接款目块（</w:t>
      </w:r>
      <w:r>
        <w:rPr>
          <w:rFonts w:ascii="Arial" w:hAnsi="Arial" w:cs="Arial"/>
          <w:bCs/>
        </w:rPr>
        <w:t>410</w:t>
      </w:r>
      <w:r>
        <w:rPr>
          <w:rFonts w:ascii="Arial" w:hAnsi="宋体" w:cs="Arial"/>
          <w:bCs/>
        </w:rPr>
        <w:t>丛编、</w:t>
      </w:r>
      <w:r>
        <w:rPr>
          <w:rFonts w:ascii="Arial" w:hAnsi="Arial" w:cs="Arial"/>
          <w:bCs/>
        </w:rPr>
        <w:t>411</w:t>
      </w:r>
      <w:r>
        <w:rPr>
          <w:rFonts w:ascii="Arial" w:hAnsi="宋体" w:cs="Arial"/>
          <w:bCs/>
        </w:rPr>
        <w:t>附属丛编、</w:t>
      </w:r>
      <w:r>
        <w:rPr>
          <w:rFonts w:ascii="Arial" w:hAnsi="Arial" w:cs="Arial"/>
          <w:bCs/>
        </w:rPr>
        <w:t>461</w:t>
      </w:r>
      <w:r>
        <w:rPr>
          <w:rFonts w:ascii="Arial" w:hAnsi="宋体" w:cs="Arial"/>
          <w:bCs/>
        </w:rPr>
        <w:t>总集等）、</w:t>
      </w:r>
      <w:r>
        <w:rPr>
          <w:rFonts w:ascii="Arial" w:hAnsi="Arial" w:cs="Arial"/>
          <w:bCs/>
        </w:rPr>
        <w:t>“5”</w:t>
      </w:r>
      <w:r>
        <w:rPr>
          <w:rFonts w:ascii="Arial" w:hAnsi="宋体" w:cs="Arial"/>
          <w:bCs/>
        </w:rPr>
        <w:t>相关题名块（</w:t>
      </w:r>
      <w:r>
        <w:rPr>
          <w:rFonts w:ascii="Arial" w:hAnsi="Arial" w:cs="Arial"/>
          <w:bCs/>
        </w:rPr>
        <w:t>500</w:t>
      </w:r>
      <w:r>
        <w:rPr>
          <w:rFonts w:ascii="Arial" w:hAnsi="宋体" w:cs="Arial"/>
          <w:bCs/>
        </w:rPr>
        <w:t>统一题名、</w:t>
      </w:r>
      <w:r>
        <w:rPr>
          <w:rFonts w:ascii="Arial" w:hAnsi="Arial" w:cs="Arial"/>
          <w:bCs/>
        </w:rPr>
        <w:t>501</w:t>
      </w:r>
      <w:r>
        <w:rPr>
          <w:rFonts w:ascii="Arial" w:hAnsi="宋体" w:cs="Arial"/>
          <w:bCs/>
        </w:rPr>
        <w:t>作品集统一题名、</w:t>
      </w:r>
      <w:r>
        <w:rPr>
          <w:rFonts w:ascii="Arial" w:hAnsi="Arial" w:cs="Arial"/>
          <w:bCs/>
        </w:rPr>
        <w:t>510</w:t>
      </w:r>
      <w:r>
        <w:rPr>
          <w:rFonts w:ascii="Arial" w:hAnsi="宋体" w:cs="Arial"/>
          <w:bCs/>
        </w:rPr>
        <w:t>并列题名、</w:t>
      </w:r>
      <w:r>
        <w:rPr>
          <w:rFonts w:ascii="Arial" w:hAnsi="Arial" w:cs="Arial"/>
          <w:bCs/>
        </w:rPr>
        <w:t>512</w:t>
      </w:r>
      <w:r>
        <w:rPr>
          <w:rFonts w:ascii="Arial" w:hAnsi="宋体" w:cs="Arial"/>
          <w:bCs/>
        </w:rPr>
        <w:t>封面题名、</w:t>
      </w:r>
      <w:r>
        <w:rPr>
          <w:rFonts w:ascii="Arial" w:hAnsi="Arial" w:cs="Arial"/>
          <w:bCs/>
        </w:rPr>
        <w:t>513</w:t>
      </w:r>
      <w:r>
        <w:rPr>
          <w:rFonts w:ascii="Arial" w:hAnsi="宋体" w:cs="Arial"/>
          <w:bCs/>
        </w:rPr>
        <w:t>附加题名页题名，</w:t>
      </w:r>
      <w:r>
        <w:rPr>
          <w:rFonts w:ascii="Arial" w:hAnsi="Arial" w:cs="Arial"/>
          <w:bCs/>
        </w:rPr>
        <w:t>514</w:t>
      </w:r>
      <w:r>
        <w:rPr>
          <w:rFonts w:ascii="Arial" w:hAnsi="宋体" w:cs="Arial"/>
          <w:bCs/>
        </w:rPr>
        <w:t>卷端题名、</w:t>
      </w:r>
      <w:r>
        <w:rPr>
          <w:rFonts w:ascii="Arial" w:hAnsi="Arial" w:cs="Arial"/>
          <w:bCs/>
        </w:rPr>
        <w:t>515</w:t>
      </w:r>
      <w:r>
        <w:rPr>
          <w:rFonts w:ascii="Arial" w:hAnsi="宋体" w:cs="Arial"/>
          <w:bCs/>
        </w:rPr>
        <w:t>逐页题名、</w:t>
      </w:r>
      <w:r>
        <w:rPr>
          <w:rFonts w:ascii="Arial" w:hAnsi="Arial" w:cs="Arial"/>
          <w:bCs/>
        </w:rPr>
        <w:t>516</w:t>
      </w:r>
      <w:r>
        <w:rPr>
          <w:rFonts w:ascii="Arial" w:hAnsi="宋体" w:cs="Arial"/>
          <w:bCs/>
        </w:rPr>
        <w:t>书脊题名、</w:t>
      </w:r>
      <w:r>
        <w:rPr>
          <w:rFonts w:ascii="Arial" w:hAnsi="Arial" w:cs="Arial"/>
          <w:bCs/>
        </w:rPr>
        <w:t>517</w:t>
      </w:r>
      <w:r>
        <w:rPr>
          <w:rFonts w:ascii="Arial" w:hAnsi="宋体" w:cs="Arial"/>
          <w:bCs/>
        </w:rPr>
        <w:t>其它题名、</w:t>
      </w:r>
      <w:r>
        <w:rPr>
          <w:rFonts w:ascii="Arial" w:hAnsi="Arial" w:cs="Arial"/>
          <w:bCs/>
        </w:rPr>
        <w:t>540</w:t>
      </w:r>
      <w:r>
        <w:rPr>
          <w:rFonts w:ascii="Arial" w:hAnsi="宋体" w:cs="Arial"/>
          <w:bCs/>
        </w:rPr>
        <w:t>编目员补充的附加题名）、</w:t>
      </w:r>
      <w:r>
        <w:rPr>
          <w:rFonts w:ascii="Arial" w:hAnsi="Arial" w:cs="Arial"/>
          <w:bCs/>
        </w:rPr>
        <w:t>“6”</w:t>
      </w:r>
      <w:r>
        <w:rPr>
          <w:rFonts w:ascii="Arial" w:hAnsi="宋体" w:cs="Arial"/>
          <w:bCs/>
        </w:rPr>
        <w:t>主题分析块（</w:t>
      </w:r>
      <w:r>
        <w:rPr>
          <w:rFonts w:ascii="Arial" w:hAnsi="Arial" w:cs="Arial"/>
          <w:bCs/>
        </w:rPr>
        <w:t>600</w:t>
      </w:r>
      <w:r>
        <w:rPr>
          <w:rFonts w:ascii="Arial" w:hAnsi="宋体" w:cs="Arial"/>
          <w:bCs/>
        </w:rPr>
        <w:t>个人名称主题、</w:t>
      </w:r>
      <w:r>
        <w:rPr>
          <w:rFonts w:ascii="Arial" w:hAnsi="Arial" w:cs="Arial"/>
          <w:bCs/>
        </w:rPr>
        <w:t>601</w:t>
      </w:r>
      <w:r>
        <w:rPr>
          <w:rFonts w:ascii="Arial" w:hAnsi="宋体" w:cs="Arial"/>
          <w:bCs/>
        </w:rPr>
        <w:t>团体名称主题、</w:t>
      </w:r>
      <w:r>
        <w:rPr>
          <w:rFonts w:ascii="Arial" w:hAnsi="Arial" w:cs="Arial"/>
          <w:bCs/>
        </w:rPr>
        <w:t>602</w:t>
      </w:r>
      <w:r>
        <w:rPr>
          <w:rFonts w:ascii="Arial" w:hAnsi="宋体" w:cs="Arial"/>
          <w:bCs/>
        </w:rPr>
        <w:t>家族名称、</w:t>
      </w:r>
      <w:r>
        <w:rPr>
          <w:rFonts w:ascii="Arial" w:hAnsi="Arial" w:cs="Arial"/>
          <w:bCs/>
        </w:rPr>
        <w:t>604</w:t>
      </w:r>
      <w:r>
        <w:rPr>
          <w:rFonts w:ascii="Arial" w:hAnsi="宋体" w:cs="Arial"/>
          <w:bCs/>
        </w:rPr>
        <w:t>名称和题名主题、</w:t>
      </w:r>
      <w:r>
        <w:rPr>
          <w:rFonts w:ascii="Arial" w:hAnsi="Arial" w:cs="Arial"/>
          <w:bCs/>
        </w:rPr>
        <w:t>605</w:t>
      </w:r>
      <w:r>
        <w:rPr>
          <w:rFonts w:ascii="Arial" w:hAnsi="宋体" w:cs="Arial"/>
          <w:bCs/>
        </w:rPr>
        <w:t>题名主题、</w:t>
      </w:r>
      <w:r>
        <w:rPr>
          <w:rFonts w:ascii="Arial" w:hAnsi="Arial" w:cs="Arial"/>
          <w:bCs/>
        </w:rPr>
        <w:t>606</w:t>
      </w:r>
      <w:r>
        <w:rPr>
          <w:rFonts w:ascii="Arial" w:hAnsi="宋体" w:cs="Arial"/>
          <w:bCs/>
        </w:rPr>
        <w:t>科学名称主题、</w:t>
      </w:r>
      <w:r>
        <w:rPr>
          <w:rFonts w:ascii="Arial" w:hAnsi="Arial" w:cs="Arial"/>
          <w:bCs/>
        </w:rPr>
        <w:t>607</w:t>
      </w:r>
      <w:r>
        <w:rPr>
          <w:rFonts w:ascii="Arial" w:hAnsi="宋体" w:cs="Arial"/>
          <w:bCs/>
        </w:rPr>
        <w:t>地理名称主题、</w:t>
      </w:r>
      <w:r>
        <w:rPr>
          <w:rFonts w:ascii="Arial" w:hAnsi="Arial" w:cs="Arial"/>
          <w:bCs/>
        </w:rPr>
        <w:t>690</w:t>
      </w:r>
      <w:r>
        <w:rPr>
          <w:rFonts w:ascii="Arial" w:hAnsi="宋体" w:cs="Arial"/>
          <w:bCs/>
        </w:rPr>
        <w:t>中国图书馆分类法分类号）、</w:t>
      </w:r>
      <w:r>
        <w:rPr>
          <w:rFonts w:ascii="Arial" w:hAnsi="Arial" w:cs="Arial"/>
          <w:bCs/>
        </w:rPr>
        <w:t>“7”</w:t>
      </w:r>
      <w:r>
        <w:rPr>
          <w:rFonts w:ascii="Arial" w:hAnsi="宋体" w:cs="Arial"/>
          <w:bCs/>
        </w:rPr>
        <w:t>知识责任块（</w:t>
      </w:r>
      <w:r>
        <w:rPr>
          <w:rFonts w:ascii="Arial" w:hAnsi="Arial" w:cs="Arial"/>
          <w:bCs/>
        </w:rPr>
        <w:t>700</w:t>
      </w:r>
      <w:r>
        <w:rPr>
          <w:rFonts w:ascii="Arial" w:hAnsi="宋体" w:cs="Arial"/>
          <w:bCs/>
        </w:rPr>
        <w:t>个人名称</w:t>
      </w:r>
      <w:r>
        <w:rPr>
          <w:rFonts w:ascii="Arial" w:hAnsi="Arial" w:cs="Arial"/>
          <w:bCs/>
        </w:rPr>
        <w:t>——</w:t>
      </w:r>
      <w:r>
        <w:rPr>
          <w:rFonts w:ascii="Arial" w:hAnsi="宋体" w:cs="Arial"/>
          <w:bCs/>
        </w:rPr>
        <w:t>主要知识责任、</w:t>
      </w:r>
      <w:r>
        <w:rPr>
          <w:rFonts w:ascii="Arial" w:hAnsi="Arial" w:cs="Arial"/>
          <w:bCs/>
        </w:rPr>
        <w:t>701</w:t>
      </w:r>
      <w:r>
        <w:rPr>
          <w:rFonts w:ascii="Arial" w:hAnsi="宋体" w:cs="Arial"/>
          <w:bCs/>
        </w:rPr>
        <w:t>个人名称</w:t>
      </w:r>
      <w:r>
        <w:rPr>
          <w:rFonts w:ascii="Arial" w:hAnsi="Arial" w:cs="Arial"/>
          <w:bCs/>
        </w:rPr>
        <w:t>——</w:t>
      </w:r>
      <w:r>
        <w:rPr>
          <w:rFonts w:ascii="Arial" w:hAnsi="宋体" w:cs="Arial"/>
          <w:bCs/>
        </w:rPr>
        <w:t>等同知识责任、</w:t>
      </w:r>
      <w:r>
        <w:rPr>
          <w:rFonts w:ascii="Arial" w:hAnsi="Arial" w:cs="Arial"/>
          <w:bCs/>
        </w:rPr>
        <w:t>702</w:t>
      </w:r>
      <w:r>
        <w:rPr>
          <w:rFonts w:ascii="Arial" w:hAnsi="宋体" w:cs="Arial"/>
          <w:bCs/>
        </w:rPr>
        <w:t>个人名称</w:t>
      </w:r>
      <w:r>
        <w:rPr>
          <w:rFonts w:ascii="Arial" w:hAnsi="Arial" w:cs="Arial"/>
          <w:bCs/>
        </w:rPr>
        <w:t>——</w:t>
      </w:r>
      <w:r>
        <w:rPr>
          <w:rFonts w:ascii="Arial" w:hAnsi="宋体" w:cs="Arial"/>
          <w:bCs/>
        </w:rPr>
        <w:t>次要知识责任、</w:t>
      </w:r>
      <w:r>
        <w:rPr>
          <w:rFonts w:ascii="Arial" w:hAnsi="Arial" w:cs="Arial"/>
          <w:bCs/>
        </w:rPr>
        <w:t>710</w:t>
      </w:r>
      <w:r>
        <w:rPr>
          <w:rFonts w:ascii="Arial" w:hAnsi="宋体" w:cs="Arial"/>
          <w:bCs/>
        </w:rPr>
        <w:t>团体名称</w:t>
      </w:r>
      <w:r>
        <w:rPr>
          <w:rFonts w:ascii="Arial" w:hAnsi="Arial" w:cs="Arial"/>
          <w:bCs/>
        </w:rPr>
        <w:t>——</w:t>
      </w:r>
      <w:r>
        <w:rPr>
          <w:rFonts w:ascii="Arial" w:hAnsi="宋体" w:cs="Arial"/>
          <w:bCs/>
        </w:rPr>
        <w:t>主要知识责任、</w:t>
      </w:r>
      <w:r>
        <w:rPr>
          <w:rFonts w:ascii="Arial" w:hAnsi="Arial" w:cs="Arial"/>
          <w:bCs/>
        </w:rPr>
        <w:t>711</w:t>
      </w:r>
      <w:r>
        <w:rPr>
          <w:rFonts w:ascii="Arial" w:hAnsi="宋体" w:cs="Arial"/>
          <w:bCs/>
        </w:rPr>
        <w:t>团体名称</w:t>
      </w:r>
      <w:r>
        <w:rPr>
          <w:rFonts w:ascii="Arial" w:hAnsi="Arial" w:cs="Arial"/>
          <w:bCs/>
        </w:rPr>
        <w:t>——</w:t>
      </w:r>
      <w:r>
        <w:rPr>
          <w:rFonts w:ascii="Arial" w:hAnsi="宋体" w:cs="Arial"/>
          <w:bCs/>
        </w:rPr>
        <w:t>等同知识责任、</w:t>
      </w:r>
      <w:r>
        <w:rPr>
          <w:rFonts w:ascii="Arial" w:hAnsi="Arial" w:cs="Arial"/>
          <w:bCs/>
        </w:rPr>
        <w:t>712</w:t>
      </w:r>
      <w:r>
        <w:rPr>
          <w:rFonts w:ascii="Arial" w:hAnsi="宋体" w:cs="Arial"/>
          <w:bCs/>
        </w:rPr>
        <w:t>团体名称</w:t>
      </w:r>
      <w:r>
        <w:rPr>
          <w:rFonts w:ascii="Arial" w:hAnsi="Arial" w:cs="Arial"/>
          <w:bCs/>
        </w:rPr>
        <w:t>——</w:t>
      </w:r>
      <w:r>
        <w:rPr>
          <w:rFonts w:ascii="Arial" w:hAnsi="宋体" w:cs="Arial"/>
          <w:bCs/>
        </w:rPr>
        <w:t>次要知识责任、</w:t>
      </w:r>
      <w:r>
        <w:rPr>
          <w:rFonts w:ascii="Arial" w:hAnsi="Arial" w:cs="Arial"/>
          <w:bCs/>
        </w:rPr>
        <w:t>720</w:t>
      </w:r>
      <w:r>
        <w:rPr>
          <w:rFonts w:ascii="Arial" w:hAnsi="宋体" w:cs="Arial"/>
          <w:bCs/>
        </w:rPr>
        <w:t>家庭名称</w:t>
      </w:r>
      <w:r>
        <w:rPr>
          <w:rFonts w:ascii="Arial" w:hAnsi="Arial" w:cs="Arial"/>
          <w:bCs/>
        </w:rPr>
        <w:t>——</w:t>
      </w:r>
      <w:r>
        <w:rPr>
          <w:rFonts w:ascii="Arial" w:hAnsi="宋体" w:cs="Arial"/>
          <w:bCs/>
        </w:rPr>
        <w:t>主要知识责任、</w:t>
      </w:r>
      <w:r>
        <w:rPr>
          <w:rFonts w:ascii="Arial" w:hAnsi="Arial" w:cs="Arial"/>
          <w:bCs/>
        </w:rPr>
        <w:t>721</w:t>
      </w:r>
      <w:r>
        <w:rPr>
          <w:rFonts w:ascii="Arial" w:hAnsi="宋体" w:cs="Arial"/>
          <w:bCs/>
        </w:rPr>
        <w:t>家庭名称</w:t>
      </w:r>
      <w:r>
        <w:rPr>
          <w:rFonts w:ascii="Arial" w:hAnsi="Arial" w:cs="Arial"/>
          <w:bCs/>
        </w:rPr>
        <w:t>——</w:t>
      </w:r>
      <w:r>
        <w:rPr>
          <w:rFonts w:ascii="Arial" w:hAnsi="宋体" w:cs="Arial"/>
          <w:bCs/>
        </w:rPr>
        <w:t>等同知识责任、</w:t>
      </w:r>
      <w:r>
        <w:rPr>
          <w:rFonts w:ascii="Arial" w:hAnsi="Arial" w:cs="Arial"/>
          <w:bCs/>
        </w:rPr>
        <w:t>722</w:t>
      </w:r>
      <w:r>
        <w:rPr>
          <w:rFonts w:ascii="Arial" w:hAnsi="宋体" w:cs="Arial"/>
          <w:bCs/>
        </w:rPr>
        <w:t>家庭名称</w:t>
      </w:r>
      <w:r>
        <w:rPr>
          <w:rFonts w:ascii="Arial" w:hAnsi="Arial" w:cs="Arial"/>
          <w:bCs/>
        </w:rPr>
        <w:t>——</w:t>
      </w:r>
      <w:r>
        <w:rPr>
          <w:rFonts w:ascii="Arial" w:hAnsi="宋体" w:cs="Arial"/>
          <w:bCs/>
        </w:rPr>
        <w:t>次要知识责任）、</w:t>
      </w:r>
      <w:r>
        <w:rPr>
          <w:rFonts w:ascii="Arial" w:hAnsi="Arial" w:cs="Arial"/>
          <w:bCs/>
        </w:rPr>
        <w:t>801</w:t>
      </w:r>
      <w:r>
        <w:rPr>
          <w:rFonts w:ascii="Arial" w:hAnsi="宋体" w:cs="Arial"/>
          <w:bCs/>
        </w:rPr>
        <w:t>记录来源、</w:t>
      </w:r>
      <w:r>
        <w:rPr>
          <w:rFonts w:ascii="Arial" w:hAnsi="Arial" w:cs="Arial"/>
          <w:bCs/>
        </w:rPr>
        <w:t>905</w:t>
      </w:r>
      <w:r>
        <w:rPr>
          <w:rFonts w:ascii="Arial" w:hAnsi="宋体" w:cs="Arial"/>
          <w:bCs/>
        </w:rPr>
        <w:t>馆藏信息。</w:t>
      </w:r>
    </w:p>
    <w:p w14:paraId="54CA93B8">
      <w:pPr>
        <w:pStyle w:val="26"/>
        <w:spacing w:line="420" w:lineRule="exact"/>
        <w:ind w:firstLine="420" w:firstLineChars="200"/>
        <w:rPr>
          <w:rFonts w:ascii="Arial" w:hAnsi="宋体" w:cs="Arial"/>
          <w:bCs/>
        </w:rPr>
      </w:pPr>
      <w:r>
        <w:rPr>
          <w:rFonts w:hint="eastAsia" w:ascii="Arial" w:hAnsi="宋体" w:cs="Arial"/>
          <w:bCs/>
        </w:rPr>
        <w:t>3、</w:t>
      </w:r>
      <w:r>
        <w:rPr>
          <w:rFonts w:ascii="Arial" w:hAnsi="宋体" w:cs="Arial"/>
          <w:bCs/>
        </w:rPr>
        <w:t>如果图书有纸质附件，附件有其独立题名，内容较丰富，应按普通图书的加工流程加工附件，如果附件的题名与图书题名不一致时，须在所属图书的机读编目数据中的附注项说明其附件的题名，同时在附件机读编目数据中的附注项说明图书的题名。</w:t>
      </w:r>
      <w:r>
        <w:rPr>
          <w:rFonts w:hint="eastAsia" w:ascii="Arial" w:hAnsi="宋体" w:cs="Arial"/>
          <w:bCs/>
        </w:rPr>
        <w:t>如果附件没有实质内容（如笔记本）、过小（小于13cm</w:t>
      </w:r>
      <w:r>
        <w:rPr>
          <w:rFonts w:ascii="Arial" w:hAnsi="宋体" w:cs="Arial"/>
          <w:bCs/>
        </w:rPr>
        <w:t>）</w:t>
      </w:r>
      <w:r>
        <w:rPr>
          <w:rFonts w:hint="eastAsia" w:ascii="Arial" w:hAnsi="宋体" w:cs="Arial"/>
          <w:bCs/>
        </w:rPr>
        <w:t>、过薄（</w:t>
      </w:r>
      <w:r>
        <w:rPr>
          <w:rFonts w:hint="eastAsia" w:hAnsi="宋体" w:cs="Arial"/>
          <w:bCs/>
        </w:rPr>
        <w:t>＜</w:t>
      </w:r>
      <w:r>
        <w:rPr>
          <w:rFonts w:hint="eastAsia" w:ascii="Arial" w:hAnsi="宋体" w:cs="Arial"/>
          <w:bCs/>
        </w:rPr>
        <w:t>30页）则无需加工，</w:t>
      </w:r>
      <w:r>
        <w:rPr>
          <w:rFonts w:ascii="Arial" w:hAnsi="宋体" w:cs="Arial"/>
          <w:bCs/>
        </w:rPr>
        <w:t>只需在图书机读编目数据的附注项作附注说明</w:t>
      </w:r>
      <w:r>
        <w:rPr>
          <w:rFonts w:hint="eastAsia" w:ascii="Arial" w:hAnsi="宋体" w:cs="Arial"/>
          <w:bCs/>
        </w:rPr>
        <w:t>即可</w:t>
      </w:r>
      <w:r>
        <w:rPr>
          <w:rFonts w:ascii="Arial" w:hAnsi="宋体" w:cs="Arial"/>
          <w:bCs/>
        </w:rPr>
        <w:t>。</w:t>
      </w:r>
    </w:p>
    <w:p w14:paraId="2D684920">
      <w:pPr>
        <w:pStyle w:val="26"/>
        <w:spacing w:line="420" w:lineRule="exact"/>
        <w:ind w:firstLine="420" w:firstLineChars="200"/>
        <w:rPr>
          <w:rFonts w:ascii="Arial" w:hAnsi="宋体" w:cs="Arial"/>
          <w:b/>
          <w:bCs/>
        </w:rPr>
      </w:pPr>
      <w:r>
        <w:rPr>
          <w:rFonts w:hint="eastAsia" w:ascii="Arial" w:hAnsi="宋体" w:cs="Arial"/>
          <w:bCs/>
        </w:rPr>
        <w:t>二、</w:t>
      </w:r>
      <w:r>
        <w:rPr>
          <w:rFonts w:ascii="Arial" w:hAnsi="宋体" w:cs="Arial"/>
          <w:b/>
          <w:bCs/>
        </w:rPr>
        <w:t>影印版</w:t>
      </w:r>
      <w:r>
        <w:rPr>
          <w:rFonts w:hint="eastAsia" w:ascii="Arial" w:hAnsi="宋体" w:cs="Arial"/>
          <w:b/>
          <w:bCs/>
        </w:rPr>
        <w:t>或内地英文版</w:t>
      </w:r>
      <w:r>
        <w:rPr>
          <w:rFonts w:ascii="Arial" w:hAnsi="宋体" w:cs="Arial"/>
          <w:b/>
          <w:bCs/>
        </w:rPr>
        <w:t>图书分编细则：</w:t>
      </w:r>
    </w:p>
    <w:p w14:paraId="71C29D00">
      <w:pPr>
        <w:pStyle w:val="26"/>
        <w:spacing w:line="420" w:lineRule="exact"/>
        <w:ind w:firstLine="420" w:firstLineChars="200"/>
        <w:rPr>
          <w:rFonts w:ascii="Arial" w:hAnsi="宋体" w:cs="Arial"/>
        </w:rPr>
      </w:pPr>
      <w:r>
        <w:rPr>
          <w:rFonts w:hint="eastAsia" w:ascii="Arial" w:hAnsi="宋体" w:cs="Arial"/>
          <w:bCs/>
        </w:rPr>
        <w:t>1、</w:t>
      </w:r>
      <w:r>
        <w:rPr>
          <w:rFonts w:ascii="Arial" w:hAnsi="宋体" w:cs="Arial"/>
        </w:rPr>
        <w:t>为每一种图书做一条</w:t>
      </w:r>
      <w:r>
        <w:rPr>
          <w:rFonts w:ascii="Arial" w:hAnsi="Arial" w:cs="Arial"/>
        </w:rPr>
        <w:t>USMARC</w:t>
      </w:r>
      <w:r>
        <w:rPr>
          <w:rFonts w:ascii="Arial" w:hAnsi="宋体" w:cs="Arial"/>
        </w:rPr>
        <w:t>数据，机读目录数据一定要规范准确，符合《</w:t>
      </w:r>
      <w:r>
        <w:rPr>
          <w:rFonts w:ascii="Arial" w:hAnsi="Arial" w:cs="Arial"/>
        </w:rPr>
        <w:t>CALIS</w:t>
      </w:r>
      <w:r>
        <w:rPr>
          <w:rFonts w:ascii="Arial" w:hAnsi="宋体" w:cs="Arial"/>
        </w:rPr>
        <w:t>联机合作编目手册》、《西文文献著录条例》和《英美编目规则》的著录要求。</w:t>
      </w:r>
      <w:r>
        <w:rPr>
          <w:rFonts w:ascii="Arial" w:hAnsi="宋体" w:cs="Arial"/>
          <w:bCs/>
        </w:rPr>
        <w:t>分类按《中国图书馆分类法》最新版进行标引，分类标引须尽量细化、准确。</w:t>
      </w:r>
      <w:r>
        <w:rPr>
          <w:rFonts w:ascii="Arial" w:hAnsi="宋体" w:cs="Arial"/>
        </w:rPr>
        <w:t>每一条机读目录数据应能准确、全面地揭示图书的内容特征及外形特征。</w:t>
      </w:r>
    </w:p>
    <w:p w14:paraId="017836D2">
      <w:pPr>
        <w:pStyle w:val="26"/>
        <w:spacing w:line="420" w:lineRule="exact"/>
        <w:ind w:firstLine="420" w:firstLineChars="200"/>
        <w:rPr>
          <w:rFonts w:hAnsi="宋体"/>
          <w:bCs/>
        </w:rPr>
      </w:pPr>
      <w:r>
        <w:rPr>
          <w:rFonts w:hint="eastAsia" w:ascii="Arial" w:hAnsi="宋体" w:cs="Arial"/>
        </w:rPr>
        <w:t>2、</w:t>
      </w:r>
      <w:r>
        <w:rPr>
          <w:rFonts w:ascii="Arial" w:hAnsi="宋体" w:cs="Arial"/>
        </w:rPr>
        <w:t>图书附件如有自己的独立题名，内容较多且独立，应按普通图书分编加工处理，并在所属图书的机读目录数据中的附注项说明其附件的题名，并在</w:t>
      </w:r>
      <w:r>
        <w:rPr>
          <w:rFonts w:ascii="Arial" w:hAnsi="Arial" w:cs="Arial"/>
        </w:rPr>
        <w:t>500</w:t>
      </w:r>
      <w:r>
        <w:rPr>
          <w:rFonts w:ascii="Arial" w:hAnsi="宋体" w:cs="Arial"/>
        </w:rPr>
        <w:t>字段中作一个条形码链接说明，即在主件的编目数据中说明附件的条形码号，在附件的编目数据中说明主件的条形码号。如果无需加工，只需在图书机读编目数据的附注项作附注说明则可</w:t>
      </w:r>
      <w:r>
        <w:rPr>
          <w:rFonts w:hint="eastAsia" w:ascii="Arial" w:hAnsi="宋体" w:cs="Arial"/>
        </w:rPr>
        <w:t>。</w:t>
      </w:r>
    </w:p>
    <w:p w14:paraId="79492DE3">
      <w:pPr>
        <w:rPr>
          <w:rFonts w:ascii="宋体"/>
          <w:b/>
          <w:sz w:val="32"/>
          <w:szCs w:val="32"/>
        </w:rPr>
      </w:pPr>
      <w:r>
        <w:rPr>
          <w:rFonts w:hint="eastAsia" w:ascii="宋体"/>
          <w:b/>
          <w:sz w:val="32"/>
          <w:szCs w:val="32"/>
        </w:rPr>
        <w:br w:type="page"/>
      </w:r>
    </w:p>
    <w:p w14:paraId="26DA5921">
      <w:pPr>
        <w:snapToGrid w:val="0"/>
        <w:spacing w:line="400" w:lineRule="exact"/>
        <w:jc w:val="center"/>
        <w:rPr>
          <w:rFonts w:ascii="宋体"/>
          <w:b/>
          <w:sz w:val="32"/>
          <w:szCs w:val="32"/>
        </w:rPr>
      </w:pPr>
    </w:p>
    <w:p w14:paraId="1EFFA75A">
      <w:pPr>
        <w:snapToGrid w:val="0"/>
        <w:spacing w:line="400" w:lineRule="exact"/>
        <w:jc w:val="center"/>
        <w:rPr>
          <w:rFonts w:ascii="宋体"/>
          <w:b/>
          <w:sz w:val="32"/>
          <w:szCs w:val="32"/>
        </w:rPr>
      </w:pPr>
    </w:p>
    <w:p w14:paraId="61ABB5A5">
      <w:pPr>
        <w:snapToGrid w:val="0"/>
        <w:spacing w:line="400" w:lineRule="exact"/>
        <w:jc w:val="center"/>
        <w:rPr>
          <w:rFonts w:ascii="宋体"/>
          <w:b/>
          <w:sz w:val="32"/>
          <w:szCs w:val="32"/>
        </w:rPr>
      </w:pPr>
    </w:p>
    <w:p w14:paraId="48B8099E">
      <w:pPr>
        <w:snapToGrid w:val="0"/>
        <w:spacing w:line="400" w:lineRule="exact"/>
        <w:jc w:val="center"/>
        <w:rPr>
          <w:rFonts w:ascii="宋体"/>
          <w:b/>
          <w:sz w:val="32"/>
          <w:szCs w:val="32"/>
        </w:rPr>
      </w:pPr>
    </w:p>
    <w:p w14:paraId="49A5545C">
      <w:pPr>
        <w:snapToGrid w:val="0"/>
        <w:spacing w:line="400" w:lineRule="exact"/>
        <w:jc w:val="center"/>
        <w:rPr>
          <w:rFonts w:ascii="宋体"/>
          <w:b/>
          <w:sz w:val="32"/>
          <w:szCs w:val="32"/>
        </w:rPr>
      </w:pPr>
    </w:p>
    <w:p w14:paraId="3F93D5C8">
      <w:pPr>
        <w:snapToGrid w:val="0"/>
        <w:spacing w:line="400" w:lineRule="exact"/>
        <w:jc w:val="center"/>
        <w:rPr>
          <w:rFonts w:ascii="宋体"/>
          <w:b/>
          <w:sz w:val="32"/>
          <w:szCs w:val="32"/>
        </w:rPr>
      </w:pPr>
    </w:p>
    <w:p w14:paraId="16BCE354">
      <w:pPr>
        <w:snapToGrid w:val="0"/>
        <w:spacing w:line="400" w:lineRule="exact"/>
        <w:jc w:val="center"/>
        <w:rPr>
          <w:rFonts w:ascii="宋体"/>
          <w:b/>
          <w:sz w:val="32"/>
          <w:szCs w:val="32"/>
        </w:rPr>
      </w:pPr>
    </w:p>
    <w:p w14:paraId="596C936D">
      <w:pPr>
        <w:snapToGrid w:val="0"/>
        <w:spacing w:line="400" w:lineRule="exact"/>
        <w:jc w:val="center"/>
        <w:rPr>
          <w:rFonts w:ascii="宋体"/>
          <w:b/>
          <w:sz w:val="32"/>
          <w:szCs w:val="32"/>
        </w:rPr>
      </w:pPr>
    </w:p>
    <w:p w14:paraId="6ED61B64">
      <w:pPr>
        <w:snapToGrid w:val="0"/>
        <w:spacing w:line="400" w:lineRule="exact"/>
        <w:jc w:val="center"/>
        <w:rPr>
          <w:rFonts w:ascii="宋体"/>
          <w:b/>
          <w:sz w:val="32"/>
          <w:szCs w:val="32"/>
        </w:rPr>
      </w:pPr>
    </w:p>
    <w:p w14:paraId="3BE28D9A">
      <w:pPr>
        <w:snapToGrid w:val="0"/>
        <w:spacing w:line="400" w:lineRule="exact"/>
        <w:jc w:val="center"/>
        <w:rPr>
          <w:rFonts w:ascii="宋体"/>
          <w:b/>
          <w:sz w:val="32"/>
          <w:szCs w:val="32"/>
        </w:rPr>
      </w:pPr>
    </w:p>
    <w:p w14:paraId="70534ADC">
      <w:pPr>
        <w:snapToGrid w:val="0"/>
        <w:spacing w:line="400" w:lineRule="exact"/>
        <w:jc w:val="center"/>
        <w:rPr>
          <w:rFonts w:ascii="宋体"/>
          <w:b/>
          <w:sz w:val="32"/>
          <w:szCs w:val="32"/>
        </w:rPr>
      </w:pPr>
    </w:p>
    <w:p w14:paraId="4C9B7D1A">
      <w:pPr>
        <w:snapToGrid w:val="0"/>
        <w:spacing w:line="400" w:lineRule="exact"/>
        <w:rPr>
          <w:rFonts w:ascii="宋体"/>
          <w:b/>
          <w:sz w:val="32"/>
          <w:szCs w:val="32"/>
        </w:rPr>
      </w:pPr>
    </w:p>
    <w:p w14:paraId="172CED49">
      <w:pPr>
        <w:pStyle w:val="46"/>
        <w:rPr>
          <w:sz w:val="44"/>
          <w:szCs w:val="44"/>
        </w:rPr>
      </w:pPr>
      <w:bookmarkStart w:id="51" w:name="_Toc476436433"/>
      <w:bookmarkStart w:id="52" w:name="_Toc476436174"/>
      <w:r>
        <w:rPr>
          <w:rFonts w:hint="eastAsia"/>
          <w:sz w:val="44"/>
          <w:szCs w:val="44"/>
        </w:rPr>
        <w:t>第三章  投标人须知</w:t>
      </w:r>
      <w:bookmarkEnd w:id="51"/>
      <w:bookmarkEnd w:id="52"/>
    </w:p>
    <w:p w14:paraId="671358D4">
      <w:pPr>
        <w:snapToGrid w:val="0"/>
        <w:jc w:val="center"/>
        <w:rPr>
          <w:rFonts w:ascii="黑体" w:eastAsia="黑体"/>
          <w:sz w:val="32"/>
          <w:szCs w:val="32"/>
        </w:rPr>
      </w:pPr>
    </w:p>
    <w:p w14:paraId="42D4D29A">
      <w:pPr>
        <w:snapToGrid w:val="0"/>
        <w:jc w:val="center"/>
        <w:rPr>
          <w:rFonts w:ascii="黑体" w:eastAsia="黑体"/>
          <w:sz w:val="32"/>
          <w:szCs w:val="32"/>
        </w:rPr>
      </w:pPr>
    </w:p>
    <w:p w14:paraId="6F1E62DE">
      <w:pPr>
        <w:snapToGrid w:val="0"/>
        <w:jc w:val="center"/>
        <w:rPr>
          <w:rFonts w:ascii="黑体" w:eastAsia="黑体"/>
          <w:sz w:val="32"/>
          <w:szCs w:val="32"/>
        </w:rPr>
      </w:pPr>
    </w:p>
    <w:p w14:paraId="45EB3DB4">
      <w:pPr>
        <w:snapToGrid w:val="0"/>
        <w:jc w:val="center"/>
        <w:rPr>
          <w:rFonts w:ascii="黑体" w:eastAsia="黑体"/>
          <w:sz w:val="32"/>
          <w:szCs w:val="32"/>
        </w:rPr>
      </w:pPr>
    </w:p>
    <w:p w14:paraId="362A166D">
      <w:pPr>
        <w:snapToGrid w:val="0"/>
        <w:jc w:val="center"/>
        <w:rPr>
          <w:rFonts w:ascii="黑体" w:eastAsia="黑体"/>
          <w:sz w:val="32"/>
          <w:szCs w:val="32"/>
        </w:rPr>
      </w:pPr>
    </w:p>
    <w:p w14:paraId="3E384358">
      <w:pPr>
        <w:snapToGrid w:val="0"/>
        <w:jc w:val="center"/>
        <w:rPr>
          <w:rFonts w:ascii="黑体" w:eastAsia="黑体"/>
          <w:sz w:val="32"/>
          <w:szCs w:val="32"/>
        </w:rPr>
      </w:pPr>
    </w:p>
    <w:p w14:paraId="3B04637E">
      <w:pPr>
        <w:snapToGrid w:val="0"/>
        <w:jc w:val="center"/>
        <w:rPr>
          <w:rFonts w:ascii="黑体" w:eastAsia="黑体"/>
          <w:sz w:val="32"/>
          <w:szCs w:val="32"/>
        </w:rPr>
      </w:pPr>
    </w:p>
    <w:p w14:paraId="567400EA">
      <w:pPr>
        <w:snapToGrid w:val="0"/>
        <w:jc w:val="center"/>
        <w:rPr>
          <w:rFonts w:ascii="黑体" w:eastAsia="黑体"/>
          <w:sz w:val="32"/>
          <w:szCs w:val="32"/>
        </w:rPr>
      </w:pPr>
    </w:p>
    <w:p w14:paraId="636D1F41">
      <w:pPr>
        <w:snapToGrid w:val="0"/>
        <w:jc w:val="center"/>
        <w:rPr>
          <w:rFonts w:ascii="黑体" w:eastAsia="黑体"/>
          <w:sz w:val="32"/>
          <w:szCs w:val="32"/>
        </w:rPr>
      </w:pPr>
    </w:p>
    <w:p w14:paraId="720F265A">
      <w:pPr>
        <w:snapToGrid w:val="0"/>
        <w:jc w:val="center"/>
        <w:rPr>
          <w:rFonts w:ascii="黑体" w:eastAsia="黑体"/>
          <w:sz w:val="32"/>
          <w:szCs w:val="32"/>
        </w:rPr>
      </w:pPr>
    </w:p>
    <w:p w14:paraId="0A60CA0B">
      <w:pPr>
        <w:snapToGrid w:val="0"/>
        <w:jc w:val="center"/>
        <w:rPr>
          <w:rFonts w:ascii="黑体" w:eastAsia="黑体"/>
          <w:sz w:val="32"/>
          <w:szCs w:val="32"/>
        </w:rPr>
      </w:pPr>
    </w:p>
    <w:p w14:paraId="4FB05ADE">
      <w:pPr>
        <w:snapToGrid w:val="0"/>
        <w:jc w:val="center"/>
        <w:rPr>
          <w:rFonts w:ascii="黑体" w:eastAsia="黑体"/>
          <w:sz w:val="32"/>
          <w:szCs w:val="32"/>
        </w:rPr>
      </w:pPr>
    </w:p>
    <w:p w14:paraId="07E1E5C0">
      <w:pPr>
        <w:snapToGrid w:val="0"/>
        <w:jc w:val="center"/>
        <w:rPr>
          <w:rFonts w:ascii="黑体" w:eastAsia="黑体"/>
          <w:sz w:val="32"/>
          <w:szCs w:val="32"/>
        </w:rPr>
      </w:pPr>
    </w:p>
    <w:p w14:paraId="12B68D0F">
      <w:pPr>
        <w:spacing w:line="720" w:lineRule="auto"/>
        <w:jc w:val="center"/>
        <w:rPr>
          <w:b/>
          <w:sz w:val="32"/>
          <w:szCs w:val="32"/>
        </w:rPr>
      </w:pPr>
      <w:r>
        <w:rPr>
          <w:rFonts w:hint="eastAsia" w:ascii="仿宋_GB2312" w:eastAsia="仿宋_GB2312"/>
        </w:rPr>
        <w:br w:type="page"/>
      </w:r>
      <w:r>
        <w:rPr>
          <w:rFonts w:hint="eastAsia"/>
          <w:b/>
          <w:sz w:val="32"/>
          <w:szCs w:val="32"/>
        </w:rPr>
        <w:t>投标</w:t>
      </w:r>
      <w:bookmarkStart w:id="53" w:name="_Toc254970526"/>
      <w:bookmarkStart w:id="54" w:name="_Toc254970667"/>
      <w:r>
        <w:rPr>
          <w:rFonts w:hint="eastAsia"/>
          <w:b/>
          <w:sz w:val="32"/>
          <w:szCs w:val="32"/>
        </w:rPr>
        <w:t>人须知及前附表</w:t>
      </w:r>
      <w:bookmarkEnd w:id="53"/>
      <w:bookmarkEnd w:id="54"/>
    </w:p>
    <w:tbl>
      <w:tblPr>
        <w:tblStyle w:val="50"/>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8"/>
        <w:gridCol w:w="9099"/>
      </w:tblGrid>
      <w:tr w14:paraId="42F528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09" w:hRule="atLeast"/>
        </w:trPr>
        <w:tc>
          <w:tcPr>
            <w:tcW w:w="648" w:type="dxa"/>
            <w:tcBorders>
              <w:top w:val="single" w:color="auto" w:sz="4" w:space="0"/>
              <w:left w:val="single" w:color="auto" w:sz="4" w:space="0"/>
              <w:bottom w:val="single" w:color="auto" w:sz="4" w:space="0"/>
              <w:right w:val="single" w:color="auto" w:sz="4" w:space="0"/>
            </w:tcBorders>
            <w:vAlign w:val="center"/>
          </w:tcPr>
          <w:p w14:paraId="21BB8EDB">
            <w:pPr>
              <w:snapToGrid w:val="0"/>
              <w:spacing w:line="360" w:lineRule="exact"/>
              <w:jc w:val="center"/>
              <w:rPr>
                <w:rFonts w:ascii="宋体"/>
                <w:szCs w:val="21"/>
              </w:rPr>
            </w:pPr>
            <w:r>
              <w:rPr>
                <w:rFonts w:hint="eastAsia" w:ascii="宋体"/>
                <w:szCs w:val="21"/>
              </w:rPr>
              <w:t>序号</w:t>
            </w:r>
          </w:p>
        </w:tc>
        <w:tc>
          <w:tcPr>
            <w:tcW w:w="9099" w:type="dxa"/>
            <w:tcBorders>
              <w:top w:val="single" w:color="auto" w:sz="4" w:space="0"/>
              <w:left w:val="single" w:color="auto" w:sz="4" w:space="0"/>
              <w:bottom w:val="single" w:color="auto" w:sz="4" w:space="0"/>
              <w:right w:val="single" w:color="auto" w:sz="4" w:space="0"/>
            </w:tcBorders>
            <w:vAlign w:val="center"/>
          </w:tcPr>
          <w:p w14:paraId="707AB6A9">
            <w:pPr>
              <w:snapToGrid w:val="0"/>
              <w:spacing w:line="360" w:lineRule="exact"/>
              <w:jc w:val="center"/>
              <w:rPr>
                <w:rFonts w:ascii="宋体"/>
                <w:szCs w:val="21"/>
              </w:rPr>
            </w:pPr>
            <w:r>
              <w:rPr>
                <w:rFonts w:hint="eastAsia" w:ascii="宋体"/>
                <w:szCs w:val="21"/>
              </w:rPr>
              <w:t>内容、要求</w:t>
            </w:r>
          </w:p>
        </w:tc>
      </w:tr>
      <w:tr w14:paraId="3E7D73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648" w:type="dxa"/>
            <w:tcBorders>
              <w:top w:val="single" w:color="auto" w:sz="4" w:space="0"/>
              <w:left w:val="single" w:color="auto" w:sz="4" w:space="0"/>
              <w:bottom w:val="single" w:color="auto" w:sz="4" w:space="0"/>
              <w:right w:val="single" w:color="auto" w:sz="4" w:space="0"/>
            </w:tcBorders>
            <w:vAlign w:val="center"/>
          </w:tcPr>
          <w:p w14:paraId="67148093">
            <w:pPr>
              <w:numPr>
                <w:ilvl w:val="0"/>
                <w:numId w:val="1"/>
              </w:numPr>
              <w:snapToGrid w:val="0"/>
              <w:spacing w:line="360" w:lineRule="exact"/>
              <w:jc w:val="center"/>
              <w:rPr>
                <w:rFonts w:ascii="宋体"/>
                <w:szCs w:val="21"/>
              </w:rPr>
            </w:pPr>
          </w:p>
        </w:tc>
        <w:tc>
          <w:tcPr>
            <w:tcW w:w="9099" w:type="dxa"/>
            <w:tcBorders>
              <w:top w:val="single" w:color="auto" w:sz="4" w:space="0"/>
              <w:left w:val="single" w:color="auto" w:sz="4" w:space="0"/>
              <w:bottom w:val="single" w:color="auto" w:sz="4" w:space="0"/>
              <w:right w:val="single" w:color="auto" w:sz="4" w:space="0"/>
            </w:tcBorders>
            <w:vAlign w:val="center"/>
          </w:tcPr>
          <w:p w14:paraId="1E9B6351">
            <w:pPr>
              <w:snapToGrid w:val="0"/>
              <w:spacing w:line="360" w:lineRule="exact"/>
              <w:rPr>
                <w:rFonts w:ascii="宋体"/>
                <w:szCs w:val="21"/>
              </w:rPr>
            </w:pPr>
            <w:r>
              <w:rPr>
                <w:rFonts w:hint="eastAsia" w:ascii="宋体"/>
                <w:szCs w:val="21"/>
              </w:rPr>
              <w:t>采购项目名称：</w:t>
            </w:r>
            <w:r>
              <w:rPr>
                <w:rFonts w:hint="eastAsia" w:ascii="宋体"/>
                <w:szCs w:val="21"/>
                <w:lang w:eastAsia="zh-CN"/>
              </w:rPr>
              <w:t>广西医科大学2026-2028年纸质图书采购</w:t>
            </w:r>
            <w:r>
              <w:rPr>
                <w:rFonts w:hint="eastAsia" w:ascii="宋体"/>
                <w:szCs w:val="21"/>
              </w:rPr>
              <w:t xml:space="preserve"> </w:t>
            </w:r>
          </w:p>
          <w:p w14:paraId="3CAE4D45">
            <w:pPr>
              <w:snapToGrid w:val="0"/>
              <w:spacing w:line="360" w:lineRule="exact"/>
              <w:rPr>
                <w:rFonts w:hint="eastAsia" w:ascii="宋体" w:eastAsia="宋体"/>
                <w:szCs w:val="21"/>
                <w:lang w:eastAsia="zh-CN"/>
              </w:rPr>
            </w:pPr>
            <w:r>
              <w:rPr>
                <w:rFonts w:hint="eastAsia" w:ascii="宋体"/>
                <w:szCs w:val="21"/>
              </w:rPr>
              <w:t>采购项目编号：</w:t>
            </w:r>
            <w:r>
              <w:rPr>
                <w:rFonts w:hint="eastAsia" w:ascii="宋体"/>
                <w:szCs w:val="21"/>
                <w:lang w:eastAsia="zh-CN"/>
              </w:rPr>
              <w:t>GXZC2026-G1-000611-GLZB</w:t>
            </w:r>
          </w:p>
        </w:tc>
      </w:tr>
      <w:tr w14:paraId="7337ED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48" w:type="dxa"/>
            <w:tcBorders>
              <w:top w:val="single" w:color="auto" w:sz="4" w:space="0"/>
              <w:left w:val="single" w:color="auto" w:sz="4" w:space="0"/>
              <w:bottom w:val="single" w:color="auto" w:sz="4" w:space="0"/>
              <w:right w:val="single" w:color="auto" w:sz="4" w:space="0"/>
            </w:tcBorders>
            <w:vAlign w:val="center"/>
          </w:tcPr>
          <w:p w14:paraId="14E5FCB5">
            <w:pPr>
              <w:numPr>
                <w:ilvl w:val="0"/>
                <w:numId w:val="1"/>
              </w:numPr>
              <w:snapToGrid w:val="0"/>
              <w:spacing w:line="360" w:lineRule="exact"/>
              <w:jc w:val="center"/>
              <w:rPr>
                <w:rFonts w:ascii="宋体"/>
                <w:szCs w:val="21"/>
              </w:rPr>
            </w:pPr>
          </w:p>
        </w:tc>
        <w:tc>
          <w:tcPr>
            <w:tcW w:w="9099" w:type="dxa"/>
            <w:tcBorders>
              <w:top w:val="single" w:color="auto" w:sz="4" w:space="0"/>
              <w:left w:val="single" w:color="auto" w:sz="4" w:space="0"/>
              <w:bottom w:val="single" w:color="auto" w:sz="4" w:space="0"/>
              <w:right w:val="single" w:color="auto" w:sz="4" w:space="0"/>
            </w:tcBorders>
            <w:vAlign w:val="center"/>
          </w:tcPr>
          <w:p w14:paraId="78D81719">
            <w:pPr>
              <w:snapToGrid w:val="0"/>
              <w:spacing w:line="360" w:lineRule="exact"/>
              <w:rPr>
                <w:rFonts w:ascii="宋体"/>
                <w:szCs w:val="21"/>
              </w:rPr>
            </w:pPr>
            <w:r>
              <w:rPr>
                <w:rFonts w:hint="eastAsia" w:ascii="宋体"/>
                <w:szCs w:val="21"/>
              </w:rPr>
              <w:t>投标报价及费用：1、本项目投标应以</w:t>
            </w:r>
            <w:r>
              <w:rPr>
                <w:rFonts w:hint="eastAsia" w:ascii="宋体"/>
                <w:b/>
                <w:bCs/>
                <w:szCs w:val="21"/>
              </w:rPr>
              <w:t>折扣率</w:t>
            </w:r>
            <w:r>
              <w:rPr>
                <w:rFonts w:hint="eastAsia" w:ascii="宋体"/>
                <w:szCs w:val="21"/>
              </w:rPr>
              <w:t>报价；2、不论投标结果如何，投标人均应自行承担所有与投标有关的全部费用；3、本项目的代理服务费按投标人须知第九条规定的（货物类）标准采用差额定率累进计费方式计算，由中标人向采购代理机构支付。</w:t>
            </w:r>
          </w:p>
        </w:tc>
      </w:tr>
      <w:tr w14:paraId="0D6188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648" w:type="dxa"/>
            <w:tcBorders>
              <w:top w:val="single" w:color="auto" w:sz="4" w:space="0"/>
              <w:left w:val="single" w:color="auto" w:sz="4" w:space="0"/>
              <w:bottom w:val="single" w:color="auto" w:sz="4" w:space="0"/>
              <w:right w:val="single" w:color="auto" w:sz="4" w:space="0"/>
            </w:tcBorders>
            <w:vAlign w:val="center"/>
          </w:tcPr>
          <w:p w14:paraId="5B0D6213">
            <w:pPr>
              <w:numPr>
                <w:ilvl w:val="0"/>
                <w:numId w:val="1"/>
              </w:numPr>
              <w:snapToGrid w:val="0"/>
              <w:spacing w:line="360" w:lineRule="exact"/>
              <w:jc w:val="center"/>
              <w:rPr>
                <w:rFonts w:ascii="宋体"/>
                <w:szCs w:val="21"/>
              </w:rPr>
            </w:pPr>
          </w:p>
        </w:tc>
        <w:tc>
          <w:tcPr>
            <w:tcW w:w="9099" w:type="dxa"/>
            <w:tcBorders>
              <w:top w:val="single" w:color="auto" w:sz="4" w:space="0"/>
              <w:left w:val="single" w:color="auto" w:sz="4" w:space="0"/>
              <w:bottom w:val="single" w:color="auto" w:sz="4" w:space="0"/>
              <w:right w:val="single" w:color="auto" w:sz="4" w:space="0"/>
            </w:tcBorders>
            <w:vAlign w:val="center"/>
          </w:tcPr>
          <w:p w14:paraId="66AC2C99">
            <w:pPr>
              <w:snapToGrid w:val="0"/>
              <w:spacing w:line="360" w:lineRule="exact"/>
              <w:rPr>
                <w:b/>
              </w:rPr>
            </w:pPr>
            <w:r>
              <w:rPr>
                <w:rFonts w:hint="eastAsia" w:ascii="宋体"/>
                <w:szCs w:val="21"/>
              </w:rPr>
              <w:t>投标保证金（人民币）：详见本项目公开招标公告。</w:t>
            </w:r>
          </w:p>
          <w:p w14:paraId="16265B0E">
            <w:pPr>
              <w:snapToGrid w:val="0"/>
              <w:spacing w:line="360" w:lineRule="exact"/>
              <w:rPr>
                <w:rFonts w:ascii="宋体"/>
                <w:color w:val="FF0000"/>
                <w:szCs w:val="21"/>
              </w:rPr>
            </w:pPr>
            <w:r>
              <w:rPr>
                <w:rFonts w:hint="eastAsia"/>
              </w:rPr>
              <w:t>投标保证金必须根据招标公告的要求进行缴纳，否则视为无效投标保证金。本项目不接受现金形式或从个人账户转出的投标保证金。</w:t>
            </w:r>
          </w:p>
        </w:tc>
      </w:tr>
      <w:tr w14:paraId="46507F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7" w:hRule="atLeast"/>
        </w:trPr>
        <w:tc>
          <w:tcPr>
            <w:tcW w:w="648" w:type="dxa"/>
            <w:tcBorders>
              <w:top w:val="single" w:color="auto" w:sz="4" w:space="0"/>
              <w:left w:val="single" w:color="auto" w:sz="4" w:space="0"/>
              <w:bottom w:val="single" w:color="auto" w:sz="4" w:space="0"/>
              <w:right w:val="single" w:color="auto" w:sz="4" w:space="0"/>
            </w:tcBorders>
            <w:vAlign w:val="center"/>
          </w:tcPr>
          <w:p w14:paraId="37C84A3E">
            <w:pPr>
              <w:numPr>
                <w:ilvl w:val="0"/>
                <w:numId w:val="1"/>
              </w:numPr>
              <w:snapToGrid w:val="0"/>
              <w:spacing w:line="360" w:lineRule="exact"/>
              <w:jc w:val="center"/>
              <w:rPr>
                <w:rFonts w:ascii="宋体"/>
                <w:szCs w:val="21"/>
              </w:rPr>
            </w:pPr>
          </w:p>
        </w:tc>
        <w:tc>
          <w:tcPr>
            <w:tcW w:w="9099" w:type="dxa"/>
            <w:tcBorders>
              <w:top w:val="single" w:color="auto" w:sz="4" w:space="0"/>
              <w:left w:val="single" w:color="auto" w:sz="4" w:space="0"/>
              <w:bottom w:val="single" w:color="auto" w:sz="4" w:space="0"/>
              <w:right w:val="single" w:color="auto" w:sz="4" w:space="0"/>
            </w:tcBorders>
            <w:vAlign w:val="center"/>
          </w:tcPr>
          <w:p w14:paraId="4DDBAC0F">
            <w:pPr>
              <w:snapToGrid w:val="0"/>
              <w:spacing w:line="360" w:lineRule="exact"/>
              <w:rPr>
                <w:rFonts w:ascii="宋体"/>
                <w:szCs w:val="21"/>
              </w:rPr>
            </w:pPr>
            <w:r>
              <w:rPr>
                <w:rFonts w:hint="eastAsia" w:ascii="宋体"/>
                <w:szCs w:val="21"/>
              </w:rPr>
              <w:t>现场踏勘：</w:t>
            </w:r>
            <w:r>
              <w:rPr>
                <w:rFonts w:hint="eastAsia" w:ascii="宋体"/>
                <w:szCs w:val="21"/>
                <w:u w:val="single"/>
              </w:rPr>
              <w:t xml:space="preserve">             无           </w:t>
            </w:r>
            <w:r>
              <w:rPr>
                <w:rFonts w:hint="eastAsia" w:ascii="宋体"/>
                <w:szCs w:val="21"/>
              </w:rPr>
              <w:t>。</w:t>
            </w:r>
          </w:p>
        </w:tc>
      </w:tr>
      <w:tr w14:paraId="41BE03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trPr>
        <w:tc>
          <w:tcPr>
            <w:tcW w:w="648" w:type="dxa"/>
            <w:tcBorders>
              <w:top w:val="single" w:color="auto" w:sz="4" w:space="0"/>
              <w:left w:val="single" w:color="auto" w:sz="4" w:space="0"/>
              <w:bottom w:val="single" w:color="auto" w:sz="4" w:space="0"/>
              <w:right w:val="single" w:color="auto" w:sz="4" w:space="0"/>
            </w:tcBorders>
            <w:vAlign w:val="center"/>
          </w:tcPr>
          <w:p w14:paraId="66A05BE0">
            <w:pPr>
              <w:numPr>
                <w:ilvl w:val="0"/>
                <w:numId w:val="1"/>
              </w:numPr>
              <w:snapToGrid w:val="0"/>
              <w:spacing w:line="360" w:lineRule="exact"/>
              <w:jc w:val="center"/>
              <w:rPr>
                <w:rFonts w:ascii="宋体"/>
                <w:szCs w:val="21"/>
              </w:rPr>
            </w:pPr>
          </w:p>
        </w:tc>
        <w:tc>
          <w:tcPr>
            <w:tcW w:w="9099" w:type="dxa"/>
            <w:tcBorders>
              <w:top w:val="single" w:color="auto" w:sz="4" w:space="0"/>
              <w:left w:val="single" w:color="auto" w:sz="4" w:space="0"/>
              <w:bottom w:val="single" w:color="auto" w:sz="4" w:space="0"/>
              <w:right w:val="single" w:color="auto" w:sz="4" w:space="0"/>
            </w:tcBorders>
            <w:vAlign w:val="center"/>
          </w:tcPr>
          <w:p w14:paraId="175C66F3">
            <w:pPr>
              <w:snapToGrid w:val="0"/>
              <w:spacing w:line="360" w:lineRule="exact"/>
              <w:rPr>
                <w:rFonts w:ascii="宋体"/>
                <w:szCs w:val="21"/>
              </w:rPr>
            </w:pPr>
            <w:r>
              <w:rPr>
                <w:rFonts w:hint="eastAsia" w:ascii="宋体"/>
                <w:szCs w:val="21"/>
              </w:rPr>
              <w:t>演示时间及地点：</w:t>
            </w:r>
            <w:r>
              <w:rPr>
                <w:rFonts w:hint="eastAsia" w:ascii="宋体"/>
                <w:szCs w:val="21"/>
                <w:u w:val="single"/>
              </w:rPr>
              <w:t xml:space="preserve">         无         </w:t>
            </w:r>
            <w:r>
              <w:rPr>
                <w:rFonts w:hint="eastAsia" w:ascii="宋体"/>
                <w:szCs w:val="21"/>
              </w:rPr>
              <w:t>。</w:t>
            </w:r>
          </w:p>
        </w:tc>
      </w:tr>
      <w:tr w14:paraId="43CDA6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648" w:type="dxa"/>
            <w:tcBorders>
              <w:top w:val="single" w:color="auto" w:sz="4" w:space="0"/>
              <w:left w:val="single" w:color="auto" w:sz="4" w:space="0"/>
              <w:bottom w:val="single" w:color="auto" w:sz="4" w:space="0"/>
              <w:right w:val="single" w:color="auto" w:sz="4" w:space="0"/>
            </w:tcBorders>
            <w:vAlign w:val="center"/>
          </w:tcPr>
          <w:p w14:paraId="1E7D3187">
            <w:pPr>
              <w:numPr>
                <w:ilvl w:val="0"/>
                <w:numId w:val="1"/>
              </w:numPr>
              <w:snapToGrid w:val="0"/>
              <w:spacing w:line="360" w:lineRule="exact"/>
              <w:jc w:val="center"/>
              <w:rPr>
                <w:rFonts w:ascii="宋体"/>
                <w:szCs w:val="21"/>
              </w:rPr>
            </w:pPr>
          </w:p>
        </w:tc>
        <w:tc>
          <w:tcPr>
            <w:tcW w:w="9099" w:type="dxa"/>
            <w:tcBorders>
              <w:top w:val="single" w:color="auto" w:sz="4" w:space="0"/>
              <w:left w:val="single" w:color="auto" w:sz="4" w:space="0"/>
              <w:bottom w:val="single" w:color="auto" w:sz="4" w:space="0"/>
              <w:right w:val="single" w:color="auto" w:sz="4" w:space="0"/>
            </w:tcBorders>
            <w:vAlign w:val="center"/>
          </w:tcPr>
          <w:p w14:paraId="30AAAE87">
            <w:pPr>
              <w:snapToGrid w:val="0"/>
              <w:spacing w:line="360" w:lineRule="exact"/>
              <w:rPr>
                <w:rFonts w:ascii="宋体"/>
                <w:szCs w:val="21"/>
              </w:rPr>
            </w:pPr>
            <w:r>
              <w:rPr>
                <w:rFonts w:hint="eastAsia" w:ascii="宋体"/>
                <w:szCs w:val="21"/>
              </w:rPr>
              <w:t>答疑、澄清：投标人如认为招标文件表述不清晰、有误或有不合理要求的，应以书面形式要求采购人或者本公司作出书面答疑、澄清；</w:t>
            </w:r>
          </w:p>
          <w:p w14:paraId="7DDBD6EB">
            <w:pPr>
              <w:snapToGrid w:val="0"/>
              <w:spacing w:line="360" w:lineRule="exact"/>
              <w:rPr>
                <w:rFonts w:ascii="宋体"/>
                <w:szCs w:val="21"/>
              </w:rPr>
            </w:pPr>
            <w:r>
              <w:rPr>
                <w:rFonts w:hint="eastAsia" w:ascii="宋体"/>
                <w:szCs w:val="21"/>
              </w:rPr>
              <w:t>询问、质疑：投标人如认为招标文件存在歧视性、排他性或者其他违法内容的，按投标人须知“一、总则（九）询问、质疑和投诉”中的要求向采购人或者本公司提出书面询问、质疑。</w:t>
            </w:r>
          </w:p>
          <w:p w14:paraId="5D5A666C">
            <w:pPr>
              <w:snapToGrid w:val="0"/>
              <w:spacing w:line="360" w:lineRule="exact"/>
              <w:rPr>
                <w:rFonts w:ascii="宋体"/>
                <w:szCs w:val="21"/>
              </w:rPr>
            </w:pPr>
            <w:r>
              <w:rPr>
                <w:rFonts w:hint="eastAsia" w:ascii="宋体"/>
                <w:szCs w:val="21"/>
              </w:rPr>
              <w:t>答疑、澄清内容是招标文件的组成部份，本公司将以书面形式送达所有已报名的投标人；本公司可以视采购具体情况，延长招标文件或者资格预审文件提供期限，并在财政部门指定的政府采购信息发布媒体上发布公告。</w:t>
            </w:r>
          </w:p>
        </w:tc>
      </w:tr>
      <w:tr w14:paraId="053AE9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648" w:type="dxa"/>
            <w:tcBorders>
              <w:top w:val="single" w:color="auto" w:sz="4" w:space="0"/>
              <w:left w:val="single" w:color="auto" w:sz="4" w:space="0"/>
              <w:bottom w:val="single" w:color="auto" w:sz="4" w:space="0"/>
              <w:right w:val="single" w:color="auto" w:sz="4" w:space="0"/>
            </w:tcBorders>
            <w:vAlign w:val="center"/>
          </w:tcPr>
          <w:p w14:paraId="2C4679C2">
            <w:pPr>
              <w:numPr>
                <w:ilvl w:val="0"/>
                <w:numId w:val="1"/>
              </w:numPr>
              <w:snapToGrid w:val="0"/>
              <w:spacing w:line="360" w:lineRule="exact"/>
              <w:jc w:val="center"/>
              <w:rPr>
                <w:rFonts w:ascii="宋体"/>
                <w:szCs w:val="21"/>
              </w:rPr>
            </w:pPr>
          </w:p>
        </w:tc>
        <w:tc>
          <w:tcPr>
            <w:tcW w:w="9099" w:type="dxa"/>
            <w:tcBorders>
              <w:top w:val="single" w:color="auto" w:sz="4" w:space="0"/>
              <w:left w:val="single" w:color="auto" w:sz="4" w:space="0"/>
              <w:bottom w:val="single" w:color="auto" w:sz="4" w:space="0"/>
              <w:right w:val="single" w:color="auto" w:sz="4" w:space="0"/>
            </w:tcBorders>
            <w:vAlign w:val="center"/>
          </w:tcPr>
          <w:p w14:paraId="18F9BB2E">
            <w:pPr>
              <w:autoSpaceDE w:val="0"/>
              <w:autoSpaceDN w:val="0"/>
              <w:snapToGrid w:val="0"/>
              <w:spacing w:line="360" w:lineRule="exact"/>
              <w:textAlignment w:val="bottom"/>
              <w:rPr>
                <w:rFonts w:ascii="宋体"/>
                <w:szCs w:val="21"/>
              </w:rPr>
            </w:pPr>
            <w:r>
              <w:rPr>
                <w:rFonts w:hint="eastAsia" w:ascii="宋体"/>
                <w:szCs w:val="21"/>
              </w:rPr>
              <w:t>投标文件形式：投标供应商应准备电子投标文件。</w:t>
            </w:r>
          </w:p>
          <w:p w14:paraId="4A8BF535">
            <w:pPr>
              <w:autoSpaceDE w:val="0"/>
              <w:autoSpaceDN w:val="0"/>
              <w:snapToGrid w:val="0"/>
              <w:spacing w:line="360" w:lineRule="exact"/>
              <w:textAlignment w:val="bottom"/>
              <w:rPr>
                <w:rFonts w:ascii="宋体"/>
                <w:szCs w:val="21"/>
              </w:rPr>
            </w:pPr>
            <w:r>
              <w:rPr>
                <w:rFonts w:hint="eastAsia" w:ascii="宋体"/>
                <w:szCs w:val="21"/>
              </w:rPr>
              <w:t>电子投标文件是指通过“广西政府采购云平台电子投标客户端”完成投标文件编制后生成并加密的数据电文形式的电子加密投标文件。</w:t>
            </w:r>
          </w:p>
        </w:tc>
      </w:tr>
      <w:tr w14:paraId="0E603C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648" w:type="dxa"/>
            <w:tcBorders>
              <w:top w:val="single" w:color="auto" w:sz="4" w:space="0"/>
              <w:left w:val="single" w:color="auto" w:sz="4" w:space="0"/>
              <w:bottom w:val="single" w:color="auto" w:sz="4" w:space="0"/>
              <w:right w:val="single" w:color="auto" w:sz="4" w:space="0"/>
            </w:tcBorders>
            <w:vAlign w:val="center"/>
          </w:tcPr>
          <w:p w14:paraId="6765B43A">
            <w:pPr>
              <w:numPr>
                <w:ilvl w:val="0"/>
                <w:numId w:val="1"/>
              </w:numPr>
              <w:snapToGrid w:val="0"/>
              <w:spacing w:line="360" w:lineRule="exact"/>
              <w:jc w:val="center"/>
              <w:rPr>
                <w:rFonts w:ascii="宋体"/>
                <w:szCs w:val="21"/>
              </w:rPr>
            </w:pPr>
          </w:p>
        </w:tc>
        <w:tc>
          <w:tcPr>
            <w:tcW w:w="9099" w:type="dxa"/>
            <w:tcBorders>
              <w:top w:val="single" w:color="auto" w:sz="4" w:space="0"/>
              <w:left w:val="single" w:color="auto" w:sz="4" w:space="0"/>
              <w:bottom w:val="single" w:color="auto" w:sz="4" w:space="0"/>
              <w:right w:val="single" w:color="auto" w:sz="4" w:space="0"/>
            </w:tcBorders>
            <w:vAlign w:val="center"/>
          </w:tcPr>
          <w:p w14:paraId="03568596">
            <w:pPr>
              <w:autoSpaceDE w:val="0"/>
              <w:autoSpaceDN w:val="0"/>
              <w:snapToGrid w:val="0"/>
              <w:spacing w:line="360" w:lineRule="exact"/>
              <w:textAlignment w:val="bottom"/>
              <w:rPr>
                <w:rFonts w:ascii="宋体"/>
                <w:szCs w:val="21"/>
              </w:rPr>
            </w:pPr>
            <w:r>
              <w:rPr>
                <w:rFonts w:hint="eastAsia" w:ascii="宋体"/>
                <w:szCs w:val="21"/>
              </w:rPr>
              <w:t>投标文件的编制：供应商应先安装“广西政府采购云平台电子投标客户端”，并按照本招标文件和“广西政府采购云平台”的要求，通过“广西政府采购云平台电子投标客户端”编制并加密投标文件。</w:t>
            </w:r>
          </w:p>
        </w:tc>
      </w:tr>
      <w:tr w14:paraId="5D7C6C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648" w:type="dxa"/>
            <w:tcBorders>
              <w:top w:val="single" w:color="auto" w:sz="4" w:space="0"/>
              <w:left w:val="single" w:color="auto" w:sz="4" w:space="0"/>
              <w:bottom w:val="single" w:color="auto" w:sz="4" w:space="0"/>
              <w:right w:val="single" w:color="auto" w:sz="4" w:space="0"/>
            </w:tcBorders>
            <w:vAlign w:val="center"/>
          </w:tcPr>
          <w:p w14:paraId="181691C0">
            <w:pPr>
              <w:numPr>
                <w:ilvl w:val="0"/>
                <w:numId w:val="1"/>
              </w:numPr>
              <w:snapToGrid w:val="0"/>
              <w:spacing w:line="360" w:lineRule="exact"/>
              <w:jc w:val="center"/>
              <w:rPr>
                <w:rFonts w:ascii="宋体"/>
                <w:szCs w:val="21"/>
              </w:rPr>
            </w:pPr>
          </w:p>
        </w:tc>
        <w:tc>
          <w:tcPr>
            <w:tcW w:w="9099" w:type="dxa"/>
            <w:tcBorders>
              <w:top w:val="single" w:color="auto" w:sz="4" w:space="0"/>
              <w:left w:val="single" w:color="auto" w:sz="4" w:space="0"/>
              <w:bottom w:val="single" w:color="auto" w:sz="4" w:space="0"/>
              <w:right w:val="single" w:color="auto" w:sz="4" w:space="0"/>
            </w:tcBorders>
            <w:vAlign w:val="center"/>
          </w:tcPr>
          <w:p w14:paraId="54E1140F">
            <w:pPr>
              <w:autoSpaceDE w:val="0"/>
              <w:autoSpaceDN w:val="0"/>
              <w:snapToGrid w:val="0"/>
              <w:spacing w:line="360" w:lineRule="exact"/>
              <w:textAlignment w:val="bottom"/>
              <w:rPr>
                <w:rFonts w:ascii="宋体"/>
                <w:szCs w:val="21"/>
              </w:rPr>
            </w:pPr>
            <w:r>
              <w:rPr>
                <w:rFonts w:hint="eastAsia" w:ascii="宋体"/>
                <w:szCs w:val="21"/>
              </w:rPr>
              <w:t>投标文件的盖章：投标文件中所涉及的加盖公章均采用CA电子签章。</w:t>
            </w:r>
          </w:p>
        </w:tc>
      </w:tr>
      <w:tr w14:paraId="3E92F9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648" w:type="dxa"/>
            <w:tcBorders>
              <w:top w:val="single" w:color="auto" w:sz="4" w:space="0"/>
              <w:left w:val="single" w:color="auto" w:sz="4" w:space="0"/>
              <w:bottom w:val="single" w:color="auto" w:sz="4" w:space="0"/>
              <w:right w:val="single" w:color="auto" w:sz="4" w:space="0"/>
            </w:tcBorders>
            <w:vAlign w:val="center"/>
          </w:tcPr>
          <w:p w14:paraId="664B6BFC">
            <w:pPr>
              <w:numPr>
                <w:ilvl w:val="0"/>
                <w:numId w:val="1"/>
              </w:numPr>
              <w:snapToGrid w:val="0"/>
              <w:spacing w:line="360" w:lineRule="exact"/>
              <w:jc w:val="center"/>
              <w:rPr>
                <w:rFonts w:ascii="宋体"/>
                <w:szCs w:val="21"/>
              </w:rPr>
            </w:pPr>
          </w:p>
        </w:tc>
        <w:tc>
          <w:tcPr>
            <w:tcW w:w="9099" w:type="dxa"/>
            <w:tcBorders>
              <w:top w:val="single" w:color="auto" w:sz="4" w:space="0"/>
              <w:left w:val="single" w:color="auto" w:sz="4" w:space="0"/>
              <w:bottom w:val="single" w:color="auto" w:sz="4" w:space="0"/>
              <w:right w:val="single" w:color="auto" w:sz="4" w:space="0"/>
            </w:tcBorders>
            <w:vAlign w:val="center"/>
          </w:tcPr>
          <w:p w14:paraId="2E62C931">
            <w:pPr>
              <w:autoSpaceDE w:val="0"/>
              <w:autoSpaceDN w:val="0"/>
              <w:snapToGrid w:val="0"/>
              <w:spacing w:line="360" w:lineRule="exact"/>
              <w:textAlignment w:val="bottom"/>
              <w:rPr>
                <w:rFonts w:ascii="宋体"/>
                <w:szCs w:val="21"/>
              </w:rPr>
            </w:pPr>
            <w:r>
              <w:rPr>
                <w:rFonts w:hint="eastAsia" w:ascii="宋体"/>
                <w:szCs w:val="21"/>
              </w:rPr>
              <w:t>法定代表人或其授权代表签字或盖章：本招标文件所涉及的法定代表人或其授权代表签字或盖章的内容，如果投标单位没有法定代表人电子签章，涉及到法定代表人或其授权代表签字或盖章的内容，投标单位可以线下签字或盖章后扫描上传。</w:t>
            </w:r>
          </w:p>
        </w:tc>
      </w:tr>
      <w:tr w14:paraId="102DF2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648" w:type="dxa"/>
            <w:tcBorders>
              <w:top w:val="single" w:color="auto" w:sz="4" w:space="0"/>
              <w:left w:val="single" w:color="auto" w:sz="4" w:space="0"/>
              <w:bottom w:val="single" w:color="auto" w:sz="4" w:space="0"/>
              <w:right w:val="single" w:color="auto" w:sz="4" w:space="0"/>
            </w:tcBorders>
            <w:vAlign w:val="center"/>
          </w:tcPr>
          <w:p w14:paraId="5B86E1B0">
            <w:pPr>
              <w:numPr>
                <w:ilvl w:val="0"/>
                <w:numId w:val="1"/>
              </w:numPr>
              <w:snapToGrid w:val="0"/>
              <w:spacing w:line="360" w:lineRule="exact"/>
              <w:jc w:val="center"/>
              <w:rPr>
                <w:rFonts w:ascii="宋体"/>
                <w:szCs w:val="21"/>
              </w:rPr>
            </w:pPr>
          </w:p>
        </w:tc>
        <w:tc>
          <w:tcPr>
            <w:tcW w:w="9099" w:type="dxa"/>
            <w:tcBorders>
              <w:top w:val="single" w:color="auto" w:sz="4" w:space="0"/>
              <w:left w:val="single" w:color="auto" w:sz="4" w:space="0"/>
              <w:bottom w:val="single" w:color="auto" w:sz="4" w:space="0"/>
              <w:right w:val="single" w:color="auto" w:sz="4" w:space="0"/>
            </w:tcBorders>
            <w:vAlign w:val="center"/>
          </w:tcPr>
          <w:p w14:paraId="3EB441F2">
            <w:pPr>
              <w:autoSpaceDE w:val="0"/>
              <w:autoSpaceDN w:val="0"/>
              <w:snapToGrid w:val="0"/>
              <w:spacing w:line="360" w:lineRule="exact"/>
              <w:textAlignment w:val="bottom"/>
              <w:rPr>
                <w:rFonts w:ascii="宋体"/>
                <w:szCs w:val="21"/>
              </w:rPr>
            </w:pPr>
            <w:r>
              <w:rPr>
                <w:rFonts w:hint="eastAsia" w:ascii="宋体"/>
                <w:szCs w:val="21"/>
              </w:rPr>
              <w:t>投标文件份数：电子加密投标文件在线上传提交一份。</w:t>
            </w:r>
          </w:p>
        </w:tc>
      </w:tr>
      <w:tr w14:paraId="5B052E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3" w:hRule="atLeast"/>
        </w:trPr>
        <w:tc>
          <w:tcPr>
            <w:tcW w:w="648" w:type="dxa"/>
            <w:tcBorders>
              <w:top w:val="single" w:color="auto" w:sz="4" w:space="0"/>
              <w:left w:val="single" w:color="auto" w:sz="4" w:space="0"/>
              <w:bottom w:val="single" w:color="auto" w:sz="4" w:space="0"/>
              <w:right w:val="single" w:color="auto" w:sz="4" w:space="0"/>
            </w:tcBorders>
            <w:vAlign w:val="center"/>
          </w:tcPr>
          <w:p w14:paraId="6709E53C">
            <w:pPr>
              <w:numPr>
                <w:ilvl w:val="0"/>
                <w:numId w:val="1"/>
              </w:numPr>
              <w:snapToGrid w:val="0"/>
              <w:spacing w:line="360" w:lineRule="exact"/>
              <w:jc w:val="center"/>
              <w:rPr>
                <w:rFonts w:ascii="宋体"/>
                <w:szCs w:val="21"/>
              </w:rPr>
            </w:pPr>
          </w:p>
        </w:tc>
        <w:tc>
          <w:tcPr>
            <w:tcW w:w="9099" w:type="dxa"/>
            <w:tcBorders>
              <w:top w:val="single" w:color="auto" w:sz="4" w:space="0"/>
              <w:left w:val="single" w:color="auto" w:sz="4" w:space="0"/>
              <w:bottom w:val="single" w:color="auto" w:sz="4" w:space="0"/>
              <w:right w:val="single" w:color="auto" w:sz="4" w:space="0"/>
            </w:tcBorders>
            <w:vAlign w:val="center"/>
          </w:tcPr>
          <w:p w14:paraId="3B6CA8FD">
            <w:pPr>
              <w:autoSpaceDE w:val="0"/>
              <w:autoSpaceDN w:val="0"/>
              <w:snapToGrid w:val="0"/>
              <w:spacing w:line="360" w:lineRule="exact"/>
              <w:textAlignment w:val="bottom"/>
              <w:rPr>
                <w:rFonts w:ascii="宋体"/>
                <w:szCs w:val="21"/>
              </w:rPr>
            </w:pPr>
            <w:r>
              <w:rPr>
                <w:rFonts w:hint="eastAsia" w:ascii="宋体"/>
                <w:szCs w:val="21"/>
              </w:rPr>
              <w:t>投标文件的上传和提交：本项目通过“</w:t>
            </w:r>
            <w:r>
              <w:rPr>
                <w:rFonts w:hint="eastAsia" w:ascii="宋体" w:hAnsi="宋体"/>
                <w:bCs/>
              </w:rPr>
              <w:t>广西政府采购云平台</w:t>
            </w:r>
            <w:r>
              <w:rPr>
                <w:rFonts w:hint="eastAsia" w:ascii="宋体"/>
                <w:szCs w:val="21"/>
              </w:rPr>
              <w:t>”</w:t>
            </w:r>
            <w:r>
              <w:rPr>
                <w:rFonts w:ascii="宋体"/>
                <w:szCs w:val="21"/>
              </w:rPr>
              <w:t>实行在线投标响应（电子投标），投标供应商应当在投标截止时间前，将生成的</w:t>
            </w:r>
            <w:r>
              <w:rPr>
                <w:rFonts w:hint="eastAsia" w:ascii="宋体"/>
                <w:szCs w:val="21"/>
              </w:rPr>
              <w:t>“</w:t>
            </w:r>
            <w:r>
              <w:rPr>
                <w:rFonts w:ascii="宋体"/>
                <w:szCs w:val="21"/>
              </w:rPr>
              <w:t>电子加密投标文件</w:t>
            </w:r>
            <w:r>
              <w:rPr>
                <w:rFonts w:hint="eastAsia" w:ascii="宋体"/>
                <w:szCs w:val="21"/>
              </w:rPr>
              <w:t>”</w:t>
            </w:r>
            <w:r>
              <w:rPr>
                <w:rFonts w:ascii="宋体"/>
                <w:szCs w:val="21"/>
              </w:rPr>
              <w:t>上传提交至“</w:t>
            </w:r>
            <w:r>
              <w:rPr>
                <w:rFonts w:hint="eastAsia" w:ascii="宋体" w:hAnsi="宋体"/>
              </w:rPr>
              <w:t>广西政府采购云平台</w:t>
            </w:r>
            <w:r>
              <w:rPr>
                <w:rFonts w:hint="eastAsia" w:ascii="宋体"/>
                <w:szCs w:val="21"/>
              </w:rPr>
              <w:t>”</w:t>
            </w:r>
            <w:r>
              <w:rPr>
                <w:rFonts w:ascii="宋体"/>
                <w:szCs w:val="21"/>
              </w:rPr>
              <w:t>。</w:t>
            </w:r>
          </w:p>
          <w:p w14:paraId="53057102">
            <w:pPr>
              <w:autoSpaceDE w:val="0"/>
              <w:autoSpaceDN w:val="0"/>
              <w:snapToGrid w:val="0"/>
              <w:spacing w:line="360" w:lineRule="exact"/>
              <w:textAlignment w:val="bottom"/>
              <w:rPr>
                <w:rFonts w:ascii="宋体"/>
                <w:szCs w:val="21"/>
              </w:rPr>
            </w:pPr>
            <w:r>
              <w:rPr>
                <w:rFonts w:hint="eastAsia" w:ascii="宋体"/>
                <w:szCs w:val="21"/>
              </w:rPr>
              <w:t>“电子加密投标文件”的上传、提交：</w:t>
            </w:r>
          </w:p>
          <w:p w14:paraId="454A3DCD">
            <w:pPr>
              <w:autoSpaceDE w:val="0"/>
              <w:autoSpaceDN w:val="0"/>
              <w:snapToGrid w:val="0"/>
              <w:spacing w:line="360" w:lineRule="exact"/>
              <w:textAlignment w:val="bottom"/>
              <w:rPr>
                <w:rFonts w:ascii="宋体"/>
                <w:szCs w:val="21"/>
              </w:rPr>
            </w:pPr>
            <w:r>
              <w:rPr>
                <w:rFonts w:hint="eastAsia" w:ascii="宋体"/>
                <w:szCs w:val="21"/>
              </w:rPr>
              <w:t>a.投标供应商应在投标截止时间前将“电子加密投标文件”成功上传提交至“</w:t>
            </w:r>
            <w:r>
              <w:rPr>
                <w:rFonts w:hint="eastAsia" w:ascii="宋体" w:hAnsi="宋体"/>
              </w:rPr>
              <w:t>广西政府采购云平台</w:t>
            </w:r>
            <w:r>
              <w:rPr>
                <w:rFonts w:hint="eastAsia" w:ascii="宋体"/>
                <w:szCs w:val="21"/>
              </w:rPr>
              <w:t>”，否则投标无效。</w:t>
            </w:r>
          </w:p>
          <w:p w14:paraId="2A7FE6AC">
            <w:pPr>
              <w:autoSpaceDE w:val="0"/>
              <w:autoSpaceDN w:val="0"/>
              <w:snapToGrid w:val="0"/>
              <w:spacing w:line="360" w:lineRule="exact"/>
              <w:textAlignment w:val="bottom"/>
              <w:rPr>
                <w:rFonts w:ascii="宋体"/>
                <w:szCs w:val="21"/>
              </w:rPr>
            </w:pPr>
            <w:r>
              <w:rPr>
                <w:rFonts w:hint="eastAsia" w:ascii="宋体"/>
                <w:szCs w:val="21"/>
              </w:rPr>
              <w:t>b.“电子加密投标文件”成功上传提交后，供应商可自行打印投标文件接收回执。</w:t>
            </w:r>
          </w:p>
        </w:tc>
      </w:tr>
      <w:tr w14:paraId="6F625B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648" w:type="dxa"/>
            <w:tcBorders>
              <w:top w:val="single" w:color="auto" w:sz="4" w:space="0"/>
              <w:left w:val="single" w:color="auto" w:sz="4" w:space="0"/>
              <w:bottom w:val="single" w:color="auto" w:sz="4" w:space="0"/>
              <w:right w:val="single" w:color="auto" w:sz="4" w:space="0"/>
            </w:tcBorders>
            <w:vAlign w:val="center"/>
          </w:tcPr>
          <w:p w14:paraId="3411C5DD">
            <w:pPr>
              <w:numPr>
                <w:ilvl w:val="0"/>
                <w:numId w:val="1"/>
              </w:numPr>
              <w:snapToGrid w:val="0"/>
              <w:spacing w:line="360" w:lineRule="exact"/>
              <w:jc w:val="center"/>
              <w:rPr>
                <w:rFonts w:ascii="宋体"/>
                <w:szCs w:val="21"/>
              </w:rPr>
            </w:pPr>
          </w:p>
        </w:tc>
        <w:tc>
          <w:tcPr>
            <w:tcW w:w="9099" w:type="dxa"/>
            <w:tcBorders>
              <w:top w:val="single" w:color="auto" w:sz="4" w:space="0"/>
              <w:left w:val="single" w:color="auto" w:sz="4" w:space="0"/>
              <w:bottom w:val="single" w:color="auto" w:sz="4" w:space="0"/>
              <w:right w:val="single" w:color="auto" w:sz="4" w:space="0"/>
            </w:tcBorders>
            <w:vAlign w:val="center"/>
          </w:tcPr>
          <w:p w14:paraId="66C52FBE">
            <w:pPr>
              <w:autoSpaceDE w:val="0"/>
              <w:autoSpaceDN w:val="0"/>
              <w:snapToGrid w:val="0"/>
              <w:spacing w:line="360" w:lineRule="exact"/>
              <w:textAlignment w:val="bottom"/>
              <w:rPr>
                <w:rFonts w:ascii="宋体"/>
                <w:szCs w:val="21"/>
              </w:rPr>
            </w:pPr>
            <w:r>
              <w:rPr>
                <w:rFonts w:hint="eastAsia" w:ascii="宋体"/>
                <w:szCs w:val="21"/>
              </w:rPr>
              <w:t>电子加密投标文件的解密：</w:t>
            </w:r>
          </w:p>
          <w:p w14:paraId="3CCCA7F6">
            <w:pPr>
              <w:autoSpaceDE w:val="0"/>
              <w:autoSpaceDN w:val="0"/>
              <w:snapToGrid w:val="0"/>
              <w:spacing w:line="360" w:lineRule="exact"/>
              <w:textAlignment w:val="bottom"/>
              <w:rPr>
                <w:rFonts w:ascii="宋体"/>
                <w:szCs w:val="21"/>
              </w:rPr>
            </w:pPr>
            <w:r>
              <w:rPr>
                <w:rFonts w:hint="eastAsia" w:ascii="宋体"/>
                <w:szCs w:val="21"/>
              </w:rPr>
              <w:t>开标后，采购代理机构将向各投标供应商发出“电子加密投标文件”的解密通知，各投标供应商代表应当在接到解密通知后30分钟内自行完成“电子加密投标文件”的在线解密。投标供应商未在规定时间内完成解密的，系统默认自动放弃。</w:t>
            </w:r>
          </w:p>
        </w:tc>
      </w:tr>
      <w:tr w14:paraId="142475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1" w:hRule="atLeast"/>
        </w:trPr>
        <w:tc>
          <w:tcPr>
            <w:tcW w:w="648" w:type="dxa"/>
            <w:tcBorders>
              <w:top w:val="single" w:color="auto" w:sz="4" w:space="0"/>
              <w:left w:val="single" w:color="auto" w:sz="4" w:space="0"/>
              <w:bottom w:val="single" w:color="auto" w:sz="4" w:space="0"/>
              <w:right w:val="single" w:color="auto" w:sz="4" w:space="0"/>
            </w:tcBorders>
            <w:vAlign w:val="center"/>
          </w:tcPr>
          <w:p w14:paraId="0D7FB104">
            <w:pPr>
              <w:numPr>
                <w:ilvl w:val="0"/>
                <w:numId w:val="1"/>
              </w:numPr>
              <w:snapToGrid w:val="0"/>
              <w:spacing w:line="360" w:lineRule="exact"/>
              <w:jc w:val="center"/>
              <w:rPr>
                <w:rFonts w:ascii="宋体"/>
                <w:szCs w:val="21"/>
              </w:rPr>
            </w:pPr>
          </w:p>
        </w:tc>
        <w:tc>
          <w:tcPr>
            <w:tcW w:w="9099" w:type="dxa"/>
            <w:tcBorders>
              <w:top w:val="single" w:color="auto" w:sz="4" w:space="0"/>
              <w:left w:val="single" w:color="auto" w:sz="4" w:space="0"/>
              <w:bottom w:val="single" w:color="auto" w:sz="4" w:space="0"/>
              <w:right w:val="single" w:color="auto" w:sz="4" w:space="0"/>
            </w:tcBorders>
            <w:vAlign w:val="center"/>
          </w:tcPr>
          <w:p w14:paraId="1794B9EF">
            <w:pPr>
              <w:snapToGrid w:val="0"/>
              <w:spacing w:line="360" w:lineRule="exact"/>
              <w:rPr>
                <w:rFonts w:ascii="宋体"/>
                <w:color w:val="000000"/>
                <w:szCs w:val="21"/>
              </w:rPr>
            </w:pPr>
            <w:r>
              <w:rPr>
                <w:rFonts w:hint="eastAsia" w:ascii="宋体"/>
                <w:color w:val="000000"/>
                <w:szCs w:val="21"/>
              </w:rPr>
              <w:t>提交投标文件截止时间、开标时间和地点：</w:t>
            </w:r>
            <w:r>
              <w:rPr>
                <w:rFonts w:hint="eastAsia" w:ascii="宋体"/>
                <w:b/>
                <w:szCs w:val="21"/>
              </w:rPr>
              <w:t>详见本项目公开招标公告。</w:t>
            </w:r>
          </w:p>
        </w:tc>
      </w:tr>
      <w:tr w14:paraId="3981E4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648" w:type="dxa"/>
            <w:tcBorders>
              <w:top w:val="single" w:color="auto" w:sz="4" w:space="0"/>
              <w:left w:val="single" w:color="auto" w:sz="4" w:space="0"/>
              <w:bottom w:val="single" w:color="auto" w:sz="4" w:space="0"/>
              <w:right w:val="single" w:color="auto" w:sz="4" w:space="0"/>
            </w:tcBorders>
            <w:vAlign w:val="center"/>
          </w:tcPr>
          <w:p w14:paraId="63E9A58C">
            <w:pPr>
              <w:numPr>
                <w:ilvl w:val="0"/>
                <w:numId w:val="1"/>
              </w:numPr>
              <w:snapToGrid w:val="0"/>
              <w:spacing w:line="360" w:lineRule="exact"/>
              <w:jc w:val="center"/>
              <w:rPr>
                <w:rFonts w:ascii="宋体"/>
                <w:szCs w:val="21"/>
              </w:rPr>
            </w:pPr>
          </w:p>
        </w:tc>
        <w:tc>
          <w:tcPr>
            <w:tcW w:w="9099" w:type="dxa"/>
            <w:tcBorders>
              <w:top w:val="single" w:color="auto" w:sz="4" w:space="0"/>
              <w:left w:val="single" w:color="auto" w:sz="4" w:space="0"/>
              <w:bottom w:val="single" w:color="auto" w:sz="4" w:space="0"/>
              <w:right w:val="single" w:color="auto" w:sz="4" w:space="0"/>
            </w:tcBorders>
            <w:vAlign w:val="center"/>
          </w:tcPr>
          <w:p w14:paraId="286D8AC9">
            <w:pPr>
              <w:autoSpaceDE w:val="0"/>
              <w:autoSpaceDN w:val="0"/>
              <w:snapToGrid w:val="0"/>
              <w:spacing w:line="360" w:lineRule="exact"/>
              <w:textAlignment w:val="bottom"/>
              <w:rPr>
                <w:rFonts w:ascii="宋体"/>
                <w:szCs w:val="21"/>
              </w:rPr>
            </w:pPr>
            <w:r>
              <w:rPr>
                <w:rFonts w:hint="eastAsia" w:ascii="宋体"/>
                <w:szCs w:val="21"/>
              </w:rPr>
              <w:t>评标方法：综合评分法。</w:t>
            </w:r>
          </w:p>
        </w:tc>
      </w:tr>
      <w:tr w14:paraId="37A102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648" w:type="dxa"/>
            <w:tcBorders>
              <w:top w:val="single" w:color="auto" w:sz="4" w:space="0"/>
              <w:left w:val="single" w:color="auto" w:sz="4" w:space="0"/>
              <w:bottom w:val="single" w:color="auto" w:sz="4" w:space="0"/>
              <w:right w:val="single" w:color="auto" w:sz="4" w:space="0"/>
            </w:tcBorders>
            <w:vAlign w:val="center"/>
          </w:tcPr>
          <w:p w14:paraId="627F0C5F">
            <w:pPr>
              <w:numPr>
                <w:ilvl w:val="0"/>
                <w:numId w:val="1"/>
              </w:numPr>
              <w:snapToGrid w:val="0"/>
              <w:spacing w:line="360" w:lineRule="exact"/>
              <w:jc w:val="center"/>
              <w:rPr>
                <w:rFonts w:ascii="宋体"/>
                <w:szCs w:val="21"/>
              </w:rPr>
            </w:pPr>
          </w:p>
        </w:tc>
        <w:tc>
          <w:tcPr>
            <w:tcW w:w="9099" w:type="dxa"/>
            <w:tcBorders>
              <w:top w:val="single" w:color="auto" w:sz="4" w:space="0"/>
              <w:left w:val="single" w:color="auto" w:sz="4" w:space="0"/>
              <w:bottom w:val="single" w:color="auto" w:sz="4" w:space="0"/>
              <w:right w:val="single" w:color="auto" w:sz="4" w:space="0"/>
            </w:tcBorders>
            <w:vAlign w:val="center"/>
          </w:tcPr>
          <w:p w14:paraId="27FC417F">
            <w:pPr>
              <w:autoSpaceDE w:val="0"/>
              <w:autoSpaceDN w:val="0"/>
              <w:snapToGrid w:val="0"/>
              <w:spacing w:line="360" w:lineRule="exact"/>
              <w:textAlignment w:val="bottom"/>
              <w:rPr>
                <w:rFonts w:ascii="宋体"/>
                <w:szCs w:val="21"/>
              </w:rPr>
            </w:pPr>
            <w:r>
              <w:rPr>
                <w:rFonts w:hint="eastAsia" w:ascii="宋体"/>
                <w:szCs w:val="21"/>
              </w:rPr>
              <w:t>中标公告及中标通知书：采购代理机构在采购人依法确认中标人后二个工作日内发布中标公告和中标通知书，中标公告发布于财政部门指定的政府采购信息发布媒体。</w:t>
            </w:r>
          </w:p>
        </w:tc>
      </w:tr>
      <w:tr w14:paraId="230DFF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48" w:type="dxa"/>
            <w:tcBorders>
              <w:top w:val="single" w:color="auto" w:sz="4" w:space="0"/>
              <w:left w:val="single" w:color="auto" w:sz="4" w:space="0"/>
              <w:bottom w:val="single" w:color="auto" w:sz="4" w:space="0"/>
              <w:right w:val="single" w:color="auto" w:sz="4" w:space="0"/>
            </w:tcBorders>
            <w:vAlign w:val="center"/>
          </w:tcPr>
          <w:p w14:paraId="53274868">
            <w:pPr>
              <w:numPr>
                <w:ilvl w:val="0"/>
                <w:numId w:val="1"/>
              </w:numPr>
              <w:snapToGrid w:val="0"/>
              <w:spacing w:line="360" w:lineRule="exact"/>
              <w:jc w:val="center"/>
              <w:rPr>
                <w:rFonts w:ascii="宋体"/>
                <w:szCs w:val="21"/>
              </w:rPr>
            </w:pPr>
          </w:p>
        </w:tc>
        <w:tc>
          <w:tcPr>
            <w:tcW w:w="9099" w:type="dxa"/>
            <w:tcBorders>
              <w:top w:val="single" w:color="auto" w:sz="4" w:space="0"/>
              <w:left w:val="single" w:color="auto" w:sz="4" w:space="0"/>
              <w:bottom w:val="single" w:color="auto" w:sz="4" w:space="0"/>
              <w:right w:val="single" w:color="auto" w:sz="4" w:space="0"/>
            </w:tcBorders>
            <w:vAlign w:val="center"/>
          </w:tcPr>
          <w:p w14:paraId="750237F8">
            <w:pPr>
              <w:autoSpaceDE w:val="0"/>
              <w:autoSpaceDN w:val="0"/>
              <w:snapToGrid w:val="0"/>
              <w:spacing w:line="360" w:lineRule="exact"/>
              <w:textAlignment w:val="bottom"/>
              <w:rPr>
                <w:rFonts w:ascii="宋体"/>
                <w:szCs w:val="21"/>
              </w:rPr>
            </w:pPr>
            <w:r>
              <w:rPr>
                <w:rFonts w:hint="eastAsia" w:ascii="宋体"/>
                <w:szCs w:val="21"/>
              </w:rPr>
              <w:t>采购资金来源：</w:t>
            </w:r>
            <w:r>
              <w:rPr>
                <w:rFonts w:hint="eastAsia"/>
              </w:rPr>
              <w:t>财政性资金</w:t>
            </w:r>
            <w:r>
              <w:rPr>
                <w:rFonts w:hint="eastAsia" w:ascii="宋体"/>
                <w:szCs w:val="21"/>
              </w:rPr>
              <w:t>。</w:t>
            </w:r>
          </w:p>
        </w:tc>
      </w:tr>
      <w:tr w14:paraId="346A10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9" w:hRule="atLeast"/>
        </w:trPr>
        <w:tc>
          <w:tcPr>
            <w:tcW w:w="648" w:type="dxa"/>
            <w:tcBorders>
              <w:top w:val="single" w:color="auto" w:sz="4" w:space="0"/>
              <w:left w:val="single" w:color="auto" w:sz="4" w:space="0"/>
              <w:bottom w:val="single" w:color="auto" w:sz="4" w:space="0"/>
              <w:right w:val="single" w:color="auto" w:sz="4" w:space="0"/>
            </w:tcBorders>
            <w:vAlign w:val="center"/>
          </w:tcPr>
          <w:p w14:paraId="332DEB63">
            <w:pPr>
              <w:numPr>
                <w:ilvl w:val="0"/>
                <w:numId w:val="1"/>
              </w:numPr>
              <w:snapToGrid w:val="0"/>
              <w:spacing w:line="360" w:lineRule="exact"/>
              <w:jc w:val="center"/>
              <w:rPr>
                <w:rFonts w:ascii="宋体"/>
                <w:szCs w:val="21"/>
              </w:rPr>
            </w:pPr>
          </w:p>
        </w:tc>
        <w:tc>
          <w:tcPr>
            <w:tcW w:w="9099" w:type="dxa"/>
            <w:tcBorders>
              <w:top w:val="single" w:color="auto" w:sz="4" w:space="0"/>
              <w:left w:val="single" w:color="auto" w:sz="4" w:space="0"/>
              <w:bottom w:val="single" w:color="auto" w:sz="4" w:space="0"/>
              <w:right w:val="single" w:color="auto" w:sz="4" w:space="0"/>
            </w:tcBorders>
            <w:vAlign w:val="center"/>
          </w:tcPr>
          <w:p w14:paraId="0BF297B7">
            <w:pPr>
              <w:snapToGrid w:val="0"/>
              <w:spacing w:line="360" w:lineRule="exact"/>
              <w:rPr>
                <w:rFonts w:ascii="宋体"/>
                <w:szCs w:val="21"/>
              </w:rPr>
            </w:pPr>
            <w:r>
              <w:rPr>
                <w:rFonts w:hint="eastAsia" w:ascii="宋体"/>
                <w:szCs w:val="21"/>
              </w:rPr>
              <w:t>付款方式：</w:t>
            </w:r>
            <w:r>
              <w:rPr>
                <w:rFonts w:hint="eastAsia" w:ascii="宋体" w:hAnsi="宋体" w:cs="宋体"/>
                <w:kern w:val="0"/>
                <w:szCs w:val="21"/>
              </w:rPr>
              <w:t>见招标项目采购需求。</w:t>
            </w:r>
          </w:p>
        </w:tc>
      </w:tr>
      <w:tr w14:paraId="4947F8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648" w:type="dxa"/>
            <w:tcBorders>
              <w:top w:val="single" w:color="auto" w:sz="4" w:space="0"/>
              <w:left w:val="single" w:color="auto" w:sz="4" w:space="0"/>
              <w:bottom w:val="single" w:color="auto" w:sz="4" w:space="0"/>
              <w:right w:val="single" w:color="auto" w:sz="4" w:space="0"/>
            </w:tcBorders>
            <w:vAlign w:val="center"/>
          </w:tcPr>
          <w:p w14:paraId="74A49B81">
            <w:pPr>
              <w:numPr>
                <w:ilvl w:val="0"/>
                <w:numId w:val="1"/>
              </w:numPr>
              <w:snapToGrid w:val="0"/>
              <w:spacing w:line="360" w:lineRule="exact"/>
              <w:jc w:val="center"/>
              <w:rPr>
                <w:rFonts w:ascii="宋体"/>
                <w:szCs w:val="21"/>
              </w:rPr>
            </w:pPr>
          </w:p>
        </w:tc>
        <w:tc>
          <w:tcPr>
            <w:tcW w:w="9099" w:type="dxa"/>
            <w:tcBorders>
              <w:top w:val="single" w:color="auto" w:sz="4" w:space="0"/>
              <w:left w:val="single" w:color="auto" w:sz="4" w:space="0"/>
              <w:bottom w:val="single" w:color="auto" w:sz="4" w:space="0"/>
              <w:right w:val="single" w:color="auto" w:sz="4" w:space="0"/>
            </w:tcBorders>
            <w:vAlign w:val="center"/>
          </w:tcPr>
          <w:p w14:paraId="692587CC">
            <w:pPr>
              <w:snapToGrid w:val="0"/>
              <w:spacing w:line="360" w:lineRule="exact"/>
              <w:rPr>
                <w:rFonts w:ascii="宋体"/>
                <w:szCs w:val="21"/>
              </w:rPr>
            </w:pPr>
            <w:r>
              <w:rPr>
                <w:rFonts w:hint="eastAsia" w:ascii="宋体"/>
                <w:szCs w:val="21"/>
              </w:rPr>
              <w:t>投标文件有效期：</w:t>
            </w:r>
            <w:r>
              <w:rPr>
                <w:rFonts w:hint="eastAsia" w:ascii="宋体" w:cs="Arial"/>
                <w:szCs w:val="21"/>
                <w:u w:val="single"/>
              </w:rPr>
              <w:t xml:space="preserve"> 60</w:t>
            </w:r>
            <w:r>
              <w:rPr>
                <w:rFonts w:hint="eastAsia" w:ascii="宋体" w:cs="Arial"/>
                <w:szCs w:val="21"/>
              </w:rPr>
              <w:t>天。</w:t>
            </w:r>
          </w:p>
        </w:tc>
      </w:tr>
      <w:tr w14:paraId="051202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648" w:type="dxa"/>
            <w:tcBorders>
              <w:top w:val="single" w:color="auto" w:sz="4" w:space="0"/>
              <w:left w:val="single" w:color="auto" w:sz="4" w:space="0"/>
              <w:bottom w:val="single" w:color="auto" w:sz="4" w:space="0"/>
              <w:right w:val="single" w:color="auto" w:sz="4" w:space="0"/>
            </w:tcBorders>
            <w:vAlign w:val="center"/>
          </w:tcPr>
          <w:p w14:paraId="3E3AE0D1">
            <w:pPr>
              <w:numPr>
                <w:ilvl w:val="0"/>
                <w:numId w:val="1"/>
              </w:numPr>
              <w:snapToGrid w:val="0"/>
              <w:spacing w:line="360" w:lineRule="exact"/>
              <w:jc w:val="center"/>
              <w:rPr>
                <w:rFonts w:ascii="宋体"/>
                <w:szCs w:val="21"/>
              </w:rPr>
            </w:pPr>
          </w:p>
        </w:tc>
        <w:tc>
          <w:tcPr>
            <w:tcW w:w="9099" w:type="dxa"/>
            <w:tcBorders>
              <w:top w:val="single" w:color="auto" w:sz="4" w:space="0"/>
              <w:left w:val="single" w:color="auto" w:sz="4" w:space="0"/>
              <w:bottom w:val="single" w:color="auto" w:sz="4" w:space="0"/>
              <w:right w:val="single" w:color="auto" w:sz="4" w:space="0"/>
            </w:tcBorders>
            <w:vAlign w:val="center"/>
          </w:tcPr>
          <w:p w14:paraId="0B78FAAF">
            <w:pPr>
              <w:snapToGrid w:val="0"/>
              <w:spacing w:line="360" w:lineRule="exact"/>
              <w:rPr>
                <w:color w:val="FF0000"/>
              </w:rPr>
            </w:pPr>
            <w:r>
              <w:rPr>
                <w:rFonts w:hint="eastAsia"/>
              </w:rPr>
              <w:t>本招标文件解释权属广西国力招标有限公司。</w:t>
            </w:r>
          </w:p>
        </w:tc>
      </w:tr>
    </w:tbl>
    <w:p w14:paraId="5FFD44E7">
      <w:pPr>
        <w:spacing w:line="720" w:lineRule="auto"/>
        <w:jc w:val="center"/>
        <w:rPr>
          <w:b/>
          <w:sz w:val="32"/>
          <w:szCs w:val="32"/>
        </w:rPr>
      </w:pPr>
    </w:p>
    <w:p w14:paraId="53E72F55">
      <w:pPr>
        <w:spacing w:line="720" w:lineRule="auto"/>
        <w:jc w:val="center"/>
        <w:rPr>
          <w:b/>
          <w:sz w:val="32"/>
          <w:szCs w:val="32"/>
        </w:rPr>
      </w:pPr>
      <w:r>
        <w:rPr>
          <w:b/>
          <w:sz w:val="32"/>
          <w:szCs w:val="32"/>
        </w:rPr>
        <w:br w:type="page"/>
      </w:r>
      <w:r>
        <w:rPr>
          <w:rFonts w:hint="eastAsia"/>
          <w:b/>
          <w:sz w:val="32"/>
          <w:szCs w:val="32"/>
        </w:rPr>
        <w:t>投标人须知</w:t>
      </w:r>
    </w:p>
    <w:p w14:paraId="277BA18A">
      <w:pPr>
        <w:pStyle w:val="26"/>
        <w:snapToGrid w:val="0"/>
        <w:spacing w:before="120" w:after="120" w:line="380" w:lineRule="exact"/>
        <w:jc w:val="center"/>
        <w:rPr>
          <w:b/>
        </w:rPr>
      </w:pPr>
      <w:r>
        <w:rPr>
          <w:rFonts w:hint="eastAsia"/>
          <w:b/>
        </w:rPr>
        <w:t>一、总  则</w:t>
      </w:r>
      <w:bookmarkStart w:id="55" w:name="_Toc254970527"/>
      <w:bookmarkStart w:id="56" w:name="_Toc254970668"/>
    </w:p>
    <w:p w14:paraId="4FC78F23">
      <w:pPr>
        <w:pStyle w:val="26"/>
        <w:snapToGrid w:val="0"/>
        <w:spacing w:before="120" w:after="120" w:line="360" w:lineRule="exact"/>
        <w:ind w:firstLine="420" w:firstLineChars="200"/>
        <w:rPr>
          <w:b/>
        </w:rPr>
      </w:pPr>
      <w:r>
        <w:rPr>
          <w:rFonts w:hint="eastAsia"/>
          <w:b/>
        </w:rPr>
        <w:t>（一） 适用范围</w:t>
      </w:r>
      <w:bookmarkEnd w:id="55"/>
      <w:bookmarkEnd w:id="56"/>
    </w:p>
    <w:p w14:paraId="69B58C45">
      <w:pPr>
        <w:pStyle w:val="26"/>
        <w:snapToGrid w:val="0"/>
        <w:spacing w:before="120" w:after="120" w:line="360" w:lineRule="exact"/>
        <w:ind w:firstLine="420" w:firstLineChars="200"/>
      </w:pPr>
      <w:r>
        <w:rPr>
          <w:rFonts w:hint="eastAsia"/>
        </w:rPr>
        <w:t>本招标文件适用于</w:t>
      </w:r>
      <w:r>
        <w:rPr>
          <w:rFonts w:hint="eastAsia"/>
          <w:bCs/>
        </w:rPr>
        <w:t>本</w:t>
      </w:r>
      <w:r>
        <w:rPr>
          <w:rFonts w:hint="eastAsia"/>
        </w:rPr>
        <w:t>项目的招标、投标、评标、定标、验收、合同履约、付款等行为（法律、法规另有规定的，从其规定）。</w:t>
      </w:r>
      <w:bookmarkStart w:id="57" w:name="_Toc254970669"/>
      <w:bookmarkStart w:id="58" w:name="_Toc254970528"/>
    </w:p>
    <w:p w14:paraId="69FD775A">
      <w:pPr>
        <w:pStyle w:val="26"/>
        <w:snapToGrid w:val="0"/>
        <w:spacing w:before="120" w:after="120" w:line="360" w:lineRule="exact"/>
        <w:ind w:firstLine="420" w:firstLineChars="200"/>
        <w:rPr>
          <w:b/>
        </w:rPr>
      </w:pPr>
      <w:r>
        <w:rPr>
          <w:rFonts w:hint="eastAsia"/>
          <w:b/>
        </w:rPr>
        <w:t>（二）定义</w:t>
      </w:r>
      <w:bookmarkEnd w:id="57"/>
      <w:bookmarkEnd w:id="58"/>
    </w:p>
    <w:p w14:paraId="06814EA3">
      <w:pPr>
        <w:snapToGrid w:val="0"/>
        <w:spacing w:line="360" w:lineRule="exact"/>
        <w:ind w:firstLine="420" w:firstLineChars="200"/>
        <w:jc w:val="left"/>
        <w:rPr>
          <w:rFonts w:hAnsi="宋体"/>
          <w:color w:val="FF33CC"/>
        </w:rPr>
      </w:pPr>
      <w:r>
        <w:rPr>
          <w:rFonts w:hint="eastAsia" w:ascii="宋体" w:hAnsi="宋体"/>
          <w:szCs w:val="21"/>
        </w:rPr>
        <w:t>1.</w:t>
      </w:r>
      <w:r>
        <w:rPr>
          <w:rFonts w:hint="eastAsia" w:hAnsi="宋体"/>
        </w:rPr>
        <w:t>“采购人”系指组织本次招标的采购单位。</w:t>
      </w:r>
    </w:p>
    <w:p w14:paraId="262A6FF5">
      <w:pPr>
        <w:snapToGrid w:val="0"/>
        <w:spacing w:line="360" w:lineRule="exact"/>
        <w:ind w:firstLine="420" w:firstLineChars="200"/>
        <w:jc w:val="left"/>
        <w:rPr>
          <w:rFonts w:ascii="宋体" w:hAnsi="宋体"/>
          <w:szCs w:val="21"/>
        </w:rPr>
      </w:pPr>
      <w:r>
        <w:rPr>
          <w:rFonts w:hint="eastAsia" w:ascii="宋体" w:hAnsi="宋体"/>
          <w:szCs w:val="21"/>
        </w:rPr>
        <w:t>2.</w:t>
      </w:r>
      <w:r>
        <w:rPr>
          <w:rFonts w:hint="eastAsia" w:hAnsi="宋体"/>
        </w:rPr>
        <w:t>“采购代理机构”系指广西国力招标有限公司（以下简称“本公司”）。</w:t>
      </w:r>
    </w:p>
    <w:p w14:paraId="7FB004EC">
      <w:pPr>
        <w:snapToGrid w:val="0"/>
        <w:spacing w:line="360" w:lineRule="exact"/>
        <w:ind w:firstLine="420" w:firstLineChars="200"/>
        <w:jc w:val="left"/>
        <w:rPr>
          <w:rFonts w:ascii="宋体" w:hAnsi="宋体"/>
          <w:szCs w:val="21"/>
        </w:rPr>
      </w:pPr>
      <w:r>
        <w:rPr>
          <w:rFonts w:hint="eastAsia" w:ascii="宋体" w:hAnsi="宋体"/>
          <w:szCs w:val="21"/>
        </w:rPr>
        <w:t>3.</w:t>
      </w:r>
      <w:r>
        <w:rPr>
          <w:rFonts w:hint="eastAsia" w:hAnsi="宋体"/>
        </w:rPr>
        <w:t>“投标人”系指响应招标、参加投标竞争的法人、其他组织或者自然人。</w:t>
      </w:r>
    </w:p>
    <w:p w14:paraId="023AD3AE">
      <w:pPr>
        <w:pStyle w:val="26"/>
        <w:snapToGrid w:val="0"/>
        <w:spacing w:before="120" w:after="120" w:line="360" w:lineRule="exact"/>
        <w:ind w:firstLine="420" w:firstLineChars="200"/>
      </w:pPr>
      <w:r>
        <w:rPr>
          <w:rFonts w:hint="eastAsia"/>
        </w:rPr>
        <w:t>4.“产品”系指供方按招标文件规定，须向采购人提供的一切设备、保险、税金、备品备件、工具、手册及其它有关技术资料和材料。</w:t>
      </w:r>
    </w:p>
    <w:p w14:paraId="5507A556">
      <w:pPr>
        <w:pStyle w:val="26"/>
        <w:snapToGrid w:val="0"/>
        <w:spacing w:before="120" w:after="120" w:line="360" w:lineRule="exact"/>
        <w:ind w:firstLine="420" w:firstLineChars="200"/>
      </w:pPr>
      <w:r>
        <w:rPr>
          <w:rFonts w:hint="eastAsia"/>
        </w:rPr>
        <w:t>5．“服务”系指招标文件规定投标人须承担的安装、调试、技术协助、校准、培训、技术指导以及其他类似的义务。</w:t>
      </w:r>
    </w:p>
    <w:p w14:paraId="1288A9BC">
      <w:pPr>
        <w:pStyle w:val="26"/>
        <w:snapToGrid w:val="0"/>
        <w:spacing w:before="120" w:after="120" w:line="360" w:lineRule="exact"/>
        <w:ind w:firstLine="420" w:firstLineChars="200"/>
      </w:pPr>
      <w:r>
        <w:rPr>
          <w:rFonts w:hint="eastAsia"/>
        </w:rPr>
        <w:t>6.“项目”系指投标人按招标文件规定向采购人提供的产品和服务。</w:t>
      </w:r>
    </w:p>
    <w:p w14:paraId="270C2823">
      <w:pPr>
        <w:pStyle w:val="26"/>
        <w:snapToGrid w:val="0"/>
        <w:spacing w:before="120" w:after="120" w:line="360" w:lineRule="exact"/>
        <w:ind w:firstLine="420" w:firstLineChars="200"/>
      </w:pPr>
      <w:r>
        <w:rPr>
          <w:rFonts w:hint="eastAsia"/>
        </w:rPr>
        <w:t>7.“书面形式”包括信函、传真、电报等。</w:t>
      </w:r>
    </w:p>
    <w:p w14:paraId="6758520F">
      <w:pPr>
        <w:pStyle w:val="26"/>
        <w:snapToGrid w:val="0"/>
        <w:spacing w:before="120" w:after="120" w:line="360" w:lineRule="exact"/>
        <w:ind w:firstLine="420" w:firstLineChars="200"/>
      </w:pPr>
      <w:r>
        <w:rPr>
          <w:rFonts w:hint="eastAsia"/>
        </w:rPr>
        <w:t>8.“▲”系指实质性要求条款。</w:t>
      </w:r>
      <w:bookmarkStart w:id="59" w:name="_Toc254970670"/>
      <w:bookmarkStart w:id="60" w:name="_Toc254970529"/>
    </w:p>
    <w:p w14:paraId="45788518">
      <w:pPr>
        <w:pStyle w:val="26"/>
        <w:snapToGrid w:val="0"/>
        <w:spacing w:before="120" w:after="120" w:line="360" w:lineRule="exact"/>
        <w:ind w:firstLine="420" w:firstLineChars="200"/>
      </w:pPr>
      <w:r>
        <w:rPr>
          <w:rFonts w:hint="eastAsia"/>
        </w:rPr>
        <w:t>9.“允许偏离的技术、性能指标或者辅助功能项目”系指不带“▲”的非实质性要求的技术指标、主要功能项目条款。</w:t>
      </w:r>
    </w:p>
    <w:p w14:paraId="474236CE">
      <w:pPr>
        <w:pStyle w:val="26"/>
        <w:snapToGrid w:val="0"/>
        <w:spacing w:before="120" w:after="120" w:line="360" w:lineRule="exact"/>
        <w:ind w:firstLine="420" w:firstLineChars="200"/>
        <w:rPr>
          <w:b/>
        </w:rPr>
      </w:pPr>
      <w:r>
        <w:rPr>
          <w:rFonts w:hint="eastAsia"/>
          <w:b/>
        </w:rPr>
        <w:t>（三）招标方式</w:t>
      </w:r>
      <w:bookmarkEnd w:id="59"/>
      <w:bookmarkEnd w:id="60"/>
    </w:p>
    <w:p w14:paraId="45D3DA3B">
      <w:pPr>
        <w:pStyle w:val="26"/>
        <w:snapToGrid w:val="0"/>
        <w:spacing w:before="120" w:after="120" w:line="360" w:lineRule="exact"/>
        <w:ind w:firstLine="420" w:firstLineChars="200"/>
      </w:pPr>
      <w:r>
        <w:rPr>
          <w:rFonts w:hint="eastAsia"/>
        </w:rPr>
        <w:t>公开招标方式。</w:t>
      </w:r>
      <w:bookmarkStart w:id="61" w:name="_Toc254970530"/>
      <w:bookmarkStart w:id="62" w:name="_Toc254970671"/>
    </w:p>
    <w:p w14:paraId="59DBDF7F">
      <w:pPr>
        <w:pStyle w:val="26"/>
        <w:snapToGrid w:val="0"/>
        <w:spacing w:before="120" w:after="120" w:line="360" w:lineRule="exact"/>
        <w:ind w:firstLine="420" w:firstLineChars="200"/>
        <w:rPr>
          <w:b/>
        </w:rPr>
      </w:pPr>
      <w:r>
        <w:rPr>
          <w:rFonts w:hint="eastAsia"/>
          <w:b/>
        </w:rPr>
        <w:t>（四）投标委托</w:t>
      </w:r>
      <w:bookmarkEnd w:id="61"/>
      <w:bookmarkEnd w:id="62"/>
    </w:p>
    <w:p w14:paraId="67238CD9">
      <w:pPr>
        <w:pStyle w:val="26"/>
        <w:snapToGrid w:val="0"/>
        <w:spacing w:before="120" w:after="120" w:line="360" w:lineRule="exact"/>
        <w:ind w:firstLine="420" w:firstLineChars="200"/>
      </w:pPr>
      <w:r>
        <w:rPr>
          <w:rFonts w:hint="eastAsia"/>
        </w:rPr>
        <w:t>如投标人代表不是法定代表人(负责人)，须有法定代表人(负责人)出具的授权委托书（格式见第六章《投标文件格式》）。</w:t>
      </w:r>
      <w:bookmarkStart w:id="63" w:name="_Toc254970672"/>
      <w:bookmarkStart w:id="64" w:name="_Toc254970531"/>
    </w:p>
    <w:p w14:paraId="56A775DA">
      <w:pPr>
        <w:pStyle w:val="26"/>
        <w:snapToGrid w:val="0"/>
        <w:spacing w:before="120" w:after="120" w:line="360" w:lineRule="exact"/>
        <w:ind w:firstLine="420" w:firstLineChars="200"/>
        <w:rPr>
          <w:b/>
        </w:rPr>
      </w:pPr>
      <w:r>
        <w:rPr>
          <w:rFonts w:hint="eastAsia"/>
          <w:b/>
        </w:rPr>
        <w:t>（五）投标费用</w:t>
      </w:r>
      <w:bookmarkEnd w:id="63"/>
      <w:bookmarkEnd w:id="64"/>
    </w:p>
    <w:p w14:paraId="77838D12">
      <w:pPr>
        <w:pStyle w:val="26"/>
        <w:snapToGrid w:val="0"/>
        <w:spacing w:before="120" w:after="120" w:line="360" w:lineRule="exact"/>
        <w:ind w:firstLine="420" w:firstLineChars="200"/>
      </w:pPr>
      <w:r>
        <w:rPr>
          <w:rFonts w:hint="eastAsia"/>
        </w:rPr>
        <w:t>投标人均应自行承担所有与投标有关的全部费用（招标文件有相关的规定除外）。</w:t>
      </w:r>
    </w:p>
    <w:p w14:paraId="09073C4A">
      <w:pPr>
        <w:pStyle w:val="26"/>
        <w:snapToGrid w:val="0"/>
        <w:spacing w:before="120" w:after="120" w:line="360" w:lineRule="exact"/>
        <w:ind w:firstLine="420" w:firstLineChars="200"/>
        <w:rPr>
          <w:b/>
        </w:rPr>
      </w:pPr>
      <w:r>
        <w:rPr>
          <w:rFonts w:hint="eastAsia"/>
          <w:b/>
        </w:rPr>
        <w:t>（六）联合体投标</w:t>
      </w:r>
    </w:p>
    <w:p w14:paraId="47621266">
      <w:pPr>
        <w:snapToGrid w:val="0"/>
        <w:spacing w:line="360" w:lineRule="exact"/>
        <w:ind w:firstLine="420" w:firstLineChars="200"/>
        <w:jc w:val="left"/>
        <w:rPr>
          <w:rFonts w:ascii="宋体" w:hAnsi="宋体"/>
        </w:rPr>
      </w:pPr>
      <w:r>
        <w:rPr>
          <w:rFonts w:hint="eastAsia" w:hAnsi="宋体"/>
        </w:rPr>
        <w:t>本项目明确不接受联合体形式投标，本招标文件所有相关联合体要求及格式文件均不适用。投标人以联合体形式参加投标的，投标无效。</w:t>
      </w:r>
    </w:p>
    <w:p w14:paraId="5DF7F0EF">
      <w:pPr>
        <w:pStyle w:val="26"/>
        <w:snapToGrid w:val="0"/>
        <w:spacing w:before="120" w:after="120" w:line="360" w:lineRule="exact"/>
        <w:ind w:firstLine="420" w:firstLineChars="200"/>
        <w:rPr>
          <w:rFonts w:cs="宋体"/>
          <w:b/>
          <w:kern w:val="0"/>
        </w:rPr>
      </w:pPr>
      <w:r>
        <w:rPr>
          <w:rFonts w:hint="eastAsia"/>
          <w:b/>
        </w:rPr>
        <w:t>（七）</w:t>
      </w:r>
      <w:r>
        <w:rPr>
          <w:rFonts w:hint="eastAsia" w:cs="宋体"/>
          <w:b/>
          <w:kern w:val="0"/>
        </w:rPr>
        <w:t>转包与分包</w:t>
      </w:r>
    </w:p>
    <w:p w14:paraId="58101E37">
      <w:pPr>
        <w:snapToGrid w:val="0"/>
        <w:spacing w:line="360" w:lineRule="exact"/>
        <w:ind w:firstLine="420" w:firstLineChars="200"/>
        <w:jc w:val="left"/>
        <w:rPr>
          <w:rFonts w:ascii="宋体" w:hAnsi="宋体"/>
        </w:rPr>
      </w:pPr>
      <w:r>
        <w:rPr>
          <w:rFonts w:hint="eastAsia" w:ascii="宋体" w:hAnsi="宋体"/>
        </w:rPr>
        <w:t>1.本项目不允许转包。</w:t>
      </w:r>
    </w:p>
    <w:p w14:paraId="0056E81C">
      <w:pPr>
        <w:snapToGrid w:val="0"/>
        <w:spacing w:line="360" w:lineRule="exact"/>
        <w:ind w:firstLine="420" w:firstLineChars="200"/>
        <w:jc w:val="left"/>
        <w:rPr>
          <w:rFonts w:ascii="宋体" w:hAnsi="宋体"/>
        </w:rPr>
      </w:pPr>
      <w:r>
        <w:rPr>
          <w:rFonts w:hint="eastAsia" w:ascii="宋体" w:hAnsi="宋体"/>
        </w:rPr>
        <w:t>2.本项目不可以分包。</w:t>
      </w:r>
      <w:bookmarkStart w:id="65" w:name="_Toc254970673"/>
      <w:bookmarkStart w:id="66" w:name="_Toc254970532"/>
    </w:p>
    <w:p w14:paraId="01241DBB">
      <w:pPr>
        <w:pStyle w:val="26"/>
        <w:snapToGrid w:val="0"/>
        <w:spacing w:before="120" w:after="120" w:line="360" w:lineRule="exact"/>
        <w:ind w:firstLine="420" w:firstLineChars="200"/>
        <w:rPr>
          <w:b/>
        </w:rPr>
      </w:pPr>
      <w:r>
        <w:rPr>
          <w:rFonts w:hint="eastAsia"/>
          <w:b/>
        </w:rPr>
        <w:t>（八）特别说明：</w:t>
      </w:r>
      <w:bookmarkEnd w:id="65"/>
      <w:bookmarkEnd w:id="66"/>
    </w:p>
    <w:p w14:paraId="696E74E5">
      <w:pPr>
        <w:pStyle w:val="26"/>
        <w:snapToGrid w:val="0"/>
        <w:spacing w:before="120" w:after="120" w:line="370" w:lineRule="exact"/>
        <w:ind w:firstLine="420" w:firstLineChars="200"/>
      </w:pPr>
      <w:bookmarkStart w:id="67" w:name="_Toc254970674"/>
      <w:bookmarkStart w:id="68" w:name="_Toc254970533"/>
      <w:r>
        <w:rPr>
          <w:rFonts w:hint="eastAsia"/>
        </w:rPr>
        <w:t>▲1.单位负责人为同一人或者存在直接控股、管理关系的不同供应商，不得参加同一合同项下的政府采购活动。</w:t>
      </w:r>
    </w:p>
    <w:p w14:paraId="6BDB8A5F">
      <w:pPr>
        <w:pStyle w:val="26"/>
        <w:snapToGrid w:val="0"/>
        <w:spacing w:before="120" w:after="120" w:line="370" w:lineRule="exact"/>
        <w:ind w:firstLine="420" w:firstLineChars="200"/>
      </w:pPr>
      <w:r>
        <w:rPr>
          <w:rFonts w:hint="eastAsia"/>
        </w:rPr>
        <w:t>▲2.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评标方法及评分标准》中的推荐原则确定一个投标人获得中标人推荐资格，其他同品牌投标人不作为中标候选人。</w:t>
      </w:r>
    </w:p>
    <w:p w14:paraId="4E280E78">
      <w:pPr>
        <w:pStyle w:val="26"/>
        <w:snapToGrid w:val="0"/>
        <w:spacing w:before="120" w:after="120" w:line="370" w:lineRule="exact"/>
        <w:ind w:firstLine="420" w:firstLineChars="200"/>
      </w:pPr>
      <w:r>
        <w:rPr>
          <w:rFonts w:hint="eastAsia"/>
        </w:rPr>
        <w:t>非单一产品采购项目中，多家投标人提供的招标文件中载明的核心产品品牌相同的，视为提供相同品牌产品。</w:t>
      </w:r>
    </w:p>
    <w:p w14:paraId="3ADDD088">
      <w:pPr>
        <w:pStyle w:val="26"/>
        <w:snapToGrid w:val="0"/>
        <w:spacing w:before="120" w:after="120" w:line="370" w:lineRule="exact"/>
        <w:ind w:firstLine="420" w:firstLineChars="200"/>
      </w:pPr>
      <w:r>
        <w:rPr>
          <w:rFonts w:hint="eastAsia"/>
        </w:rPr>
        <w:t>▲3.投标人应仔细阅读招标文件的所有内容，按照招标文件的要求提交投标文件，并对所提供的全部资料的真实性承担法律责任。</w:t>
      </w:r>
    </w:p>
    <w:p w14:paraId="235EBBE2">
      <w:pPr>
        <w:pStyle w:val="26"/>
        <w:snapToGrid w:val="0"/>
        <w:spacing w:before="120" w:after="120" w:line="370" w:lineRule="exact"/>
        <w:ind w:firstLine="420" w:firstLineChars="200"/>
        <w:rPr>
          <w:rFonts w:hAnsi="宋体"/>
        </w:rPr>
      </w:pPr>
      <w:r>
        <w:rPr>
          <w:rFonts w:hint="eastAsia"/>
        </w:rPr>
        <w:t>▲4.投标人在投标活动中提供任何虚假材料、互相串通投标，其投标无效，并报监管部门查处。</w:t>
      </w:r>
    </w:p>
    <w:p w14:paraId="5C57318F">
      <w:pPr>
        <w:pStyle w:val="26"/>
        <w:snapToGrid w:val="0"/>
        <w:spacing w:before="120" w:after="120" w:line="360" w:lineRule="exact"/>
        <w:ind w:firstLine="420" w:firstLineChars="200"/>
        <w:rPr>
          <w:b/>
          <w:bCs/>
        </w:rPr>
      </w:pPr>
      <w:r>
        <w:rPr>
          <w:rFonts w:hint="eastAsia"/>
          <w:b/>
          <w:bCs/>
        </w:rPr>
        <w:t>（九）</w:t>
      </w:r>
      <w:bookmarkEnd w:id="67"/>
      <w:bookmarkEnd w:id="68"/>
      <w:r>
        <w:rPr>
          <w:rFonts w:hint="eastAsia"/>
          <w:b/>
        </w:rPr>
        <w:t>询问、质疑和投诉</w:t>
      </w:r>
    </w:p>
    <w:p w14:paraId="06BAFB1D">
      <w:pPr>
        <w:snapToGrid w:val="0"/>
        <w:spacing w:line="360" w:lineRule="exact"/>
        <w:ind w:firstLine="420" w:firstLineChars="200"/>
        <w:jc w:val="left"/>
        <w:rPr>
          <w:rFonts w:ascii="宋体" w:hAnsi="宋体"/>
        </w:rPr>
      </w:pPr>
      <w:r>
        <w:rPr>
          <w:rFonts w:hint="eastAsia" w:ascii="宋体" w:hAnsi="宋体"/>
        </w:rPr>
        <w:t>1.投标人对政府采购活动事项有疑问的，可以向采购人、采购代理机构提出询问。</w:t>
      </w:r>
    </w:p>
    <w:p w14:paraId="28EB45C8">
      <w:pPr>
        <w:snapToGrid w:val="0"/>
        <w:spacing w:line="360" w:lineRule="exact"/>
        <w:ind w:firstLine="420" w:firstLineChars="200"/>
        <w:jc w:val="left"/>
        <w:rPr>
          <w:rFonts w:ascii="宋体" w:hAnsi="宋体"/>
        </w:rPr>
      </w:pPr>
      <w:r>
        <w:rPr>
          <w:rFonts w:hint="eastAsia" w:ascii="宋体" w:hAnsi="宋体"/>
        </w:rPr>
        <w:t>2.投标人认为招标文件、招标过程或中标结果使自己的合法权益受到损害的，应当在知道或者应知其权益受到损害之日起七个工作日内，以书面形式向采购人、采购代理机构提出质疑，投标人在法定质疑期内必须一次性提出针对同一采购程序环节的质疑。具体计算时间如下：</w:t>
      </w:r>
    </w:p>
    <w:p w14:paraId="5C9A0AD7">
      <w:pPr>
        <w:snapToGrid w:val="0"/>
        <w:spacing w:line="360" w:lineRule="exact"/>
        <w:ind w:firstLine="420" w:firstLineChars="200"/>
        <w:jc w:val="left"/>
        <w:rPr>
          <w:rFonts w:ascii="宋体" w:hAnsi="宋体"/>
        </w:rPr>
      </w:pPr>
      <w:r>
        <w:rPr>
          <w:rFonts w:ascii="宋体" w:hAnsi="宋体"/>
        </w:rPr>
        <w:t>（</w:t>
      </w:r>
      <w:r>
        <w:rPr>
          <w:rFonts w:hint="eastAsia" w:ascii="宋体" w:hAnsi="宋体"/>
        </w:rPr>
        <w:t>1</w:t>
      </w:r>
      <w:r>
        <w:rPr>
          <w:rFonts w:ascii="宋体" w:hAnsi="宋体"/>
        </w:rPr>
        <w:t>）</w:t>
      </w:r>
      <w:r>
        <w:rPr>
          <w:rFonts w:hint="eastAsia" w:ascii="宋体" w:hAnsi="宋体"/>
        </w:rPr>
        <w:t>对可以质疑的采购文件提出质疑的，为收到采购文件之日或者采购文件公告期限届满之日</w:t>
      </w:r>
      <w:r>
        <w:rPr>
          <w:rFonts w:ascii="宋体" w:hAnsi="宋体"/>
        </w:rPr>
        <w:t>；</w:t>
      </w:r>
    </w:p>
    <w:p w14:paraId="2201BBE4">
      <w:pPr>
        <w:snapToGrid w:val="0"/>
        <w:spacing w:line="360" w:lineRule="exact"/>
        <w:ind w:firstLine="420" w:firstLineChars="200"/>
        <w:jc w:val="left"/>
        <w:rPr>
          <w:rFonts w:ascii="宋体" w:hAnsi="宋体"/>
        </w:rPr>
      </w:pPr>
      <w:r>
        <w:rPr>
          <w:rFonts w:ascii="宋体" w:hAnsi="宋体"/>
        </w:rPr>
        <w:t>（</w:t>
      </w:r>
      <w:r>
        <w:rPr>
          <w:rFonts w:hint="eastAsia" w:ascii="宋体" w:hAnsi="宋体"/>
        </w:rPr>
        <w:t>2</w:t>
      </w:r>
      <w:r>
        <w:rPr>
          <w:rFonts w:ascii="宋体" w:hAnsi="宋体"/>
        </w:rPr>
        <w:t>）</w:t>
      </w:r>
      <w:r>
        <w:rPr>
          <w:rFonts w:hint="eastAsia" w:ascii="宋体" w:hAnsi="宋体"/>
        </w:rPr>
        <w:t>对采购过程提出质疑的，为各采购程序环节结束之日</w:t>
      </w:r>
      <w:r>
        <w:rPr>
          <w:rFonts w:ascii="宋体" w:hAnsi="宋体"/>
        </w:rPr>
        <w:t>；</w:t>
      </w:r>
    </w:p>
    <w:p w14:paraId="15E3D86A">
      <w:pPr>
        <w:snapToGrid w:val="0"/>
        <w:spacing w:line="360" w:lineRule="exact"/>
        <w:ind w:firstLine="420" w:firstLineChars="200"/>
        <w:jc w:val="left"/>
        <w:rPr>
          <w:rFonts w:ascii="宋体" w:hAnsi="宋体"/>
        </w:rPr>
      </w:pPr>
      <w:r>
        <w:rPr>
          <w:rFonts w:ascii="宋体" w:hAnsi="宋体"/>
        </w:rPr>
        <w:t>（</w:t>
      </w:r>
      <w:r>
        <w:rPr>
          <w:rFonts w:hint="eastAsia" w:ascii="宋体" w:hAnsi="宋体"/>
        </w:rPr>
        <w:t>3</w:t>
      </w:r>
      <w:r>
        <w:rPr>
          <w:rFonts w:ascii="宋体" w:hAnsi="宋体"/>
        </w:rPr>
        <w:t>）对中标结果提出质疑的，为中标结果公告期限届满之日。</w:t>
      </w:r>
    </w:p>
    <w:p w14:paraId="4B844912">
      <w:pPr>
        <w:snapToGrid w:val="0"/>
        <w:spacing w:line="360" w:lineRule="exact"/>
        <w:ind w:firstLine="420" w:firstLineChars="200"/>
        <w:jc w:val="left"/>
        <w:rPr>
          <w:rFonts w:ascii="宋体" w:hAnsi="宋体"/>
        </w:rPr>
      </w:pPr>
      <w:r>
        <w:rPr>
          <w:rFonts w:hint="eastAsia" w:ascii="宋体" w:hAnsi="宋体"/>
        </w:rPr>
        <w:t>投标人对采购人、采购代理机构的质疑答复不满意或者采购人、采购代理机构未在规定时间内作出答复的，可以在答复期满后十五个工作日内向同级采购监管部门投诉。</w:t>
      </w:r>
    </w:p>
    <w:p w14:paraId="6C1210C8">
      <w:pPr>
        <w:snapToGrid w:val="0"/>
        <w:spacing w:line="360" w:lineRule="exact"/>
        <w:ind w:firstLine="420" w:firstLineChars="200"/>
        <w:jc w:val="left"/>
        <w:rPr>
          <w:rFonts w:ascii="宋体" w:hAnsi="宋体"/>
        </w:rPr>
      </w:pPr>
      <w:r>
        <w:rPr>
          <w:rFonts w:hint="eastAsia" w:ascii="宋体" w:hAnsi="宋体"/>
        </w:rPr>
        <w:t>3.质疑、投诉应当采用书面形式，质疑书、投诉书均应明确阐述招标采购文件、招标采购过程、中标结果中使自己合法权益受到损害的实质性内容，提供相关事实、明确的请求、必要的证明材料，便于有关单位调查、答复和处理。</w:t>
      </w:r>
      <w:bookmarkStart w:id="69" w:name="_Toc254970534"/>
      <w:bookmarkStart w:id="70" w:name="_Toc254970675"/>
    </w:p>
    <w:p w14:paraId="057FE2AA">
      <w:pPr>
        <w:snapToGrid w:val="0"/>
        <w:spacing w:line="360" w:lineRule="exact"/>
        <w:ind w:firstLine="420" w:firstLineChars="200"/>
        <w:jc w:val="left"/>
        <w:rPr>
          <w:rFonts w:ascii="宋体" w:hAnsi="宋体"/>
        </w:rPr>
      </w:pPr>
      <w:r>
        <w:rPr>
          <w:rFonts w:hint="eastAsia" w:ascii="宋体" w:hAnsi="宋体"/>
        </w:rPr>
        <w:t>4</w:t>
      </w:r>
      <w:r>
        <w:rPr>
          <w:rFonts w:ascii="宋体" w:hAnsi="宋体"/>
        </w:rPr>
        <w:t>.</w:t>
      </w:r>
      <w:r>
        <w:rPr>
          <w:rFonts w:hint="eastAsia" w:ascii="宋体" w:hAnsi="宋体"/>
        </w:rPr>
        <w:t>供应商提出质疑应当提交质疑函和必要的证明材料。质疑函应当包括下列内容：</w:t>
      </w:r>
    </w:p>
    <w:p w14:paraId="333D9667">
      <w:pPr>
        <w:snapToGrid w:val="0"/>
        <w:spacing w:line="360" w:lineRule="exact"/>
        <w:ind w:firstLine="420" w:firstLineChars="200"/>
        <w:jc w:val="left"/>
        <w:rPr>
          <w:rFonts w:ascii="宋体" w:hAnsi="宋体"/>
        </w:rPr>
      </w:pPr>
      <w:r>
        <w:rPr>
          <w:rFonts w:hint="eastAsia" w:ascii="宋体" w:hAnsi="宋体"/>
        </w:rPr>
        <w:t>（1）供应商的姓名或者名称、地址、邮编、联系人及联系电话；</w:t>
      </w:r>
    </w:p>
    <w:p w14:paraId="4E3A5A0D">
      <w:pPr>
        <w:snapToGrid w:val="0"/>
        <w:spacing w:line="360" w:lineRule="exact"/>
        <w:ind w:firstLine="420" w:firstLineChars="200"/>
        <w:jc w:val="left"/>
        <w:rPr>
          <w:rFonts w:ascii="宋体" w:hAnsi="宋体"/>
        </w:rPr>
      </w:pPr>
      <w:r>
        <w:rPr>
          <w:rFonts w:hint="eastAsia" w:ascii="宋体" w:hAnsi="宋体"/>
        </w:rPr>
        <w:t>（2）质疑项目的名称、编号；</w:t>
      </w:r>
    </w:p>
    <w:p w14:paraId="6B930FE8">
      <w:pPr>
        <w:snapToGrid w:val="0"/>
        <w:spacing w:line="360" w:lineRule="exact"/>
        <w:ind w:firstLine="420" w:firstLineChars="200"/>
        <w:jc w:val="left"/>
        <w:rPr>
          <w:rFonts w:ascii="宋体" w:hAnsi="宋体"/>
        </w:rPr>
      </w:pPr>
      <w:r>
        <w:rPr>
          <w:rFonts w:hint="eastAsia" w:ascii="宋体" w:hAnsi="宋体"/>
        </w:rPr>
        <w:t>（3）具体、明确的质疑事项和与质疑事项相关的请求；</w:t>
      </w:r>
    </w:p>
    <w:p w14:paraId="47BD7710">
      <w:pPr>
        <w:snapToGrid w:val="0"/>
        <w:spacing w:line="360" w:lineRule="exact"/>
        <w:ind w:firstLine="420" w:firstLineChars="200"/>
        <w:jc w:val="left"/>
        <w:rPr>
          <w:rFonts w:ascii="宋体" w:hAnsi="宋体"/>
        </w:rPr>
      </w:pPr>
      <w:r>
        <w:rPr>
          <w:rFonts w:hint="eastAsia" w:ascii="宋体" w:hAnsi="宋体"/>
        </w:rPr>
        <w:t>（4）事实依据；</w:t>
      </w:r>
    </w:p>
    <w:p w14:paraId="5E3CD922">
      <w:pPr>
        <w:snapToGrid w:val="0"/>
        <w:spacing w:line="360" w:lineRule="exact"/>
        <w:ind w:firstLine="420" w:firstLineChars="200"/>
        <w:jc w:val="left"/>
        <w:rPr>
          <w:rFonts w:ascii="宋体" w:hAnsi="宋体"/>
        </w:rPr>
      </w:pPr>
      <w:r>
        <w:rPr>
          <w:rFonts w:hint="eastAsia" w:ascii="宋体" w:hAnsi="宋体"/>
        </w:rPr>
        <w:t>（5）必要的法律依据；</w:t>
      </w:r>
    </w:p>
    <w:p w14:paraId="6FBF06F4">
      <w:pPr>
        <w:snapToGrid w:val="0"/>
        <w:spacing w:line="360" w:lineRule="exact"/>
        <w:ind w:firstLine="420" w:firstLineChars="200"/>
        <w:jc w:val="left"/>
        <w:rPr>
          <w:rFonts w:ascii="宋体" w:hAnsi="宋体"/>
        </w:rPr>
      </w:pPr>
      <w:r>
        <w:rPr>
          <w:rFonts w:hint="eastAsia" w:ascii="宋体" w:hAnsi="宋体"/>
        </w:rPr>
        <w:t>（6）提出质疑的日期。</w:t>
      </w:r>
    </w:p>
    <w:p w14:paraId="30F3E2D6">
      <w:pPr>
        <w:snapToGrid w:val="0"/>
        <w:spacing w:line="360" w:lineRule="exact"/>
        <w:ind w:firstLine="420" w:firstLineChars="200"/>
        <w:jc w:val="left"/>
        <w:rPr>
          <w:rFonts w:ascii="宋体" w:hAnsi="宋体"/>
        </w:rPr>
      </w:pPr>
      <w:r>
        <w:rPr>
          <w:rFonts w:hint="eastAsia" w:ascii="宋体" w:hAnsi="宋体"/>
        </w:rPr>
        <w:t>供应商为自然人的，应当由本人签字；供应商为法人或者其他组织的，应当由法定代表人、主要负责人，或者其授权代表签字或者盖章，并加盖公章。</w:t>
      </w:r>
    </w:p>
    <w:p w14:paraId="4E5173F1">
      <w:pPr>
        <w:snapToGrid w:val="0"/>
        <w:spacing w:line="360" w:lineRule="exact"/>
        <w:ind w:firstLine="420" w:firstLineChars="200"/>
        <w:jc w:val="left"/>
        <w:rPr>
          <w:rFonts w:ascii="宋体" w:hAnsi="宋体"/>
        </w:rPr>
      </w:pPr>
      <w:r>
        <w:rPr>
          <w:rFonts w:hint="eastAsia" w:ascii="宋体" w:hAnsi="宋体"/>
        </w:rPr>
        <w:t>代理人提出质疑和投诉，应当提交供应商签署的授权委托书。</w:t>
      </w:r>
    </w:p>
    <w:p w14:paraId="6019D779">
      <w:pPr>
        <w:snapToGrid w:val="0"/>
        <w:spacing w:line="360" w:lineRule="exact"/>
        <w:ind w:firstLine="420" w:firstLineChars="200"/>
        <w:jc w:val="left"/>
        <w:rPr>
          <w:rFonts w:ascii="宋体" w:hAnsi="宋体"/>
        </w:rPr>
      </w:pPr>
      <w:r>
        <w:rPr>
          <w:rFonts w:hint="eastAsia" w:ascii="宋体" w:hAnsi="宋体"/>
        </w:rPr>
        <w:t>5.采购人、采购代理机构认为供应商质疑不成立，或者成立但未对中标结果构成影响的，继续开展采购活动；认为供应商质疑成立且影响或者可能影响中标结果的，按照下列情况处理：</w:t>
      </w:r>
    </w:p>
    <w:p w14:paraId="30FDBE3B">
      <w:pPr>
        <w:snapToGrid w:val="0"/>
        <w:spacing w:line="360" w:lineRule="exact"/>
        <w:ind w:firstLine="420" w:firstLineChars="200"/>
        <w:jc w:val="left"/>
        <w:rPr>
          <w:rFonts w:ascii="宋体" w:hAnsi="宋体"/>
        </w:rPr>
      </w:pPr>
      <w:r>
        <w:rPr>
          <w:rFonts w:hint="eastAsia" w:ascii="宋体" w:hAnsi="宋体"/>
        </w:rPr>
        <w:t>（一）对采购文件提出的质疑，依法通过澄清或者修改可以继续开展采购活动的，澄清或者修改采购文件后继续开展采购活动；否则应当修改采购文件后重新开展采购活动。</w:t>
      </w:r>
    </w:p>
    <w:p w14:paraId="7A7BC645">
      <w:pPr>
        <w:snapToGrid w:val="0"/>
        <w:spacing w:line="360" w:lineRule="exact"/>
        <w:ind w:firstLine="420" w:firstLineChars="200"/>
        <w:jc w:val="left"/>
        <w:rPr>
          <w:rFonts w:ascii="宋体" w:hAnsi="宋体"/>
        </w:rPr>
      </w:pPr>
      <w:r>
        <w:rPr>
          <w:rFonts w:hint="eastAsia" w:ascii="宋体" w:hAnsi="宋体"/>
        </w:rPr>
        <w:t>（二）对采购过程、中标结果提出的质疑，合格供应商符合法定数量时，可以从合格的中标候选人中另行确定中标供应商的，应当依法根据中标候选人推荐原则另行确定中标供应商；否则应当重新开展采购活动。</w:t>
      </w:r>
    </w:p>
    <w:p w14:paraId="77595D60">
      <w:pPr>
        <w:snapToGrid w:val="0"/>
        <w:spacing w:line="360" w:lineRule="exact"/>
        <w:ind w:firstLine="420" w:firstLineChars="200"/>
        <w:jc w:val="left"/>
        <w:rPr>
          <w:rFonts w:ascii="宋体" w:hAnsi="宋体"/>
        </w:rPr>
      </w:pPr>
      <w:r>
        <w:rPr>
          <w:rFonts w:hint="eastAsia" w:ascii="宋体" w:hAnsi="宋体"/>
        </w:rPr>
        <w:t>质疑答复导致中标结果改变的，采购人或者采购代理机构应当将有关情况书面报告本级财政部门。</w:t>
      </w:r>
    </w:p>
    <w:p w14:paraId="0574726A">
      <w:pPr>
        <w:snapToGrid w:val="0"/>
        <w:spacing w:line="360" w:lineRule="exact"/>
        <w:ind w:firstLine="420"/>
        <w:jc w:val="left"/>
        <w:rPr>
          <w:rFonts w:ascii="宋体" w:hAnsi="宋体"/>
        </w:rPr>
      </w:pPr>
      <w:r>
        <w:rPr>
          <w:rFonts w:hint="eastAsia" w:ascii="宋体" w:hAnsi="宋体"/>
        </w:rPr>
        <w:t>①质疑联系部门及电话为：广西国力招标有限公司                      0771-4915558</w:t>
      </w:r>
    </w:p>
    <w:p w14:paraId="5D54B1A2">
      <w:pPr>
        <w:snapToGrid w:val="0"/>
        <w:spacing w:line="360" w:lineRule="exact"/>
        <w:ind w:firstLine="420" w:firstLineChars="200"/>
        <w:jc w:val="left"/>
        <w:rPr>
          <w:rFonts w:ascii="宋体" w:hAnsi="宋体"/>
        </w:rPr>
      </w:pPr>
      <w:r>
        <w:rPr>
          <w:rFonts w:hint="eastAsia" w:ascii="宋体" w:hAnsi="宋体"/>
        </w:rPr>
        <w:t>通讯地址：广西南宁市白沙大道53号松宇时代13楼</w:t>
      </w:r>
    </w:p>
    <w:p w14:paraId="3DB5FC8E">
      <w:pPr>
        <w:snapToGrid w:val="0"/>
        <w:spacing w:line="360" w:lineRule="exact"/>
        <w:ind w:firstLine="420" w:firstLineChars="200"/>
        <w:jc w:val="left"/>
        <w:rPr>
          <w:rFonts w:ascii="宋体" w:hAnsi="宋体"/>
        </w:rPr>
      </w:pPr>
      <w:r>
        <w:rPr>
          <w:rFonts w:hint="eastAsia" w:ascii="宋体" w:hAnsi="宋体"/>
        </w:rPr>
        <w:t>②投诉联系部门及电话为：广西壮族自治区财政厅政府采购监督管理处    0771-5331544</w:t>
      </w:r>
    </w:p>
    <w:p w14:paraId="6A5C9CF0">
      <w:pPr>
        <w:snapToGrid w:val="0"/>
        <w:spacing w:line="360" w:lineRule="exact"/>
        <w:ind w:firstLine="420" w:firstLineChars="200"/>
        <w:jc w:val="left"/>
        <w:rPr>
          <w:rFonts w:ascii="宋体" w:hAnsi="宋体"/>
        </w:rPr>
      </w:pPr>
      <w:r>
        <w:rPr>
          <w:rFonts w:hint="eastAsia" w:ascii="宋体" w:hAnsi="宋体"/>
        </w:rPr>
        <w:t>通讯地址：广西南宁市桃源路69号</w:t>
      </w:r>
    </w:p>
    <w:p w14:paraId="2A84BE9B">
      <w:pPr>
        <w:snapToGrid w:val="0"/>
        <w:spacing w:line="360" w:lineRule="exact"/>
        <w:ind w:firstLine="420" w:firstLineChars="200"/>
        <w:jc w:val="left"/>
        <w:rPr>
          <w:bCs/>
        </w:rPr>
      </w:pPr>
    </w:p>
    <w:p w14:paraId="7A45156E">
      <w:pPr>
        <w:pStyle w:val="26"/>
        <w:snapToGrid w:val="0"/>
        <w:spacing w:line="360" w:lineRule="exact"/>
        <w:jc w:val="center"/>
        <w:rPr>
          <w:b/>
        </w:rPr>
      </w:pPr>
      <w:r>
        <w:rPr>
          <w:rFonts w:hint="eastAsia"/>
          <w:b/>
        </w:rPr>
        <w:t>二、招标文件</w:t>
      </w:r>
      <w:bookmarkEnd w:id="69"/>
      <w:bookmarkEnd w:id="70"/>
    </w:p>
    <w:p w14:paraId="60B0CDDE">
      <w:pPr>
        <w:pStyle w:val="26"/>
        <w:snapToGrid w:val="0"/>
        <w:spacing w:line="360" w:lineRule="exact"/>
        <w:ind w:firstLine="420" w:firstLineChars="200"/>
        <w:rPr>
          <w:b/>
        </w:rPr>
      </w:pPr>
      <w:r>
        <w:rPr>
          <w:rFonts w:hint="eastAsia"/>
          <w:b/>
        </w:rPr>
        <w:t>（一）招标文件的构成</w:t>
      </w:r>
    </w:p>
    <w:p w14:paraId="3225FD5A">
      <w:pPr>
        <w:snapToGrid w:val="0"/>
        <w:spacing w:line="360" w:lineRule="exact"/>
        <w:ind w:firstLine="420" w:firstLineChars="200"/>
        <w:jc w:val="left"/>
        <w:rPr>
          <w:rFonts w:ascii="宋体" w:hAnsi="宋体"/>
        </w:rPr>
      </w:pPr>
      <w:r>
        <w:rPr>
          <w:rFonts w:hint="eastAsia" w:ascii="宋体" w:hAnsi="宋体"/>
        </w:rPr>
        <w:t>1.公开招标公告；</w:t>
      </w:r>
    </w:p>
    <w:p w14:paraId="43772499">
      <w:pPr>
        <w:snapToGrid w:val="0"/>
        <w:spacing w:line="360" w:lineRule="exact"/>
        <w:ind w:firstLine="420" w:firstLineChars="200"/>
        <w:jc w:val="left"/>
        <w:rPr>
          <w:rFonts w:ascii="宋体" w:hAnsi="宋体"/>
        </w:rPr>
      </w:pPr>
      <w:r>
        <w:rPr>
          <w:rFonts w:hint="eastAsia" w:ascii="宋体" w:hAnsi="宋体"/>
        </w:rPr>
        <w:t>2.招标项目采购需求</w:t>
      </w:r>
    </w:p>
    <w:p w14:paraId="0ED5AE92">
      <w:pPr>
        <w:snapToGrid w:val="0"/>
        <w:spacing w:line="360" w:lineRule="exact"/>
        <w:ind w:firstLine="420" w:firstLineChars="200"/>
        <w:jc w:val="left"/>
        <w:rPr>
          <w:rFonts w:ascii="宋体" w:hAnsi="宋体"/>
        </w:rPr>
      </w:pPr>
      <w:r>
        <w:rPr>
          <w:rFonts w:hint="eastAsia" w:ascii="宋体" w:hAnsi="宋体"/>
        </w:rPr>
        <w:t>3.投标人须知；</w:t>
      </w:r>
    </w:p>
    <w:p w14:paraId="02AC43A0">
      <w:pPr>
        <w:snapToGrid w:val="0"/>
        <w:spacing w:line="360" w:lineRule="exact"/>
        <w:ind w:firstLine="420" w:firstLineChars="200"/>
        <w:jc w:val="left"/>
        <w:rPr>
          <w:rFonts w:ascii="宋体" w:hAnsi="宋体"/>
        </w:rPr>
      </w:pPr>
      <w:r>
        <w:rPr>
          <w:rFonts w:hint="eastAsia" w:ascii="宋体" w:hAnsi="宋体"/>
        </w:rPr>
        <w:t>4.评标方法及评分标准；</w:t>
      </w:r>
    </w:p>
    <w:p w14:paraId="2507EA0D">
      <w:pPr>
        <w:snapToGrid w:val="0"/>
        <w:spacing w:line="360" w:lineRule="exact"/>
        <w:ind w:firstLine="420" w:firstLineChars="200"/>
        <w:jc w:val="left"/>
        <w:rPr>
          <w:rFonts w:ascii="宋体" w:hAnsi="宋体"/>
        </w:rPr>
      </w:pPr>
      <w:r>
        <w:rPr>
          <w:rFonts w:hint="eastAsia" w:ascii="宋体" w:hAnsi="宋体"/>
        </w:rPr>
        <w:t>5.政府采购合同主要条款；</w:t>
      </w:r>
    </w:p>
    <w:p w14:paraId="3A26A461">
      <w:pPr>
        <w:snapToGrid w:val="0"/>
        <w:spacing w:line="360" w:lineRule="exact"/>
        <w:ind w:firstLine="420" w:firstLineChars="200"/>
        <w:jc w:val="left"/>
        <w:rPr>
          <w:rFonts w:ascii="宋体" w:hAnsi="宋体"/>
        </w:rPr>
      </w:pPr>
      <w:r>
        <w:rPr>
          <w:rFonts w:hint="eastAsia" w:ascii="宋体" w:hAnsi="宋体"/>
        </w:rPr>
        <w:t>6.投标文件格式。</w:t>
      </w:r>
    </w:p>
    <w:p w14:paraId="1FC31D7C">
      <w:pPr>
        <w:pStyle w:val="26"/>
        <w:snapToGrid w:val="0"/>
        <w:spacing w:line="360" w:lineRule="exact"/>
        <w:ind w:firstLine="420" w:firstLineChars="200"/>
        <w:rPr>
          <w:b/>
        </w:rPr>
      </w:pPr>
      <w:r>
        <w:rPr>
          <w:rFonts w:hint="eastAsia"/>
          <w:b/>
        </w:rPr>
        <w:t>（二）投标人的风险</w:t>
      </w:r>
    </w:p>
    <w:p w14:paraId="5B728E5F">
      <w:pPr>
        <w:snapToGrid w:val="0"/>
        <w:spacing w:line="360" w:lineRule="exact"/>
        <w:ind w:firstLine="420" w:firstLineChars="200"/>
        <w:jc w:val="left"/>
        <w:rPr>
          <w:rFonts w:ascii="宋体" w:hAnsi="宋体"/>
        </w:rPr>
      </w:pPr>
      <w:r>
        <w:rPr>
          <w:rFonts w:hint="eastAsia" w:ascii="宋体" w:hAnsi="宋体"/>
        </w:rPr>
        <w:t>1.投标人应认真阅读招标文件，按照招标文件的要求编制投标文件。投标文件应对招标文件提出的要求和条件作出明确响应。投标人没有按照招标文件要求提供全部资料，或者投标人没有对招标文件在各方面作出明确响应是投标人的风险，并可能导致其投标被拒绝。</w:t>
      </w:r>
    </w:p>
    <w:p w14:paraId="7AA893BC">
      <w:pPr>
        <w:snapToGrid w:val="0"/>
        <w:spacing w:line="360" w:lineRule="exact"/>
        <w:ind w:firstLine="420" w:firstLineChars="200"/>
        <w:jc w:val="left"/>
        <w:rPr>
          <w:rFonts w:ascii="宋体" w:hAnsi="宋体"/>
        </w:rPr>
      </w:pPr>
      <w:r>
        <w:rPr>
          <w:rFonts w:hint="eastAsia" w:ascii="宋体" w:hAnsi="宋体"/>
        </w:rPr>
        <w:t>2.对招标文件提出的实质性要求和条件作出明确响应是指投标人必须对招标文件中涉及招标项目的价格、采购货物的主要技术参数和性能配置、数量、交货（或竣工）时间、售后服务及其它要求、合同主要条款等内容作出明确响应。</w:t>
      </w:r>
    </w:p>
    <w:p w14:paraId="6CCFC8C1">
      <w:pPr>
        <w:pStyle w:val="26"/>
        <w:snapToGrid w:val="0"/>
        <w:spacing w:line="360" w:lineRule="exact"/>
        <w:ind w:firstLine="420" w:firstLineChars="200"/>
        <w:rPr>
          <w:b/>
        </w:rPr>
      </w:pPr>
      <w:r>
        <w:rPr>
          <w:rFonts w:hint="eastAsia"/>
          <w:b/>
        </w:rPr>
        <w:t>（三）招标文件的澄清与修改</w:t>
      </w:r>
    </w:p>
    <w:p w14:paraId="43206414">
      <w:pPr>
        <w:snapToGrid w:val="0"/>
        <w:spacing w:line="360" w:lineRule="exact"/>
        <w:ind w:firstLine="420" w:firstLineChars="200"/>
        <w:jc w:val="left"/>
        <w:rPr>
          <w:rFonts w:ascii="宋体" w:hAnsi="宋体"/>
        </w:rPr>
      </w:pPr>
      <w:r>
        <w:rPr>
          <w:rFonts w:hint="eastAsia" w:ascii="宋体" w:hAnsi="宋体"/>
        </w:rPr>
        <w:t>1.投标人应认真阅读本招标文件，发现其中有误或有不合理要求的，</w:t>
      </w:r>
      <w:r>
        <w:rPr>
          <w:rFonts w:hint="eastAsia" w:ascii="宋体" w:hAnsi="宋体"/>
          <w:bCs/>
        </w:rPr>
        <w:t>投标人</w:t>
      </w:r>
      <w:r>
        <w:rPr>
          <w:rFonts w:hint="eastAsia" w:ascii="宋体" w:hAnsi="宋体"/>
          <w:b/>
          <w:bCs/>
        </w:rPr>
        <w:t>应当</w:t>
      </w:r>
      <w:r>
        <w:rPr>
          <w:rFonts w:hint="eastAsia" w:ascii="宋体" w:hAnsi="宋体"/>
          <w:bCs/>
        </w:rPr>
        <w:t>在</w:t>
      </w:r>
      <w:r>
        <w:rPr>
          <w:rFonts w:hint="eastAsia" w:ascii="宋体" w:hAnsi="宋体"/>
          <w:bCs/>
          <w:u w:val="single"/>
        </w:rPr>
        <w:t>“采购文件：第三章 《投标人须知及前附表》序号6”规定的时间</w:t>
      </w:r>
      <w:r>
        <w:rPr>
          <w:rFonts w:hint="eastAsia" w:ascii="宋体" w:hAnsi="宋体"/>
          <w:bCs/>
        </w:rPr>
        <w:t>前以书面形式要求</w:t>
      </w:r>
      <w:r>
        <w:rPr>
          <w:rFonts w:ascii="宋体" w:hAnsi="宋体"/>
        </w:rPr>
        <w:t>采购人或者采购代理机构</w:t>
      </w:r>
      <w:r>
        <w:rPr>
          <w:rFonts w:hint="eastAsia" w:ascii="宋体" w:hAnsi="宋体"/>
        </w:rPr>
        <w:t>答疑、澄清</w:t>
      </w:r>
      <w:r>
        <w:rPr>
          <w:rFonts w:hint="eastAsia" w:ascii="宋体" w:hAnsi="宋体"/>
          <w:bCs/>
        </w:rPr>
        <w:t>。</w:t>
      </w:r>
      <w:r>
        <w:rPr>
          <w:rFonts w:hint="eastAsia" w:ascii="宋体" w:hAnsi="宋体"/>
        </w:rPr>
        <w:t>采购代理机构对已发出的招标文件进行必要澄清、答复、修改或补充的内容</w:t>
      </w:r>
      <w:r>
        <w:rPr>
          <w:rFonts w:hint="eastAsia" w:ascii="宋体" w:hAnsi="宋体"/>
          <w:b/>
        </w:rPr>
        <w:t>可能影响投标文件编制的</w:t>
      </w:r>
      <w:r>
        <w:rPr>
          <w:rFonts w:hint="eastAsia" w:ascii="宋体" w:hAnsi="宋体"/>
        </w:rPr>
        <w:t>，应当在招标文件要求提交投标文件截止时间15日前，在财政部门指定的政府采购信息发布媒体上发布更正公告，并以书面形式通知所有招标文件收受人。</w:t>
      </w:r>
    </w:p>
    <w:p w14:paraId="55DA60EB">
      <w:pPr>
        <w:snapToGrid w:val="0"/>
        <w:spacing w:line="360" w:lineRule="exact"/>
        <w:ind w:firstLine="420" w:firstLineChars="200"/>
        <w:jc w:val="left"/>
        <w:rPr>
          <w:rFonts w:ascii="宋体" w:hAnsi="宋体"/>
        </w:rPr>
      </w:pPr>
      <w:r>
        <w:rPr>
          <w:rFonts w:hint="eastAsia" w:ascii="宋体" w:hAnsi="宋体"/>
        </w:rPr>
        <w:t>2.招标文件澄清、答复、修改、补充的内容为招标文件的组成部分。当招标文件与招标文件的答复、澄清、修改、补充通知就同一内容的表述不一致时，以最后发出的书面文件为准。</w:t>
      </w:r>
    </w:p>
    <w:p w14:paraId="69075F14">
      <w:pPr>
        <w:snapToGrid w:val="0"/>
        <w:spacing w:line="360" w:lineRule="exact"/>
        <w:ind w:firstLine="420" w:firstLineChars="200"/>
        <w:jc w:val="left"/>
        <w:rPr>
          <w:rFonts w:ascii="宋体" w:hAnsi="宋体"/>
        </w:rPr>
      </w:pPr>
      <w:r>
        <w:rPr>
          <w:rFonts w:hint="eastAsia" w:ascii="宋体" w:hAnsi="宋体"/>
        </w:rPr>
        <w:t>3.招标文件的澄清、答复、修改、补充都应该通过本采购代理机构以法定形式发布，采购人非通过本机构，不得擅自澄清、答复、修改、补充招标文件。</w:t>
      </w:r>
    </w:p>
    <w:p w14:paraId="3488F2EB">
      <w:pPr>
        <w:snapToGrid w:val="0"/>
        <w:spacing w:line="360" w:lineRule="exact"/>
        <w:ind w:firstLine="420" w:firstLineChars="200"/>
        <w:jc w:val="left"/>
        <w:rPr>
          <w:rFonts w:ascii="宋体" w:hAnsi="宋体"/>
        </w:rPr>
      </w:pPr>
      <w:r>
        <w:rPr>
          <w:rFonts w:hint="eastAsia" w:ascii="宋体" w:hAnsi="宋体"/>
        </w:rPr>
        <w:t>4.采购代理机构可以视采购具体情况，延长招标文件或者资格预审文件提供期限，并在财政部门指定的政府采购信息发布媒体上发布公告。</w:t>
      </w:r>
    </w:p>
    <w:p w14:paraId="6EC4C239">
      <w:pPr>
        <w:pStyle w:val="26"/>
        <w:snapToGrid w:val="0"/>
        <w:spacing w:line="360" w:lineRule="exact"/>
      </w:pPr>
      <w:bookmarkStart w:id="71" w:name="_Toc254970676"/>
      <w:bookmarkStart w:id="72" w:name="_Toc254970535"/>
    </w:p>
    <w:p w14:paraId="50C7D50F">
      <w:pPr>
        <w:pStyle w:val="26"/>
        <w:snapToGrid w:val="0"/>
        <w:spacing w:line="360" w:lineRule="exact"/>
        <w:jc w:val="center"/>
        <w:rPr>
          <w:b/>
        </w:rPr>
      </w:pPr>
      <w:r>
        <w:rPr>
          <w:rFonts w:hint="eastAsia"/>
          <w:b/>
        </w:rPr>
        <w:t>三、投标文件的编制</w:t>
      </w:r>
      <w:bookmarkEnd w:id="71"/>
      <w:bookmarkEnd w:id="72"/>
      <w:bookmarkStart w:id="73" w:name="_Toc254970677"/>
      <w:bookmarkStart w:id="74" w:name="_Toc254970536"/>
    </w:p>
    <w:p w14:paraId="192E7F2A">
      <w:pPr>
        <w:snapToGrid w:val="0"/>
        <w:spacing w:line="360" w:lineRule="exact"/>
        <w:ind w:firstLine="308" w:firstLineChars="147"/>
        <w:jc w:val="left"/>
        <w:rPr>
          <w:rFonts w:ascii="宋体" w:hAnsi="宋体"/>
          <w:b/>
        </w:rPr>
      </w:pPr>
      <w:r>
        <w:rPr>
          <w:rFonts w:hint="eastAsia" w:ascii="宋体" w:hAnsi="宋体"/>
          <w:b/>
        </w:rPr>
        <w:t>（一）投标文件的组成</w:t>
      </w:r>
      <w:bookmarkEnd w:id="73"/>
      <w:bookmarkEnd w:id="74"/>
      <w:r>
        <w:rPr>
          <w:rFonts w:hint="eastAsia" w:ascii="宋体" w:hAnsi="宋体"/>
          <w:b/>
        </w:rPr>
        <w:t>（以下要求“必须提供”的，请按要求在投标文件中提供，否则作投标无效处理；其他如有请提供）</w:t>
      </w:r>
    </w:p>
    <w:p w14:paraId="38A6E260">
      <w:pPr>
        <w:snapToGrid w:val="0"/>
        <w:spacing w:line="360" w:lineRule="exact"/>
        <w:ind w:firstLine="420" w:firstLineChars="200"/>
        <w:jc w:val="left"/>
        <w:rPr>
          <w:rFonts w:ascii="宋体" w:hAnsi="宋体"/>
        </w:rPr>
      </w:pPr>
      <w:r>
        <w:rPr>
          <w:rFonts w:hint="eastAsia" w:ascii="宋体" w:hAnsi="宋体"/>
        </w:rPr>
        <w:t>投标文件由资格文件、商务技术文件、报价文件</w:t>
      </w:r>
      <w:r>
        <w:rPr>
          <w:rFonts w:hint="eastAsia" w:ascii="宋体" w:hAnsi="宋体"/>
          <w:b/>
        </w:rPr>
        <w:t>三部分</w:t>
      </w:r>
      <w:r>
        <w:rPr>
          <w:rFonts w:hint="eastAsia" w:ascii="宋体" w:hAnsi="宋体"/>
        </w:rPr>
        <w:t>组成。</w:t>
      </w:r>
      <w:r>
        <w:rPr>
          <w:rFonts w:hint="eastAsia" w:ascii="宋体"/>
          <w:b/>
          <w:szCs w:val="21"/>
        </w:rPr>
        <w:t>（扫描件或其他电子文件）</w:t>
      </w:r>
    </w:p>
    <w:p w14:paraId="7705A2C0">
      <w:pPr>
        <w:snapToGrid w:val="0"/>
        <w:spacing w:beforeLines="50" w:line="360" w:lineRule="exact"/>
        <w:ind w:firstLine="411" w:firstLineChars="196"/>
        <w:jc w:val="left"/>
        <w:rPr>
          <w:rFonts w:ascii="宋体" w:hAnsi="宋体"/>
          <w:b/>
          <w:szCs w:val="21"/>
        </w:rPr>
      </w:pPr>
      <w:r>
        <w:rPr>
          <w:rFonts w:hint="eastAsia" w:ascii="宋体" w:hAnsi="宋体"/>
          <w:b/>
          <w:szCs w:val="21"/>
        </w:rPr>
        <w:t>1.资格文件：</w:t>
      </w:r>
    </w:p>
    <w:p w14:paraId="20DDC1CB">
      <w:pPr>
        <w:snapToGrid w:val="0"/>
        <w:spacing w:line="360" w:lineRule="exact"/>
        <w:ind w:firstLine="411" w:firstLineChars="196"/>
        <w:jc w:val="left"/>
        <w:rPr>
          <w:rFonts w:ascii="宋体" w:hAnsi="宋体"/>
          <w:szCs w:val="21"/>
        </w:rPr>
      </w:pPr>
      <w:r>
        <w:rPr>
          <w:rFonts w:hint="eastAsia" w:ascii="宋体" w:hAnsi="宋体"/>
          <w:b/>
          <w:szCs w:val="21"/>
        </w:rPr>
        <w:t>（1）</w:t>
      </w:r>
      <w:r>
        <w:rPr>
          <w:rFonts w:hint="eastAsia" w:ascii="宋体" w:hAnsi="宋体"/>
          <w:szCs w:val="21"/>
        </w:rPr>
        <w:t>有效的主体资格证明文件；</w:t>
      </w:r>
    </w:p>
    <w:p w14:paraId="7C29B430">
      <w:pPr>
        <w:spacing w:line="370" w:lineRule="exact"/>
        <w:rPr>
          <w:b/>
        </w:rPr>
      </w:pPr>
      <w:r>
        <w:rPr>
          <w:rFonts w:hint="eastAsia"/>
          <w:b/>
        </w:rPr>
        <w:t xml:space="preserve">    </w:t>
      </w:r>
      <w:r>
        <w:rPr>
          <w:rFonts w:hint="eastAsia" w:ascii="宋体" w:hAnsi="宋体"/>
        </w:rPr>
        <w:t xml:space="preserve"> ①投标人有效的“主体资格证明文件”（如营业执照、事业单位法人证书、执业许可证、自然人身份证等）</w:t>
      </w:r>
      <w:r>
        <w:rPr>
          <w:rFonts w:hint="eastAsia" w:hAnsi="宋体"/>
        </w:rPr>
        <w:t>复印件</w:t>
      </w:r>
      <w:r>
        <w:rPr>
          <w:rFonts w:hint="eastAsia" w:ascii="宋体" w:hAnsi="宋体"/>
        </w:rPr>
        <w:t>，同时要加盖单位公章；</w:t>
      </w:r>
      <w:r>
        <w:rPr>
          <w:rFonts w:hint="eastAsia" w:ascii="宋体" w:hAnsi="宋体"/>
          <w:b/>
        </w:rPr>
        <w:t>（必须提供）</w:t>
      </w:r>
    </w:p>
    <w:p w14:paraId="07175304">
      <w:pPr>
        <w:spacing w:line="370" w:lineRule="exact"/>
        <w:rPr>
          <w:b/>
        </w:rPr>
      </w:pPr>
      <w:r>
        <w:rPr>
          <w:rFonts w:hint="eastAsia"/>
          <w:b/>
        </w:rPr>
        <w:t xml:space="preserve">  </w:t>
      </w:r>
      <w:r>
        <w:rPr>
          <w:rFonts w:hint="eastAsia"/>
          <w:b/>
          <w:color w:val="FF0000"/>
        </w:rPr>
        <w:t xml:space="preserve"> </w:t>
      </w:r>
      <w:r>
        <w:rPr>
          <w:rFonts w:hint="eastAsia"/>
          <w:color w:val="FF0000"/>
        </w:rPr>
        <w:t xml:space="preserve"> </w:t>
      </w:r>
      <w:r>
        <w:t xml:space="preserve"> </w:t>
      </w:r>
      <w:r>
        <w:rPr>
          <w:rFonts w:hint="eastAsia"/>
        </w:rPr>
        <w:t>②供应商须具备有效的《中华人民共和国出版物经营许可证》</w:t>
      </w:r>
      <w:r>
        <w:rPr>
          <w:rFonts w:hint="eastAsia" w:hAnsi="宋体"/>
        </w:rPr>
        <w:t>复印件</w:t>
      </w:r>
      <w:r>
        <w:rPr>
          <w:rFonts w:hint="eastAsia"/>
        </w:rPr>
        <w:t>，同时要加盖单位公章；</w:t>
      </w:r>
      <w:r>
        <w:rPr>
          <w:rFonts w:hint="eastAsia"/>
          <w:b/>
        </w:rPr>
        <w:t>（必须提供）</w:t>
      </w:r>
    </w:p>
    <w:p w14:paraId="53942FB3">
      <w:pPr>
        <w:snapToGrid w:val="0"/>
        <w:spacing w:line="360" w:lineRule="exact"/>
        <w:ind w:firstLine="411" w:firstLineChars="196"/>
        <w:jc w:val="left"/>
        <w:rPr>
          <w:rFonts w:ascii="宋体" w:hAnsi="宋体"/>
          <w:szCs w:val="21"/>
        </w:rPr>
      </w:pPr>
      <w:r>
        <w:rPr>
          <w:rFonts w:hint="eastAsia" w:ascii="宋体" w:hAnsi="宋体"/>
          <w:szCs w:val="21"/>
        </w:rPr>
        <w:t>（2）投标截止之日前一年内投标人连续三个月的依法缴纳税费或依法免缴税费的证明；无纳税记录的，应提供由投标人所在地的税务部门出具的《依法纳税或依法免税证明》。</w:t>
      </w:r>
      <w:r>
        <w:rPr>
          <w:rFonts w:hint="eastAsia" w:ascii="宋体" w:hAnsi="宋体"/>
          <w:b/>
          <w:szCs w:val="21"/>
        </w:rPr>
        <w:t>（必须提供，新成立单位按实际提供）</w:t>
      </w:r>
    </w:p>
    <w:p w14:paraId="7B52496D">
      <w:pPr>
        <w:snapToGrid w:val="0"/>
        <w:spacing w:line="360" w:lineRule="exact"/>
        <w:ind w:firstLine="411" w:firstLineChars="196"/>
        <w:jc w:val="left"/>
        <w:rPr>
          <w:rFonts w:ascii="宋体" w:hAnsi="宋体"/>
          <w:szCs w:val="21"/>
        </w:rPr>
      </w:pPr>
      <w:r>
        <w:rPr>
          <w:rFonts w:hint="eastAsia" w:ascii="宋体" w:hAnsi="宋体"/>
          <w:szCs w:val="21"/>
        </w:rPr>
        <w:t>（3）投标截止之日前一年内投标人连续三个月的依法缴纳社保费的缴费凭证；无缴费记录的，应提供由投标人所在地社保等相关部门出具的《依法缴纳或依法免缴社保费证明》。</w:t>
      </w:r>
      <w:r>
        <w:rPr>
          <w:rFonts w:hint="eastAsia" w:ascii="宋体" w:hAnsi="宋体"/>
          <w:b/>
          <w:szCs w:val="21"/>
        </w:rPr>
        <w:t>（必须提供，新成立单位按实际提供）</w:t>
      </w:r>
    </w:p>
    <w:p w14:paraId="3B96D09F">
      <w:pPr>
        <w:snapToGrid w:val="0"/>
        <w:spacing w:line="360" w:lineRule="exact"/>
        <w:jc w:val="left"/>
        <w:rPr>
          <w:rFonts w:ascii="宋体" w:hAnsi="宋体"/>
          <w:b/>
          <w:szCs w:val="21"/>
        </w:rPr>
      </w:pPr>
      <w:r>
        <w:rPr>
          <w:rFonts w:hint="eastAsia" w:ascii="宋体" w:hAnsi="宋体"/>
          <w:b/>
          <w:szCs w:val="21"/>
        </w:rPr>
        <w:t xml:space="preserve">    </w:t>
      </w:r>
      <w:r>
        <w:rPr>
          <w:rFonts w:hint="eastAsia" w:ascii="宋体" w:hAnsi="宋体"/>
          <w:szCs w:val="21"/>
        </w:rPr>
        <w:t>（4）</w:t>
      </w:r>
      <w:r>
        <w:rPr>
          <w:rFonts w:ascii="宋体" w:hAnsi="宋体"/>
          <w:szCs w:val="21"/>
        </w:rPr>
        <w:t>财务状况报告</w:t>
      </w:r>
      <w:r>
        <w:rPr>
          <w:rFonts w:hint="eastAsia" w:ascii="宋体" w:hAnsi="宋体"/>
          <w:szCs w:val="21"/>
        </w:rPr>
        <w:t>。</w:t>
      </w:r>
      <w:r>
        <w:rPr>
          <w:rFonts w:hint="eastAsia" w:ascii="宋体" w:hAnsi="宋体"/>
          <w:b/>
          <w:szCs w:val="21"/>
        </w:rPr>
        <w:t>（格式自拟，必须提供）</w:t>
      </w:r>
    </w:p>
    <w:p w14:paraId="666A229E">
      <w:pPr>
        <w:snapToGrid w:val="0"/>
        <w:spacing w:line="360" w:lineRule="exact"/>
        <w:ind w:firstLine="411" w:firstLineChars="196"/>
        <w:jc w:val="left"/>
        <w:rPr>
          <w:rFonts w:ascii="宋体" w:hAnsi="宋体" w:cs="宋体"/>
          <w:b/>
          <w:kern w:val="0"/>
          <w:szCs w:val="21"/>
        </w:rPr>
      </w:pPr>
      <w:r>
        <w:rPr>
          <w:rFonts w:hint="eastAsia" w:ascii="宋体" w:hAnsi="宋体" w:cs="宋体"/>
          <w:kern w:val="0"/>
          <w:szCs w:val="21"/>
        </w:rPr>
        <w:t>（5）</w:t>
      </w:r>
      <w:r>
        <w:rPr>
          <w:rFonts w:ascii="宋体" w:hAnsi="宋体"/>
          <w:szCs w:val="21"/>
        </w:rPr>
        <w:t>具备履行合同所必需的设备和专业技术能力的证明材料</w:t>
      </w:r>
      <w:r>
        <w:rPr>
          <w:rFonts w:hint="eastAsia" w:ascii="宋体" w:hAnsi="宋体" w:cs="宋体"/>
          <w:kern w:val="0"/>
          <w:szCs w:val="21"/>
        </w:rPr>
        <w:t>。</w:t>
      </w:r>
      <w:r>
        <w:rPr>
          <w:rFonts w:hint="eastAsia" w:ascii="宋体" w:hAnsi="宋体"/>
          <w:b/>
          <w:szCs w:val="21"/>
        </w:rPr>
        <w:t>（内容、格式自拟，必须提供）</w:t>
      </w:r>
    </w:p>
    <w:p w14:paraId="41F8A89B">
      <w:pPr>
        <w:snapToGrid w:val="0"/>
        <w:spacing w:line="360" w:lineRule="exact"/>
        <w:ind w:firstLine="411" w:firstLineChars="196"/>
        <w:jc w:val="left"/>
        <w:rPr>
          <w:rFonts w:ascii="宋体" w:hAnsi="宋体"/>
          <w:color w:val="000000"/>
          <w:szCs w:val="21"/>
        </w:rPr>
      </w:pPr>
      <w:r>
        <w:rPr>
          <w:rFonts w:hint="eastAsia" w:ascii="宋体" w:hAnsi="宋体" w:cs="宋体"/>
          <w:kern w:val="0"/>
          <w:szCs w:val="21"/>
        </w:rPr>
        <w:t>（6）</w:t>
      </w:r>
      <w:r>
        <w:rPr>
          <w:rFonts w:hint="eastAsia" w:ascii="宋体" w:hAnsi="宋体"/>
          <w:szCs w:val="21"/>
        </w:rPr>
        <w:t>参加政府</w:t>
      </w:r>
      <w:r>
        <w:rPr>
          <w:rFonts w:hint="eastAsia" w:ascii="宋体" w:hAnsi="宋体"/>
          <w:color w:val="000000"/>
          <w:szCs w:val="21"/>
        </w:rPr>
        <w:t>采购活动前三年内在经营活动中没有重大违法记录和不良信用记录的书面声明。（</w:t>
      </w:r>
      <w:r>
        <w:rPr>
          <w:rFonts w:hint="eastAsia" w:ascii="宋体" w:hAnsi="宋体"/>
          <w:b/>
          <w:color w:val="000000"/>
          <w:szCs w:val="21"/>
        </w:rPr>
        <w:t>格式自拟，必须提供</w:t>
      </w:r>
      <w:r>
        <w:rPr>
          <w:rFonts w:hint="eastAsia" w:ascii="宋体" w:hAnsi="宋体"/>
          <w:color w:val="000000"/>
          <w:szCs w:val="21"/>
        </w:rPr>
        <w:t>）</w:t>
      </w:r>
    </w:p>
    <w:p w14:paraId="01F51FCB">
      <w:pPr>
        <w:snapToGrid w:val="0"/>
        <w:spacing w:line="360" w:lineRule="exact"/>
        <w:ind w:firstLine="411" w:firstLineChars="196"/>
        <w:jc w:val="left"/>
        <w:rPr>
          <w:rFonts w:ascii="宋体" w:hAnsi="宋体"/>
          <w:b/>
          <w:szCs w:val="21"/>
        </w:rPr>
      </w:pPr>
      <w:r>
        <w:rPr>
          <w:rFonts w:hint="eastAsia" w:ascii="宋体" w:hAnsi="宋体"/>
          <w:b/>
          <w:szCs w:val="21"/>
        </w:rPr>
        <w:t>注：采购人或采购代理机构在资格审查结束前对供应商进行信用查询</w:t>
      </w:r>
    </w:p>
    <w:p w14:paraId="25526B47">
      <w:pPr>
        <w:snapToGrid w:val="0"/>
        <w:spacing w:line="360" w:lineRule="exact"/>
        <w:ind w:firstLine="411" w:firstLineChars="196"/>
        <w:jc w:val="left"/>
        <w:rPr>
          <w:rFonts w:ascii="宋体" w:hAnsi="宋体"/>
          <w:b/>
          <w:szCs w:val="21"/>
        </w:rPr>
      </w:pPr>
      <w:r>
        <w:rPr>
          <w:rFonts w:hint="eastAsia" w:ascii="宋体" w:hAnsi="宋体"/>
          <w:b/>
          <w:szCs w:val="21"/>
        </w:rPr>
        <w:t>查询渠道：“信用中国”网站(www.creditchina.gov.cn) 、中国政府采购网(www.ccgp.gov.cn)</w:t>
      </w:r>
    </w:p>
    <w:p w14:paraId="68EB98D9">
      <w:pPr>
        <w:snapToGrid w:val="0"/>
        <w:spacing w:line="360" w:lineRule="exact"/>
        <w:ind w:firstLine="411" w:firstLineChars="196"/>
        <w:jc w:val="left"/>
        <w:rPr>
          <w:rFonts w:ascii="宋体" w:hAnsi="宋体"/>
          <w:b/>
          <w:szCs w:val="21"/>
        </w:rPr>
      </w:pPr>
      <w:r>
        <w:rPr>
          <w:rFonts w:hint="eastAsia" w:ascii="宋体" w:hAnsi="宋体"/>
          <w:b/>
          <w:szCs w:val="21"/>
        </w:rPr>
        <w:t>查询截止时间：资格审查结束前。</w:t>
      </w:r>
    </w:p>
    <w:p w14:paraId="3FDF3BA7">
      <w:pPr>
        <w:snapToGrid w:val="0"/>
        <w:spacing w:line="360" w:lineRule="exact"/>
        <w:ind w:firstLine="411" w:firstLineChars="196"/>
        <w:jc w:val="left"/>
        <w:rPr>
          <w:rFonts w:ascii="宋体" w:hAnsi="宋体"/>
          <w:b/>
          <w:szCs w:val="21"/>
        </w:rPr>
      </w:pPr>
      <w:r>
        <w:rPr>
          <w:rFonts w:hint="eastAsia" w:ascii="宋体" w:hAnsi="宋体"/>
          <w:b/>
          <w:szCs w:val="21"/>
        </w:rPr>
        <w:t>查询记录和证据留存方式：在查询网站中直接打印查询记录，打印材料作为评审资料保存。</w:t>
      </w:r>
    </w:p>
    <w:p w14:paraId="3B2E9F3E">
      <w:pPr>
        <w:pStyle w:val="26"/>
        <w:snapToGrid w:val="0"/>
        <w:spacing w:line="360" w:lineRule="exact"/>
        <w:ind w:firstLine="420" w:firstLineChars="200"/>
        <w:jc w:val="left"/>
        <w:rPr>
          <w:rFonts w:hAnsi="宋体"/>
          <w:b/>
        </w:rPr>
      </w:pPr>
      <w:r>
        <w:rPr>
          <w:rFonts w:hint="eastAsia" w:hAnsi="宋体"/>
          <w:b/>
        </w:rPr>
        <w:t>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将拒绝其参与政府采购活动。</w:t>
      </w:r>
    </w:p>
    <w:p w14:paraId="02EFC49A">
      <w:pPr>
        <w:pStyle w:val="26"/>
        <w:snapToGrid w:val="0"/>
        <w:spacing w:line="360" w:lineRule="exact"/>
        <w:ind w:firstLine="420" w:firstLineChars="200"/>
        <w:jc w:val="left"/>
        <w:rPr>
          <w:rFonts w:hAnsi="宋体"/>
          <w:b/>
        </w:rPr>
      </w:pPr>
      <w:r>
        <w:rPr>
          <w:rFonts w:hint="eastAsia" w:hAnsi="宋体"/>
          <w:bCs/>
        </w:rPr>
        <w:t>（7）投标人直接控股、管理关系信息表（格式后附）；</w:t>
      </w:r>
      <w:r>
        <w:rPr>
          <w:rFonts w:hint="eastAsia" w:hAnsi="宋体"/>
          <w:b/>
        </w:rPr>
        <w:t>（必须提供，否则作无效投标处理）</w:t>
      </w:r>
    </w:p>
    <w:p w14:paraId="71F01788">
      <w:pPr>
        <w:pStyle w:val="26"/>
        <w:snapToGrid w:val="0"/>
        <w:spacing w:line="360" w:lineRule="exact"/>
        <w:ind w:firstLine="420" w:firstLineChars="200"/>
        <w:jc w:val="left"/>
        <w:rPr>
          <w:rFonts w:hAnsi="宋体"/>
          <w:b/>
        </w:rPr>
      </w:pPr>
      <w:r>
        <w:rPr>
          <w:rFonts w:hint="eastAsia" w:hAnsi="宋体"/>
          <w:bCs/>
        </w:rPr>
        <w:t>（8)投标人参加本项目无围标串标行为的承诺；</w:t>
      </w:r>
      <w:r>
        <w:rPr>
          <w:rFonts w:hint="eastAsia" w:hAnsi="宋体"/>
          <w:b/>
        </w:rPr>
        <w:t>（必须提供，否则作无效投标处理）</w:t>
      </w:r>
    </w:p>
    <w:p w14:paraId="72EA5D5D">
      <w:pPr>
        <w:pStyle w:val="26"/>
        <w:snapToGrid w:val="0"/>
        <w:spacing w:line="360" w:lineRule="exact"/>
        <w:ind w:firstLine="420" w:firstLineChars="200"/>
        <w:jc w:val="left"/>
        <w:rPr>
          <w:rFonts w:hAnsi="宋体"/>
          <w:b/>
        </w:rPr>
      </w:pPr>
    </w:p>
    <w:p w14:paraId="34999BE8">
      <w:pPr>
        <w:pStyle w:val="26"/>
        <w:snapToGrid w:val="0"/>
        <w:spacing w:line="360" w:lineRule="exact"/>
        <w:ind w:firstLine="420" w:firstLineChars="200"/>
        <w:jc w:val="left"/>
        <w:rPr>
          <w:b/>
        </w:rPr>
      </w:pPr>
      <w:r>
        <w:rPr>
          <w:rFonts w:hint="eastAsia"/>
          <w:b/>
        </w:rPr>
        <w:t>2.商务技术文件：</w:t>
      </w:r>
    </w:p>
    <w:p w14:paraId="61D6412C">
      <w:pPr>
        <w:pStyle w:val="26"/>
        <w:snapToGrid w:val="0"/>
        <w:spacing w:line="360" w:lineRule="exact"/>
        <w:ind w:firstLine="420" w:firstLineChars="200"/>
        <w:jc w:val="left"/>
        <w:rPr>
          <w:b/>
        </w:rPr>
      </w:pPr>
      <w:r>
        <w:rPr>
          <w:rFonts w:hint="eastAsia"/>
          <w:b/>
        </w:rPr>
        <w:t>2.1商务文件：</w:t>
      </w:r>
    </w:p>
    <w:p w14:paraId="6FC970F4">
      <w:pPr>
        <w:snapToGrid w:val="0"/>
        <w:spacing w:line="360" w:lineRule="exact"/>
        <w:ind w:firstLine="420" w:firstLineChars="200"/>
        <w:jc w:val="left"/>
        <w:rPr>
          <w:rFonts w:ascii="宋体" w:hAnsi="宋体"/>
        </w:rPr>
      </w:pPr>
      <w:r>
        <w:rPr>
          <w:rFonts w:hint="eastAsia" w:ascii="宋体" w:hAnsi="宋体"/>
        </w:rPr>
        <w:t>（1）</w:t>
      </w:r>
      <w:r>
        <w:rPr>
          <w:rFonts w:hint="eastAsia" w:ascii="宋体" w:hAnsi="宋体"/>
          <w:color w:val="000000"/>
          <w:szCs w:val="21"/>
        </w:rPr>
        <w:t>投标保证金的提交凭证</w:t>
      </w:r>
      <w:r>
        <w:rPr>
          <w:rFonts w:hint="eastAsia" w:ascii="宋体" w:hAnsi="宋体"/>
        </w:rPr>
        <w:t>；</w:t>
      </w:r>
      <w:r>
        <w:rPr>
          <w:rFonts w:hint="eastAsia" w:ascii="宋体" w:hAnsi="宋体"/>
          <w:b/>
        </w:rPr>
        <w:t>（必须提供）</w:t>
      </w:r>
    </w:p>
    <w:p w14:paraId="236EF462">
      <w:pPr>
        <w:snapToGrid w:val="0"/>
        <w:spacing w:line="360" w:lineRule="exact"/>
        <w:ind w:firstLine="411" w:firstLineChars="196"/>
        <w:jc w:val="left"/>
        <w:rPr>
          <w:rFonts w:ascii="宋体"/>
          <w:szCs w:val="21"/>
        </w:rPr>
      </w:pPr>
      <w:r>
        <w:rPr>
          <w:rFonts w:hint="eastAsia" w:ascii="宋体"/>
          <w:szCs w:val="21"/>
        </w:rPr>
        <w:t>（2）投标声明书 (格式见第六章)；</w:t>
      </w:r>
      <w:r>
        <w:rPr>
          <w:rFonts w:hint="eastAsia" w:ascii="宋体"/>
          <w:b/>
          <w:color w:val="000000"/>
          <w:szCs w:val="21"/>
        </w:rPr>
        <w:t>（必须提供）</w:t>
      </w:r>
    </w:p>
    <w:p w14:paraId="0C32DD38">
      <w:pPr>
        <w:snapToGrid w:val="0"/>
        <w:spacing w:line="360" w:lineRule="exact"/>
        <w:ind w:firstLine="411" w:firstLineChars="196"/>
        <w:jc w:val="left"/>
        <w:rPr>
          <w:rFonts w:ascii="宋体"/>
          <w:szCs w:val="21"/>
        </w:rPr>
      </w:pPr>
      <w:r>
        <w:rPr>
          <w:rFonts w:hint="eastAsia" w:ascii="宋体"/>
          <w:szCs w:val="21"/>
        </w:rPr>
        <w:t>（3）法定代表人(负责人)授权委托书和委托代理人身份证正、反面复印件（格式见第六章)</w:t>
      </w:r>
      <w:r>
        <w:rPr>
          <w:rFonts w:hint="eastAsia" w:ascii="宋体"/>
          <w:b/>
          <w:szCs w:val="21"/>
        </w:rPr>
        <w:t>（委托时必须提供）</w:t>
      </w:r>
      <w:r>
        <w:rPr>
          <w:rFonts w:hint="eastAsia" w:ascii="宋体"/>
          <w:szCs w:val="21"/>
        </w:rPr>
        <w:t>；</w:t>
      </w:r>
    </w:p>
    <w:p w14:paraId="19174D05">
      <w:pPr>
        <w:snapToGrid w:val="0"/>
        <w:spacing w:line="360" w:lineRule="exact"/>
        <w:ind w:firstLine="411" w:firstLineChars="196"/>
        <w:jc w:val="left"/>
        <w:rPr>
          <w:rFonts w:ascii="宋体"/>
          <w:szCs w:val="21"/>
        </w:rPr>
      </w:pPr>
      <w:r>
        <w:rPr>
          <w:rFonts w:hint="eastAsia" w:ascii="宋体"/>
          <w:szCs w:val="21"/>
        </w:rPr>
        <w:t>（4）法定代表人(负责人)身份证明书（格式见第六章)、法定代表人</w:t>
      </w:r>
      <w:r>
        <w:rPr>
          <w:rFonts w:hint="eastAsia" w:ascii="宋体" w:cs="Arial"/>
          <w:szCs w:val="21"/>
        </w:rPr>
        <w:t>（负责人）</w:t>
      </w:r>
      <w:r>
        <w:rPr>
          <w:rFonts w:hint="eastAsia" w:ascii="宋体"/>
          <w:szCs w:val="21"/>
        </w:rPr>
        <w:t>有效身份证正反面复印件</w:t>
      </w:r>
      <w:r>
        <w:rPr>
          <w:rFonts w:hint="eastAsia" w:ascii="宋体"/>
          <w:b/>
          <w:szCs w:val="21"/>
        </w:rPr>
        <w:t>（必须提供）</w:t>
      </w:r>
      <w:r>
        <w:rPr>
          <w:rFonts w:hint="eastAsia" w:ascii="宋体"/>
          <w:szCs w:val="21"/>
        </w:rPr>
        <w:t xml:space="preserve">； </w:t>
      </w:r>
    </w:p>
    <w:p w14:paraId="564ED234">
      <w:pPr>
        <w:snapToGrid w:val="0"/>
        <w:spacing w:line="360" w:lineRule="exact"/>
        <w:ind w:firstLine="411" w:firstLineChars="196"/>
        <w:jc w:val="left"/>
        <w:rPr>
          <w:rFonts w:ascii="宋体"/>
          <w:szCs w:val="21"/>
        </w:rPr>
      </w:pPr>
      <w:r>
        <w:rPr>
          <w:rFonts w:hint="eastAsia" w:ascii="宋体"/>
          <w:szCs w:val="21"/>
        </w:rPr>
        <w:t>（5）产品销售许可证复印件；</w:t>
      </w:r>
    </w:p>
    <w:p w14:paraId="36AF39C4">
      <w:pPr>
        <w:snapToGrid w:val="0"/>
        <w:spacing w:line="360" w:lineRule="exact"/>
        <w:ind w:firstLine="411" w:firstLineChars="196"/>
        <w:jc w:val="left"/>
        <w:rPr>
          <w:rFonts w:ascii="宋体"/>
          <w:szCs w:val="21"/>
        </w:rPr>
      </w:pPr>
      <w:r>
        <w:rPr>
          <w:rFonts w:hint="eastAsia" w:ascii="宋体"/>
          <w:szCs w:val="21"/>
        </w:rPr>
        <w:t>（6）安全生产许可证复印件、产品代理资格证明文件复印件；</w:t>
      </w:r>
    </w:p>
    <w:p w14:paraId="341C261D">
      <w:pPr>
        <w:snapToGrid w:val="0"/>
        <w:spacing w:line="360" w:lineRule="exact"/>
        <w:ind w:firstLine="411" w:firstLineChars="196"/>
        <w:jc w:val="left"/>
        <w:rPr>
          <w:rFonts w:ascii="宋体"/>
          <w:b/>
          <w:color w:val="000000"/>
          <w:szCs w:val="21"/>
        </w:rPr>
      </w:pPr>
      <w:r>
        <w:rPr>
          <w:rFonts w:hint="eastAsia" w:ascii="宋体"/>
          <w:szCs w:val="21"/>
        </w:rPr>
        <w:t>（7）商务响应表（格式见第六章）；</w:t>
      </w:r>
      <w:r>
        <w:rPr>
          <w:rFonts w:hint="eastAsia" w:ascii="宋体"/>
          <w:b/>
          <w:color w:val="000000"/>
          <w:szCs w:val="21"/>
        </w:rPr>
        <w:t>（必须提供）</w:t>
      </w:r>
    </w:p>
    <w:p w14:paraId="7EF0FBD7">
      <w:pPr>
        <w:snapToGrid w:val="0"/>
        <w:spacing w:line="360" w:lineRule="exact"/>
        <w:ind w:firstLine="411" w:firstLineChars="196"/>
        <w:jc w:val="left"/>
        <w:rPr>
          <w:rFonts w:ascii="宋体"/>
          <w:b/>
          <w:szCs w:val="21"/>
        </w:rPr>
      </w:pPr>
      <w:r>
        <w:rPr>
          <w:rFonts w:hint="eastAsia" w:ascii="宋体"/>
          <w:szCs w:val="21"/>
        </w:rPr>
        <w:t>（8）招标项目采购需求中要求必须提供的材料等；</w:t>
      </w:r>
      <w:r>
        <w:rPr>
          <w:rFonts w:hint="eastAsia"/>
        </w:rPr>
        <w:t>（招标项目采购需求中要求必须提供的材料，据实提供）</w:t>
      </w:r>
    </w:p>
    <w:p w14:paraId="7069AD00">
      <w:pPr>
        <w:snapToGrid w:val="0"/>
        <w:spacing w:line="360" w:lineRule="exact"/>
        <w:ind w:firstLine="411" w:firstLineChars="196"/>
        <w:jc w:val="left"/>
        <w:rPr>
          <w:rFonts w:ascii="宋体"/>
          <w:b/>
          <w:szCs w:val="21"/>
        </w:rPr>
      </w:pPr>
      <w:r>
        <w:rPr>
          <w:rFonts w:hint="eastAsia" w:ascii="宋体"/>
          <w:szCs w:val="21"/>
        </w:rPr>
        <w:t>（9）具备法律、行政法规规定的其他条件的证明材料。</w:t>
      </w:r>
      <w:r>
        <w:rPr>
          <w:rFonts w:hint="eastAsia" w:ascii="宋体"/>
          <w:b/>
          <w:szCs w:val="21"/>
        </w:rPr>
        <w:t>(如有规定,则必须提供)</w:t>
      </w:r>
    </w:p>
    <w:p w14:paraId="12257432">
      <w:pPr>
        <w:snapToGrid w:val="0"/>
        <w:spacing w:line="360" w:lineRule="exact"/>
        <w:ind w:firstLine="411" w:firstLineChars="196"/>
        <w:jc w:val="left"/>
        <w:rPr>
          <w:rFonts w:ascii="宋体"/>
          <w:b/>
          <w:bCs/>
          <w:szCs w:val="21"/>
        </w:rPr>
      </w:pPr>
      <w:r>
        <w:rPr>
          <w:rFonts w:hint="eastAsia" w:ascii="宋体"/>
          <w:b/>
          <w:bCs/>
          <w:szCs w:val="21"/>
        </w:rPr>
        <w:t xml:space="preserve">可作为投标人资信评分的资质证明材料（可选）  </w:t>
      </w:r>
    </w:p>
    <w:p w14:paraId="5E5B2D53">
      <w:pPr>
        <w:snapToGrid w:val="0"/>
        <w:spacing w:line="360" w:lineRule="exact"/>
        <w:ind w:firstLine="411" w:firstLineChars="196"/>
        <w:jc w:val="left"/>
        <w:rPr>
          <w:rFonts w:ascii="宋体"/>
          <w:szCs w:val="21"/>
        </w:rPr>
      </w:pPr>
      <w:r>
        <w:rPr>
          <w:rFonts w:hint="eastAsia" w:ascii="宋体"/>
          <w:szCs w:val="21"/>
        </w:rPr>
        <w:t>（10）类似成功案例的业绩（投标人同类项目实施情况一览表、合同扫描件等，格式可自行调整）；</w:t>
      </w:r>
    </w:p>
    <w:p w14:paraId="2D9F8BAA">
      <w:pPr>
        <w:snapToGrid w:val="0"/>
        <w:spacing w:line="360" w:lineRule="exact"/>
        <w:ind w:firstLine="411" w:firstLineChars="196"/>
        <w:jc w:val="left"/>
        <w:rPr>
          <w:rFonts w:ascii="宋体"/>
          <w:szCs w:val="21"/>
        </w:rPr>
      </w:pPr>
      <w:r>
        <w:rPr>
          <w:rFonts w:hint="eastAsia" w:ascii="宋体"/>
          <w:szCs w:val="21"/>
        </w:rPr>
        <w:t>（11）其他特殊资质证书；</w:t>
      </w:r>
    </w:p>
    <w:p w14:paraId="03ECA979">
      <w:pPr>
        <w:snapToGrid w:val="0"/>
        <w:spacing w:line="360" w:lineRule="exact"/>
        <w:ind w:firstLine="411" w:firstLineChars="196"/>
        <w:jc w:val="left"/>
        <w:rPr>
          <w:rFonts w:ascii="宋体"/>
          <w:szCs w:val="21"/>
        </w:rPr>
      </w:pPr>
      <w:r>
        <w:rPr>
          <w:rFonts w:hint="eastAsia" w:ascii="宋体"/>
          <w:szCs w:val="21"/>
        </w:rPr>
        <w:t>（12）节能环保产品或政府强制采购节能产品认证证书；</w:t>
      </w:r>
    </w:p>
    <w:p w14:paraId="497487A6">
      <w:pPr>
        <w:snapToGrid w:val="0"/>
        <w:spacing w:line="360" w:lineRule="exact"/>
        <w:ind w:firstLine="411" w:firstLineChars="196"/>
        <w:jc w:val="left"/>
        <w:rPr>
          <w:rFonts w:ascii="宋体"/>
          <w:szCs w:val="21"/>
        </w:rPr>
      </w:pPr>
      <w:r>
        <w:rPr>
          <w:rFonts w:hint="eastAsia" w:ascii="宋体"/>
          <w:szCs w:val="21"/>
        </w:rPr>
        <w:t>（13）投标人质量管理和质量保证体系等方面的认证证书；</w:t>
      </w:r>
    </w:p>
    <w:p w14:paraId="0F1D50E2">
      <w:pPr>
        <w:snapToGrid w:val="0"/>
        <w:spacing w:line="360" w:lineRule="exact"/>
        <w:ind w:firstLine="411" w:firstLineChars="196"/>
        <w:jc w:val="left"/>
        <w:rPr>
          <w:rFonts w:ascii="宋体"/>
          <w:szCs w:val="21"/>
        </w:rPr>
      </w:pPr>
      <w:r>
        <w:rPr>
          <w:rFonts w:hint="eastAsia" w:ascii="宋体"/>
          <w:szCs w:val="21"/>
        </w:rPr>
        <w:t>（14）投标人认为可以证明其能力或业绩的其他材料；</w:t>
      </w:r>
    </w:p>
    <w:p w14:paraId="6D26B081">
      <w:pPr>
        <w:snapToGrid w:val="0"/>
        <w:spacing w:line="360" w:lineRule="exact"/>
        <w:ind w:firstLine="411" w:firstLineChars="196"/>
        <w:jc w:val="left"/>
        <w:rPr>
          <w:rFonts w:ascii="宋体"/>
          <w:szCs w:val="21"/>
        </w:rPr>
      </w:pPr>
      <w:r>
        <w:rPr>
          <w:rFonts w:hint="eastAsia" w:ascii="宋体"/>
          <w:szCs w:val="21"/>
        </w:rPr>
        <w:t>（15）投标人关于产品生产时间、升级或者更新淘汰计划、配件供应以及本单位债务纠纷、违法违规记录等方面的情况（内容见投标声明书）；</w:t>
      </w:r>
    </w:p>
    <w:p w14:paraId="13A604E6">
      <w:pPr>
        <w:snapToGrid w:val="0"/>
        <w:spacing w:line="360" w:lineRule="exact"/>
        <w:ind w:firstLine="411" w:firstLineChars="196"/>
        <w:jc w:val="left"/>
        <w:rPr>
          <w:rFonts w:ascii="宋体"/>
          <w:szCs w:val="21"/>
        </w:rPr>
      </w:pPr>
      <w:r>
        <w:rPr>
          <w:rFonts w:hint="eastAsia" w:ascii="宋体"/>
          <w:szCs w:val="21"/>
        </w:rPr>
        <w:t>（16）投标人情况介绍。</w:t>
      </w:r>
    </w:p>
    <w:p w14:paraId="49A7515A">
      <w:pPr>
        <w:snapToGrid w:val="0"/>
        <w:spacing w:line="360" w:lineRule="exact"/>
        <w:ind w:firstLine="411" w:firstLineChars="196"/>
        <w:jc w:val="left"/>
        <w:rPr>
          <w:rFonts w:ascii="宋体"/>
          <w:szCs w:val="21"/>
        </w:rPr>
      </w:pPr>
      <w:r>
        <w:rPr>
          <w:rFonts w:hint="eastAsia" w:ascii="宋体"/>
          <w:szCs w:val="21"/>
        </w:rPr>
        <w:t>（17）投标人认为需要提供的其他材料。</w:t>
      </w:r>
    </w:p>
    <w:p w14:paraId="43B17E5D">
      <w:pPr>
        <w:snapToGrid w:val="0"/>
        <w:spacing w:line="360" w:lineRule="exact"/>
        <w:ind w:firstLine="411" w:firstLineChars="196"/>
        <w:jc w:val="left"/>
        <w:rPr>
          <w:rFonts w:ascii="宋体"/>
          <w:b/>
          <w:bCs/>
          <w:szCs w:val="21"/>
        </w:rPr>
      </w:pPr>
      <w:r>
        <w:rPr>
          <w:rFonts w:hint="eastAsia" w:ascii="宋体"/>
          <w:szCs w:val="21"/>
        </w:rPr>
        <w:t>（18）中小企业声明函。</w:t>
      </w:r>
      <w:r>
        <w:rPr>
          <w:rFonts w:hint="eastAsia" w:ascii="宋体"/>
          <w:b/>
          <w:bCs/>
          <w:szCs w:val="21"/>
        </w:rPr>
        <w:t>（按最新相关政策执行，格式见第六章，如有请提供）</w:t>
      </w:r>
    </w:p>
    <w:p w14:paraId="2C6046C4">
      <w:pPr>
        <w:snapToGrid w:val="0"/>
        <w:spacing w:line="360" w:lineRule="exact"/>
        <w:ind w:firstLine="411" w:firstLineChars="196"/>
        <w:jc w:val="left"/>
        <w:rPr>
          <w:rFonts w:hint="eastAsia" w:ascii="宋体" w:eastAsia="宋体"/>
          <w:b/>
          <w:bCs/>
          <w:szCs w:val="21"/>
          <w:lang w:eastAsia="zh-CN"/>
        </w:rPr>
      </w:pPr>
      <w:r>
        <w:rPr>
          <w:rFonts w:hint="eastAsia" w:ascii="宋体"/>
          <w:szCs w:val="21"/>
        </w:rPr>
        <w:t>（19）本国产品适用政府采购政策相关资料。</w:t>
      </w:r>
      <w:r>
        <w:rPr>
          <w:rFonts w:hint="eastAsia" w:ascii="宋体"/>
          <w:b/>
          <w:bCs/>
          <w:szCs w:val="21"/>
          <w:lang w:eastAsia="zh-CN"/>
        </w:rPr>
        <w:t>（</w:t>
      </w:r>
      <w:r>
        <w:rPr>
          <w:rFonts w:hint="eastAsia" w:ascii="宋体"/>
          <w:b/>
          <w:bCs/>
          <w:szCs w:val="21"/>
        </w:rPr>
        <w:t>本项目不属于本国产品标准的适用范围。</w:t>
      </w:r>
      <w:r>
        <w:rPr>
          <w:rFonts w:hint="eastAsia" w:ascii="宋体"/>
          <w:b/>
          <w:bCs/>
          <w:szCs w:val="21"/>
          <w:lang w:eastAsia="zh-CN"/>
        </w:rPr>
        <w:t>）</w:t>
      </w:r>
    </w:p>
    <w:p w14:paraId="5E934E55">
      <w:pPr>
        <w:snapToGrid w:val="0"/>
        <w:spacing w:line="360" w:lineRule="exact"/>
        <w:ind w:firstLine="411" w:firstLineChars="196"/>
        <w:jc w:val="left"/>
        <w:rPr>
          <w:rFonts w:ascii="宋体"/>
          <w:b/>
          <w:szCs w:val="21"/>
        </w:rPr>
      </w:pPr>
    </w:p>
    <w:p w14:paraId="5ED640EA">
      <w:pPr>
        <w:snapToGrid w:val="0"/>
        <w:spacing w:line="360" w:lineRule="exact"/>
        <w:ind w:firstLine="411" w:firstLineChars="196"/>
        <w:jc w:val="left"/>
        <w:rPr>
          <w:rFonts w:ascii="宋体"/>
          <w:b/>
          <w:bCs/>
          <w:szCs w:val="21"/>
        </w:rPr>
      </w:pPr>
      <w:r>
        <w:rPr>
          <w:rFonts w:hint="eastAsia" w:ascii="宋体"/>
          <w:b/>
          <w:bCs/>
          <w:szCs w:val="21"/>
        </w:rPr>
        <w:t>2.2技术文件：</w:t>
      </w:r>
    </w:p>
    <w:p w14:paraId="7EF5FBA9">
      <w:pPr>
        <w:snapToGrid w:val="0"/>
        <w:spacing w:line="360" w:lineRule="exact"/>
        <w:ind w:firstLine="411" w:firstLineChars="196"/>
        <w:jc w:val="left"/>
        <w:rPr>
          <w:rFonts w:ascii="宋体"/>
          <w:szCs w:val="21"/>
        </w:rPr>
      </w:pPr>
      <w:r>
        <w:rPr>
          <w:rFonts w:hint="eastAsia" w:ascii="宋体"/>
          <w:szCs w:val="21"/>
        </w:rPr>
        <w:t>（1）技术响应表；</w:t>
      </w:r>
      <w:r>
        <w:rPr>
          <w:rFonts w:hint="eastAsia" w:ascii="宋体"/>
          <w:b/>
          <w:color w:val="000000"/>
          <w:szCs w:val="21"/>
        </w:rPr>
        <w:t>（必须提供）</w:t>
      </w:r>
    </w:p>
    <w:p w14:paraId="3E2C3BBC">
      <w:pPr>
        <w:snapToGrid w:val="0"/>
        <w:spacing w:line="360" w:lineRule="exact"/>
        <w:ind w:firstLine="411" w:firstLineChars="196"/>
        <w:jc w:val="left"/>
        <w:rPr>
          <w:rFonts w:ascii="宋体"/>
          <w:szCs w:val="21"/>
        </w:rPr>
      </w:pPr>
      <w:r>
        <w:rPr>
          <w:rFonts w:hint="eastAsia" w:ascii="宋体"/>
          <w:szCs w:val="21"/>
        </w:rPr>
        <w:t>（2）设备配置清单</w:t>
      </w:r>
      <w:r>
        <w:rPr>
          <w:rFonts w:hint="eastAsia" w:ascii="宋体"/>
          <w:b/>
          <w:szCs w:val="21"/>
        </w:rPr>
        <w:t>（均不含报价）</w:t>
      </w:r>
      <w:r>
        <w:rPr>
          <w:rFonts w:hint="eastAsia" w:ascii="宋体"/>
          <w:szCs w:val="21"/>
        </w:rPr>
        <w:t>；</w:t>
      </w:r>
    </w:p>
    <w:p w14:paraId="621BCFB9">
      <w:pPr>
        <w:snapToGrid w:val="0"/>
        <w:spacing w:line="360" w:lineRule="exact"/>
        <w:ind w:firstLine="420" w:firstLineChars="200"/>
        <w:jc w:val="left"/>
        <w:rPr>
          <w:rFonts w:ascii="宋体"/>
          <w:szCs w:val="21"/>
        </w:rPr>
      </w:pPr>
      <w:r>
        <w:rPr>
          <w:rFonts w:hint="eastAsia" w:ascii="宋体"/>
          <w:szCs w:val="21"/>
        </w:rPr>
        <w:t>（3）</w:t>
      </w:r>
      <w:r>
        <w:rPr>
          <w:rFonts w:hint="eastAsia"/>
        </w:rPr>
        <w:t>项目实施方案、售后服务承诺书</w:t>
      </w:r>
      <w:r>
        <w:rPr>
          <w:rFonts w:hint="eastAsia" w:ascii="宋体"/>
          <w:szCs w:val="21"/>
        </w:rPr>
        <w:t>；</w:t>
      </w:r>
      <w:r>
        <w:rPr>
          <w:rFonts w:hint="eastAsia" w:ascii="宋体" w:hAnsi="宋体"/>
          <w:b/>
          <w:szCs w:val="21"/>
        </w:rPr>
        <w:t>（格式自拟，</w:t>
      </w:r>
      <w:r>
        <w:rPr>
          <w:rFonts w:hint="eastAsia" w:ascii="宋体"/>
          <w:b/>
          <w:color w:val="000000"/>
          <w:szCs w:val="21"/>
        </w:rPr>
        <w:t>必须提供</w:t>
      </w:r>
      <w:r>
        <w:rPr>
          <w:rFonts w:hint="eastAsia" w:ascii="宋体" w:hAnsi="宋体"/>
          <w:b/>
          <w:szCs w:val="21"/>
        </w:rPr>
        <w:t>）</w:t>
      </w:r>
    </w:p>
    <w:p w14:paraId="21B59ECD">
      <w:pPr>
        <w:snapToGrid w:val="0"/>
        <w:spacing w:line="360" w:lineRule="exact"/>
        <w:ind w:firstLine="420" w:firstLineChars="200"/>
        <w:jc w:val="left"/>
        <w:rPr>
          <w:rFonts w:ascii="宋体"/>
          <w:szCs w:val="21"/>
        </w:rPr>
      </w:pPr>
      <w:r>
        <w:rPr>
          <w:rFonts w:hint="eastAsia" w:ascii="宋体"/>
          <w:szCs w:val="21"/>
        </w:rPr>
        <w:t>（4）投标人拥有主要装备和检测设施的情况和现状（格式自拟）及项目实施人员一览表；</w:t>
      </w:r>
    </w:p>
    <w:p w14:paraId="2E9BAB66">
      <w:pPr>
        <w:snapToGrid w:val="0"/>
        <w:spacing w:line="360" w:lineRule="exact"/>
        <w:ind w:firstLine="420" w:firstLineChars="200"/>
        <w:jc w:val="left"/>
        <w:rPr>
          <w:rFonts w:ascii="宋体"/>
          <w:szCs w:val="21"/>
        </w:rPr>
      </w:pPr>
      <w:r>
        <w:rPr>
          <w:rFonts w:hint="eastAsia" w:ascii="宋体"/>
          <w:szCs w:val="21"/>
        </w:rPr>
        <w:t>（5）优惠条件：投标人承诺给予招标人的各种优惠条件，包括备品备件、专用耗材、售后服务等方面的优惠；</w:t>
      </w:r>
    </w:p>
    <w:p w14:paraId="459F1AF9">
      <w:pPr>
        <w:snapToGrid w:val="0"/>
        <w:spacing w:line="360" w:lineRule="exact"/>
        <w:ind w:firstLine="420" w:firstLineChars="200"/>
        <w:jc w:val="left"/>
        <w:rPr>
          <w:rFonts w:ascii="宋体"/>
          <w:szCs w:val="21"/>
        </w:rPr>
      </w:pPr>
      <w:r>
        <w:rPr>
          <w:rFonts w:hint="eastAsia" w:ascii="宋体"/>
          <w:szCs w:val="21"/>
        </w:rPr>
        <w:t>（6）投标人对本项目的合理化建议和改进措施；</w:t>
      </w:r>
    </w:p>
    <w:p w14:paraId="663F9739">
      <w:pPr>
        <w:snapToGrid w:val="0"/>
        <w:spacing w:line="360" w:lineRule="exact"/>
        <w:ind w:firstLine="420" w:firstLineChars="200"/>
        <w:jc w:val="left"/>
        <w:rPr>
          <w:rFonts w:ascii="宋体"/>
          <w:szCs w:val="21"/>
        </w:rPr>
      </w:pPr>
      <w:r>
        <w:rPr>
          <w:rFonts w:hint="eastAsia" w:ascii="宋体"/>
          <w:szCs w:val="21"/>
        </w:rPr>
        <w:t>（7）投标人认为需要提供的其他材料。</w:t>
      </w:r>
    </w:p>
    <w:p w14:paraId="14CAB1C2">
      <w:pPr>
        <w:snapToGrid w:val="0"/>
        <w:spacing w:line="360" w:lineRule="exact"/>
        <w:ind w:firstLine="420" w:firstLineChars="200"/>
        <w:jc w:val="left"/>
        <w:rPr>
          <w:rFonts w:ascii="宋体"/>
          <w:szCs w:val="21"/>
        </w:rPr>
      </w:pPr>
      <w:r>
        <w:rPr>
          <w:rFonts w:hint="eastAsia" w:ascii="宋体"/>
          <w:szCs w:val="21"/>
        </w:rPr>
        <w:t>（8）招标项目采购需求中要求必须提供的材料。</w:t>
      </w:r>
      <w:r>
        <w:rPr>
          <w:rFonts w:hint="eastAsia"/>
        </w:rPr>
        <w:t>（招标项目采购需求中要求必须提供的材料，据实提供）</w:t>
      </w:r>
    </w:p>
    <w:p w14:paraId="50317785">
      <w:pPr>
        <w:snapToGrid w:val="0"/>
        <w:spacing w:line="360" w:lineRule="exact"/>
        <w:ind w:firstLine="420" w:firstLineChars="200"/>
        <w:jc w:val="left"/>
        <w:rPr>
          <w:rFonts w:ascii="宋体"/>
          <w:b/>
          <w:szCs w:val="21"/>
        </w:rPr>
      </w:pPr>
      <w:r>
        <w:rPr>
          <w:rFonts w:hint="eastAsia" w:ascii="宋体"/>
          <w:b/>
          <w:szCs w:val="21"/>
        </w:rPr>
        <w:t>3.报价文件：</w:t>
      </w:r>
    </w:p>
    <w:p w14:paraId="1D6643C8">
      <w:pPr>
        <w:snapToGrid w:val="0"/>
        <w:spacing w:line="360" w:lineRule="exact"/>
        <w:ind w:firstLine="420" w:firstLineChars="200"/>
        <w:jc w:val="left"/>
        <w:rPr>
          <w:rFonts w:ascii="宋体"/>
          <w:szCs w:val="21"/>
        </w:rPr>
      </w:pPr>
      <w:r>
        <w:rPr>
          <w:rFonts w:hint="eastAsia" w:ascii="宋体"/>
          <w:szCs w:val="21"/>
        </w:rPr>
        <w:t>（1）投标函（格式见第六章）；</w:t>
      </w:r>
      <w:r>
        <w:rPr>
          <w:rFonts w:hint="eastAsia" w:ascii="宋体"/>
          <w:b/>
          <w:color w:val="000000"/>
          <w:szCs w:val="21"/>
        </w:rPr>
        <w:t>（必须提供）</w:t>
      </w:r>
    </w:p>
    <w:p w14:paraId="64A3E022">
      <w:pPr>
        <w:snapToGrid w:val="0"/>
        <w:spacing w:line="360" w:lineRule="exact"/>
        <w:ind w:firstLine="420" w:firstLineChars="200"/>
        <w:jc w:val="left"/>
        <w:rPr>
          <w:rFonts w:ascii="宋体"/>
          <w:szCs w:val="21"/>
        </w:rPr>
      </w:pPr>
      <w:r>
        <w:rPr>
          <w:rFonts w:hint="eastAsia" w:ascii="宋体"/>
          <w:szCs w:val="21"/>
        </w:rPr>
        <w:t>（2）投标报价明细表（格式见第六章）；</w:t>
      </w:r>
      <w:r>
        <w:rPr>
          <w:rFonts w:hint="eastAsia" w:ascii="宋体"/>
          <w:b/>
          <w:color w:val="000000"/>
          <w:szCs w:val="21"/>
        </w:rPr>
        <w:t>（必须提供）</w:t>
      </w:r>
    </w:p>
    <w:p w14:paraId="7B6244E2">
      <w:pPr>
        <w:snapToGrid w:val="0"/>
        <w:spacing w:line="360" w:lineRule="exact"/>
        <w:ind w:firstLine="420" w:firstLineChars="200"/>
        <w:jc w:val="left"/>
        <w:rPr>
          <w:rFonts w:ascii="宋体"/>
          <w:szCs w:val="21"/>
        </w:rPr>
      </w:pPr>
      <w:r>
        <w:rPr>
          <w:rFonts w:hint="eastAsia" w:ascii="宋体"/>
          <w:szCs w:val="21"/>
        </w:rPr>
        <w:t>（3）投标人针对报价需要说明的其他文件和说明；（格式自拟）</w:t>
      </w:r>
    </w:p>
    <w:p w14:paraId="274CCC93">
      <w:pPr>
        <w:snapToGrid w:val="0"/>
        <w:spacing w:line="360" w:lineRule="exact"/>
        <w:ind w:firstLine="420" w:firstLineChars="200"/>
        <w:jc w:val="left"/>
        <w:rPr>
          <w:rFonts w:ascii="宋体"/>
          <w:szCs w:val="21"/>
        </w:rPr>
      </w:pPr>
      <w:r>
        <w:rPr>
          <w:rFonts w:hint="eastAsia" w:ascii="宋体"/>
          <w:szCs w:val="21"/>
        </w:rPr>
        <w:t>（4）开标一览表（格式见第六章）。</w:t>
      </w:r>
      <w:r>
        <w:rPr>
          <w:rFonts w:hint="eastAsia" w:ascii="宋体"/>
          <w:b/>
          <w:color w:val="000000"/>
          <w:szCs w:val="21"/>
        </w:rPr>
        <w:t>（必须提供）</w:t>
      </w:r>
    </w:p>
    <w:p w14:paraId="218A9A00">
      <w:pPr>
        <w:tabs>
          <w:tab w:val="left" w:pos="3870"/>
          <w:tab w:val="left" w:pos="4085"/>
        </w:tabs>
        <w:snapToGrid w:val="0"/>
        <w:spacing w:line="360" w:lineRule="exact"/>
        <w:ind w:firstLine="420" w:firstLineChars="200"/>
        <w:jc w:val="left"/>
        <w:rPr>
          <w:rFonts w:ascii="宋体"/>
          <w:szCs w:val="21"/>
        </w:rPr>
      </w:pPr>
      <w:r>
        <w:rPr>
          <w:rFonts w:hint="eastAsia" w:ascii="宋体"/>
          <w:szCs w:val="21"/>
        </w:rPr>
        <w:t>▲</w:t>
      </w:r>
      <w:r>
        <w:rPr>
          <w:rFonts w:hint="eastAsia" w:ascii="宋体"/>
          <w:b/>
          <w:bCs/>
          <w:szCs w:val="21"/>
        </w:rPr>
        <w:t>注：法定代表人(负责人)授权委托书、投标声明书、投标函、开标一览表必须按照招标文件格式要求签署和加盖单位公章，否则作投标无效处理。</w:t>
      </w:r>
    </w:p>
    <w:p w14:paraId="3B226D2F">
      <w:pPr>
        <w:spacing w:line="360" w:lineRule="exact"/>
        <w:rPr>
          <w:b/>
        </w:rPr>
      </w:pPr>
      <w:bookmarkStart w:id="75" w:name="_Toc254970678"/>
      <w:bookmarkStart w:id="76" w:name="_Toc254970537"/>
      <w:r>
        <w:rPr>
          <w:rFonts w:hint="eastAsia"/>
          <w:b/>
        </w:rPr>
        <w:t xml:space="preserve">    （二）投标文件的语言及计量</w:t>
      </w:r>
      <w:bookmarkEnd w:id="75"/>
      <w:bookmarkEnd w:id="76"/>
    </w:p>
    <w:p w14:paraId="53A29E54">
      <w:pPr>
        <w:snapToGrid w:val="0"/>
        <w:spacing w:line="360" w:lineRule="exact"/>
        <w:ind w:firstLine="420" w:firstLineChars="200"/>
        <w:jc w:val="left"/>
        <w:rPr>
          <w:rFonts w:ascii="宋体"/>
          <w:szCs w:val="21"/>
        </w:rPr>
      </w:pPr>
      <w:r>
        <w:rPr>
          <w:rFonts w:hint="eastAsia" w:ascii="宋体"/>
          <w:szCs w:val="21"/>
        </w:rPr>
        <w:t>▲1.投标文件以及投标方与招标方就有关投标事宜的所有来往函电，均应以中文汉语书写。除签名、盖章、专用名称等特殊情形外，以中文汉语以外的文字表述的投标文件视同未提供。</w:t>
      </w:r>
    </w:p>
    <w:p w14:paraId="559E7901">
      <w:pPr>
        <w:snapToGrid w:val="0"/>
        <w:spacing w:line="360" w:lineRule="exact"/>
        <w:ind w:firstLine="420" w:firstLineChars="200"/>
        <w:jc w:val="left"/>
        <w:rPr>
          <w:rFonts w:ascii="宋体"/>
          <w:szCs w:val="21"/>
        </w:rPr>
      </w:pPr>
      <w:r>
        <w:rPr>
          <w:rFonts w:hint="eastAsia" w:ascii="宋体"/>
          <w:szCs w:val="21"/>
        </w:rPr>
        <w:t>▲2.投标计量单位，招标文件已有明确规定的，使用招标文件规定的计量单位；招标文件没有规定的，应采用中华人民共和国法定计量单位（货币单位：人民币元），否则视同未响应。</w:t>
      </w:r>
      <w:bookmarkStart w:id="77" w:name="_Toc254970538"/>
      <w:bookmarkStart w:id="78" w:name="_Toc254970679"/>
    </w:p>
    <w:p w14:paraId="0722D53D">
      <w:pPr>
        <w:spacing w:line="360" w:lineRule="exact"/>
        <w:rPr>
          <w:b/>
        </w:rPr>
      </w:pPr>
      <w:r>
        <w:rPr>
          <w:rFonts w:hint="eastAsia"/>
          <w:b/>
        </w:rPr>
        <w:t xml:space="preserve">    （三）投标报价</w:t>
      </w:r>
      <w:bookmarkEnd w:id="77"/>
      <w:bookmarkEnd w:id="78"/>
    </w:p>
    <w:p w14:paraId="4183EB46">
      <w:pPr>
        <w:snapToGrid w:val="0"/>
        <w:spacing w:line="360" w:lineRule="exact"/>
        <w:ind w:firstLine="411" w:firstLineChars="196"/>
        <w:jc w:val="left"/>
        <w:rPr>
          <w:rFonts w:ascii="宋体"/>
          <w:szCs w:val="21"/>
        </w:rPr>
      </w:pPr>
      <w:r>
        <w:rPr>
          <w:rFonts w:hint="eastAsia" w:ascii="宋体"/>
          <w:szCs w:val="21"/>
        </w:rPr>
        <w:t>1.投标报价应按招标文件中相关附表格式填写。</w:t>
      </w:r>
    </w:p>
    <w:p w14:paraId="50F4E6AB">
      <w:pPr>
        <w:snapToGrid w:val="0"/>
        <w:spacing w:line="360" w:lineRule="exact"/>
        <w:ind w:firstLine="411" w:firstLineChars="196"/>
        <w:jc w:val="left"/>
        <w:rPr>
          <w:rFonts w:ascii="宋体"/>
          <w:szCs w:val="21"/>
        </w:rPr>
      </w:pPr>
      <w:r>
        <w:rPr>
          <w:rFonts w:hint="eastAsia" w:ascii="宋体"/>
          <w:szCs w:val="21"/>
        </w:rPr>
        <w:t>2.投标报价是履行合同的最终价格，应包括货款、随配附件、备品备件、专用工具、包装、运输、装卸、保险、运抵指定交货地点、送货上门服务、现场安装调试、保修等各种费用和售后服务、培训、税金及其他所有成本费用的总和。</w:t>
      </w:r>
    </w:p>
    <w:p w14:paraId="22880A99">
      <w:pPr>
        <w:snapToGrid w:val="0"/>
        <w:spacing w:line="360" w:lineRule="exact"/>
        <w:ind w:firstLine="411" w:firstLineChars="196"/>
        <w:jc w:val="left"/>
        <w:rPr>
          <w:rFonts w:ascii="宋体"/>
          <w:szCs w:val="21"/>
        </w:rPr>
      </w:pPr>
      <w:r>
        <w:rPr>
          <w:rFonts w:hint="eastAsia" w:ascii="宋体"/>
          <w:szCs w:val="21"/>
        </w:rPr>
        <w:t>3.投标文件只允许有一个报价，有选择的或有条件的报价将不予接受。</w:t>
      </w:r>
    </w:p>
    <w:p w14:paraId="1792A978">
      <w:pPr>
        <w:spacing w:line="360" w:lineRule="exact"/>
        <w:ind w:firstLine="315" w:firstLineChars="150"/>
        <w:rPr>
          <w:rFonts w:ascii="宋体" w:hAnsi="宋体"/>
          <w:b/>
          <w:bCs/>
        </w:rPr>
      </w:pPr>
      <w:r>
        <w:rPr>
          <w:rFonts w:hint="eastAsia" w:ascii="宋体" w:hAnsi="宋体"/>
          <w:b/>
          <w:bCs/>
        </w:rPr>
        <w:t>▲4.异常低价审查：政府采购评审中出现下列情形之一的，评审委员会应当启动异常低价投标审查程序：</w:t>
      </w:r>
    </w:p>
    <w:p w14:paraId="0F915A1A">
      <w:pPr>
        <w:spacing w:line="360" w:lineRule="exact"/>
        <w:ind w:firstLine="315" w:firstLineChars="150"/>
        <w:rPr>
          <w:rFonts w:ascii="宋体" w:hAnsi="宋体"/>
          <w:b/>
          <w:bCs/>
        </w:rPr>
      </w:pPr>
      <w:r>
        <w:rPr>
          <w:rFonts w:hint="eastAsia" w:ascii="宋体" w:hAnsi="宋体"/>
          <w:b/>
          <w:bCs/>
        </w:rPr>
        <w:t>（1）投标报价低于全部通过符合性审查供应商投标报价平均值50%的，即投标报价&lt;全部通过符合性审查供应商投标报价平均值×50%；</w:t>
      </w:r>
    </w:p>
    <w:p w14:paraId="463CC25E">
      <w:pPr>
        <w:spacing w:line="360" w:lineRule="exact"/>
        <w:ind w:firstLine="315" w:firstLineChars="150"/>
        <w:rPr>
          <w:rFonts w:ascii="宋体" w:hAnsi="宋体"/>
          <w:b/>
          <w:bCs/>
        </w:rPr>
      </w:pPr>
      <w:r>
        <w:rPr>
          <w:rFonts w:hint="eastAsia" w:ascii="宋体" w:hAnsi="宋体"/>
          <w:b/>
          <w:bCs/>
        </w:rPr>
        <w:t>（2）投标报价低于通过符合性审查的次低报价供应商投标报价50%的，即投标报价&lt;通过符合性审查的次低报价供应商投标报价×50%；</w:t>
      </w:r>
    </w:p>
    <w:p w14:paraId="37318830">
      <w:pPr>
        <w:spacing w:line="360" w:lineRule="exact"/>
        <w:ind w:firstLine="315" w:firstLineChars="150"/>
        <w:rPr>
          <w:rFonts w:ascii="宋体" w:hAnsi="宋体"/>
          <w:b/>
          <w:bCs/>
        </w:rPr>
      </w:pPr>
      <w:r>
        <w:rPr>
          <w:rFonts w:hint="eastAsia" w:ascii="宋体" w:hAnsi="宋体"/>
          <w:b/>
          <w:bCs/>
        </w:rPr>
        <w:t>（3）投标报价低于采购项目最高限价45%的，即投标报价&lt;采购项目最高限价×45%；</w:t>
      </w:r>
    </w:p>
    <w:p w14:paraId="49EC7805">
      <w:pPr>
        <w:spacing w:line="360" w:lineRule="exact"/>
        <w:ind w:firstLine="315" w:firstLineChars="150"/>
        <w:rPr>
          <w:rFonts w:ascii="宋体" w:hAnsi="宋体"/>
          <w:b/>
          <w:bCs/>
        </w:rPr>
      </w:pPr>
      <w:r>
        <w:rPr>
          <w:rFonts w:hint="eastAsia" w:ascii="宋体" w:hAnsi="宋体"/>
          <w:b/>
          <w:bCs/>
        </w:rPr>
        <w:t>（4）评审委员会基于专业判断，认为供应商报价过低，有可能影响产品质量或者不能诚信履约的其他情形。</w:t>
      </w:r>
    </w:p>
    <w:p w14:paraId="2FC928F4">
      <w:pPr>
        <w:spacing w:line="360" w:lineRule="exact"/>
        <w:ind w:firstLine="315" w:firstLineChars="150"/>
        <w:rPr>
          <w:rFonts w:ascii="宋体" w:hAnsi="宋体"/>
          <w:b/>
          <w:bCs/>
        </w:rPr>
      </w:pPr>
      <w:r>
        <w:rPr>
          <w:rFonts w:hint="eastAsia" w:ascii="宋体" w:hAnsi="宋体"/>
          <w:b/>
          <w:bCs/>
        </w:rPr>
        <w:t>5.评审委员会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3项情形，供应商已随投标文件一并提交相关书面说明及必要的证明材料的，在评审现场可不再重复提交。</w:t>
      </w:r>
    </w:p>
    <w:p w14:paraId="6078956F">
      <w:pPr>
        <w:spacing w:line="360" w:lineRule="exact"/>
        <w:ind w:firstLine="315" w:firstLineChars="150"/>
        <w:rPr>
          <w:rFonts w:ascii="宋体" w:hAnsi="宋体"/>
          <w:b/>
          <w:bCs/>
        </w:rPr>
      </w:pPr>
      <w:r>
        <w:rPr>
          <w:rFonts w:hint="eastAsia" w:ascii="宋体" w:hAnsi="宋体"/>
          <w:b/>
          <w:bCs/>
        </w:rPr>
        <w:t>评审委员会依据专业经验，参考同类项目中标（成交）价格、类似产品市场价格水平、行业人工费用标准、国家有关部门指导行业协会发布的行业平均成本等情况，对报价合理性进行判断。投标供应商不能提供书面说明、证明材料，或者提供的书面说明、证明材料不能证明其报价合理性的，评审委员会应当将其作为无效投标处理。</w:t>
      </w:r>
    </w:p>
    <w:p w14:paraId="60CF2BF1">
      <w:pPr>
        <w:spacing w:line="360" w:lineRule="exact"/>
        <w:ind w:firstLine="315" w:firstLineChars="150"/>
        <w:rPr>
          <w:rFonts w:ascii="宋体" w:hAnsi="宋体"/>
          <w:b/>
          <w:bCs/>
        </w:rPr>
      </w:pPr>
      <w:r>
        <w:rPr>
          <w:rFonts w:hint="eastAsia" w:ascii="宋体" w:hAnsi="宋体"/>
          <w:b/>
          <w:bCs/>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51BEA5BF">
      <w:pPr>
        <w:spacing w:line="360" w:lineRule="exact"/>
        <w:ind w:firstLine="315" w:firstLineChars="150"/>
        <w:rPr>
          <w:rFonts w:ascii="宋体" w:hAnsi="宋体"/>
          <w:b/>
          <w:bCs/>
        </w:rPr>
      </w:pPr>
      <w:r>
        <w:rPr>
          <w:rFonts w:hint="eastAsia" w:ascii="宋体" w:hAnsi="宋体"/>
          <w:b/>
          <w:bCs/>
        </w:rPr>
        <w:t>异常低价投标审查的启动原因、审查意见和审查结果应当在评审报告中记录，并随供应商提供的相关书面说明及证明材料，以及评审委员会有关互联网浏览、查询历史一并归档。</w:t>
      </w:r>
    </w:p>
    <w:p w14:paraId="5197C212">
      <w:pPr>
        <w:spacing w:line="360" w:lineRule="exact"/>
        <w:ind w:firstLine="315" w:firstLineChars="150"/>
        <w:rPr>
          <w:rFonts w:ascii="宋体" w:hAnsi="宋体"/>
          <w:b/>
        </w:rPr>
      </w:pPr>
      <w:r>
        <w:rPr>
          <w:rFonts w:hint="eastAsia" w:ascii="宋体" w:hAnsi="宋体"/>
          <w:b/>
        </w:rPr>
        <w:t>（四）投标文件的有效期</w:t>
      </w:r>
    </w:p>
    <w:p w14:paraId="41A34910">
      <w:pPr>
        <w:snapToGrid w:val="0"/>
        <w:spacing w:line="360" w:lineRule="exact"/>
        <w:ind w:firstLine="411" w:firstLineChars="196"/>
        <w:jc w:val="left"/>
        <w:rPr>
          <w:rFonts w:ascii="宋体"/>
          <w:szCs w:val="21"/>
        </w:rPr>
      </w:pPr>
      <w:r>
        <w:rPr>
          <w:rFonts w:hint="eastAsia" w:ascii="宋体"/>
          <w:szCs w:val="21"/>
        </w:rPr>
        <w:t>1.自投标截止日起60日投标文件应保持有效。有效期不足的投标文件将被拒绝。</w:t>
      </w:r>
    </w:p>
    <w:p w14:paraId="48BE7A01">
      <w:pPr>
        <w:snapToGrid w:val="0"/>
        <w:spacing w:line="360" w:lineRule="exact"/>
        <w:ind w:firstLine="411" w:firstLineChars="196"/>
        <w:jc w:val="left"/>
        <w:rPr>
          <w:rFonts w:ascii="宋体"/>
          <w:szCs w:val="21"/>
        </w:rPr>
      </w:pPr>
      <w:r>
        <w:rPr>
          <w:rFonts w:hint="eastAsia" w:ascii="宋体"/>
          <w:szCs w:val="21"/>
        </w:rPr>
        <w:t>2.在特殊情况下，采购人可与投标人协商延长投标书的有效期，这种要求和答复均以书面形式进行。</w:t>
      </w:r>
      <w:bookmarkStart w:id="79" w:name="_Toc254970680"/>
      <w:bookmarkStart w:id="80" w:name="_Toc254970539"/>
    </w:p>
    <w:p w14:paraId="31695CE5">
      <w:pPr>
        <w:snapToGrid w:val="0"/>
        <w:spacing w:line="360" w:lineRule="exact"/>
        <w:ind w:firstLine="411" w:firstLineChars="196"/>
        <w:jc w:val="left"/>
        <w:rPr>
          <w:rFonts w:ascii="宋体"/>
          <w:szCs w:val="21"/>
        </w:rPr>
      </w:pPr>
      <w:r>
        <w:rPr>
          <w:rFonts w:hint="eastAsia" w:ascii="宋体"/>
          <w:szCs w:val="21"/>
        </w:rPr>
        <w:t>3.投标人可拒绝接受延期要求而不会导致投标保证金被没收。同意延长有效期的投标人需要相应延长投标保证金的有效期，但不能修改投标文件。</w:t>
      </w:r>
      <w:bookmarkEnd w:id="79"/>
      <w:bookmarkEnd w:id="80"/>
      <w:r>
        <w:rPr>
          <w:rFonts w:hint="eastAsia" w:ascii="宋体"/>
          <w:szCs w:val="21"/>
        </w:rPr>
        <w:t xml:space="preserve"> </w:t>
      </w:r>
      <w:bookmarkStart w:id="81" w:name="_Toc254970540"/>
      <w:bookmarkStart w:id="82" w:name="_Toc254970681"/>
    </w:p>
    <w:p w14:paraId="1F534D34">
      <w:pPr>
        <w:snapToGrid w:val="0"/>
        <w:spacing w:line="360" w:lineRule="exact"/>
        <w:ind w:firstLine="411" w:firstLineChars="196"/>
        <w:jc w:val="left"/>
        <w:rPr>
          <w:rFonts w:ascii="宋体"/>
          <w:szCs w:val="21"/>
        </w:rPr>
      </w:pPr>
      <w:r>
        <w:rPr>
          <w:rFonts w:hint="eastAsia" w:ascii="宋体"/>
          <w:szCs w:val="21"/>
        </w:rPr>
        <w:t>4.中标人的投标文件自开标之日起至合同履行完毕止均应保持有效。</w:t>
      </w:r>
      <w:bookmarkEnd w:id="81"/>
      <w:bookmarkEnd w:id="82"/>
      <w:bookmarkStart w:id="83" w:name="_Toc254970682"/>
      <w:bookmarkStart w:id="84" w:name="_Toc254970541"/>
    </w:p>
    <w:p w14:paraId="03323A39">
      <w:pPr>
        <w:spacing w:line="360" w:lineRule="exact"/>
        <w:ind w:firstLine="218" w:firstLineChars="104"/>
        <w:rPr>
          <w:b/>
        </w:rPr>
      </w:pPr>
      <w:r>
        <w:rPr>
          <w:rFonts w:hint="eastAsia"/>
          <w:b/>
        </w:rPr>
        <w:t>（五）投标保证金</w:t>
      </w:r>
      <w:bookmarkEnd w:id="83"/>
      <w:bookmarkEnd w:id="84"/>
    </w:p>
    <w:p w14:paraId="1FEC0147">
      <w:pPr>
        <w:snapToGrid w:val="0"/>
        <w:spacing w:line="360" w:lineRule="exact"/>
        <w:ind w:firstLine="411" w:firstLineChars="196"/>
        <w:jc w:val="left"/>
        <w:rPr>
          <w:rFonts w:ascii="宋体"/>
          <w:szCs w:val="21"/>
        </w:rPr>
      </w:pPr>
      <w:r>
        <w:rPr>
          <w:rFonts w:hint="eastAsia" w:ascii="宋体"/>
          <w:szCs w:val="21"/>
        </w:rPr>
        <w:t>1.投标人须按须知前附表的规定提交投标保证金。否则，其投标将被拒绝。</w:t>
      </w:r>
    </w:p>
    <w:p w14:paraId="0ED31F61">
      <w:pPr>
        <w:snapToGrid w:val="0"/>
        <w:spacing w:line="360" w:lineRule="exact"/>
        <w:ind w:firstLine="411" w:firstLineChars="196"/>
        <w:jc w:val="left"/>
        <w:rPr>
          <w:rFonts w:ascii="宋体"/>
          <w:color w:val="7030A0"/>
          <w:szCs w:val="21"/>
        </w:rPr>
      </w:pPr>
      <w:r>
        <w:rPr>
          <w:rFonts w:hint="eastAsia" w:ascii="宋体"/>
          <w:szCs w:val="21"/>
        </w:rPr>
        <w:t>2.</w:t>
      </w:r>
      <w:r>
        <w:rPr>
          <w:rFonts w:hint="eastAsia" w:cs="Arial"/>
        </w:rPr>
        <w:t>投标保证金的交纳方式：详见本项目公开招标公告。</w:t>
      </w:r>
    </w:p>
    <w:p w14:paraId="17085653">
      <w:pPr>
        <w:snapToGrid w:val="0"/>
        <w:spacing w:line="360" w:lineRule="exact"/>
        <w:ind w:firstLine="411" w:firstLineChars="196"/>
        <w:jc w:val="left"/>
        <w:rPr>
          <w:rFonts w:ascii="宋体"/>
          <w:szCs w:val="21"/>
        </w:rPr>
      </w:pPr>
      <w:r>
        <w:rPr>
          <w:rFonts w:hint="eastAsia" w:ascii="宋体"/>
          <w:szCs w:val="21"/>
        </w:rPr>
        <w:t>3.投标保证金的退还均以转账形式退回到投标人银行账户。</w:t>
      </w:r>
    </w:p>
    <w:p w14:paraId="5D2B5C8C">
      <w:pPr>
        <w:snapToGrid w:val="0"/>
        <w:spacing w:line="360" w:lineRule="exact"/>
        <w:ind w:firstLine="411" w:firstLineChars="196"/>
        <w:jc w:val="left"/>
        <w:rPr>
          <w:rFonts w:ascii="宋体"/>
          <w:szCs w:val="21"/>
        </w:rPr>
      </w:pPr>
      <w:r>
        <w:rPr>
          <w:rFonts w:hint="eastAsia" w:ascii="宋体"/>
          <w:szCs w:val="21"/>
        </w:rPr>
        <w:t>4.未中标人的投标保证金在中标通知书发出后5个工作日内退还。</w:t>
      </w:r>
    </w:p>
    <w:p w14:paraId="1A5995C7">
      <w:pPr>
        <w:snapToGrid w:val="0"/>
        <w:spacing w:line="360" w:lineRule="exact"/>
        <w:ind w:firstLine="411" w:firstLineChars="196"/>
        <w:jc w:val="left"/>
        <w:rPr>
          <w:rFonts w:ascii="宋体"/>
          <w:szCs w:val="21"/>
        </w:rPr>
      </w:pPr>
      <w:r>
        <w:rPr>
          <w:rFonts w:hint="eastAsia" w:ascii="宋体"/>
          <w:szCs w:val="21"/>
        </w:rPr>
        <w:t>5.中标人的投标保证金在合同签订后（合同签订后送达本公司）5个工作日内退还。</w:t>
      </w:r>
    </w:p>
    <w:p w14:paraId="4E636ED8">
      <w:pPr>
        <w:snapToGrid w:val="0"/>
        <w:spacing w:line="360" w:lineRule="exact"/>
        <w:ind w:firstLine="411" w:firstLineChars="196"/>
        <w:jc w:val="left"/>
        <w:rPr>
          <w:rFonts w:ascii="宋体" w:hAnsi="宋体"/>
        </w:rPr>
      </w:pPr>
      <w:r>
        <w:rPr>
          <w:rFonts w:hint="eastAsia" w:ascii="宋体"/>
          <w:szCs w:val="21"/>
        </w:rPr>
        <w:t>6.投标保证金不计息。</w:t>
      </w:r>
    </w:p>
    <w:p w14:paraId="225356B8">
      <w:pPr>
        <w:spacing w:line="360" w:lineRule="exact"/>
        <w:rPr>
          <w:rFonts w:ascii="宋体"/>
          <w:b/>
          <w:sz w:val="18"/>
          <w:szCs w:val="18"/>
        </w:rPr>
      </w:pPr>
      <w:r>
        <w:rPr>
          <w:rFonts w:hint="eastAsia" w:ascii="宋体"/>
          <w:b/>
          <w:sz w:val="18"/>
          <w:szCs w:val="18"/>
        </w:rPr>
        <w:t xml:space="preserve">    注：办理投标保证金手续时，请务必在银行相关票据（非现金）或凭证的用途或空白栏上注明采购项目名称及采购项目编号，分标号（如有），以免耽误投标。        </w:t>
      </w:r>
    </w:p>
    <w:p w14:paraId="7552AA41">
      <w:pPr>
        <w:snapToGrid w:val="0"/>
        <w:spacing w:line="360" w:lineRule="exact"/>
        <w:ind w:firstLine="411" w:firstLineChars="196"/>
        <w:jc w:val="left"/>
        <w:rPr>
          <w:rFonts w:ascii="宋体"/>
          <w:szCs w:val="21"/>
        </w:rPr>
      </w:pPr>
      <w:r>
        <w:rPr>
          <w:rFonts w:hint="eastAsia" w:ascii="宋体"/>
          <w:szCs w:val="21"/>
        </w:rPr>
        <w:t>7.</w:t>
      </w:r>
      <w:r>
        <w:rPr>
          <w:rFonts w:ascii="宋体"/>
          <w:szCs w:val="21"/>
        </w:rPr>
        <w:t>中标人应在中标通知书发出</w:t>
      </w:r>
      <w:r>
        <w:rPr>
          <w:rFonts w:hint="eastAsia" w:ascii="宋体"/>
          <w:szCs w:val="21"/>
        </w:rPr>
        <w:t>之日起</w:t>
      </w:r>
      <w:r>
        <w:rPr>
          <w:rFonts w:hint="eastAsia"/>
          <w:u w:val="single"/>
        </w:rPr>
        <w:t>25</w:t>
      </w:r>
      <w:r>
        <w:rPr>
          <w:rFonts w:hint="eastAsia"/>
        </w:rPr>
        <w:t>日</w:t>
      </w:r>
      <w:r>
        <w:rPr>
          <w:rFonts w:hint="eastAsia" w:ascii="宋体"/>
          <w:szCs w:val="21"/>
        </w:rPr>
        <w:t>内与采购人签订合同。</w:t>
      </w:r>
    </w:p>
    <w:p w14:paraId="42837C66">
      <w:pPr>
        <w:spacing w:line="360" w:lineRule="exact"/>
        <w:rPr>
          <w:rFonts w:ascii="宋体" w:hAnsi="宋体"/>
          <w:b/>
        </w:rPr>
      </w:pPr>
      <w:r>
        <w:rPr>
          <w:rFonts w:hint="eastAsia"/>
          <w:b/>
        </w:rPr>
        <w:t xml:space="preserve">  </w:t>
      </w:r>
      <w:r>
        <w:rPr>
          <w:rFonts w:hint="eastAsia" w:ascii="宋体" w:hAnsi="宋体"/>
          <w:b/>
        </w:rPr>
        <w:t xml:space="preserve">  8.投标人有下列情形之一的，投标保证金将不予退还：</w:t>
      </w:r>
    </w:p>
    <w:p w14:paraId="6E991F28">
      <w:pPr>
        <w:snapToGrid w:val="0"/>
        <w:spacing w:line="360" w:lineRule="exact"/>
        <w:ind w:firstLine="411" w:firstLineChars="196"/>
        <w:jc w:val="left"/>
        <w:rPr>
          <w:rFonts w:ascii="宋体"/>
          <w:szCs w:val="21"/>
        </w:rPr>
      </w:pPr>
      <w:r>
        <w:rPr>
          <w:rFonts w:hint="eastAsia" w:ascii="宋体"/>
          <w:szCs w:val="21"/>
        </w:rPr>
        <w:t>（1）投标人在投标有效期内撤回投标文件的；</w:t>
      </w:r>
    </w:p>
    <w:p w14:paraId="79A5213B">
      <w:pPr>
        <w:snapToGrid w:val="0"/>
        <w:spacing w:line="360" w:lineRule="exact"/>
        <w:ind w:firstLine="411" w:firstLineChars="196"/>
        <w:jc w:val="left"/>
        <w:rPr>
          <w:rFonts w:ascii="宋体"/>
          <w:szCs w:val="21"/>
        </w:rPr>
      </w:pPr>
      <w:r>
        <w:rPr>
          <w:rFonts w:hint="eastAsia" w:ascii="宋体"/>
          <w:szCs w:val="21"/>
        </w:rPr>
        <w:t>（2）投标人在投标过程中弄虚作假，提供虚假材料的；</w:t>
      </w:r>
    </w:p>
    <w:p w14:paraId="0738B005">
      <w:pPr>
        <w:snapToGrid w:val="0"/>
        <w:spacing w:line="360" w:lineRule="exact"/>
        <w:ind w:firstLine="411" w:firstLineChars="196"/>
        <w:jc w:val="left"/>
        <w:rPr>
          <w:rFonts w:ascii="宋体"/>
          <w:szCs w:val="21"/>
        </w:rPr>
      </w:pPr>
      <w:r>
        <w:rPr>
          <w:rFonts w:hint="eastAsia" w:ascii="宋体"/>
          <w:szCs w:val="21"/>
        </w:rPr>
        <w:t>（3）中标人无正当理由不与采购人签订合同的；</w:t>
      </w:r>
    </w:p>
    <w:p w14:paraId="5D73065F">
      <w:pPr>
        <w:snapToGrid w:val="0"/>
        <w:spacing w:line="360" w:lineRule="exact"/>
        <w:ind w:firstLine="411" w:firstLineChars="196"/>
        <w:rPr>
          <w:rFonts w:ascii="宋体"/>
          <w:szCs w:val="21"/>
        </w:rPr>
      </w:pPr>
      <w:r>
        <w:rPr>
          <w:rFonts w:hint="eastAsia" w:ascii="宋体"/>
          <w:szCs w:val="21"/>
        </w:rPr>
        <w:t>（4）</w:t>
      </w:r>
      <w:r>
        <w:rPr>
          <w:rFonts w:hint="eastAsia" w:ascii="宋体"/>
          <w:bCs/>
          <w:spacing w:val="-4"/>
          <w:szCs w:val="21"/>
        </w:rPr>
        <w:t>将中标项目转让给他人或者在投标文件中未说明，且未经采购人同意，将中标项目分包给他人的；</w:t>
      </w:r>
    </w:p>
    <w:p w14:paraId="631BBA20">
      <w:pPr>
        <w:snapToGrid w:val="0"/>
        <w:spacing w:line="370" w:lineRule="exact"/>
        <w:ind w:firstLine="420" w:firstLineChars="200"/>
        <w:rPr>
          <w:rFonts w:ascii="宋体"/>
          <w:szCs w:val="21"/>
        </w:rPr>
      </w:pPr>
      <w:r>
        <w:rPr>
          <w:rFonts w:hint="eastAsia" w:ascii="宋体"/>
          <w:szCs w:val="21"/>
        </w:rPr>
        <w:t>（5）其他严重扰乱招投标程序的</w:t>
      </w:r>
      <w:bookmarkStart w:id="85" w:name="_Toc254970542"/>
      <w:bookmarkStart w:id="86" w:name="_Toc254970683"/>
      <w:r>
        <w:rPr>
          <w:rFonts w:hint="eastAsia" w:ascii="宋体"/>
          <w:szCs w:val="21"/>
        </w:rPr>
        <w:t>；</w:t>
      </w:r>
    </w:p>
    <w:p w14:paraId="5C996455">
      <w:pPr>
        <w:snapToGrid w:val="0"/>
        <w:spacing w:line="360" w:lineRule="exact"/>
        <w:ind w:firstLine="420" w:firstLineChars="200"/>
        <w:rPr>
          <w:rFonts w:ascii="宋体"/>
          <w:szCs w:val="21"/>
        </w:rPr>
      </w:pPr>
      <w:r>
        <w:rPr>
          <w:rFonts w:hint="eastAsia" w:ascii="宋体"/>
          <w:szCs w:val="21"/>
        </w:rPr>
        <w:t>（6）未按规定提交履约保证金的。</w:t>
      </w:r>
    </w:p>
    <w:p w14:paraId="28200D6F">
      <w:pPr>
        <w:snapToGrid w:val="0"/>
        <w:spacing w:line="360" w:lineRule="exact"/>
        <w:ind w:firstLine="308" w:firstLineChars="147"/>
        <w:rPr>
          <w:rFonts w:ascii="宋体"/>
          <w:b/>
          <w:szCs w:val="21"/>
        </w:rPr>
      </w:pPr>
      <w:r>
        <w:rPr>
          <w:rFonts w:hint="eastAsia" w:ascii="宋体"/>
          <w:b/>
          <w:szCs w:val="21"/>
        </w:rPr>
        <w:t>（六）投标文件的签署和份数</w:t>
      </w:r>
      <w:bookmarkEnd w:id="85"/>
      <w:bookmarkEnd w:id="86"/>
    </w:p>
    <w:p w14:paraId="7DF10631">
      <w:pPr>
        <w:snapToGrid w:val="0"/>
        <w:spacing w:line="360" w:lineRule="exact"/>
        <w:ind w:firstLine="420" w:firstLineChars="200"/>
        <w:rPr>
          <w:rFonts w:ascii="宋体"/>
          <w:szCs w:val="21"/>
        </w:rPr>
      </w:pPr>
      <w:r>
        <w:rPr>
          <w:rFonts w:hint="eastAsia" w:ascii="宋体"/>
          <w:szCs w:val="21"/>
        </w:rPr>
        <w:t>1.投标人应按本招标文件规定的格式和顺序编制投标文件并标注页码，投标文件内容不完整、编排混乱导致投标文件被误读、漏读或者查找不到相关内容的，是投标人的责任。</w:t>
      </w:r>
    </w:p>
    <w:p w14:paraId="2F87D11E">
      <w:pPr>
        <w:snapToGrid w:val="0"/>
        <w:spacing w:line="360" w:lineRule="exact"/>
        <w:ind w:firstLine="420" w:firstLineChars="200"/>
        <w:rPr>
          <w:rFonts w:ascii="宋体"/>
          <w:szCs w:val="21"/>
        </w:rPr>
      </w:pPr>
      <w:r>
        <w:rPr>
          <w:rFonts w:hint="eastAsia" w:ascii="宋体"/>
          <w:szCs w:val="21"/>
        </w:rPr>
        <w:t>2.投标文件份数：见投标人须知及前附表。</w:t>
      </w:r>
    </w:p>
    <w:p w14:paraId="4016E9C9">
      <w:pPr>
        <w:snapToGrid w:val="0"/>
        <w:spacing w:line="360" w:lineRule="exact"/>
        <w:ind w:firstLine="420" w:firstLineChars="200"/>
        <w:rPr>
          <w:rFonts w:ascii="宋体"/>
          <w:szCs w:val="21"/>
        </w:rPr>
      </w:pPr>
      <w:r>
        <w:rPr>
          <w:rFonts w:hint="eastAsia" w:ascii="宋体"/>
          <w:szCs w:val="21"/>
        </w:rPr>
        <w:t>3.投标文件须由投标人在规定位置盖章并由法定代表人或法定代表人的授权委托人签署，投标人应写全称。</w:t>
      </w:r>
    </w:p>
    <w:p w14:paraId="3D478734">
      <w:pPr>
        <w:snapToGrid w:val="0"/>
        <w:spacing w:line="360" w:lineRule="exact"/>
        <w:ind w:firstLine="420" w:firstLineChars="200"/>
        <w:rPr>
          <w:rFonts w:ascii="宋体"/>
          <w:szCs w:val="21"/>
        </w:rPr>
      </w:pPr>
      <w:r>
        <w:rPr>
          <w:rFonts w:hint="eastAsia" w:ascii="宋体"/>
          <w:szCs w:val="21"/>
        </w:rPr>
        <w:t>4.投标文件不得涂改，若有修改错漏处，须加盖单位公章或者法定代表人或授权委托人签字或盖章。投标文件因扫描不清晰或乱码或表达不清所引起的后果由投标人负责。</w:t>
      </w:r>
    </w:p>
    <w:p w14:paraId="430987C1">
      <w:pPr>
        <w:snapToGrid w:val="0"/>
        <w:spacing w:line="360" w:lineRule="exact"/>
        <w:ind w:firstLine="420" w:firstLineChars="200"/>
        <w:jc w:val="left"/>
        <w:rPr>
          <w:rFonts w:ascii="宋体"/>
          <w:b/>
          <w:szCs w:val="21"/>
        </w:rPr>
      </w:pPr>
      <w:bookmarkStart w:id="87" w:name="_Toc254970543"/>
      <w:bookmarkStart w:id="88" w:name="_Toc254970684"/>
      <w:r>
        <w:rPr>
          <w:rFonts w:hint="eastAsia" w:ascii="宋体"/>
          <w:b/>
          <w:szCs w:val="21"/>
        </w:rPr>
        <w:t>（七）投标文件的上传、提交、修改、撤回和解密</w:t>
      </w:r>
    </w:p>
    <w:p w14:paraId="6608E16E">
      <w:pPr>
        <w:snapToGrid w:val="0"/>
        <w:spacing w:line="360" w:lineRule="exact"/>
        <w:ind w:firstLine="420" w:firstLineChars="200"/>
        <w:jc w:val="left"/>
        <w:rPr>
          <w:rFonts w:ascii="宋体"/>
          <w:szCs w:val="21"/>
        </w:rPr>
      </w:pPr>
      <w:r>
        <w:rPr>
          <w:rFonts w:hint="eastAsia" w:ascii="宋体"/>
          <w:szCs w:val="21"/>
        </w:rPr>
        <w:t>▲1. 投标文件的上传、提交：见投标人须知及前附表。</w:t>
      </w:r>
    </w:p>
    <w:p w14:paraId="0520D285">
      <w:pPr>
        <w:snapToGrid w:val="0"/>
        <w:spacing w:line="360" w:lineRule="exact"/>
        <w:ind w:firstLine="420" w:firstLineChars="200"/>
        <w:jc w:val="left"/>
        <w:rPr>
          <w:rFonts w:ascii="宋体"/>
          <w:szCs w:val="21"/>
        </w:rPr>
      </w:pPr>
      <w:r>
        <w:rPr>
          <w:rFonts w:hint="eastAsia" w:ascii="宋体"/>
          <w:szCs w:val="21"/>
        </w:rPr>
        <w:t>2. 投标文件的修改和撤回：供应商应当在投标截止时间前完成投标文件的上传、提交，并可以补充、修改或者撤回投标文件。补充或者修改投标文件的，应当先行撤回原文件，补充、修改后重新上传、提交。投标截止时间前未完成上传、提交的，视为撤回投标文件。投标截止时间后提交的投标文件，“广西政府采购云平台”将予以拒收。投标截止时间后，投标供应商不得撤回、修改投标文件。</w:t>
      </w:r>
    </w:p>
    <w:p w14:paraId="790563E7">
      <w:pPr>
        <w:snapToGrid w:val="0"/>
        <w:spacing w:line="360" w:lineRule="exact"/>
        <w:ind w:firstLine="420" w:firstLineChars="200"/>
        <w:jc w:val="left"/>
        <w:rPr>
          <w:rFonts w:ascii="宋体"/>
          <w:szCs w:val="21"/>
        </w:rPr>
      </w:pPr>
      <w:r>
        <w:rPr>
          <w:rFonts w:hint="eastAsia" w:ascii="宋体"/>
          <w:szCs w:val="21"/>
        </w:rPr>
        <w:t>3. 电子加密投标文件的解密：开标后，采购组织机构将向各投标供应商发出“电子加密投标文件”的解密通知，各投标供应商代表应当在接到解密通知后30分钟内自行完成“电子加密投标文件”的在线解密。投标供应商未在规定时间内完成解密的，系统默认自动放弃。</w:t>
      </w:r>
    </w:p>
    <w:p w14:paraId="276FC1A1">
      <w:pPr>
        <w:snapToGrid w:val="0"/>
        <w:spacing w:line="360" w:lineRule="exact"/>
        <w:ind w:firstLine="420" w:firstLineChars="200"/>
        <w:jc w:val="left"/>
        <w:rPr>
          <w:rFonts w:ascii="宋体"/>
          <w:szCs w:val="21"/>
        </w:rPr>
      </w:pPr>
      <w:r>
        <w:rPr>
          <w:rFonts w:hint="eastAsia" w:ascii="宋体"/>
          <w:szCs w:val="21"/>
        </w:rPr>
        <w:t>4.投标人已经被推荐为第一中标候选供应商后撤回投标或放弃中标的，其投标保证金将不予退还，并上缴国库，给采购人造成损失的，还应当赔偿损失，并作为不良行为记录在案。</w:t>
      </w:r>
    </w:p>
    <w:p w14:paraId="271EFA1D">
      <w:pPr>
        <w:snapToGrid w:val="0"/>
        <w:spacing w:line="360" w:lineRule="exact"/>
        <w:ind w:firstLine="420" w:firstLineChars="200"/>
        <w:jc w:val="left"/>
        <w:rPr>
          <w:rFonts w:ascii="宋体"/>
          <w:b/>
          <w:szCs w:val="21"/>
        </w:rPr>
      </w:pPr>
      <w:r>
        <w:rPr>
          <w:rFonts w:hint="eastAsia" w:ascii="宋体"/>
          <w:b/>
          <w:szCs w:val="21"/>
        </w:rPr>
        <w:t>（八）投标无效的情形</w:t>
      </w:r>
      <w:bookmarkEnd w:id="87"/>
      <w:bookmarkEnd w:id="88"/>
    </w:p>
    <w:p w14:paraId="78FB0AF0">
      <w:pPr>
        <w:snapToGrid w:val="0"/>
        <w:spacing w:line="360" w:lineRule="exact"/>
        <w:ind w:firstLine="420" w:firstLineChars="200"/>
        <w:jc w:val="left"/>
        <w:rPr>
          <w:rFonts w:ascii="宋体" w:hAnsi="宋体"/>
          <w:bCs/>
          <w:szCs w:val="21"/>
        </w:rPr>
      </w:pPr>
      <w:r>
        <w:rPr>
          <w:rFonts w:hint="eastAsia" w:ascii="宋体"/>
          <w:bCs/>
          <w:szCs w:val="21"/>
        </w:rPr>
        <w:t>实质上没有响应招标文件要求的投标将被视为无效投标。投标人不得通过修正或撤销不合要求的偏离或保留从而使其投标成为实质上响应的投标，但经评标委员会认定属于投标人疏忽、笔误所造成的差错，应当允许其在评标结束之前在广西政府采购云平台系统上进行修改或者补正并加盖单位公章。在评标委员会发出询标函规定的回复限期内不补正或经补正后仍不符合招标文件要求的，应认定其投标无效。投标人修改、补正投标文件后，不影响评标委员会对其投标文件所作的评价和评分结果。</w:t>
      </w:r>
    </w:p>
    <w:p w14:paraId="3FB7EE7A">
      <w:pPr>
        <w:snapToGrid w:val="0"/>
        <w:spacing w:line="360" w:lineRule="exact"/>
        <w:ind w:firstLine="420" w:firstLineChars="200"/>
        <w:jc w:val="left"/>
        <w:rPr>
          <w:rFonts w:ascii="宋体" w:hAnsi="宋体"/>
          <w:b/>
          <w:bCs/>
          <w:szCs w:val="21"/>
        </w:rPr>
      </w:pPr>
      <w:r>
        <w:rPr>
          <w:rFonts w:hint="eastAsia" w:ascii="宋体" w:hAnsi="宋体"/>
          <w:b/>
          <w:bCs/>
          <w:szCs w:val="21"/>
        </w:rPr>
        <w:t>1.在资格、符合性审查时，如发现下列情形之一的，投标文件将被视为无效：</w:t>
      </w:r>
    </w:p>
    <w:p w14:paraId="3933A105">
      <w:pPr>
        <w:snapToGrid w:val="0"/>
        <w:spacing w:line="360" w:lineRule="exact"/>
        <w:ind w:firstLine="411" w:firstLineChars="196"/>
        <w:rPr>
          <w:rFonts w:ascii="宋体" w:hAnsi="宋体"/>
          <w:szCs w:val="21"/>
        </w:rPr>
      </w:pPr>
      <w:r>
        <w:rPr>
          <w:rFonts w:hint="eastAsia" w:ascii="宋体" w:hAnsi="宋体"/>
          <w:szCs w:val="21"/>
        </w:rPr>
        <w:t>（1）</w:t>
      </w:r>
      <w:r>
        <w:rPr>
          <w:rFonts w:hint="eastAsia" w:ascii="宋体" w:hAnsi="宋体" w:cs="仿宋_GB2312"/>
          <w:szCs w:val="21"/>
        </w:rPr>
        <w:t>超越了按照法律法规规定必须获得行政许可或者行政审批的经营范围的</w:t>
      </w:r>
      <w:r>
        <w:rPr>
          <w:rFonts w:hint="eastAsia" w:ascii="宋体" w:hAnsi="宋体"/>
          <w:szCs w:val="21"/>
        </w:rPr>
        <w:t>；</w:t>
      </w:r>
    </w:p>
    <w:p w14:paraId="3C83191C">
      <w:pPr>
        <w:snapToGrid w:val="0"/>
        <w:spacing w:line="360" w:lineRule="exact"/>
        <w:ind w:firstLine="411" w:firstLineChars="196"/>
        <w:rPr>
          <w:rFonts w:ascii="宋体" w:hAnsi="宋体"/>
          <w:szCs w:val="21"/>
        </w:rPr>
      </w:pPr>
      <w:r>
        <w:rPr>
          <w:rFonts w:hint="eastAsia" w:ascii="宋体" w:hAnsi="宋体"/>
          <w:szCs w:val="21"/>
        </w:rPr>
        <w:t>（2）资格证明文件不全的，或者不符合招标文件标明的资格要求的；</w:t>
      </w:r>
    </w:p>
    <w:p w14:paraId="65D14A6C">
      <w:pPr>
        <w:snapToGrid w:val="0"/>
        <w:spacing w:line="360" w:lineRule="exact"/>
        <w:ind w:firstLine="411" w:firstLineChars="196"/>
        <w:rPr>
          <w:rFonts w:ascii="宋体" w:hAnsi="宋体"/>
          <w:bCs/>
          <w:kern w:val="0"/>
          <w:szCs w:val="21"/>
        </w:rPr>
      </w:pPr>
      <w:r>
        <w:rPr>
          <w:rFonts w:hint="eastAsia" w:ascii="宋体" w:hAnsi="宋体"/>
          <w:szCs w:val="21"/>
        </w:rPr>
        <w:t>（3）</w:t>
      </w:r>
      <w:r>
        <w:rPr>
          <w:rFonts w:hint="eastAsia" w:ascii="宋体" w:hAnsi="宋体"/>
          <w:spacing w:val="-4"/>
          <w:szCs w:val="21"/>
        </w:rPr>
        <w:t>投标文件无法定代表人（负责人）或其授权委托代理人签字，或未</w:t>
      </w:r>
      <w:r>
        <w:rPr>
          <w:rFonts w:hint="eastAsia" w:ascii="宋体" w:hAnsi="宋体"/>
          <w:bCs/>
          <w:spacing w:val="-4"/>
          <w:kern w:val="0"/>
          <w:szCs w:val="21"/>
        </w:rPr>
        <w:t>提供法定代表人</w:t>
      </w:r>
      <w:r>
        <w:rPr>
          <w:rFonts w:hint="eastAsia" w:ascii="宋体" w:hAnsi="宋体"/>
          <w:spacing w:val="-4"/>
          <w:szCs w:val="21"/>
        </w:rPr>
        <w:t>（负责人）</w:t>
      </w:r>
      <w:r>
        <w:rPr>
          <w:rFonts w:hint="eastAsia" w:ascii="宋体" w:hAnsi="宋体"/>
          <w:bCs/>
          <w:spacing w:val="-4"/>
          <w:kern w:val="0"/>
          <w:szCs w:val="21"/>
        </w:rPr>
        <w:t>授权委托书、投标声明书或者填写内容不齐全的；</w:t>
      </w:r>
    </w:p>
    <w:p w14:paraId="0D7CA5A0">
      <w:pPr>
        <w:snapToGrid w:val="0"/>
        <w:spacing w:line="360" w:lineRule="exact"/>
        <w:ind w:firstLine="411" w:firstLineChars="196"/>
        <w:rPr>
          <w:rFonts w:ascii="宋体" w:hAnsi="宋体"/>
          <w:szCs w:val="21"/>
        </w:rPr>
      </w:pPr>
      <w:r>
        <w:rPr>
          <w:rFonts w:hint="eastAsia" w:ascii="宋体" w:hAnsi="宋体"/>
          <w:szCs w:val="21"/>
        </w:rPr>
        <w:t>（4）投标代表人未能出具身份证明或与法定代表人</w:t>
      </w:r>
      <w:r>
        <w:rPr>
          <w:rFonts w:hint="eastAsia" w:ascii="宋体" w:hAnsi="宋体"/>
          <w:spacing w:val="-4"/>
          <w:szCs w:val="21"/>
        </w:rPr>
        <w:t>（负责人）</w:t>
      </w:r>
      <w:r>
        <w:rPr>
          <w:rFonts w:hint="eastAsia" w:ascii="宋体" w:hAnsi="宋体"/>
          <w:szCs w:val="21"/>
        </w:rPr>
        <w:t xml:space="preserve">授权委托人身份不符的； </w:t>
      </w:r>
    </w:p>
    <w:p w14:paraId="542A98E4">
      <w:pPr>
        <w:pStyle w:val="20"/>
        <w:snapToGrid w:val="0"/>
        <w:spacing w:line="360" w:lineRule="exact"/>
        <w:ind w:firstLine="411" w:firstLineChars="196"/>
        <w:rPr>
          <w:rFonts w:ascii="宋体" w:hAnsi="宋体" w:eastAsia="宋体"/>
          <w:snapToGrid w:val="0"/>
          <w:sz w:val="21"/>
          <w:szCs w:val="21"/>
        </w:rPr>
      </w:pPr>
      <w:r>
        <w:rPr>
          <w:rFonts w:hint="eastAsia" w:ascii="宋体" w:hAnsi="宋体" w:eastAsia="宋体"/>
          <w:sz w:val="21"/>
          <w:szCs w:val="21"/>
        </w:rPr>
        <w:t>（</w:t>
      </w:r>
      <w:r>
        <w:rPr>
          <w:rFonts w:hint="eastAsia" w:ascii="宋体" w:hAnsi="宋体" w:eastAsia="宋体"/>
          <w:snapToGrid w:val="0"/>
          <w:sz w:val="21"/>
          <w:szCs w:val="21"/>
        </w:rPr>
        <w:t>5）</w:t>
      </w:r>
      <w:r>
        <w:rPr>
          <w:rFonts w:hint="eastAsia" w:ascii="宋体" w:hAnsi="宋体" w:eastAsia="宋体" w:cs="仿宋_GB2312"/>
          <w:sz w:val="21"/>
          <w:szCs w:val="21"/>
        </w:rPr>
        <w:t>项目填写不齐全或者内容虚假的</w:t>
      </w:r>
      <w:r>
        <w:rPr>
          <w:rFonts w:hint="eastAsia" w:ascii="宋体" w:hAnsi="宋体" w:eastAsia="宋体"/>
          <w:sz w:val="21"/>
          <w:szCs w:val="21"/>
        </w:rPr>
        <w:t>；</w:t>
      </w:r>
    </w:p>
    <w:p w14:paraId="49A7D2FC">
      <w:pPr>
        <w:pStyle w:val="20"/>
        <w:snapToGrid w:val="0"/>
        <w:spacing w:line="360" w:lineRule="exact"/>
        <w:ind w:firstLine="411" w:firstLineChars="196"/>
        <w:rPr>
          <w:rFonts w:ascii="宋体" w:hAnsi="宋体" w:eastAsia="宋体"/>
          <w:snapToGrid w:val="0"/>
          <w:sz w:val="21"/>
          <w:szCs w:val="21"/>
        </w:rPr>
      </w:pPr>
      <w:r>
        <w:rPr>
          <w:rFonts w:hint="eastAsia" w:ascii="宋体" w:hAnsi="宋体" w:eastAsia="宋体"/>
          <w:sz w:val="21"/>
          <w:szCs w:val="21"/>
        </w:rPr>
        <w:t>（6）</w:t>
      </w:r>
      <w:r>
        <w:rPr>
          <w:rFonts w:hint="eastAsia" w:ascii="宋体" w:hAnsi="宋体" w:eastAsia="宋体" w:cs="仿宋_GB2312"/>
          <w:sz w:val="21"/>
          <w:szCs w:val="21"/>
        </w:rPr>
        <w:t>投标文件的实质性内容未使用中文表述、意思表述不明确、前后矛盾或者使用计量单位不符合招标文件要求的</w:t>
      </w:r>
      <w:r>
        <w:rPr>
          <w:rFonts w:hint="eastAsia" w:ascii="宋体" w:hAnsi="宋体" w:eastAsia="宋体"/>
          <w:sz w:val="21"/>
          <w:szCs w:val="21"/>
        </w:rPr>
        <w:t>（经评标委员会认定并允许其当场更正的笔误除外）；</w:t>
      </w:r>
    </w:p>
    <w:p w14:paraId="44265D01">
      <w:pPr>
        <w:pStyle w:val="20"/>
        <w:snapToGrid w:val="0"/>
        <w:spacing w:line="360" w:lineRule="exact"/>
        <w:ind w:firstLine="411" w:firstLineChars="196"/>
        <w:rPr>
          <w:rFonts w:ascii="宋体" w:hAnsi="宋体" w:eastAsia="宋体"/>
          <w:sz w:val="21"/>
          <w:szCs w:val="21"/>
        </w:rPr>
      </w:pPr>
      <w:r>
        <w:rPr>
          <w:rFonts w:hint="eastAsia" w:ascii="宋体" w:hAnsi="宋体" w:eastAsia="宋体"/>
          <w:sz w:val="21"/>
          <w:szCs w:val="21"/>
        </w:rPr>
        <w:t>（7）</w:t>
      </w:r>
      <w:r>
        <w:rPr>
          <w:rFonts w:hint="eastAsia" w:ascii="宋体" w:hAnsi="宋体" w:eastAsia="宋体"/>
          <w:spacing w:val="-4"/>
          <w:sz w:val="21"/>
          <w:szCs w:val="21"/>
        </w:rPr>
        <w:t>未实质性响应招标文件要求或者投标文件有招标方不能接受的附加条件的；</w:t>
      </w:r>
    </w:p>
    <w:p w14:paraId="050D2600">
      <w:pPr>
        <w:pStyle w:val="20"/>
        <w:snapToGrid w:val="0"/>
        <w:spacing w:line="360" w:lineRule="exact"/>
        <w:ind w:firstLine="411" w:firstLineChars="196"/>
        <w:rPr>
          <w:rFonts w:ascii="宋体" w:hAnsi="宋体" w:eastAsia="宋体"/>
          <w:sz w:val="21"/>
          <w:szCs w:val="21"/>
        </w:rPr>
      </w:pPr>
      <w:r>
        <w:rPr>
          <w:rFonts w:hint="eastAsia" w:ascii="宋体" w:hAnsi="宋体" w:eastAsia="宋体"/>
          <w:sz w:val="21"/>
          <w:szCs w:val="21"/>
        </w:rPr>
        <w:t>（8）未按照招标文件的规定提交投标保证金的；（说明：评标时，评标委员会将以本采购代理财务室编制的《项目投标保证金到账信息表》作为评审参考依据）。</w:t>
      </w:r>
    </w:p>
    <w:p w14:paraId="23743C5F">
      <w:pPr>
        <w:pStyle w:val="20"/>
        <w:snapToGrid w:val="0"/>
        <w:spacing w:line="360" w:lineRule="exact"/>
        <w:ind w:firstLine="411" w:firstLineChars="196"/>
        <w:rPr>
          <w:rFonts w:ascii="宋体" w:hAnsi="宋体" w:eastAsia="宋体"/>
          <w:sz w:val="21"/>
          <w:szCs w:val="21"/>
        </w:rPr>
      </w:pPr>
      <w:r>
        <w:rPr>
          <w:rFonts w:hint="eastAsia" w:ascii="宋体" w:hAnsi="宋体" w:eastAsia="宋体"/>
          <w:sz w:val="21"/>
          <w:szCs w:val="21"/>
        </w:rPr>
        <w:t>（9）法律、法规和招标文件规定的其他无效情形。</w:t>
      </w:r>
    </w:p>
    <w:p w14:paraId="4A9B87B0">
      <w:pPr>
        <w:pStyle w:val="20"/>
        <w:snapToGrid w:val="0"/>
        <w:spacing w:line="360" w:lineRule="exact"/>
        <w:ind w:firstLine="411" w:firstLineChars="196"/>
        <w:rPr>
          <w:rFonts w:ascii="宋体" w:hAnsi="宋体" w:eastAsia="宋体"/>
          <w:b/>
          <w:bCs/>
          <w:sz w:val="21"/>
          <w:szCs w:val="21"/>
        </w:rPr>
      </w:pPr>
      <w:r>
        <w:rPr>
          <w:rFonts w:hint="eastAsia" w:ascii="宋体" w:hAnsi="宋体" w:eastAsia="宋体"/>
          <w:b/>
          <w:bCs/>
          <w:sz w:val="21"/>
          <w:szCs w:val="21"/>
        </w:rPr>
        <w:t>2.在商务、技术评审时，如发现下列情形之一的，投标文件将被视为无效：</w:t>
      </w:r>
    </w:p>
    <w:p w14:paraId="14B2E047">
      <w:pPr>
        <w:pStyle w:val="20"/>
        <w:snapToGrid w:val="0"/>
        <w:spacing w:line="360" w:lineRule="exact"/>
        <w:ind w:firstLine="411" w:firstLineChars="196"/>
        <w:rPr>
          <w:rFonts w:ascii="宋体" w:hAnsi="宋体" w:eastAsia="宋体"/>
          <w:snapToGrid w:val="0"/>
          <w:sz w:val="21"/>
          <w:szCs w:val="21"/>
        </w:rPr>
      </w:pPr>
      <w:r>
        <w:rPr>
          <w:rFonts w:hint="eastAsia" w:ascii="宋体" w:hAnsi="宋体" w:eastAsia="宋体"/>
          <w:sz w:val="21"/>
          <w:szCs w:val="21"/>
        </w:rPr>
        <w:t>（</w:t>
      </w:r>
      <w:r>
        <w:rPr>
          <w:rFonts w:hint="eastAsia" w:ascii="宋体" w:hAnsi="宋体" w:eastAsia="宋体"/>
          <w:snapToGrid w:val="0"/>
          <w:sz w:val="21"/>
          <w:szCs w:val="21"/>
        </w:rPr>
        <w:t>1）投标有效期等商务条款不能满足招标文件要求的；</w:t>
      </w:r>
    </w:p>
    <w:p w14:paraId="46083838">
      <w:pPr>
        <w:pStyle w:val="20"/>
        <w:snapToGrid w:val="0"/>
        <w:spacing w:line="360" w:lineRule="exact"/>
        <w:ind w:firstLine="411" w:firstLineChars="196"/>
        <w:rPr>
          <w:rFonts w:ascii="宋体" w:hAnsi="宋体" w:eastAsia="宋体"/>
          <w:sz w:val="21"/>
          <w:szCs w:val="21"/>
        </w:rPr>
      </w:pPr>
      <w:r>
        <w:rPr>
          <w:rFonts w:hint="eastAsia" w:ascii="宋体" w:hAnsi="宋体" w:eastAsia="宋体"/>
          <w:sz w:val="21"/>
          <w:szCs w:val="21"/>
        </w:rPr>
        <w:t>（2）未实质性响应招标文件要求或者投标文件含有采购人不能接受的附加条件的；</w:t>
      </w:r>
    </w:p>
    <w:p w14:paraId="233F394A">
      <w:pPr>
        <w:pStyle w:val="20"/>
        <w:snapToGrid w:val="0"/>
        <w:spacing w:line="360" w:lineRule="exact"/>
        <w:ind w:firstLine="411" w:firstLineChars="196"/>
        <w:rPr>
          <w:rFonts w:ascii="宋体" w:hAnsi="宋体" w:eastAsia="宋体"/>
          <w:sz w:val="21"/>
          <w:szCs w:val="21"/>
        </w:rPr>
      </w:pPr>
      <w:r>
        <w:rPr>
          <w:rFonts w:hint="eastAsia" w:ascii="宋体" w:hAnsi="宋体" w:eastAsia="宋体"/>
          <w:sz w:val="21"/>
          <w:szCs w:val="21"/>
        </w:rPr>
        <w:t>（3）未提供或未如实提供投标货物的技术参数，或者投标文件标明的响应或偏离与事实不符或虚假投标的；</w:t>
      </w:r>
    </w:p>
    <w:p w14:paraId="3DC37AF9">
      <w:pPr>
        <w:pStyle w:val="20"/>
        <w:snapToGrid w:val="0"/>
        <w:spacing w:line="360" w:lineRule="exact"/>
        <w:ind w:firstLine="411" w:firstLineChars="196"/>
        <w:rPr>
          <w:rFonts w:ascii="宋体" w:hAnsi="宋体" w:eastAsia="宋体"/>
          <w:snapToGrid w:val="0"/>
          <w:sz w:val="21"/>
          <w:szCs w:val="21"/>
        </w:rPr>
      </w:pPr>
      <w:r>
        <w:rPr>
          <w:rFonts w:hint="eastAsia" w:ascii="宋体" w:hAnsi="宋体" w:eastAsia="宋体"/>
          <w:sz w:val="21"/>
          <w:szCs w:val="21"/>
        </w:rPr>
        <w:t>（4）</w:t>
      </w:r>
      <w:r>
        <w:rPr>
          <w:rFonts w:hint="eastAsia" w:ascii="宋体" w:hAnsi="宋体" w:eastAsia="宋体"/>
          <w:snapToGrid w:val="0"/>
          <w:sz w:val="21"/>
          <w:szCs w:val="21"/>
        </w:rPr>
        <w:t>明显不符合招标文件要求的规格型号、质量标准，或者与招标文件中标“▲”的技术指标、主要功能项目发生实质性负偏离的；</w:t>
      </w:r>
    </w:p>
    <w:p w14:paraId="1A0B4333">
      <w:pPr>
        <w:pStyle w:val="20"/>
        <w:snapToGrid w:val="0"/>
        <w:spacing w:line="360" w:lineRule="exact"/>
        <w:ind w:firstLine="411" w:firstLineChars="196"/>
        <w:rPr>
          <w:rFonts w:ascii="宋体" w:hAnsi="宋体" w:eastAsia="宋体"/>
          <w:snapToGrid w:val="0"/>
          <w:sz w:val="21"/>
          <w:szCs w:val="21"/>
        </w:rPr>
      </w:pPr>
      <w:r>
        <w:rPr>
          <w:rFonts w:hint="eastAsia" w:ascii="宋体" w:hAnsi="宋体" w:eastAsia="宋体"/>
          <w:snapToGrid w:val="0"/>
          <w:sz w:val="21"/>
          <w:szCs w:val="21"/>
        </w:rPr>
        <w:t>（5）</w:t>
      </w:r>
      <w:r>
        <w:rPr>
          <w:rFonts w:hint="eastAsia" w:ascii="宋体" w:hAnsi="宋体" w:eastAsia="宋体"/>
          <w:sz w:val="21"/>
          <w:szCs w:val="21"/>
        </w:rPr>
        <w:t>允许偏离的商务、技术、性能指标或者辅助功能项目发生负偏离超出允许的范围以上的</w:t>
      </w:r>
      <w:r>
        <w:rPr>
          <w:rFonts w:hint="eastAsia" w:ascii="宋体" w:hAnsi="宋体" w:eastAsia="宋体"/>
          <w:color w:val="000000"/>
          <w:spacing w:val="-4"/>
          <w:sz w:val="21"/>
          <w:szCs w:val="21"/>
        </w:rPr>
        <w:t>；</w:t>
      </w:r>
    </w:p>
    <w:p w14:paraId="38654524">
      <w:pPr>
        <w:pStyle w:val="20"/>
        <w:snapToGrid w:val="0"/>
        <w:spacing w:line="360" w:lineRule="exact"/>
        <w:ind w:firstLine="411" w:firstLineChars="196"/>
        <w:rPr>
          <w:rFonts w:ascii="宋体" w:hAnsi="宋体" w:eastAsia="宋体"/>
          <w:snapToGrid w:val="0"/>
          <w:sz w:val="21"/>
          <w:szCs w:val="21"/>
        </w:rPr>
      </w:pPr>
      <w:r>
        <w:rPr>
          <w:rFonts w:hint="eastAsia" w:ascii="宋体" w:hAnsi="宋体" w:eastAsia="宋体"/>
          <w:snapToGrid w:val="0"/>
          <w:sz w:val="21"/>
          <w:szCs w:val="21"/>
        </w:rPr>
        <w:t>（6）投标技术方案不明确，存在一个或一个以上备选（替代）投标方案的；</w:t>
      </w:r>
    </w:p>
    <w:p w14:paraId="0E5F7105">
      <w:pPr>
        <w:pStyle w:val="20"/>
        <w:snapToGrid w:val="0"/>
        <w:spacing w:line="360" w:lineRule="exact"/>
        <w:ind w:firstLine="411" w:firstLineChars="196"/>
        <w:rPr>
          <w:rFonts w:ascii="宋体" w:hAnsi="宋体" w:eastAsia="宋体"/>
          <w:snapToGrid w:val="0"/>
          <w:sz w:val="21"/>
          <w:szCs w:val="21"/>
        </w:rPr>
      </w:pPr>
      <w:r>
        <w:rPr>
          <w:rFonts w:hint="eastAsia" w:ascii="宋体" w:hAnsi="宋体" w:eastAsia="宋体"/>
          <w:snapToGrid w:val="0"/>
          <w:sz w:val="21"/>
          <w:szCs w:val="21"/>
        </w:rPr>
        <w:t>（7）与其他参加本次投标供应商的投标文件（技术文件）的文字表述内容差错相同二处以上的。</w:t>
      </w:r>
    </w:p>
    <w:p w14:paraId="2CAD149F">
      <w:pPr>
        <w:pStyle w:val="20"/>
        <w:snapToGrid w:val="0"/>
        <w:spacing w:line="360" w:lineRule="exact"/>
        <w:ind w:firstLine="411" w:firstLineChars="196"/>
        <w:rPr>
          <w:rFonts w:ascii="宋体" w:hAnsi="宋体" w:eastAsia="宋体"/>
          <w:b/>
          <w:bCs/>
          <w:sz w:val="21"/>
          <w:szCs w:val="21"/>
        </w:rPr>
      </w:pPr>
      <w:r>
        <w:rPr>
          <w:rFonts w:hint="eastAsia" w:ascii="宋体" w:hAnsi="宋体" w:eastAsia="宋体"/>
          <w:b/>
          <w:bCs/>
          <w:sz w:val="21"/>
          <w:szCs w:val="21"/>
        </w:rPr>
        <w:t>3.在报价评审时，如发现下列情形之一的，投标文件将被视为无效：</w:t>
      </w:r>
    </w:p>
    <w:p w14:paraId="6B9E7D39">
      <w:pPr>
        <w:pStyle w:val="20"/>
        <w:snapToGrid w:val="0"/>
        <w:spacing w:line="360" w:lineRule="exact"/>
        <w:ind w:firstLine="411" w:firstLineChars="196"/>
        <w:rPr>
          <w:rFonts w:ascii="宋体" w:hAnsi="宋体" w:eastAsia="宋体"/>
          <w:sz w:val="21"/>
          <w:szCs w:val="21"/>
        </w:rPr>
      </w:pPr>
      <w:r>
        <w:rPr>
          <w:rFonts w:hint="eastAsia" w:ascii="宋体" w:hAnsi="宋体" w:eastAsia="宋体"/>
          <w:sz w:val="21"/>
          <w:szCs w:val="21"/>
        </w:rPr>
        <w:t>（1）未采用人民币报价或者未按照招标文件标明的币种报价的；</w:t>
      </w:r>
    </w:p>
    <w:p w14:paraId="0E284301">
      <w:pPr>
        <w:pStyle w:val="20"/>
        <w:snapToGrid w:val="0"/>
        <w:spacing w:line="360" w:lineRule="exact"/>
        <w:ind w:firstLine="411" w:firstLineChars="196"/>
        <w:rPr>
          <w:rFonts w:ascii="宋体" w:hAnsi="宋体" w:eastAsia="宋体"/>
          <w:sz w:val="21"/>
          <w:szCs w:val="21"/>
        </w:rPr>
      </w:pPr>
      <w:r>
        <w:rPr>
          <w:rFonts w:hint="eastAsia" w:ascii="宋体" w:hAnsi="宋体" w:eastAsia="宋体"/>
          <w:sz w:val="21"/>
          <w:szCs w:val="21"/>
        </w:rPr>
        <w:t>（2）报价超出最高限价，或者超出采购预算金额，采购人不能支付的；</w:t>
      </w:r>
    </w:p>
    <w:p w14:paraId="30A2E81E">
      <w:pPr>
        <w:pStyle w:val="20"/>
        <w:snapToGrid w:val="0"/>
        <w:spacing w:line="360" w:lineRule="exact"/>
        <w:ind w:firstLine="420" w:firstLineChars="200"/>
        <w:rPr>
          <w:rFonts w:ascii="宋体" w:hAnsi="宋体" w:eastAsia="宋体"/>
          <w:sz w:val="21"/>
          <w:szCs w:val="21"/>
        </w:rPr>
      </w:pPr>
      <w:r>
        <w:rPr>
          <w:rFonts w:hint="eastAsia" w:ascii="宋体" w:hAnsi="宋体" w:eastAsia="宋体"/>
          <w:sz w:val="21"/>
          <w:szCs w:val="21"/>
        </w:rPr>
        <w:t>（3）投标报价具有选择性，或者开标价格与投标文件承诺的优惠（折扣）价格不一致的；</w:t>
      </w:r>
    </w:p>
    <w:p w14:paraId="27B8EE17">
      <w:pPr>
        <w:pStyle w:val="20"/>
        <w:widowControl/>
        <w:snapToGrid w:val="0"/>
        <w:spacing w:line="360" w:lineRule="exact"/>
        <w:ind w:firstLine="420" w:firstLineChars="200"/>
        <w:rPr>
          <w:rFonts w:ascii="宋体" w:hAnsi="宋体" w:eastAsia="宋体" w:cs="宋体"/>
          <w:sz w:val="21"/>
          <w:szCs w:val="21"/>
        </w:rPr>
      </w:pPr>
      <w:r>
        <w:rPr>
          <w:rFonts w:hint="eastAsia" w:ascii="宋体" w:hAnsi="宋体" w:eastAsia="宋体" w:cs="宋体"/>
          <w:sz w:val="21"/>
          <w:szCs w:val="21"/>
        </w:rPr>
        <w:t>（</w:t>
      </w:r>
      <w:r>
        <w:rPr>
          <w:rFonts w:ascii="宋体" w:hAnsi="宋体" w:eastAsia="宋体" w:cs="宋体"/>
          <w:sz w:val="21"/>
          <w:szCs w:val="21"/>
        </w:rPr>
        <w:t>4）评审委员会启动异常低价投标审查</w:t>
      </w:r>
      <w:r>
        <w:rPr>
          <w:rFonts w:hint="eastAsia" w:ascii="宋体" w:hAnsi="宋体" w:eastAsia="宋体" w:cs="宋体"/>
          <w:spacing w:val="-4"/>
          <w:sz w:val="21"/>
          <w:szCs w:val="21"/>
        </w:rPr>
        <w:t>，依据专业经验，参考同类项目中标（成交）价格、类似产品市场价格水平、行业人工费用标准、国家有关部门指导行业协会发布的行业平均成本等情况，对报价合理性进行判断。投标供应商不能提供书面说明、证明材料，或者提供的书面说明、证明材料不能证明其报价合理性的，评审委员会应当将其作为无效投标处理。</w:t>
      </w:r>
    </w:p>
    <w:p w14:paraId="51B1D54E">
      <w:pPr>
        <w:pStyle w:val="47"/>
      </w:pPr>
    </w:p>
    <w:p w14:paraId="6C70D473">
      <w:pPr>
        <w:pStyle w:val="20"/>
        <w:snapToGrid w:val="0"/>
        <w:spacing w:line="360" w:lineRule="exact"/>
        <w:ind w:firstLine="411" w:firstLineChars="196"/>
        <w:rPr>
          <w:rFonts w:ascii="宋体" w:hAnsi="宋体" w:eastAsia="宋体"/>
          <w:b/>
          <w:sz w:val="21"/>
          <w:szCs w:val="21"/>
        </w:rPr>
      </w:pPr>
      <w:r>
        <w:rPr>
          <w:rFonts w:hint="eastAsia" w:ascii="宋体" w:hAnsi="宋体" w:eastAsia="宋体"/>
          <w:b/>
          <w:sz w:val="21"/>
          <w:szCs w:val="21"/>
        </w:rPr>
        <w:t>4.有下列情形之一的视为投标人相互串通投标，投标文件将被视为无效:</w:t>
      </w:r>
    </w:p>
    <w:p w14:paraId="1AEAACB5">
      <w:pPr>
        <w:pStyle w:val="20"/>
        <w:snapToGrid w:val="0"/>
        <w:spacing w:line="360" w:lineRule="exact"/>
        <w:ind w:firstLine="411" w:firstLineChars="196"/>
        <w:rPr>
          <w:rFonts w:ascii="宋体" w:hAnsi="宋体" w:eastAsia="宋体"/>
          <w:sz w:val="21"/>
          <w:szCs w:val="21"/>
        </w:rPr>
      </w:pPr>
      <w:r>
        <w:rPr>
          <w:rFonts w:hint="eastAsia" w:ascii="宋体" w:hAnsi="宋体" w:eastAsia="宋体"/>
          <w:sz w:val="21"/>
          <w:szCs w:val="21"/>
        </w:rPr>
        <w:t>（1）不同投标人的投标文件由同一单位或者个人编制；或不同投标人报名的IP地址一致的；</w:t>
      </w:r>
    </w:p>
    <w:p w14:paraId="25A9566E">
      <w:pPr>
        <w:pStyle w:val="20"/>
        <w:snapToGrid w:val="0"/>
        <w:spacing w:line="360" w:lineRule="exact"/>
        <w:ind w:firstLine="411" w:firstLineChars="196"/>
        <w:rPr>
          <w:rFonts w:ascii="宋体" w:hAnsi="宋体" w:eastAsia="宋体"/>
          <w:sz w:val="21"/>
          <w:szCs w:val="21"/>
        </w:rPr>
      </w:pPr>
      <w:r>
        <w:rPr>
          <w:rFonts w:hint="eastAsia" w:ascii="宋体" w:hAnsi="宋体" w:eastAsia="宋体"/>
          <w:sz w:val="21"/>
          <w:szCs w:val="21"/>
        </w:rPr>
        <w:t>（2）不同投标人委托同一单位或者个人办理投标事宜；</w:t>
      </w:r>
    </w:p>
    <w:p w14:paraId="69394346">
      <w:pPr>
        <w:pStyle w:val="20"/>
        <w:snapToGrid w:val="0"/>
        <w:spacing w:line="360" w:lineRule="exact"/>
        <w:ind w:firstLine="411" w:firstLineChars="196"/>
        <w:rPr>
          <w:rFonts w:ascii="宋体" w:hAnsi="宋体" w:eastAsia="宋体"/>
          <w:sz w:val="21"/>
          <w:szCs w:val="21"/>
        </w:rPr>
      </w:pPr>
      <w:r>
        <w:rPr>
          <w:rFonts w:hint="eastAsia" w:ascii="宋体" w:hAnsi="宋体" w:eastAsia="宋体"/>
          <w:sz w:val="21"/>
          <w:szCs w:val="21"/>
        </w:rPr>
        <w:t>（3）不同投标人的投标文件载明的项目管理成员或者联系人员为同一人；</w:t>
      </w:r>
    </w:p>
    <w:p w14:paraId="7D4B17AE">
      <w:pPr>
        <w:pStyle w:val="20"/>
        <w:snapToGrid w:val="0"/>
        <w:spacing w:line="360" w:lineRule="exact"/>
        <w:ind w:firstLine="411" w:firstLineChars="196"/>
        <w:rPr>
          <w:rFonts w:ascii="宋体" w:hAnsi="宋体" w:eastAsia="宋体"/>
          <w:sz w:val="21"/>
          <w:szCs w:val="21"/>
        </w:rPr>
      </w:pPr>
      <w:r>
        <w:rPr>
          <w:rFonts w:hint="eastAsia" w:ascii="宋体" w:hAnsi="宋体" w:eastAsia="宋体"/>
          <w:sz w:val="21"/>
          <w:szCs w:val="21"/>
        </w:rPr>
        <w:t>（4）不同投标人的投标文件异常一致或投标报价呈规律性差异；</w:t>
      </w:r>
    </w:p>
    <w:p w14:paraId="39DB511E">
      <w:pPr>
        <w:pStyle w:val="20"/>
        <w:snapToGrid w:val="0"/>
        <w:spacing w:line="360" w:lineRule="exact"/>
        <w:ind w:firstLine="411" w:firstLineChars="196"/>
        <w:rPr>
          <w:rFonts w:ascii="宋体" w:hAnsi="宋体" w:eastAsia="宋体"/>
          <w:sz w:val="21"/>
          <w:szCs w:val="21"/>
        </w:rPr>
      </w:pPr>
      <w:r>
        <w:rPr>
          <w:rFonts w:hint="eastAsia" w:ascii="宋体" w:hAnsi="宋体" w:eastAsia="宋体"/>
          <w:sz w:val="21"/>
          <w:szCs w:val="21"/>
        </w:rPr>
        <w:t>（5）不同投标人的投标文件相互混装；</w:t>
      </w:r>
    </w:p>
    <w:p w14:paraId="09905AB1">
      <w:pPr>
        <w:pStyle w:val="20"/>
        <w:snapToGrid w:val="0"/>
        <w:spacing w:line="360" w:lineRule="exact"/>
        <w:ind w:firstLine="411" w:firstLineChars="196"/>
        <w:rPr>
          <w:rFonts w:ascii="宋体" w:hAnsi="宋体" w:eastAsia="宋体"/>
          <w:sz w:val="21"/>
          <w:szCs w:val="21"/>
        </w:rPr>
      </w:pPr>
      <w:r>
        <w:rPr>
          <w:rFonts w:hint="eastAsia" w:ascii="宋体" w:hAnsi="宋体" w:eastAsia="宋体"/>
          <w:sz w:val="21"/>
          <w:szCs w:val="21"/>
        </w:rPr>
        <w:t>（6）不同投标人的投标保证金从同一个单位或者个人账户转出。</w:t>
      </w:r>
    </w:p>
    <w:p w14:paraId="025D698F">
      <w:pPr>
        <w:pStyle w:val="20"/>
        <w:snapToGrid w:val="0"/>
        <w:spacing w:line="360" w:lineRule="exact"/>
        <w:ind w:firstLine="411" w:firstLineChars="196"/>
        <w:rPr>
          <w:rFonts w:ascii="宋体" w:hAnsi="宋体" w:eastAsia="宋体"/>
          <w:b/>
          <w:sz w:val="21"/>
          <w:szCs w:val="21"/>
        </w:rPr>
      </w:pPr>
      <w:r>
        <w:rPr>
          <w:rFonts w:hint="eastAsia" w:ascii="宋体" w:hAnsi="宋体" w:eastAsia="宋体"/>
          <w:b/>
          <w:sz w:val="21"/>
          <w:szCs w:val="21"/>
        </w:rPr>
        <w:t>5.其他投标无效的情形：</w:t>
      </w:r>
    </w:p>
    <w:p w14:paraId="73FFB844">
      <w:pPr>
        <w:pStyle w:val="20"/>
        <w:snapToGrid w:val="0"/>
        <w:spacing w:line="360" w:lineRule="exact"/>
        <w:ind w:firstLine="411" w:firstLineChars="196"/>
        <w:rPr>
          <w:rFonts w:ascii="宋体" w:hAnsi="宋体" w:eastAsia="宋体"/>
          <w:sz w:val="21"/>
          <w:szCs w:val="21"/>
        </w:rPr>
      </w:pPr>
      <w:r>
        <w:rPr>
          <w:rFonts w:hint="eastAsia" w:ascii="宋体" w:hAnsi="宋体" w:eastAsia="宋体"/>
          <w:sz w:val="21"/>
          <w:szCs w:val="21"/>
        </w:rPr>
        <w:t>（1）投标文件未按招标文件要求签署或CA电子签章的；</w:t>
      </w:r>
    </w:p>
    <w:p w14:paraId="655CFCBC">
      <w:pPr>
        <w:pStyle w:val="20"/>
        <w:snapToGrid w:val="0"/>
        <w:spacing w:line="360" w:lineRule="exact"/>
        <w:ind w:firstLine="411" w:firstLineChars="196"/>
        <w:rPr>
          <w:rFonts w:ascii="宋体" w:hAnsi="宋体" w:eastAsia="宋体"/>
          <w:sz w:val="21"/>
          <w:szCs w:val="21"/>
        </w:rPr>
      </w:pPr>
      <w:r>
        <w:rPr>
          <w:rFonts w:hint="eastAsia" w:ascii="宋体" w:hAnsi="宋体" w:eastAsia="宋体"/>
          <w:sz w:val="21"/>
          <w:szCs w:val="21"/>
        </w:rPr>
        <w:t>（2）供应商提交两份或两份以上内容不同的投标文件；</w:t>
      </w:r>
    </w:p>
    <w:p w14:paraId="6B2D1EF8">
      <w:pPr>
        <w:pStyle w:val="20"/>
        <w:snapToGrid w:val="0"/>
        <w:spacing w:line="360" w:lineRule="exact"/>
        <w:ind w:firstLine="411" w:firstLineChars="196"/>
        <w:rPr>
          <w:rFonts w:ascii="宋体" w:hAnsi="宋体" w:eastAsia="宋体"/>
          <w:sz w:val="21"/>
          <w:szCs w:val="21"/>
        </w:rPr>
      </w:pPr>
      <w:r>
        <w:rPr>
          <w:rFonts w:hint="eastAsia" w:ascii="宋体" w:hAnsi="宋体" w:eastAsia="宋体"/>
          <w:sz w:val="21"/>
          <w:szCs w:val="21"/>
        </w:rPr>
        <w:t>（3）投标供应商在线制作投标文件时填写的报价金额与解密后“电子加密投标文件”中《开标一览表》填写的金额不一致并拒绝按招标文件要求接受调整的；</w:t>
      </w:r>
    </w:p>
    <w:p w14:paraId="1E8A2C81">
      <w:pPr>
        <w:pStyle w:val="20"/>
        <w:snapToGrid w:val="0"/>
        <w:spacing w:line="360" w:lineRule="exact"/>
        <w:ind w:firstLine="411" w:firstLineChars="196"/>
        <w:rPr>
          <w:rFonts w:ascii="宋体" w:hAnsi="宋体" w:eastAsia="宋体"/>
          <w:sz w:val="21"/>
          <w:szCs w:val="21"/>
        </w:rPr>
      </w:pPr>
      <w:r>
        <w:rPr>
          <w:rFonts w:hint="eastAsia" w:ascii="宋体" w:hAnsi="宋体" w:eastAsia="宋体"/>
          <w:sz w:val="21"/>
          <w:szCs w:val="21"/>
        </w:rPr>
        <w:t>（4）法律、法规和招标文件规定的其他无效情形（或出现重大偏差）。</w:t>
      </w:r>
    </w:p>
    <w:p w14:paraId="432582CF">
      <w:pPr>
        <w:pStyle w:val="20"/>
        <w:snapToGrid w:val="0"/>
        <w:spacing w:line="360" w:lineRule="exact"/>
        <w:ind w:firstLine="411" w:firstLineChars="196"/>
        <w:rPr>
          <w:rFonts w:ascii="宋体" w:hAnsi="宋体" w:eastAsia="宋体"/>
          <w:b/>
          <w:sz w:val="21"/>
          <w:szCs w:val="21"/>
        </w:rPr>
      </w:pPr>
      <w:r>
        <w:rPr>
          <w:rFonts w:hint="eastAsia" w:ascii="宋体" w:hAnsi="宋体" w:eastAsia="宋体"/>
          <w:b/>
          <w:sz w:val="21"/>
          <w:szCs w:val="21"/>
        </w:rPr>
        <w:t>6.被拒绝的投标文件为无效。</w:t>
      </w:r>
    </w:p>
    <w:p w14:paraId="63DA333F">
      <w:pPr>
        <w:spacing w:line="360" w:lineRule="exact"/>
      </w:pPr>
      <w:bookmarkStart w:id="89" w:name="_Toc254970685"/>
      <w:bookmarkStart w:id="90" w:name="_Toc254970544"/>
    </w:p>
    <w:p w14:paraId="617AE112">
      <w:pPr>
        <w:spacing w:line="360" w:lineRule="exact"/>
        <w:jc w:val="center"/>
        <w:rPr>
          <w:b/>
        </w:rPr>
      </w:pPr>
      <w:r>
        <w:rPr>
          <w:rFonts w:hint="eastAsia"/>
          <w:b/>
        </w:rPr>
        <w:t>四、开  标</w:t>
      </w:r>
      <w:bookmarkEnd w:id="89"/>
      <w:bookmarkEnd w:id="90"/>
    </w:p>
    <w:p w14:paraId="690B16FB">
      <w:pPr>
        <w:spacing w:line="360" w:lineRule="exact"/>
        <w:rPr>
          <w:b/>
        </w:rPr>
      </w:pPr>
      <w:r>
        <w:rPr>
          <w:rFonts w:hint="eastAsia"/>
        </w:rPr>
        <w:t xml:space="preserve">    </w:t>
      </w:r>
      <w:r>
        <w:rPr>
          <w:rFonts w:hint="eastAsia"/>
          <w:b/>
        </w:rPr>
        <w:t>（一）开标准备</w:t>
      </w:r>
    </w:p>
    <w:p w14:paraId="750F3718">
      <w:pPr>
        <w:spacing w:line="360" w:lineRule="exact"/>
        <w:ind w:firstLine="435"/>
      </w:pPr>
      <w:r>
        <w:rPr>
          <w:rFonts w:hint="eastAsia"/>
        </w:rPr>
        <w:t>采购代理机构将在规定的时间和地点通过“</w:t>
      </w:r>
      <w:r>
        <w:rPr>
          <w:rFonts w:hint="eastAsia" w:ascii="宋体" w:hAnsi="宋体"/>
        </w:rPr>
        <w:t>广西政府采购云平台</w:t>
      </w:r>
      <w:r>
        <w:rPr>
          <w:rFonts w:hint="eastAsia"/>
        </w:rPr>
        <w:t>”组织开标、开启投标文件，所有供应商均应当准时在线参加。投标供应商因未在线参加开标而导致投标文件无法按时解密等一切后果由供应商自行承担。</w:t>
      </w:r>
    </w:p>
    <w:p w14:paraId="1407D3B5">
      <w:pPr>
        <w:tabs>
          <w:tab w:val="left" w:pos="2835"/>
          <w:tab w:val="left" w:pos="3261"/>
          <w:tab w:val="left" w:pos="3969"/>
        </w:tabs>
        <w:spacing w:line="360" w:lineRule="exact"/>
        <w:rPr>
          <w:b/>
        </w:rPr>
      </w:pPr>
      <w:r>
        <w:rPr>
          <w:rFonts w:hint="eastAsia"/>
        </w:rPr>
        <w:t xml:space="preserve">    </w:t>
      </w:r>
      <w:r>
        <w:rPr>
          <w:rFonts w:hint="eastAsia"/>
          <w:b/>
        </w:rPr>
        <w:t>（二）开标程序</w:t>
      </w:r>
    </w:p>
    <w:p w14:paraId="6EF5FBF5">
      <w:pPr>
        <w:spacing w:line="360" w:lineRule="exact"/>
        <w:ind w:firstLine="435"/>
        <w:rPr>
          <w:rFonts w:ascii="宋体" w:hAnsi="宋体"/>
        </w:rPr>
      </w:pPr>
      <w:bookmarkStart w:id="91" w:name="_Toc254970686"/>
      <w:bookmarkStart w:id="92" w:name="_Toc254970545"/>
      <w:r>
        <w:rPr>
          <w:rFonts w:hint="eastAsia" w:ascii="宋体" w:hAnsi="宋体"/>
        </w:rPr>
        <w:t>1.电子开标会由本采购代理机构主持。</w:t>
      </w:r>
    </w:p>
    <w:p w14:paraId="6828D8E7">
      <w:pPr>
        <w:spacing w:line="360" w:lineRule="exact"/>
        <w:ind w:firstLine="435"/>
        <w:rPr>
          <w:rFonts w:ascii="宋体" w:hAnsi="宋体"/>
        </w:rPr>
      </w:pPr>
      <w:r>
        <w:rPr>
          <w:rFonts w:hint="eastAsia" w:ascii="宋体" w:hAnsi="宋体"/>
        </w:rPr>
        <w:t>2.本采购代理机构工作人员向各投标供应商发出电子加密投标文件【开始解密】通知，由供应商按招标文件规定的时间内自行进行投标文件解密。投标供应商未在规定时间内完成解密的，系统默认自动放弃。</w:t>
      </w:r>
    </w:p>
    <w:p w14:paraId="60CAFA82">
      <w:pPr>
        <w:spacing w:line="360" w:lineRule="exact"/>
        <w:ind w:firstLine="435"/>
        <w:rPr>
          <w:rFonts w:ascii="宋体" w:hAnsi="宋体"/>
        </w:rPr>
      </w:pPr>
      <w:r>
        <w:rPr>
          <w:rFonts w:hint="eastAsia" w:ascii="宋体" w:hAnsi="宋体"/>
        </w:rPr>
        <w:t>3.投标文件解密结束，开启报价文件。投标供应商在线制作投标文件时填写的报价金额与解密后“电子加密投标文件”中《开标一览表》填写的金额不一致的，以解密后“电子加密投标文件”中《开标一览表》填写的金额为准，投标供应商拒绝接受此调整的，按无效投标处理。</w:t>
      </w:r>
    </w:p>
    <w:p w14:paraId="31E5C315">
      <w:pPr>
        <w:spacing w:line="360" w:lineRule="exact"/>
        <w:ind w:firstLine="435"/>
        <w:rPr>
          <w:rFonts w:ascii="宋体" w:hAnsi="宋体"/>
        </w:rPr>
      </w:pPr>
      <w:r>
        <w:rPr>
          <w:rFonts w:hint="eastAsia" w:ascii="宋体" w:hAnsi="宋体"/>
        </w:rPr>
        <w:t>4.进入资格文件审查环节，采购人、采购代理机构根据双方签订的代理协议约定，依法对投标供应商的资格进行审查。</w:t>
      </w:r>
    </w:p>
    <w:p w14:paraId="0E7ECD0D">
      <w:pPr>
        <w:spacing w:line="360" w:lineRule="exact"/>
        <w:ind w:firstLine="435"/>
        <w:rPr>
          <w:rFonts w:ascii="宋体" w:hAnsi="宋体"/>
        </w:rPr>
      </w:pPr>
      <w:r>
        <w:rPr>
          <w:rFonts w:hint="eastAsia" w:ascii="宋体" w:hAnsi="宋体"/>
        </w:rPr>
        <w:t>5.开启资格审查通过的投标供应商的商务技术文件进入符合性审查及商务技术评审。</w:t>
      </w:r>
    </w:p>
    <w:p w14:paraId="14FFFB4B">
      <w:pPr>
        <w:spacing w:line="360" w:lineRule="exact"/>
        <w:ind w:firstLine="435"/>
        <w:rPr>
          <w:rFonts w:ascii="宋体" w:hAnsi="宋体"/>
        </w:rPr>
      </w:pPr>
      <w:r>
        <w:rPr>
          <w:rFonts w:hint="eastAsia" w:ascii="宋体" w:hAnsi="宋体"/>
        </w:rPr>
        <w:t>注：①当整个招标项目的投标人不足3家的不开标，本采购代理机构将按政府采购管理的有关规定处理。</w:t>
      </w:r>
    </w:p>
    <w:p w14:paraId="593BAB0D">
      <w:pPr>
        <w:spacing w:line="360" w:lineRule="exact"/>
        <w:ind w:firstLine="435"/>
        <w:rPr>
          <w:rFonts w:ascii="宋体" w:hAnsi="宋体"/>
        </w:rPr>
      </w:pPr>
      <w:r>
        <w:rPr>
          <w:rFonts w:hint="eastAsia" w:ascii="宋体" w:hAnsi="宋体"/>
        </w:rPr>
        <w:t>②开标后，某分标投标人不足3家的，本采购代理机构将按政府采购管理的有关规定处理。</w:t>
      </w:r>
    </w:p>
    <w:p w14:paraId="4439C3E2">
      <w:pPr>
        <w:spacing w:line="360" w:lineRule="exact"/>
        <w:ind w:firstLine="435"/>
        <w:rPr>
          <w:rFonts w:ascii="宋体" w:hAnsi="宋体"/>
          <w:b/>
        </w:rPr>
      </w:pPr>
      <w:r>
        <w:rPr>
          <w:rFonts w:hint="eastAsia" w:ascii="宋体" w:hAnsi="宋体"/>
          <w:b/>
        </w:rPr>
        <w:t>特别说明：如遇“广西政府采购云平台”电子化开标或评审程序调整的，按调整后程序执行。</w:t>
      </w:r>
    </w:p>
    <w:p w14:paraId="2D2986C9">
      <w:pPr>
        <w:spacing w:line="360" w:lineRule="exact"/>
      </w:pPr>
    </w:p>
    <w:p w14:paraId="0822DD62">
      <w:pPr>
        <w:spacing w:line="360" w:lineRule="exact"/>
        <w:jc w:val="center"/>
        <w:rPr>
          <w:b/>
        </w:rPr>
      </w:pPr>
      <w:r>
        <w:rPr>
          <w:rFonts w:hint="eastAsia"/>
          <w:b/>
        </w:rPr>
        <w:t>五、资格审查</w:t>
      </w:r>
    </w:p>
    <w:p w14:paraId="2D4D9FE9">
      <w:pPr>
        <w:spacing w:line="360" w:lineRule="exact"/>
        <w:ind w:left="210" w:leftChars="100" w:firstLine="420" w:firstLineChars="200"/>
        <w:jc w:val="left"/>
        <w:rPr>
          <w:rFonts w:ascii="宋体" w:hAnsi="宋体"/>
        </w:rPr>
      </w:pPr>
      <w:r>
        <w:rPr>
          <w:rFonts w:hint="eastAsia" w:ascii="宋体" w:hAnsi="宋体"/>
        </w:rPr>
        <w:t>采购人、采购代理机构根据双方签订的代理协议约定，依法对投标人的资格进行审查。合格投标人不足3家的，不得评标。</w:t>
      </w:r>
    </w:p>
    <w:p w14:paraId="335F5E8B">
      <w:pPr>
        <w:spacing w:line="360" w:lineRule="exact"/>
        <w:ind w:left="210" w:leftChars="100" w:firstLine="420" w:firstLineChars="200"/>
        <w:jc w:val="left"/>
        <w:rPr>
          <w:b/>
        </w:rPr>
      </w:pPr>
    </w:p>
    <w:p w14:paraId="369C6626">
      <w:pPr>
        <w:spacing w:line="360" w:lineRule="exact"/>
        <w:jc w:val="center"/>
        <w:rPr>
          <w:b/>
        </w:rPr>
      </w:pPr>
      <w:r>
        <w:rPr>
          <w:rFonts w:hint="eastAsia"/>
          <w:b/>
        </w:rPr>
        <w:t>六、评  标</w:t>
      </w:r>
      <w:bookmarkEnd w:id="91"/>
      <w:bookmarkEnd w:id="92"/>
    </w:p>
    <w:p w14:paraId="14B383C7">
      <w:pPr>
        <w:spacing w:line="360" w:lineRule="exact"/>
        <w:jc w:val="center"/>
        <w:rPr>
          <w:b/>
        </w:rPr>
      </w:pPr>
    </w:p>
    <w:p w14:paraId="13A4FF02">
      <w:pPr>
        <w:spacing w:line="360" w:lineRule="exact"/>
        <w:rPr>
          <w:b/>
        </w:rPr>
      </w:pPr>
      <w:r>
        <w:rPr>
          <w:rFonts w:hint="eastAsia"/>
        </w:rPr>
        <w:t xml:space="preserve">    </w:t>
      </w:r>
      <w:r>
        <w:rPr>
          <w:rFonts w:hint="eastAsia"/>
          <w:b/>
        </w:rPr>
        <w:t>（一）组建评标委员会</w:t>
      </w:r>
    </w:p>
    <w:p w14:paraId="62040ED9">
      <w:pPr>
        <w:spacing w:line="360" w:lineRule="exact"/>
      </w:pPr>
      <w:r>
        <w:rPr>
          <w:rFonts w:hint="eastAsia"/>
        </w:rPr>
        <w:t xml:space="preserve">    本招标采购项目的评标委员会由采购人代表和</w:t>
      </w:r>
      <w:r>
        <w:rPr>
          <w:spacing w:val="-4"/>
        </w:rPr>
        <w:t>评审专家</w:t>
      </w:r>
      <w:r>
        <w:rPr>
          <w:rFonts w:hint="eastAsia"/>
        </w:rPr>
        <w:t>组成，成员人数应当为五人以上单数。其中</w:t>
      </w:r>
      <w:r>
        <w:rPr>
          <w:spacing w:val="-4"/>
        </w:rPr>
        <w:t>评审专家</w:t>
      </w:r>
      <w:r>
        <w:rPr>
          <w:rFonts w:hint="eastAsia"/>
        </w:rPr>
        <w:t>不得少于成员总数的三分之二。</w:t>
      </w:r>
    </w:p>
    <w:p w14:paraId="603E35F8">
      <w:pPr>
        <w:spacing w:line="360" w:lineRule="exact"/>
        <w:rPr>
          <w:b/>
        </w:rPr>
      </w:pPr>
      <w:r>
        <w:rPr>
          <w:rFonts w:hint="eastAsia"/>
        </w:rPr>
        <w:t xml:space="preserve">    </w:t>
      </w:r>
      <w:r>
        <w:rPr>
          <w:rFonts w:hint="eastAsia"/>
          <w:b/>
        </w:rPr>
        <w:t>（二）评标的方式</w:t>
      </w:r>
    </w:p>
    <w:p w14:paraId="2CE6C456">
      <w:pPr>
        <w:spacing w:line="360" w:lineRule="exact"/>
      </w:pPr>
      <w:r>
        <w:rPr>
          <w:rFonts w:hint="eastAsia"/>
        </w:rPr>
        <w:t xml:space="preserve">    本项目采用不公开方式评标，评标的依据为招标文件和投标文件。</w:t>
      </w:r>
    </w:p>
    <w:p w14:paraId="1B78BDAC">
      <w:pPr>
        <w:spacing w:line="360" w:lineRule="exact"/>
        <w:rPr>
          <w:b/>
        </w:rPr>
      </w:pPr>
      <w:r>
        <w:rPr>
          <w:rFonts w:hint="eastAsia"/>
        </w:rPr>
        <w:t xml:space="preserve">    </w:t>
      </w:r>
      <w:r>
        <w:rPr>
          <w:rFonts w:hint="eastAsia"/>
          <w:b/>
        </w:rPr>
        <w:t>（三）评标程序</w:t>
      </w:r>
    </w:p>
    <w:p w14:paraId="7DDC90A0">
      <w:pPr>
        <w:snapToGrid w:val="0"/>
        <w:spacing w:line="360" w:lineRule="exact"/>
        <w:ind w:firstLine="420" w:firstLineChars="200"/>
        <w:rPr>
          <w:rFonts w:ascii="宋体"/>
          <w:b/>
          <w:bCs/>
          <w:szCs w:val="21"/>
        </w:rPr>
      </w:pPr>
      <w:r>
        <w:rPr>
          <w:rFonts w:hint="eastAsia"/>
        </w:rPr>
        <w:t xml:space="preserve">  </w:t>
      </w:r>
      <w:r>
        <w:rPr>
          <w:rFonts w:hint="eastAsia" w:ascii="宋体"/>
          <w:b/>
          <w:bCs/>
          <w:szCs w:val="21"/>
        </w:rPr>
        <w:t>实质审查与比较</w:t>
      </w:r>
    </w:p>
    <w:p w14:paraId="19463C28">
      <w:pPr>
        <w:snapToGrid w:val="0"/>
        <w:spacing w:line="360" w:lineRule="exact"/>
        <w:ind w:firstLine="420" w:firstLineChars="200"/>
        <w:rPr>
          <w:rFonts w:ascii="宋体"/>
          <w:szCs w:val="21"/>
        </w:rPr>
      </w:pPr>
      <w:r>
        <w:rPr>
          <w:rFonts w:hint="eastAsia" w:ascii="宋体"/>
          <w:szCs w:val="21"/>
        </w:rPr>
        <w:t>（1）评标委员会审查、评价投标文件是否符合招标文件的商务、技术等实质性要求。</w:t>
      </w:r>
    </w:p>
    <w:p w14:paraId="57992306">
      <w:pPr>
        <w:snapToGrid w:val="0"/>
        <w:spacing w:line="360" w:lineRule="exact"/>
        <w:ind w:firstLine="420" w:firstLineChars="200"/>
        <w:rPr>
          <w:rFonts w:ascii="宋体"/>
          <w:szCs w:val="21"/>
        </w:rPr>
      </w:pPr>
      <w:r>
        <w:rPr>
          <w:rFonts w:hint="eastAsia" w:ascii="宋体"/>
          <w:szCs w:val="21"/>
        </w:rPr>
        <w:t>（2）评标委员会对投标文件进行评价,如有疑问,将以电子询标函的形式要求投标人在线对投标文件有关事项作出澄清或者说明。投标人向评标委员会澄清或者说明有关问题,并最终以盖章的电子文件进行回复。</w:t>
      </w:r>
    </w:p>
    <w:p w14:paraId="72599039">
      <w:pPr>
        <w:snapToGrid w:val="0"/>
        <w:spacing w:line="360" w:lineRule="exact"/>
        <w:ind w:firstLine="420" w:firstLineChars="200"/>
        <w:rPr>
          <w:rFonts w:ascii="宋体"/>
          <w:szCs w:val="21"/>
        </w:rPr>
      </w:pPr>
      <w:r>
        <w:rPr>
          <w:rFonts w:hint="eastAsia" w:ascii="宋体"/>
          <w:szCs w:val="21"/>
        </w:rPr>
        <w:t>投标人代表超过规定时间或者拒绝澄清或者澄清的内容改变了投标文件的实质性内容的，评标委员会有权视该投标文件无效。</w:t>
      </w:r>
    </w:p>
    <w:p w14:paraId="07DC7014">
      <w:pPr>
        <w:snapToGrid w:val="0"/>
        <w:spacing w:line="360" w:lineRule="exact"/>
        <w:ind w:firstLine="420" w:firstLineChars="200"/>
        <w:rPr>
          <w:rFonts w:ascii="宋体"/>
          <w:szCs w:val="21"/>
        </w:rPr>
      </w:pPr>
      <w:r>
        <w:rPr>
          <w:rFonts w:hint="eastAsia" w:ascii="宋体"/>
          <w:szCs w:val="21"/>
        </w:rPr>
        <w:t>（3）各投标人的技术得分为所有评委的有效评分的算术平均数，由指定专人进行计算复核。</w:t>
      </w:r>
    </w:p>
    <w:p w14:paraId="708259AC">
      <w:pPr>
        <w:snapToGrid w:val="0"/>
        <w:spacing w:line="360" w:lineRule="exact"/>
        <w:ind w:firstLine="420" w:firstLineChars="200"/>
        <w:rPr>
          <w:rFonts w:ascii="宋体"/>
          <w:szCs w:val="21"/>
        </w:rPr>
      </w:pPr>
      <w:r>
        <w:rPr>
          <w:rFonts w:hint="eastAsia" w:ascii="宋体"/>
          <w:szCs w:val="21"/>
        </w:rPr>
        <w:t>（4）采购代理机构工作人员协助评标委员会根据本项目的评分标准计算各投标人的商务报价得分。</w:t>
      </w:r>
    </w:p>
    <w:p w14:paraId="546B07A0">
      <w:pPr>
        <w:snapToGrid w:val="0"/>
        <w:spacing w:line="360" w:lineRule="exact"/>
        <w:ind w:firstLine="420" w:firstLineChars="200"/>
        <w:rPr>
          <w:rFonts w:ascii="宋体"/>
          <w:szCs w:val="21"/>
        </w:rPr>
      </w:pPr>
      <w:r>
        <w:rPr>
          <w:rFonts w:hint="eastAsia" w:ascii="宋体"/>
          <w:szCs w:val="21"/>
        </w:rPr>
        <w:t>（5）评标委员会完成评标后,由广西政府采购云平台系统对各部分得分汇总,计算出本项目最终得分、评标价等。评标委员会按推荐原则推荐中标候选人同时形成评标报告。评标委员会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7222BD33">
      <w:pPr>
        <w:snapToGrid w:val="0"/>
        <w:spacing w:line="360" w:lineRule="exact"/>
        <w:ind w:firstLine="420" w:firstLineChars="200"/>
        <w:rPr>
          <w:rFonts w:ascii="宋体"/>
          <w:b/>
          <w:szCs w:val="21"/>
        </w:rPr>
      </w:pPr>
      <w:r>
        <w:rPr>
          <w:rFonts w:hint="eastAsia" w:ascii="宋体"/>
          <w:b/>
          <w:szCs w:val="21"/>
        </w:rPr>
        <w:t>（四）澄清问题的形式</w:t>
      </w:r>
    </w:p>
    <w:p w14:paraId="41E71E04">
      <w:pPr>
        <w:snapToGrid w:val="0"/>
        <w:spacing w:line="360" w:lineRule="exact"/>
        <w:ind w:firstLine="420" w:firstLineChars="200"/>
        <w:rPr>
          <w:rFonts w:ascii="宋体"/>
          <w:szCs w:val="21"/>
        </w:rPr>
      </w:pPr>
      <w:r>
        <w:rPr>
          <w:rFonts w:hint="eastAsia" w:ascii="宋体"/>
          <w:szCs w:val="21"/>
        </w:rPr>
        <w:t>对投标文件中含义不明确、同类问题表述不一致或者有明显文字和计算错误的内容，评标委员会可要求投标人作出必要的澄清、说明或者纠正。投标人的澄清、说明或者补正应当在电子询标函规定的时间期限内完成，并不得超出投标文件的范围或者改变投标文件的实质性内容。</w:t>
      </w:r>
    </w:p>
    <w:p w14:paraId="38A78779">
      <w:pPr>
        <w:snapToGrid w:val="0"/>
        <w:spacing w:line="360" w:lineRule="exact"/>
        <w:ind w:firstLine="420" w:firstLineChars="200"/>
        <w:rPr>
          <w:b/>
        </w:rPr>
      </w:pPr>
      <w:r>
        <w:rPr>
          <w:rFonts w:hint="eastAsia"/>
          <w:b/>
        </w:rPr>
        <w:t>（五）错误修正</w:t>
      </w:r>
    </w:p>
    <w:p w14:paraId="6E218E0D">
      <w:pPr>
        <w:pStyle w:val="26"/>
        <w:snapToGrid w:val="0"/>
        <w:spacing w:line="360" w:lineRule="exact"/>
        <w:ind w:firstLine="420" w:firstLineChars="200"/>
        <w:rPr>
          <w:rFonts w:ascii="Times New Roman"/>
          <w:szCs w:val="24"/>
        </w:rPr>
      </w:pPr>
      <w:r>
        <w:rPr>
          <w:rFonts w:hint="eastAsia" w:ascii="Times New Roman"/>
          <w:szCs w:val="24"/>
        </w:rPr>
        <w:t>投标文件如果出现计算或表达上的错误，修正错误的原则如下：</w:t>
      </w:r>
    </w:p>
    <w:p w14:paraId="5F5DAB47">
      <w:pPr>
        <w:pStyle w:val="26"/>
        <w:snapToGrid w:val="0"/>
        <w:spacing w:line="360" w:lineRule="exact"/>
        <w:ind w:firstLine="420" w:firstLineChars="200"/>
        <w:rPr>
          <w:rFonts w:hAnsi="宋体"/>
          <w:szCs w:val="24"/>
        </w:rPr>
      </w:pPr>
      <w:r>
        <w:rPr>
          <w:rFonts w:hint="eastAsia" w:hAnsi="宋体"/>
          <w:szCs w:val="24"/>
        </w:rPr>
        <w:t>1.投标文件中开标一览表（报价表）内容与投标文件中相应内容不一致的，以开标一览表（报价表）为准；</w:t>
      </w:r>
    </w:p>
    <w:p w14:paraId="2E771C69">
      <w:pPr>
        <w:pStyle w:val="26"/>
        <w:snapToGrid w:val="0"/>
        <w:spacing w:line="360" w:lineRule="exact"/>
        <w:ind w:firstLine="420" w:firstLineChars="200"/>
        <w:rPr>
          <w:rFonts w:hAnsi="宋体"/>
          <w:szCs w:val="24"/>
        </w:rPr>
      </w:pPr>
      <w:r>
        <w:rPr>
          <w:rFonts w:hint="eastAsia" w:hAnsi="宋体"/>
          <w:szCs w:val="24"/>
        </w:rPr>
        <w:t>2.大写金额和小写金额不一致的，以大写金额为准；</w:t>
      </w:r>
    </w:p>
    <w:p w14:paraId="35513EB8">
      <w:pPr>
        <w:pStyle w:val="26"/>
        <w:snapToGrid w:val="0"/>
        <w:spacing w:line="360" w:lineRule="exact"/>
        <w:ind w:firstLine="420" w:firstLineChars="200"/>
        <w:rPr>
          <w:rFonts w:hAnsi="宋体"/>
          <w:szCs w:val="24"/>
        </w:rPr>
      </w:pPr>
      <w:r>
        <w:rPr>
          <w:rFonts w:hint="eastAsia" w:hAnsi="宋体"/>
          <w:szCs w:val="24"/>
        </w:rPr>
        <w:t>3.单价金额小数点或者百分比有明显错位的，以开标一览表的总价为准，并修改单价；</w:t>
      </w:r>
    </w:p>
    <w:p w14:paraId="1189E135">
      <w:pPr>
        <w:pStyle w:val="26"/>
        <w:snapToGrid w:val="0"/>
        <w:spacing w:line="360" w:lineRule="exact"/>
        <w:ind w:firstLine="420" w:firstLineChars="200"/>
        <w:rPr>
          <w:rFonts w:hAnsi="宋体"/>
          <w:szCs w:val="24"/>
        </w:rPr>
      </w:pPr>
      <w:r>
        <w:rPr>
          <w:rFonts w:hint="eastAsia" w:hAnsi="宋体"/>
          <w:szCs w:val="24"/>
        </w:rPr>
        <w:t>4.总价金额与按单价汇总金额不一致的，以单价金额计算结果为准。</w:t>
      </w:r>
    </w:p>
    <w:p w14:paraId="4EB7A49A">
      <w:pPr>
        <w:pStyle w:val="26"/>
        <w:snapToGrid w:val="0"/>
        <w:spacing w:line="360" w:lineRule="exact"/>
        <w:ind w:firstLine="420" w:firstLineChars="200"/>
        <w:rPr>
          <w:rFonts w:hAnsi="宋体"/>
          <w:szCs w:val="24"/>
        </w:rPr>
      </w:pPr>
      <w:r>
        <w:rPr>
          <w:rFonts w:hint="eastAsia" w:hAnsi="宋体"/>
          <w:szCs w:val="24"/>
        </w:rPr>
        <w:t>5.对不同文字文本投标文件的解释发生异议的，以中文文本为准。</w:t>
      </w:r>
    </w:p>
    <w:p w14:paraId="10721560">
      <w:pPr>
        <w:pStyle w:val="26"/>
        <w:snapToGrid w:val="0"/>
        <w:spacing w:line="360" w:lineRule="exact"/>
        <w:ind w:firstLine="420" w:firstLineChars="200"/>
        <w:rPr>
          <w:rFonts w:hAnsi="宋体"/>
          <w:szCs w:val="24"/>
        </w:rPr>
      </w:pPr>
      <w:r>
        <w:rPr>
          <w:rFonts w:hint="eastAsia" w:hAnsi="宋体"/>
          <w:szCs w:val="24"/>
        </w:rPr>
        <w:t>同时出现两种以上不一致的，按照前款规定的顺序修正。</w:t>
      </w:r>
    </w:p>
    <w:p w14:paraId="49D89ABA">
      <w:pPr>
        <w:pStyle w:val="26"/>
        <w:snapToGrid w:val="0"/>
        <w:spacing w:line="360" w:lineRule="exact"/>
        <w:ind w:firstLine="420" w:firstLineChars="200"/>
        <w:rPr>
          <w:b/>
          <w:bCs/>
        </w:rPr>
      </w:pPr>
      <w:r>
        <w:rPr>
          <w:rFonts w:hint="eastAsia" w:hAnsi="宋体"/>
          <w:b/>
          <w:szCs w:val="24"/>
        </w:rPr>
        <w:t>按上述修正错误的</w:t>
      </w:r>
      <w:r>
        <w:rPr>
          <w:rFonts w:hint="eastAsia" w:ascii="Times New Roman"/>
          <w:b/>
          <w:szCs w:val="24"/>
        </w:rPr>
        <w:t>原则及方法调整或修正投标文件的投标报价，投标人须在线同意并签字确认，调整后的投标报价对投标人具有约束作用。如果投标人不接受修正后的报价，则其投标将作为无效投标处理。</w:t>
      </w:r>
    </w:p>
    <w:p w14:paraId="0BBFCD0C">
      <w:pPr>
        <w:pStyle w:val="26"/>
        <w:snapToGrid w:val="0"/>
        <w:spacing w:line="360" w:lineRule="exact"/>
        <w:ind w:firstLine="420" w:firstLineChars="200"/>
        <w:rPr>
          <w:rFonts w:hAnsi="宋体"/>
          <w:b/>
          <w:bCs/>
        </w:rPr>
      </w:pPr>
      <w:r>
        <w:rPr>
          <w:rFonts w:hint="eastAsia"/>
          <w:b/>
          <w:bCs/>
        </w:rPr>
        <w:t>（六）</w:t>
      </w:r>
      <w:r>
        <w:rPr>
          <w:rFonts w:hint="eastAsia" w:hAnsi="宋体"/>
          <w:b/>
          <w:bCs/>
        </w:rPr>
        <w:t>评委表决</w:t>
      </w:r>
    </w:p>
    <w:p w14:paraId="5D15E011">
      <w:pPr>
        <w:pStyle w:val="26"/>
        <w:snapToGrid w:val="0"/>
        <w:spacing w:line="360" w:lineRule="exact"/>
        <w:ind w:firstLine="420" w:firstLineChars="200"/>
        <w:rPr>
          <w:b/>
          <w:bCs/>
        </w:rPr>
      </w:pPr>
      <w:r>
        <w:rPr>
          <w:rFonts w:hint="eastAsia" w:hAnsi="宋体"/>
          <w:b/>
          <w:bCs/>
        </w:rPr>
        <w:t>在评标过程中出现法律法规和招标文件均没有明确规定的情形时，由评标委员会现场协商解决，协商不一致的，由全体评委投票表决，以得票率二分之一以上专家的意见为准。</w:t>
      </w:r>
    </w:p>
    <w:p w14:paraId="041C4C49">
      <w:pPr>
        <w:pStyle w:val="26"/>
        <w:snapToGrid w:val="0"/>
        <w:spacing w:line="360" w:lineRule="exact"/>
        <w:ind w:firstLine="420" w:firstLineChars="200"/>
        <w:rPr>
          <w:b/>
        </w:rPr>
      </w:pPr>
      <w:r>
        <w:rPr>
          <w:rFonts w:hint="eastAsia"/>
          <w:b/>
        </w:rPr>
        <w:t>（七）评标原则和评标方法</w:t>
      </w:r>
    </w:p>
    <w:p w14:paraId="20EC23B4">
      <w:pPr>
        <w:pStyle w:val="26"/>
        <w:snapToGrid w:val="0"/>
        <w:spacing w:line="360" w:lineRule="exact"/>
        <w:ind w:firstLine="420" w:firstLineChars="200"/>
      </w:pPr>
      <w:r>
        <w:rPr>
          <w:rFonts w:hint="eastAsia"/>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3829826E">
      <w:pPr>
        <w:pStyle w:val="26"/>
        <w:snapToGrid w:val="0"/>
        <w:spacing w:line="360" w:lineRule="exact"/>
        <w:ind w:firstLine="420" w:firstLineChars="200"/>
      </w:pPr>
      <w:r>
        <w:rPr>
          <w:rFonts w:hint="eastAsia"/>
        </w:rPr>
        <w:t>2.评标方法。本项目评标方法是</w:t>
      </w:r>
      <w:r>
        <w:rPr>
          <w:rFonts w:hint="eastAsia"/>
          <w:b/>
          <w:u w:val="single"/>
        </w:rPr>
        <w:t>综合评分法</w:t>
      </w:r>
      <w:r>
        <w:rPr>
          <w:rFonts w:hint="eastAsia"/>
        </w:rPr>
        <w:t>，具体评标内容及评分标准等详见第四章：评标方法及评分标准。</w:t>
      </w:r>
    </w:p>
    <w:p w14:paraId="402B0743">
      <w:pPr>
        <w:pStyle w:val="26"/>
        <w:snapToGrid w:val="0"/>
        <w:spacing w:line="360" w:lineRule="exact"/>
        <w:ind w:firstLine="420" w:firstLineChars="200"/>
        <w:rPr>
          <w:b/>
        </w:rPr>
      </w:pPr>
      <w:r>
        <w:rPr>
          <w:rFonts w:hint="eastAsia"/>
          <w:b/>
        </w:rPr>
        <w:t>（八）评标过程的监控</w:t>
      </w:r>
    </w:p>
    <w:p w14:paraId="70F6FF8E">
      <w:pPr>
        <w:pStyle w:val="26"/>
        <w:snapToGrid w:val="0"/>
        <w:spacing w:line="360" w:lineRule="exact"/>
        <w:ind w:firstLine="420" w:firstLineChars="200"/>
      </w:pPr>
      <w:r>
        <w:rPr>
          <w:rFonts w:hint="eastAsia"/>
        </w:rPr>
        <w:t>本项目评标过程实行全程录音、录像监控，投标人在评标过程中所进行的试图影响评标结果的不公正活动，可能导致其投标被拒绝。</w:t>
      </w:r>
      <w:bookmarkStart w:id="93" w:name="_Toc254970546"/>
      <w:bookmarkStart w:id="94" w:name="_Toc254970687"/>
    </w:p>
    <w:p w14:paraId="138AAB8A">
      <w:pPr>
        <w:pStyle w:val="26"/>
        <w:snapToGrid w:val="0"/>
        <w:spacing w:line="360" w:lineRule="exact"/>
      </w:pPr>
    </w:p>
    <w:p w14:paraId="25FBB14D">
      <w:pPr>
        <w:pStyle w:val="26"/>
        <w:snapToGrid w:val="0"/>
        <w:spacing w:line="360" w:lineRule="exact"/>
        <w:jc w:val="center"/>
        <w:rPr>
          <w:b/>
        </w:rPr>
      </w:pPr>
      <w:r>
        <w:rPr>
          <w:rFonts w:hint="eastAsia"/>
          <w:b/>
        </w:rPr>
        <w:t>七、评标结果</w:t>
      </w:r>
      <w:bookmarkEnd w:id="93"/>
      <w:bookmarkEnd w:id="94"/>
    </w:p>
    <w:p w14:paraId="53AAD9F0">
      <w:pPr>
        <w:pStyle w:val="20"/>
        <w:snapToGrid w:val="0"/>
        <w:spacing w:line="360" w:lineRule="exact"/>
        <w:ind w:firstLine="315" w:firstLineChars="150"/>
        <w:rPr>
          <w:rFonts w:ascii="宋体" w:hAnsi="宋体" w:eastAsia="宋体"/>
          <w:sz w:val="21"/>
          <w:szCs w:val="21"/>
        </w:rPr>
      </w:pPr>
      <w:r>
        <w:rPr>
          <w:rFonts w:hint="eastAsia" w:ascii="宋体" w:hAnsi="宋体" w:eastAsia="宋体"/>
          <w:sz w:val="21"/>
          <w:szCs w:val="21"/>
        </w:rPr>
        <w:t>（一）本采购代理机构将在评标结束后2个工作日内将评标报告送采购人，采购人在5个工作日内按照评标报告中推荐的中标候选人顺序确定中标人。采购人也可以事先授权评标委员会直接确定中标人。</w:t>
      </w:r>
    </w:p>
    <w:p w14:paraId="57713356">
      <w:pPr>
        <w:pStyle w:val="20"/>
        <w:snapToGrid w:val="0"/>
        <w:spacing w:line="360" w:lineRule="exact"/>
        <w:ind w:firstLine="315" w:firstLineChars="150"/>
        <w:rPr>
          <w:rFonts w:ascii="宋体" w:hAnsi="宋体" w:eastAsia="宋体"/>
          <w:sz w:val="21"/>
          <w:szCs w:val="21"/>
        </w:rPr>
      </w:pPr>
      <w:r>
        <w:rPr>
          <w:rFonts w:hint="eastAsia" w:ascii="宋体" w:hAnsi="宋体" w:eastAsia="宋体"/>
          <w:sz w:val="21"/>
          <w:szCs w:val="21"/>
        </w:rPr>
        <w:t>（二）中标人确定后，采购代理机构在财政部门指定的政府采购信息发布媒体发布中标公告。</w:t>
      </w:r>
    </w:p>
    <w:p w14:paraId="4FEB8969">
      <w:pPr>
        <w:pStyle w:val="20"/>
        <w:snapToGrid w:val="0"/>
        <w:spacing w:line="360" w:lineRule="exact"/>
        <w:ind w:firstLine="350" w:firstLineChars="167"/>
        <w:rPr>
          <w:rFonts w:ascii="宋体" w:hAnsi="宋体" w:eastAsia="宋体"/>
          <w:sz w:val="21"/>
          <w:szCs w:val="21"/>
        </w:rPr>
      </w:pPr>
      <w:r>
        <w:rPr>
          <w:rFonts w:hint="eastAsia" w:ascii="宋体" w:hAnsi="宋体" w:eastAsia="宋体"/>
          <w:sz w:val="21"/>
          <w:szCs w:val="21"/>
        </w:rPr>
        <w:t>（三）在发布中标公告的同时，采购代理机构向中标人发出中标通知书。</w:t>
      </w:r>
    </w:p>
    <w:p w14:paraId="4AF25E32">
      <w:pPr>
        <w:pStyle w:val="20"/>
        <w:snapToGrid w:val="0"/>
        <w:spacing w:line="360" w:lineRule="exact"/>
        <w:ind w:firstLine="0" w:firstLineChars="0"/>
        <w:rPr>
          <w:rFonts w:ascii="宋体" w:hAnsi="宋体" w:eastAsia="宋体"/>
          <w:sz w:val="21"/>
          <w:szCs w:val="21"/>
        </w:rPr>
      </w:pPr>
      <w:r>
        <w:rPr>
          <w:rFonts w:hint="eastAsia" w:ascii="宋体" w:hAnsi="宋体" w:eastAsia="宋体"/>
          <w:sz w:val="21"/>
          <w:szCs w:val="21"/>
        </w:rPr>
        <w:t xml:space="preserve">   （四）投标人认为招标文件、招标过程和中标结果使自己的权益受到损害的，可以在知道或者应知其权益受到损害之日起七个工作日内，以书面形式向采购代理机构提出质疑，并及时索要书面回执。</w:t>
      </w:r>
    </w:p>
    <w:p w14:paraId="4A182774">
      <w:pPr>
        <w:pStyle w:val="20"/>
        <w:snapToGrid w:val="0"/>
        <w:spacing w:line="360" w:lineRule="exact"/>
        <w:ind w:firstLine="315" w:firstLineChars="150"/>
        <w:rPr>
          <w:rFonts w:ascii="宋体" w:hAnsi="宋体" w:eastAsia="宋体"/>
          <w:sz w:val="21"/>
          <w:szCs w:val="21"/>
        </w:rPr>
      </w:pPr>
      <w:r>
        <w:rPr>
          <w:rFonts w:hint="eastAsia" w:ascii="宋体" w:hAnsi="宋体" w:eastAsia="宋体"/>
          <w:sz w:val="21"/>
          <w:szCs w:val="21"/>
        </w:rPr>
        <w:t>（五）采购代理机构应当按照有关规定就采购人委托授权范围内的事项在收到投标人的书面质疑后七个工作日内做出答复，但答复的内容不得涉及商业秘密。</w:t>
      </w:r>
    </w:p>
    <w:p w14:paraId="764EF457">
      <w:pPr>
        <w:pStyle w:val="26"/>
        <w:spacing w:line="360" w:lineRule="exact"/>
        <w:rPr>
          <w:bCs/>
        </w:rPr>
      </w:pPr>
    </w:p>
    <w:p w14:paraId="00090054">
      <w:pPr>
        <w:pStyle w:val="26"/>
        <w:spacing w:line="360" w:lineRule="exact"/>
        <w:jc w:val="center"/>
        <w:rPr>
          <w:b/>
        </w:rPr>
      </w:pPr>
      <w:r>
        <w:rPr>
          <w:rFonts w:hint="eastAsia"/>
          <w:b/>
        </w:rPr>
        <w:t>八、签订合同</w:t>
      </w:r>
    </w:p>
    <w:p w14:paraId="69805375">
      <w:pPr>
        <w:spacing w:line="360" w:lineRule="exact"/>
        <w:rPr>
          <w:b/>
        </w:rPr>
      </w:pPr>
      <w:r>
        <w:rPr>
          <w:rFonts w:hint="eastAsia"/>
        </w:rPr>
        <w:t xml:space="preserve">   </w:t>
      </w:r>
      <w:r>
        <w:rPr>
          <w:rFonts w:hint="eastAsia"/>
          <w:b/>
        </w:rPr>
        <w:t xml:space="preserve"> （一）合同授予标准</w:t>
      </w:r>
    </w:p>
    <w:p w14:paraId="44925578">
      <w:pPr>
        <w:spacing w:line="360" w:lineRule="exact"/>
        <w:ind w:firstLine="315" w:firstLineChars="150"/>
      </w:pPr>
      <w:r>
        <w:rPr>
          <w:rFonts w:hint="eastAsia"/>
        </w:rPr>
        <w:t>合同将授予被确定投标文件满足招标文件全部实质性要求，具备履行合同能力，评审得分最高，综合评分排名第一的供应商。</w:t>
      </w:r>
    </w:p>
    <w:p w14:paraId="31538ACA">
      <w:pPr>
        <w:pStyle w:val="20"/>
        <w:snapToGrid w:val="0"/>
        <w:spacing w:line="360" w:lineRule="exact"/>
        <w:ind w:firstLine="315" w:firstLineChars="150"/>
        <w:rPr>
          <w:rFonts w:ascii="宋体" w:hAnsi="宋体" w:eastAsia="宋体"/>
          <w:b/>
          <w:sz w:val="21"/>
          <w:szCs w:val="21"/>
        </w:rPr>
      </w:pPr>
      <w:r>
        <w:rPr>
          <w:rFonts w:hint="eastAsia" w:ascii="宋体" w:hAnsi="宋体" w:eastAsia="宋体"/>
          <w:b/>
          <w:sz w:val="21"/>
          <w:szCs w:val="21"/>
        </w:rPr>
        <w:t>（二）履约保证金</w:t>
      </w:r>
    </w:p>
    <w:p w14:paraId="27F47E5C">
      <w:pPr>
        <w:pStyle w:val="20"/>
        <w:snapToGrid w:val="0"/>
        <w:spacing w:line="360" w:lineRule="exact"/>
        <w:ind w:firstLine="315" w:firstLineChars="150"/>
        <w:rPr>
          <w:rFonts w:ascii="宋体" w:hAnsi="宋体" w:eastAsia="宋体"/>
          <w:sz w:val="21"/>
          <w:szCs w:val="21"/>
        </w:rPr>
      </w:pPr>
      <w:r>
        <w:rPr>
          <w:rFonts w:hint="eastAsia" w:ascii="宋体" w:hAnsi="宋体" w:eastAsia="宋体"/>
          <w:sz w:val="21"/>
          <w:szCs w:val="21"/>
        </w:rPr>
        <w:t>1.中标人须于签订合同前按本项目关于履约保证金的规定进行办理。否则，不予签订合同。</w:t>
      </w:r>
    </w:p>
    <w:p w14:paraId="2AF495C5">
      <w:pPr>
        <w:pStyle w:val="20"/>
        <w:snapToGrid w:val="0"/>
        <w:spacing w:line="360" w:lineRule="exact"/>
        <w:ind w:firstLine="315" w:firstLineChars="150"/>
        <w:rPr>
          <w:rFonts w:ascii="宋体" w:hAnsi="宋体" w:eastAsia="宋体"/>
          <w:sz w:val="21"/>
          <w:szCs w:val="21"/>
        </w:rPr>
      </w:pPr>
      <w:r>
        <w:rPr>
          <w:rFonts w:hint="eastAsia" w:ascii="宋体" w:hAnsi="宋体" w:eastAsia="宋体"/>
          <w:sz w:val="21"/>
          <w:szCs w:val="21"/>
        </w:rPr>
        <w:t>2.签订合同后，如中标人不按双方签订的合同规定履约，则没收其全部履约保证金，履约保证金不足以赔偿损失的，按实际损失赔偿。</w:t>
      </w:r>
    </w:p>
    <w:p w14:paraId="1159293E">
      <w:pPr>
        <w:pStyle w:val="20"/>
        <w:snapToGrid w:val="0"/>
        <w:spacing w:line="360" w:lineRule="exact"/>
        <w:ind w:firstLine="315" w:firstLineChars="150"/>
        <w:rPr>
          <w:rFonts w:ascii="宋体" w:hAnsi="宋体" w:eastAsia="宋体"/>
          <w:sz w:val="21"/>
          <w:szCs w:val="21"/>
        </w:rPr>
      </w:pPr>
      <w:r>
        <w:rPr>
          <w:rFonts w:hint="eastAsia" w:ascii="宋体" w:hAnsi="宋体" w:eastAsia="宋体"/>
          <w:sz w:val="21"/>
          <w:szCs w:val="21"/>
        </w:rPr>
        <w:t>3.履约保证金在中标人按合同约定交货验收合格后，由中标人提供《政府采购项目履约保证金退付意见书》及《政府采购项目合同验收报告》（详见附件），履约保证金在收到合格材料后5个工作日内以银行转账方式如数退还（不计利息）。</w:t>
      </w:r>
    </w:p>
    <w:p w14:paraId="6373C641">
      <w:pPr>
        <w:pStyle w:val="20"/>
        <w:snapToGrid w:val="0"/>
        <w:spacing w:line="360" w:lineRule="exact"/>
        <w:ind w:firstLine="315" w:firstLineChars="150"/>
        <w:rPr>
          <w:rFonts w:ascii="宋体" w:hAnsi="宋体" w:eastAsia="宋体"/>
          <w:sz w:val="21"/>
          <w:szCs w:val="21"/>
        </w:rPr>
      </w:pPr>
      <w:r>
        <w:rPr>
          <w:rFonts w:hint="eastAsia" w:ascii="宋体" w:hAnsi="宋体" w:eastAsia="宋体"/>
          <w:sz w:val="21"/>
          <w:szCs w:val="21"/>
        </w:rPr>
        <w:t>4.在履约保证金退还日期前，若中标人的开户名称、开户银行、账号有变动的，请以书面形式通知履约保证金收取机构，否则由此产生的后果由中标人自负。</w:t>
      </w:r>
    </w:p>
    <w:p w14:paraId="2058C27F">
      <w:pPr>
        <w:spacing w:line="360" w:lineRule="exact"/>
        <w:rPr>
          <w:b/>
        </w:rPr>
      </w:pPr>
      <w:r>
        <w:rPr>
          <w:rFonts w:hint="eastAsia"/>
          <w:color w:val="00B0F0"/>
        </w:rPr>
        <w:t xml:space="preserve">    </w:t>
      </w:r>
      <w:r>
        <w:rPr>
          <w:rFonts w:hint="eastAsia"/>
          <w:b/>
        </w:rPr>
        <w:t>（三）签订合同</w:t>
      </w:r>
    </w:p>
    <w:p w14:paraId="19BA4ED1">
      <w:pPr>
        <w:pStyle w:val="20"/>
        <w:snapToGrid w:val="0"/>
        <w:spacing w:line="360" w:lineRule="exact"/>
        <w:ind w:firstLine="210" w:firstLineChars="100"/>
        <w:rPr>
          <w:rFonts w:ascii="宋体" w:hAnsi="宋体" w:eastAsia="宋体"/>
          <w:sz w:val="21"/>
          <w:szCs w:val="21"/>
        </w:rPr>
      </w:pPr>
      <w:r>
        <w:rPr>
          <w:rFonts w:hint="eastAsia" w:ascii="宋体" w:hAnsi="宋体" w:eastAsia="宋体"/>
          <w:sz w:val="21"/>
          <w:szCs w:val="21"/>
        </w:rPr>
        <w:t>（1）投标人接到中标通知书后，应按中标通知书规定的时间、地点与采购人签订合同。中标人无正当理由不得放弃中标。</w:t>
      </w:r>
    </w:p>
    <w:p w14:paraId="53D8B8B6">
      <w:pPr>
        <w:pStyle w:val="20"/>
        <w:snapToGrid w:val="0"/>
        <w:spacing w:line="360" w:lineRule="exact"/>
        <w:ind w:firstLine="210" w:firstLineChars="100"/>
        <w:rPr>
          <w:rFonts w:ascii="宋体" w:hAnsi="宋体" w:eastAsia="宋体"/>
          <w:sz w:val="21"/>
          <w:szCs w:val="21"/>
        </w:rPr>
      </w:pPr>
      <w:r>
        <w:rPr>
          <w:rFonts w:hint="eastAsia" w:ascii="宋体" w:hAnsi="宋体" w:eastAsia="宋体"/>
          <w:sz w:val="21"/>
          <w:szCs w:val="21"/>
        </w:rPr>
        <w:t>（2）如中标人不按中标通知书的规定签订合同，则按中标人违约处理，采购代理机构将没收中标人投标的全部投标保证金。</w:t>
      </w:r>
    </w:p>
    <w:p w14:paraId="7A56F851">
      <w:pPr>
        <w:pStyle w:val="20"/>
        <w:snapToGrid w:val="0"/>
        <w:spacing w:line="360" w:lineRule="exact"/>
        <w:ind w:firstLine="210" w:firstLineChars="100"/>
      </w:pPr>
      <w:r>
        <w:rPr>
          <w:rFonts w:hint="eastAsia" w:ascii="宋体" w:hAnsi="宋体" w:eastAsia="宋体"/>
          <w:sz w:val="21"/>
          <w:szCs w:val="21"/>
        </w:rPr>
        <w:t>（3）中标人拒绝与采购人签订合同或因不可抗力或者自身原因不能履行采购合同的，采购人可以与中标人之后排名第一的中标候选人签订采购合同，以此类推,也可以重新招标。中标人</w:t>
      </w:r>
      <w:r>
        <w:rPr>
          <w:rFonts w:ascii="宋体" w:hAnsi="宋体" w:eastAsia="宋体"/>
          <w:sz w:val="21"/>
          <w:szCs w:val="21"/>
        </w:rPr>
        <w:t>放弃中标项目，拒绝与采购人签订合同的，其投标保证金</w:t>
      </w:r>
      <w:r>
        <w:rPr>
          <w:rFonts w:hint="eastAsia" w:ascii="宋体" w:hAnsi="宋体" w:eastAsia="宋体"/>
          <w:sz w:val="21"/>
          <w:szCs w:val="21"/>
        </w:rPr>
        <w:t>将不予退还，</w:t>
      </w:r>
      <w:r>
        <w:rPr>
          <w:rFonts w:ascii="宋体" w:hAnsi="宋体" w:eastAsia="宋体"/>
          <w:sz w:val="21"/>
          <w:szCs w:val="21"/>
        </w:rPr>
        <w:t>并上缴国库，</w:t>
      </w:r>
      <w:r>
        <w:rPr>
          <w:rFonts w:hint="eastAsia" w:ascii="宋体" w:hAnsi="宋体" w:eastAsia="宋体"/>
          <w:sz w:val="21"/>
          <w:szCs w:val="21"/>
        </w:rPr>
        <w:t>给</w:t>
      </w:r>
      <w:r>
        <w:rPr>
          <w:rFonts w:ascii="宋体" w:hAnsi="宋体" w:eastAsia="宋体"/>
          <w:sz w:val="21"/>
          <w:szCs w:val="21"/>
        </w:rPr>
        <w:t>采购人造成损失的，还应当赔偿损失，并作为不良行为记录在案</w:t>
      </w:r>
      <w:r>
        <w:rPr>
          <w:rFonts w:hint="eastAsia" w:ascii="宋体" w:hAnsi="宋体" w:eastAsia="宋体"/>
          <w:sz w:val="21"/>
          <w:szCs w:val="21"/>
        </w:rPr>
        <w:t>。</w:t>
      </w:r>
    </w:p>
    <w:p w14:paraId="34AE5E41">
      <w:pPr>
        <w:spacing w:line="360" w:lineRule="exact"/>
      </w:pPr>
    </w:p>
    <w:p w14:paraId="4DAEB66C">
      <w:pPr>
        <w:pStyle w:val="26"/>
        <w:spacing w:line="360" w:lineRule="exact"/>
        <w:jc w:val="center"/>
        <w:rPr>
          <w:b/>
        </w:rPr>
      </w:pPr>
      <w:r>
        <w:rPr>
          <w:rFonts w:hint="eastAsia"/>
          <w:b/>
        </w:rPr>
        <w:t>九、其他事项</w:t>
      </w:r>
    </w:p>
    <w:p w14:paraId="34AB45CE">
      <w:pPr>
        <w:pStyle w:val="26"/>
        <w:spacing w:line="360" w:lineRule="exact"/>
        <w:rPr>
          <w:b/>
        </w:rPr>
      </w:pPr>
      <w:r>
        <w:rPr>
          <w:rFonts w:hint="eastAsia"/>
          <w:b/>
        </w:rPr>
        <w:t xml:space="preserve">    （一）中标服务费</w:t>
      </w:r>
    </w:p>
    <w:p w14:paraId="233783EA">
      <w:pPr>
        <w:pStyle w:val="26"/>
        <w:spacing w:line="370" w:lineRule="exact"/>
        <w:ind w:firstLine="435"/>
      </w:pPr>
      <w:r>
        <w:rPr>
          <w:rFonts w:hint="eastAsia" w:hAnsi="宋体"/>
        </w:rPr>
        <w:t>（1）</w:t>
      </w:r>
      <w:r>
        <w:rPr>
          <w:rFonts w:hint="eastAsia" w:cs="宋体"/>
        </w:rPr>
        <w:t>采购代理服务收费标准参照国家发展计划委员会《招标代理服务费管理暂行办法》（计价格（2002）1980号收费标准、《国家发展改革委关于降低部分建设项目收费标准规范收费行为等有关问题的通知》（发改价格[2011]534号)要求，</w:t>
      </w:r>
      <w:r>
        <w:rPr>
          <w:rFonts w:hint="eastAsia" w:hAnsi="宋体" w:cs="宋体"/>
        </w:rPr>
        <w:t>以各分标的预算金额为基础按差额定率累进法</w:t>
      </w:r>
      <w:r>
        <w:rPr>
          <w:rFonts w:hint="eastAsia" w:cs="宋体"/>
        </w:rPr>
        <w:t>下浮20%收取。发布中标结果公告后，中标人须向广西国力招标有限公司一次付清中标服务费。</w:t>
      </w:r>
    </w:p>
    <w:p w14:paraId="379E99A9">
      <w:pPr>
        <w:pStyle w:val="26"/>
        <w:spacing w:line="360" w:lineRule="exact"/>
        <w:ind w:firstLine="435"/>
      </w:pPr>
      <w:bookmarkStart w:id="95" w:name="_Toc254970548"/>
      <w:bookmarkStart w:id="96" w:name="_Toc254970689"/>
      <w:r>
        <w:rPr>
          <w:rFonts w:hint="eastAsia"/>
        </w:rPr>
        <w:t>（2）代理服务收费标准：</w:t>
      </w:r>
    </w:p>
    <w:tbl>
      <w:tblPr>
        <w:tblStyle w:val="50"/>
        <w:tblpPr w:leftFromText="180" w:rightFromText="180" w:vertAnchor="text" w:horzAnchor="margin" w:tblpXSpec="center" w:tblpY="1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687"/>
        <w:gridCol w:w="1659"/>
      </w:tblGrid>
      <w:tr w14:paraId="5641F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tcPr>
          <w:p w14:paraId="14AB94AD">
            <w:pPr>
              <w:spacing w:line="360" w:lineRule="exact"/>
              <w:rPr>
                <w:szCs w:val="21"/>
              </w:rPr>
            </w:pPr>
            <w:r>
              <w:rPr>
                <w:rFonts w:hint="eastAsia"/>
                <w:szCs w:val="21"/>
              </w:rPr>
              <w:t xml:space="preserve">               费率</w:t>
            </w:r>
          </w:p>
          <w:p w14:paraId="267282E4">
            <w:pPr>
              <w:spacing w:line="360" w:lineRule="exact"/>
              <w:rPr>
                <w:szCs w:val="21"/>
              </w:rPr>
            </w:pPr>
            <w:r>
              <w:rPr>
                <w:rFonts w:hint="eastAsia"/>
                <w:szCs w:val="21"/>
              </w:rPr>
              <w:t>中标金额</w:t>
            </w:r>
          </w:p>
        </w:tc>
        <w:tc>
          <w:tcPr>
            <w:tcW w:w="1659" w:type="dxa"/>
            <w:vAlign w:val="center"/>
          </w:tcPr>
          <w:p w14:paraId="31E35EB6">
            <w:pPr>
              <w:spacing w:line="360" w:lineRule="exact"/>
              <w:ind w:firstLine="105" w:firstLineChars="50"/>
              <w:jc w:val="center"/>
              <w:rPr>
                <w:szCs w:val="21"/>
              </w:rPr>
            </w:pPr>
            <w:r>
              <w:rPr>
                <w:rFonts w:hint="eastAsia"/>
                <w:szCs w:val="21"/>
              </w:rPr>
              <w:t>货物招标</w:t>
            </w:r>
          </w:p>
        </w:tc>
        <w:tc>
          <w:tcPr>
            <w:tcW w:w="1687" w:type="dxa"/>
            <w:vAlign w:val="center"/>
          </w:tcPr>
          <w:p w14:paraId="33EE56B1">
            <w:pPr>
              <w:spacing w:line="360" w:lineRule="exact"/>
              <w:jc w:val="center"/>
              <w:rPr>
                <w:szCs w:val="21"/>
              </w:rPr>
            </w:pPr>
            <w:r>
              <w:rPr>
                <w:rFonts w:hint="eastAsia"/>
                <w:szCs w:val="21"/>
              </w:rPr>
              <w:t>服务招标</w:t>
            </w:r>
          </w:p>
        </w:tc>
        <w:tc>
          <w:tcPr>
            <w:tcW w:w="1659" w:type="dxa"/>
            <w:vAlign w:val="center"/>
          </w:tcPr>
          <w:p w14:paraId="50F46957">
            <w:pPr>
              <w:spacing w:line="360" w:lineRule="exact"/>
              <w:jc w:val="center"/>
              <w:rPr>
                <w:szCs w:val="21"/>
              </w:rPr>
            </w:pPr>
            <w:r>
              <w:rPr>
                <w:rFonts w:hint="eastAsia"/>
                <w:szCs w:val="21"/>
              </w:rPr>
              <w:t>工程招标</w:t>
            </w:r>
          </w:p>
        </w:tc>
      </w:tr>
      <w:tr w14:paraId="664A5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53DC9C3F">
            <w:pPr>
              <w:spacing w:line="360" w:lineRule="exact"/>
              <w:rPr>
                <w:rFonts w:ascii="宋体" w:hAnsi="宋体"/>
                <w:szCs w:val="21"/>
              </w:rPr>
            </w:pPr>
            <w:r>
              <w:rPr>
                <w:rFonts w:hint="eastAsia" w:ascii="宋体" w:hAnsi="宋体"/>
                <w:szCs w:val="21"/>
              </w:rPr>
              <w:t>100万元以下</w:t>
            </w:r>
          </w:p>
        </w:tc>
        <w:tc>
          <w:tcPr>
            <w:tcW w:w="1659" w:type="dxa"/>
          </w:tcPr>
          <w:p w14:paraId="6764199A">
            <w:pPr>
              <w:spacing w:line="360" w:lineRule="exact"/>
              <w:rPr>
                <w:rFonts w:ascii="宋体" w:hAnsi="宋体"/>
                <w:szCs w:val="21"/>
              </w:rPr>
            </w:pPr>
            <w:r>
              <w:rPr>
                <w:rFonts w:hint="eastAsia" w:ascii="宋体" w:hAnsi="宋体" w:cs="宋体"/>
                <w:kern w:val="0"/>
                <w:szCs w:val="21"/>
              </w:rPr>
              <w:t xml:space="preserve">  1.5%                </w:t>
            </w:r>
          </w:p>
        </w:tc>
        <w:tc>
          <w:tcPr>
            <w:tcW w:w="1687" w:type="dxa"/>
          </w:tcPr>
          <w:p w14:paraId="5482E4A0">
            <w:pPr>
              <w:spacing w:line="360" w:lineRule="exact"/>
              <w:ind w:firstLine="210" w:firstLineChars="100"/>
              <w:rPr>
                <w:rFonts w:ascii="宋体" w:hAnsi="宋体"/>
                <w:szCs w:val="21"/>
              </w:rPr>
            </w:pPr>
            <w:r>
              <w:rPr>
                <w:rFonts w:hint="eastAsia" w:ascii="宋体" w:hAnsi="宋体" w:cs="宋体"/>
                <w:kern w:val="0"/>
                <w:szCs w:val="21"/>
              </w:rPr>
              <w:t>1.5%</w:t>
            </w:r>
          </w:p>
        </w:tc>
        <w:tc>
          <w:tcPr>
            <w:tcW w:w="1659" w:type="dxa"/>
          </w:tcPr>
          <w:p w14:paraId="3C56ABDF">
            <w:pPr>
              <w:spacing w:line="360" w:lineRule="exact"/>
              <w:ind w:firstLine="210" w:firstLineChars="100"/>
              <w:rPr>
                <w:rFonts w:ascii="宋体" w:hAnsi="宋体"/>
                <w:szCs w:val="21"/>
              </w:rPr>
            </w:pPr>
            <w:r>
              <w:rPr>
                <w:rFonts w:hint="eastAsia" w:ascii="宋体" w:hAnsi="宋体" w:cs="宋体"/>
                <w:kern w:val="0"/>
                <w:szCs w:val="21"/>
              </w:rPr>
              <w:t xml:space="preserve">1.0% </w:t>
            </w:r>
          </w:p>
        </w:tc>
      </w:tr>
      <w:tr w14:paraId="7E77F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54DAEBF1">
            <w:pPr>
              <w:spacing w:line="360" w:lineRule="exact"/>
              <w:rPr>
                <w:rFonts w:ascii="宋体" w:hAnsi="宋体"/>
                <w:szCs w:val="21"/>
              </w:rPr>
            </w:pPr>
            <w:r>
              <w:rPr>
                <w:rFonts w:hint="eastAsia" w:ascii="宋体" w:hAnsi="宋体"/>
                <w:szCs w:val="21"/>
              </w:rPr>
              <w:t>100～500万元</w:t>
            </w:r>
          </w:p>
        </w:tc>
        <w:tc>
          <w:tcPr>
            <w:tcW w:w="1659" w:type="dxa"/>
          </w:tcPr>
          <w:p w14:paraId="757BE64D">
            <w:pPr>
              <w:spacing w:line="360" w:lineRule="exact"/>
              <w:ind w:firstLine="210" w:firstLineChars="100"/>
              <w:rPr>
                <w:rFonts w:ascii="宋体" w:hAnsi="宋体"/>
                <w:szCs w:val="21"/>
              </w:rPr>
            </w:pPr>
            <w:r>
              <w:rPr>
                <w:rFonts w:hint="eastAsia" w:ascii="宋体" w:hAnsi="宋体" w:cs="宋体"/>
                <w:kern w:val="0"/>
                <w:szCs w:val="21"/>
              </w:rPr>
              <w:t xml:space="preserve">1.1%                 </w:t>
            </w:r>
          </w:p>
        </w:tc>
        <w:tc>
          <w:tcPr>
            <w:tcW w:w="1687" w:type="dxa"/>
          </w:tcPr>
          <w:p w14:paraId="756CFB35">
            <w:pPr>
              <w:spacing w:line="360" w:lineRule="exact"/>
              <w:ind w:firstLine="210" w:firstLineChars="100"/>
              <w:rPr>
                <w:rFonts w:ascii="宋体" w:hAnsi="宋体"/>
                <w:szCs w:val="21"/>
              </w:rPr>
            </w:pPr>
            <w:r>
              <w:rPr>
                <w:rFonts w:hint="eastAsia" w:ascii="宋体" w:hAnsi="宋体" w:cs="宋体"/>
                <w:kern w:val="0"/>
                <w:szCs w:val="21"/>
              </w:rPr>
              <w:t>0.8%</w:t>
            </w:r>
          </w:p>
        </w:tc>
        <w:tc>
          <w:tcPr>
            <w:tcW w:w="1659" w:type="dxa"/>
          </w:tcPr>
          <w:p w14:paraId="430A9404">
            <w:pPr>
              <w:spacing w:line="360" w:lineRule="exact"/>
              <w:ind w:firstLine="210" w:firstLineChars="100"/>
              <w:rPr>
                <w:rFonts w:ascii="宋体" w:hAnsi="宋体"/>
                <w:szCs w:val="21"/>
              </w:rPr>
            </w:pPr>
            <w:r>
              <w:rPr>
                <w:rFonts w:hint="eastAsia" w:ascii="宋体" w:hAnsi="宋体" w:cs="宋体"/>
                <w:kern w:val="0"/>
                <w:szCs w:val="21"/>
              </w:rPr>
              <w:t xml:space="preserve">0.7% </w:t>
            </w:r>
          </w:p>
        </w:tc>
      </w:tr>
      <w:tr w14:paraId="38301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141F05C">
            <w:pPr>
              <w:spacing w:line="360" w:lineRule="exact"/>
              <w:rPr>
                <w:rFonts w:ascii="宋体" w:hAnsi="宋体"/>
                <w:szCs w:val="21"/>
              </w:rPr>
            </w:pPr>
            <w:r>
              <w:rPr>
                <w:rFonts w:hint="eastAsia" w:ascii="宋体" w:hAnsi="宋体"/>
                <w:szCs w:val="21"/>
              </w:rPr>
              <w:t>500～1000万元</w:t>
            </w:r>
          </w:p>
        </w:tc>
        <w:tc>
          <w:tcPr>
            <w:tcW w:w="1659" w:type="dxa"/>
          </w:tcPr>
          <w:p w14:paraId="14B9B09E">
            <w:pPr>
              <w:spacing w:line="360" w:lineRule="exact"/>
              <w:rPr>
                <w:rFonts w:ascii="宋体" w:hAnsi="宋体"/>
                <w:szCs w:val="21"/>
              </w:rPr>
            </w:pPr>
            <w:r>
              <w:rPr>
                <w:rFonts w:hint="eastAsia" w:ascii="宋体" w:hAnsi="宋体" w:cs="宋体"/>
                <w:kern w:val="0"/>
                <w:szCs w:val="21"/>
              </w:rPr>
              <w:t xml:space="preserve">  0.8%                </w:t>
            </w:r>
          </w:p>
        </w:tc>
        <w:tc>
          <w:tcPr>
            <w:tcW w:w="1687" w:type="dxa"/>
          </w:tcPr>
          <w:p w14:paraId="4732E318">
            <w:pPr>
              <w:spacing w:line="360" w:lineRule="exact"/>
              <w:ind w:firstLine="210" w:firstLineChars="100"/>
              <w:rPr>
                <w:rFonts w:ascii="宋体" w:hAnsi="宋体"/>
                <w:szCs w:val="21"/>
              </w:rPr>
            </w:pPr>
            <w:r>
              <w:rPr>
                <w:rFonts w:hint="eastAsia" w:ascii="宋体" w:hAnsi="宋体" w:cs="宋体"/>
                <w:kern w:val="0"/>
                <w:szCs w:val="21"/>
              </w:rPr>
              <w:t>0.45%</w:t>
            </w:r>
          </w:p>
        </w:tc>
        <w:tc>
          <w:tcPr>
            <w:tcW w:w="1659" w:type="dxa"/>
          </w:tcPr>
          <w:p w14:paraId="36027589">
            <w:pPr>
              <w:spacing w:line="360" w:lineRule="exact"/>
              <w:ind w:firstLine="210" w:firstLineChars="100"/>
              <w:rPr>
                <w:rFonts w:ascii="宋体" w:hAnsi="宋体"/>
                <w:szCs w:val="21"/>
              </w:rPr>
            </w:pPr>
            <w:r>
              <w:rPr>
                <w:rFonts w:hint="eastAsia" w:ascii="宋体" w:hAnsi="宋体" w:cs="宋体"/>
                <w:kern w:val="0"/>
                <w:szCs w:val="21"/>
              </w:rPr>
              <w:t>0.55%</w:t>
            </w:r>
          </w:p>
        </w:tc>
      </w:tr>
      <w:tr w14:paraId="6E25A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4AC67A5">
            <w:pPr>
              <w:spacing w:line="360" w:lineRule="exact"/>
              <w:rPr>
                <w:rFonts w:ascii="宋体" w:hAnsi="宋体"/>
                <w:szCs w:val="21"/>
              </w:rPr>
            </w:pPr>
            <w:r>
              <w:rPr>
                <w:rFonts w:hint="eastAsia" w:ascii="宋体" w:hAnsi="宋体"/>
                <w:szCs w:val="21"/>
              </w:rPr>
              <w:t>1000～5000万元</w:t>
            </w:r>
          </w:p>
        </w:tc>
        <w:tc>
          <w:tcPr>
            <w:tcW w:w="1659" w:type="dxa"/>
          </w:tcPr>
          <w:p w14:paraId="6ACCD1B1">
            <w:pPr>
              <w:spacing w:line="360" w:lineRule="exact"/>
              <w:ind w:firstLine="210" w:firstLineChars="100"/>
              <w:rPr>
                <w:rFonts w:ascii="宋体" w:hAnsi="宋体"/>
                <w:szCs w:val="21"/>
              </w:rPr>
            </w:pPr>
            <w:r>
              <w:rPr>
                <w:rFonts w:hint="eastAsia" w:ascii="宋体" w:hAnsi="宋体" w:cs="宋体"/>
                <w:kern w:val="0"/>
                <w:szCs w:val="21"/>
              </w:rPr>
              <w:t xml:space="preserve">0.5%                </w:t>
            </w:r>
          </w:p>
        </w:tc>
        <w:tc>
          <w:tcPr>
            <w:tcW w:w="1687" w:type="dxa"/>
          </w:tcPr>
          <w:p w14:paraId="3007C3B2">
            <w:pPr>
              <w:spacing w:line="360" w:lineRule="exact"/>
              <w:ind w:firstLine="210" w:firstLineChars="100"/>
              <w:rPr>
                <w:rFonts w:ascii="宋体" w:hAnsi="宋体"/>
                <w:szCs w:val="21"/>
              </w:rPr>
            </w:pPr>
            <w:r>
              <w:rPr>
                <w:rFonts w:hint="eastAsia" w:ascii="宋体" w:hAnsi="宋体" w:cs="宋体"/>
                <w:kern w:val="0"/>
                <w:szCs w:val="21"/>
              </w:rPr>
              <w:t>0.25%</w:t>
            </w:r>
          </w:p>
        </w:tc>
        <w:tc>
          <w:tcPr>
            <w:tcW w:w="1659" w:type="dxa"/>
          </w:tcPr>
          <w:p w14:paraId="43B572FB">
            <w:pPr>
              <w:spacing w:line="360" w:lineRule="exact"/>
              <w:ind w:firstLine="210" w:firstLineChars="100"/>
              <w:rPr>
                <w:rFonts w:ascii="宋体" w:hAnsi="宋体"/>
                <w:szCs w:val="21"/>
              </w:rPr>
            </w:pPr>
            <w:r>
              <w:rPr>
                <w:rFonts w:hint="eastAsia" w:ascii="宋体" w:hAnsi="宋体" w:cs="宋体"/>
                <w:kern w:val="0"/>
                <w:szCs w:val="21"/>
              </w:rPr>
              <w:t xml:space="preserve">0.35% </w:t>
            </w:r>
          </w:p>
        </w:tc>
      </w:tr>
      <w:tr w14:paraId="27956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2B309742">
            <w:pPr>
              <w:spacing w:line="360" w:lineRule="exact"/>
              <w:rPr>
                <w:rFonts w:ascii="宋体" w:hAnsi="宋体"/>
                <w:szCs w:val="21"/>
              </w:rPr>
            </w:pPr>
            <w:r>
              <w:rPr>
                <w:rFonts w:hint="eastAsia" w:ascii="宋体" w:hAnsi="宋体"/>
                <w:szCs w:val="21"/>
              </w:rPr>
              <w:t>5000万元～1亿元</w:t>
            </w:r>
          </w:p>
        </w:tc>
        <w:tc>
          <w:tcPr>
            <w:tcW w:w="1659" w:type="dxa"/>
          </w:tcPr>
          <w:p w14:paraId="513DDFD4">
            <w:pPr>
              <w:spacing w:line="360" w:lineRule="exact"/>
              <w:ind w:firstLine="210" w:firstLineChars="100"/>
              <w:rPr>
                <w:rFonts w:ascii="宋体" w:hAnsi="宋体"/>
                <w:szCs w:val="21"/>
              </w:rPr>
            </w:pPr>
            <w:r>
              <w:rPr>
                <w:rFonts w:hint="eastAsia" w:ascii="宋体" w:hAnsi="宋体" w:cs="宋体"/>
                <w:kern w:val="0"/>
                <w:szCs w:val="21"/>
              </w:rPr>
              <w:t xml:space="preserve">0.25%                 </w:t>
            </w:r>
          </w:p>
        </w:tc>
        <w:tc>
          <w:tcPr>
            <w:tcW w:w="1687" w:type="dxa"/>
          </w:tcPr>
          <w:p w14:paraId="1BF229A3">
            <w:pPr>
              <w:spacing w:line="360" w:lineRule="exact"/>
              <w:ind w:firstLine="210" w:firstLineChars="100"/>
              <w:rPr>
                <w:rFonts w:ascii="宋体" w:hAnsi="宋体"/>
                <w:szCs w:val="21"/>
              </w:rPr>
            </w:pPr>
            <w:r>
              <w:rPr>
                <w:rFonts w:hint="eastAsia" w:ascii="宋体" w:hAnsi="宋体" w:cs="宋体"/>
                <w:kern w:val="0"/>
                <w:szCs w:val="21"/>
              </w:rPr>
              <w:t>0.1%</w:t>
            </w:r>
          </w:p>
        </w:tc>
        <w:tc>
          <w:tcPr>
            <w:tcW w:w="1659" w:type="dxa"/>
          </w:tcPr>
          <w:p w14:paraId="16450B1D">
            <w:pPr>
              <w:spacing w:line="360" w:lineRule="exact"/>
              <w:ind w:firstLine="210" w:firstLineChars="100"/>
              <w:rPr>
                <w:rFonts w:ascii="宋体" w:hAnsi="宋体"/>
                <w:szCs w:val="21"/>
              </w:rPr>
            </w:pPr>
            <w:r>
              <w:rPr>
                <w:rFonts w:hint="eastAsia" w:ascii="宋体" w:hAnsi="宋体" w:cs="宋体"/>
                <w:kern w:val="0"/>
                <w:szCs w:val="21"/>
              </w:rPr>
              <w:t>0.2%</w:t>
            </w:r>
          </w:p>
        </w:tc>
      </w:tr>
      <w:tr w14:paraId="6925F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DF35354">
            <w:pPr>
              <w:spacing w:line="360" w:lineRule="exact"/>
              <w:rPr>
                <w:rFonts w:ascii="宋体" w:hAnsi="宋体"/>
                <w:szCs w:val="21"/>
              </w:rPr>
            </w:pPr>
            <w:r>
              <w:rPr>
                <w:rFonts w:hint="eastAsia" w:ascii="宋体" w:hAnsi="宋体"/>
                <w:szCs w:val="21"/>
              </w:rPr>
              <w:t>1～5亿元</w:t>
            </w:r>
          </w:p>
        </w:tc>
        <w:tc>
          <w:tcPr>
            <w:tcW w:w="1659" w:type="dxa"/>
          </w:tcPr>
          <w:p w14:paraId="168D79BC">
            <w:pPr>
              <w:spacing w:line="360" w:lineRule="exact"/>
              <w:ind w:firstLine="210" w:firstLineChars="100"/>
              <w:rPr>
                <w:rFonts w:ascii="宋体" w:hAnsi="宋体"/>
                <w:szCs w:val="21"/>
              </w:rPr>
            </w:pPr>
            <w:r>
              <w:rPr>
                <w:rFonts w:hint="eastAsia" w:ascii="宋体" w:hAnsi="宋体"/>
                <w:szCs w:val="21"/>
              </w:rPr>
              <w:t>0.05%</w:t>
            </w:r>
          </w:p>
        </w:tc>
        <w:tc>
          <w:tcPr>
            <w:tcW w:w="1687" w:type="dxa"/>
          </w:tcPr>
          <w:p w14:paraId="61538648">
            <w:pPr>
              <w:spacing w:line="360" w:lineRule="exact"/>
              <w:rPr>
                <w:rFonts w:ascii="宋体" w:hAnsi="宋体"/>
                <w:szCs w:val="21"/>
              </w:rPr>
            </w:pPr>
            <w:r>
              <w:rPr>
                <w:rFonts w:hint="eastAsia" w:ascii="宋体" w:hAnsi="宋体"/>
                <w:szCs w:val="21"/>
              </w:rPr>
              <w:t xml:space="preserve">  0.05%</w:t>
            </w:r>
          </w:p>
        </w:tc>
        <w:tc>
          <w:tcPr>
            <w:tcW w:w="1659" w:type="dxa"/>
          </w:tcPr>
          <w:p w14:paraId="4AF1FBA4">
            <w:pPr>
              <w:spacing w:line="360" w:lineRule="exact"/>
              <w:rPr>
                <w:rFonts w:ascii="宋体" w:hAnsi="宋体"/>
                <w:szCs w:val="21"/>
              </w:rPr>
            </w:pPr>
            <w:r>
              <w:rPr>
                <w:rFonts w:hint="eastAsia" w:ascii="宋体" w:hAnsi="宋体"/>
                <w:szCs w:val="21"/>
              </w:rPr>
              <w:t xml:space="preserve">  0.05%</w:t>
            </w:r>
          </w:p>
        </w:tc>
      </w:tr>
      <w:tr w14:paraId="09BC8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0088783">
            <w:pPr>
              <w:spacing w:line="360" w:lineRule="exact"/>
              <w:rPr>
                <w:rFonts w:ascii="宋体" w:hAnsi="宋体"/>
                <w:szCs w:val="21"/>
              </w:rPr>
            </w:pPr>
            <w:r>
              <w:rPr>
                <w:rFonts w:hint="eastAsia" w:ascii="宋体" w:hAnsi="宋体"/>
                <w:szCs w:val="21"/>
              </w:rPr>
              <w:t>5～10亿元</w:t>
            </w:r>
          </w:p>
        </w:tc>
        <w:tc>
          <w:tcPr>
            <w:tcW w:w="1659" w:type="dxa"/>
          </w:tcPr>
          <w:p w14:paraId="5EA278C6">
            <w:pPr>
              <w:spacing w:line="360" w:lineRule="exact"/>
              <w:ind w:firstLine="105" w:firstLineChars="50"/>
              <w:rPr>
                <w:rFonts w:ascii="宋体" w:hAnsi="宋体"/>
                <w:szCs w:val="21"/>
              </w:rPr>
            </w:pPr>
            <w:r>
              <w:rPr>
                <w:rFonts w:hint="eastAsia" w:ascii="宋体" w:hAnsi="宋体"/>
                <w:szCs w:val="21"/>
              </w:rPr>
              <w:t>0.035%</w:t>
            </w:r>
          </w:p>
        </w:tc>
        <w:tc>
          <w:tcPr>
            <w:tcW w:w="1687" w:type="dxa"/>
          </w:tcPr>
          <w:p w14:paraId="3E8C57B0">
            <w:pPr>
              <w:spacing w:line="360" w:lineRule="exact"/>
              <w:rPr>
                <w:rFonts w:ascii="宋体" w:hAnsi="宋体"/>
                <w:szCs w:val="21"/>
              </w:rPr>
            </w:pPr>
            <w:r>
              <w:rPr>
                <w:rFonts w:hint="eastAsia" w:ascii="宋体" w:hAnsi="宋体"/>
                <w:szCs w:val="21"/>
              </w:rPr>
              <w:t xml:space="preserve">  0.035%</w:t>
            </w:r>
          </w:p>
        </w:tc>
        <w:tc>
          <w:tcPr>
            <w:tcW w:w="1659" w:type="dxa"/>
          </w:tcPr>
          <w:p w14:paraId="140C49AE">
            <w:pPr>
              <w:spacing w:line="360" w:lineRule="exact"/>
              <w:ind w:firstLine="105" w:firstLineChars="50"/>
              <w:rPr>
                <w:rFonts w:ascii="宋体" w:hAnsi="宋体"/>
                <w:szCs w:val="21"/>
              </w:rPr>
            </w:pPr>
            <w:r>
              <w:rPr>
                <w:rFonts w:hint="eastAsia" w:ascii="宋体" w:hAnsi="宋体"/>
                <w:szCs w:val="21"/>
              </w:rPr>
              <w:t>0.035%</w:t>
            </w:r>
          </w:p>
        </w:tc>
      </w:tr>
      <w:tr w14:paraId="6779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3464F6DE">
            <w:pPr>
              <w:spacing w:line="360" w:lineRule="exact"/>
              <w:rPr>
                <w:rFonts w:ascii="宋体" w:hAnsi="宋体"/>
                <w:szCs w:val="21"/>
              </w:rPr>
            </w:pPr>
            <w:r>
              <w:rPr>
                <w:rFonts w:hint="eastAsia" w:ascii="宋体" w:hAnsi="宋体"/>
                <w:szCs w:val="21"/>
              </w:rPr>
              <w:t>10～50亿元</w:t>
            </w:r>
          </w:p>
        </w:tc>
        <w:tc>
          <w:tcPr>
            <w:tcW w:w="1659" w:type="dxa"/>
          </w:tcPr>
          <w:p w14:paraId="0F36C273">
            <w:pPr>
              <w:spacing w:line="360" w:lineRule="exact"/>
              <w:ind w:firstLine="105" w:firstLineChars="50"/>
              <w:rPr>
                <w:rFonts w:ascii="宋体" w:hAnsi="宋体"/>
                <w:szCs w:val="21"/>
              </w:rPr>
            </w:pPr>
            <w:r>
              <w:rPr>
                <w:rFonts w:hint="eastAsia" w:ascii="宋体" w:hAnsi="宋体"/>
                <w:szCs w:val="21"/>
              </w:rPr>
              <w:t>0.008%</w:t>
            </w:r>
          </w:p>
        </w:tc>
        <w:tc>
          <w:tcPr>
            <w:tcW w:w="1687" w:type="dxa"/>
          </w:tcPr>
          <w:p w14:paraId="42D961A6">
            <w:pPr>
              <w:spacing w:line="360" w:lineRule="exact"/>
              <w:ind w:firstLine="210" w:firstLineChars="100"/>
              <w:rPr>
                <w:rFonts w:ascii="宋体" w:hAnsi="宋体"/>
                <w:szCs w:val="21"/>
              </w:rPr>
            </w:pPr>
            <w:r>
              <w:rPr>
                <w:rFonts w:hint="eastAsia" w:ascii="宋体" w:hAnsi="宋体"/>
                <w:szCs w:val="21"/>
              </w:rPr>
              <w:t>0.008%</w:t>
            </w:r>
          </w:p>
        </w:tc>
        <w:tc>
          <w:tcPr>
            <w:tcW w:w="1659" w:type="dxa"/>
          </w:tcPr>
          <w:p w14:paraId="70FF15E8">
            <w:pPr>
              <w:spacing w:line="360" w:lineRule="exact"/>
              <w:ind w:firstLine="105" w:firstLineChars="50"/>
              <w:rPr>
                <w:rFonts w:ascii="宋体" w:hAnsi="宋体"/>
                <w:szCs w:val="21"/>
              </w:rPr>
            </w:pPr>
            <w:r>
              <w:rPr>
                <w:rFonts w:hint="eastAsia" w:ascii="宋体" w:hAnsi="宋体"/>
                <w:szCs w:val="21"/>
              </w:rPr>
              <w:t>0.008%</w:t>
            </w:r>
          </w:p>
        </w:tc>
      </w:tr>
      <w:tr w14:paraId="3AF77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79C9608">
            <w:pPr>
              <w:spacing w:line="360" w:lineRule="exact"/>
              <w:rPr>
                <w:rFonts w:ascii="宋体" w:hAnsi="宋体"/>
                <w:szCs w:val="21"/>
              </w:rPr>
            </w:pPr>
            <w:r>
              <w:rPr>
                <w:rFonts w:hint="eastAsia" w:ascii="宋体" w:hAnsi="宋体"/>
                <w:szCs w:val="21"/>
              </w:rPr>
              <w:t>50～100亿元</w:t>
            </w:r>
          </w:p>
        </w:tc>
        <w:tc>
          <w:tcPr>
            <w:tcW w:w="1659" w:type="dxa"/>
          </w:tcPr>
          <w:p w14:paraId="6CBD78B7">
            <w:pPr>
              <w:spacing w:line="360" w:lineRule="exact"/>
              <w:rPr>
                <w:rFonts w:ascii="宋体" w:hAnsi="宋体"/>
                <w:szCs w:val="21"/>
              </w:rPr>
            </w:pPr>
            <w:r>
              <w:rPr>
                <w:rFonts w:hint="eastAsia" w:ascii="宋体" w:hAnsi="宋体"/>
                <w:szCs w:val="21"/>
              </w:rPr>
              <w:t xml:space="preserve"> 0.006%</w:t>
            </w:r>
          </w:p>
        </w:tc>
        <w:tc>
          <w:tcPr>
            <w:tcW w:w="1687" w:type="dxa"/>
          </w:tcPr>
          <w:p w14:paraId="4879E3B8">
            <w:pPr>
              <w:spacing w:line="360" w:lineRule="exact"/>
              <w:ind w:firstLine="210" w:firstLineChars="100"/>
              <w:rPr>
                <w:rFonts w:ascii="宋体" w:hAnsi="宋体"/>
                <w:szCs w:val="21"/>
              </w:rPr>
            </w:pPr>
            <w:r>
              <w:rPr>
                <w:rFonts w:hint="eastAsia" w:ascii="宋体" w:hAnsi="宋体"/>
                <w:szCs w:val="21"/>
              </w:rPr>
              <w:t>0.006%</w:t>
            </w:r>
          </w:p>
        </w:tc>
        <w:tc>
          <w:tcPr>
            <w:tcW w:w="1659" w:type="dxa"/>
          </w:tcPr>
          <w:p w14:paraId="63201B87">
            <w:pPr>
              <w:spacing w:line="360" w:lineRule="exact"/>
              <w:ind w:firstLine="105" w:firstLineChars="50"/>
              <w:rPr>
                <w:rFonts w:ascii="宋体" w:hAnsi="宋体"/>
                <w:szCs w:val="21"/>
              </w:rPr>
            </w:pPr>
            <w:r>
              <w:rPr>
                <w:rFonts w:hint="eastAsia" w:ascii="宋体" w:hAnsi="宋体"/>
                <w:szCs w:val="21"/>
              </w:rPr>
              <w:t>0.006%</w:t>
            </w:r>
          </w:p>
        </w:tc>
      </w:tr>
      <w:tr w14:paraId="76E0B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CCCDB57">
            <w:pPr>
              <w:spacing w:line="360" w:lineRule="exact"/>
              <w:rPr>
                <w:rFonts w:ascii="宋体" w:hAnsi="宋体"/>
                <w:szCs w:val="21"/>
              </w:rPr>
            </w:pPr>
            <w:r>
              <w:rPr>
                <w:rFonts w:hint="eastAsia" w:ascii="宋体" w:hAnsi="宋体"/>
                <w:szCs w:val="21"/>
              </w:rPr>
              <w:t>100亿以上</w:t>
            </w:r>
          </w:p>
        </w:tc>
        <w:tc>
          <w:tcPr>
            <w:tcW w:w="1659" w:type="dxa"/>
          </w:tcPr>
          <w:p w14:paraId="191F4002">
            <w:pPr>
              <w:spacing w:line="360" w:lineRule="exact"/>
              <w:rPr>
                <w:rFonts w:ascii="宋体" w:hAnsi="宋体"/>
                <w:szCs w:val="21"/>
              </w:rPr>
            </w:pPr>
            <w:r>
              <w:rPr>
                <w:rFonts w:hint="eastAsia" w:ascii="宋体" w:hAnsi="宋体"/>
                <w:szCs w:val="21"/>
              </w:rPr>
              <w:t xml:space="preserve"> 0.004%</w:t>
            </w:r>
          </w:p>
        </w:tc>
        <w:tc>
          <w:tcPr>
            <w:tcW w:w="1687" w:type="dxa"/>
          </w:tcPr>
          <w:p w14:paraId="18D9E166">
            <w:pPr>
              <w:spacing w:line="360" w:lineRule="exact"/>
              <w:ind w:firstLine="210" w:firstLineChars="100"/>
              <w:rPr>
                <w:rFonts w:ascii="宋体" w:hAnsi="宋体"/>
                <w:szCs w:val="21"/>
              </w:rPr>
            </w:pPr>
            <w:r>
              <w:rPr>
                <w:rFonts w:hint="eastAsia" w:ascii="宋体" w:hAnsi="宋体"/>
                <w:szCs w:val="21"/>
              </w:rPr>
              <w:t>0.004%</w:t>
            </w:r>
          </w:p>
        </w:tc>
        <w:tc>
          <w:tcPr>
            <w:tcW w:w="1659" w:type="dxa"/>
          </w:tcPr>
          <w:p w14:paraId="76E7B48F">
            <w:pPr>
              <w:spacing w:line="360" w:lineRule="exact"/>
              <w:ind w:firstLine="105" w:firstLineChars="50"/>
              <w:rPr>
                <w:rFonts w:ascii="宋体" w:hAnsi="宋体"/>
                <w:szCs w:val="21"/>
              </w:rPr>
            </w:pPr>
            <w:r>
              <w:rPr>
                <w:rFonts w:hint="eastAsia" w:ascii="宋体" w:hAnsi="宋体"/>
                <w:szCs w:val="21"/>
              </w:rPr>
              <w:t>0.004%</w:t>
            </w:r>
          </w:p>
        </w:tc>
      </w:tr>
    </w:tbl>
    <w:p w14:paraId="43A705C5">
      <w:pPr>
        <w:pStyle w:val="26"/>
        <w:spacing w:line="360" w:lineRule="exact"/>
        <w:ind w:firstLine="435"/>
      </w:pPr>
    </w:p>
    <w:p w14:paraId="0E0DA22A">
      <w:pPr>
        <w:pStyle w:val="26"/>
        <w:spacing w:line="360" w:lineRule="exact"/>
        <w:ind w:firstLine="435"/>
      </w:pPr>
    </w:p>
    <w:p w14:paraId="029F8447">
      <w:pPr>
        <w:pStyle w:val="26"/>
        <w:spacing w:line="360" w:lineRule="exact"/>
        <w:ind w:firstLine="435"/>
      </w:pPr>
    </w:p>
    <w:p w14:paraId="0D9CE2AB">
      <w:pPr>
        <w:pStyle w:val="26"/>
        <w:spacing w:line="360" w:lineRule="exact"/>
        <w:ind w:firstLine="435"/>
      </w:pPr>
    </w:p>
    <w:p w14:paraId="5561D2E9">
      <w:pPr>
        <w:pStyle w:val="26"/>
        <w:spacing w:line="360" w:lineRule="exact"/>
        <w:ind w:firstLine="435"/>
      </w:pPr>
    </w:p>
    <w:p w14:paraId="09A67361">
      <w:pPr>
        <w:pStyle w:val="26"/>
        <w:spacing w:line="360" w:lineRule="exact"/>
        <w:ind w:firstLine="435"/>
      </w:pPr>
    </w:p>
    <w:p w14:paraId="15626463">
      <w:pPr>
        <w:pStyle w:val="26"/>
        <w:spacing w:line="360" w:lineRule="exact"/>
        <w:ind w:firstLine="435"/>
      </w:pPr>
    </w:p>
    <w:p w14:paraId="0D07910A">
      <w:pPr>
        <w:pStyle w:val="26"/>
        <w:spacing w:line="360" w:lineRule="exact"/>
        <w:ind w:firstLine="435"/>
      </w:pPr>
      <w:r>
        <w:rPr>
          <w:rFonts w:hint="eastAsia"/>
        </w:rPr>
        <w:t>注</w:t>
      </w:r>
    </w:p>
    <w:p w14:paraId="68A0176B">
      <w:pPr>
        <w:pStyle w:val="26"/>
        <w:spacing w:line="360" w:lineRule="exact"/>
        <w:ind w:firstLine="435"/>
      </w:pPr>
    </w:p>
    <w:p w14:paraId="3782C70D">
      <w:pPr>
        <w:pStyle w:val="26"/>
        <w:spacing w:line="360" w:lineRule="exact"/>
        <w:ind w:firstLine="435"/>
      </w:pPr>
    </w:p>
    <w:p w14:paraId="2614A766">
      <w:pPr>
        <w:pStyle w:val="26"/>
        <w:spacing w:line="360" w:lineRule="exact"/>
        <w:ind w:firstLine="435"/>
      </w:pPr>
    </w:p>
    <w:p w14:paraId="6C4BDE3F">
      <w:pPr>
        <w:pStyle w:val="26"/>
        <w:spacing w:line="360" w:lineRule="exact"/>
        <w:ind w:firstLine="435"/>
      </w:pPr>
    </w:p>
    <w:p w14:paraId="1CF61FA6">
      <w:pPr>
        <w:pStyle w:val="26"/>
        <w:spacing w:line="360" w:lineRule="exact"/>
        <w:ind w:firstLine="435"/>
      </w:pPr>
    </w:p>
    <w:p w14:paraId="4F69C377">
      <w:pPr>
        <w:pStyle w:val="26"/>
        <w:spacing w:line="360" w:lineRule="exact"/>
        <w:ind w:firstLine="435"/>
      </w:pPr>
      <w:r>
        <w:rPr>
          <w:rFonts w:hint="eastAsia"/>
        </w:rPr>
        <w:t>注:代理服务收费按差额定率累进法计算。</w:t>
      </w:r>
    </w:p>
    <w:p w14:paraId="5164A51C">
      <w:pPr>
        <w:pStyle w:val="26"/>
        <w:spacing w:line="360" w:lineRule="exact"/>
        <w:ind w:firstLine="435"/>
      </w:pPr>
      <w:r>
        <w:rPr>
          <w:rFonts w:hint="eastAsia"/>
        </w:rPr>
        <w:t>（3）服务费指定银行账户：</w:t>
      </w:r>
    </w:p>
    <w:p w14:paraId="1AAE8CF7">
      <w:pPr>
        <w:pStyle w:val="26"/>
        <w:spacing w:line="360" w:lineRule="exact"/>
        <w:ind w:firstLine="435"/>
      </w:pPr>
      <w:r>
        <w:rPr>
          <w:rFonts w:hint="eastAsia"/>
        </w:rPr>
        <w:t>开户名称：广西国力招标有限公司</w:t>
      </w:r>
    </w:p>
    <w:p w14:paraId="1AC2AF37">
      <w:pPr>
        <w:pStyle w:val="26"/>
        <w:spacing w:line="360" w:lineRule="exact"/>
        <w:ind w:firstLine="435"/>
      </w:pPr>
      <w:r>
        <w:rPr>
          <w:rFonts w:hint="eastAsia"/>
        </w:rPr>
        <w:t>开户银行：广西北部湾银行股份有限公司南宁市白沙支行（网银支付可选广西北部湾银行江南支行）</w:t>
      </w:r>
    </w:p>
    <w:p w14:paraId="0E1E637F">
      <w:pPr>
        <w:pStyle w:val="26"/>
        <w:spacing w:line="360" w:lineRule="exact"/>
        <w:ind w:firstLine="435"/>
      </w:pPr>
      <w:r>
        <w:rPr>
          <w:rFonts w:hint="eastAsia"/>
        </w:rPr>
        <w:t xml:space="preserve">银行账号：800109057400039 </w:t>
      </w:r>
    </w:p>
    <w:p w14:paraId="4CC86536">
      <w:pPr>
        <w:pStyle w:val="26"/>
        <w:spacing w:line="360" w:lineRule="exact"/>
        <w:ind w:firstLine="435"/>
      </w:pPr>
      <w:r>
        <w:rPr>
          <w:rFonts w:hint="eastAsia"/>
        </w:rPr>
        <w:t>银行行号：313611002051</w:t>
      </w:r>
    </w:p>
    <w:p w14:paraId="1A1E201E">
      <w:pPr>
        <w:pStyle w:val="26"/>
        <w:spacing w:line="360" w:lineRule="exact"/>
        <w:ind w:firstLine="435"/>
      </w:pPr>
      <w:r>
        <w:rPr>
          <w:rFonts w:hint="eastAsia"/>
        </w:rPr>
        <w:t>（4）开具代理服务费发票事宜的联系方式：0771-4915100、4915200。</w:t>
      </w:r>
    </w:p>
    <w:p w14:paraId="69882812">
      <w:pPr>
        <w:pStyle w:val="26"/>
        <w:spacing w:line="360" w:lineRule="exact"/>
      </w:pPr>
      <w:r>
        <w:rPr>
          <w:rFonts w:hint="eastAsia"/>
        </w:rPr>
        <w:t xml:space="preserve">    </w:t>
      </w:r>
      <w:r>
        <w:rPr>
          <w:rFonts w:hint="eastAsia"/>
          <w:b/>
        </w:rPr>
        <w:t>（二）解释权：</w:t>
      </w:r>
      <w:r>
        <w:rPr>
          <w:rFonts w:hint="eastAsia"/>
          <w:spacing w:val="-4"/>
        </w:rPr>
        <w:t>本招标文件解释权属本采购代理机构。</w:t>
      </w:r>
    </w:p>
    <w:p w14:paraId="264C9DD1">
      <w:pPr>
        <w:pStyle w:val="26"/>
        <w:spacing w:line="380" w:lineRule="exact"/>
      </w:pPr>
    </w:p>
    <w:p w14:paraId="17961F7A">
      <w:pPr>
        <w:snapToGrid w:val="0"/>
        <w:rPr>
          <w:rFonts w:ascii="宋体" w:hAnsi="宋体"/>
          <w:kern w:val="0"/>
          <w:sz w:val="32"/>
          <w:szCs w:val="32"/>
        </w:rPr>
      </w:pPr>
      <w:r>
        <w:rPr>
          <w:rFonts w:hint="eastAsia" w:ascii="宋体"/>
          <w:kern w:val="0"/>
          <w:sz w:val="20"/>
          <w:szCs w:val="21"/>
        </w:rPr>
        <w:br w:type="page"/>
      </w:r>
      <w:r>
        <w:rPr>
          <w:rFonts w:hint="eastAsia" w:ascii="宋体" w:hAnsi="宋体"/>
          <w:kern w:val="0"/>
          <w:sz w:val="32"/>
          <w:szCs w:val="32"/>
        </w:rPr>
        <w:t>附件1：</w:t>
      </w:r>
    </w:p>
    <w:p w14:paraId="6356B2FF">
      <w:pPr>
        <w:widowControl/>
        <w:shd w:val="clear" w:color="auto" w:fill="FFFFFF"/>
        <w:spacing w:line="720" w:lineRule="auto"/>
        <w:jc w:val="center"/>
        <w:rPr>
          <w:rFonts w:ascii="宋体" w:hAnsi="宋体" w:cs="宋体"/>
          <w:kern w:val="0"/>
          <w:sz w:val="32"/>
          <w:szCs w:val="32"/>
        </w:rPr>
      </w:pPr>
      <w:r>
        <w:rPr>
          <w:rFonts w:hint="eastAsia" w:ascii="宋体" w:hAnsi="宋体" w:cs="黑体"/>
          <w:kern w:val="0"/>
          <w:sz w:val="32"/>
          <w:szCs w:val="32"/>
        </w:rPr>
        <w:t>广西壮族自治区政府采购项目合同验收书</w:t>
      </w:r>
      <w:r>
        <w:rPr>
          <w:rFonts w:hint="eastAsia" w:ascii="宋体" w:hAnsi="宋体" w:cs="宋体"/>
          <w:kern w:val="0"/>
          <w:sz w:val="32"/>
          <w:szCs w:val="32"/>
        </w:rPr>
        <w:t>（格式）</w:t>
      </w:r>
    </w:p>
    <w:p w14:paraId="2CF207B3">
      <w:pPr>
        <w:widowControl/>
        <w:shd w:val="clear" w:color="auto" w:fill="FFFFFF"/>
        <w:snapToGrid w:val="0"/>
        <w:spacing w:line="380" w:lineRule="exact"/>
        <w:jc w:val="left"/>
        <w:rPr>
          <w:rFonts w:ascii="宋体" w:hAnsi="宋体" w:cs="宋体"/>
          <w:kern w:val="0"/>
          <w:szCs w:val="21"/>
        </w:rPr>
      </w:pPr>
      <w:r>
        <w:rPr>
          <w:rFonts w:hint="eastAsia" w:ascii="宋体" w:hAnsi="宋体" w:cs="宋体"/>
          <w:kern w:val="0"/>
          <w:szCs w:val="21"/>
        </w:rPr>
        <w:t xml:space="preserve">    根据政府采购项目（</w:t>
      </w:r>
      <w:r>
        <w:rPr>
          <w:rFonts w:hint="eastAsia" w:ascii="宋体" w:hAnsi="宋体" w:cs="宋体"/>
          <w:kern w:val="0"/>
          <w:szCs w:val="21"/>
          <w:u w:val="single"/>
        </w:rPr>
        <w:t>采购合同编号：</w:t>
      </w:r>
      <w:r>
        <w:rPr>
          <w:rFonts w:hint="eastAsia" w:ascii="宋体" w:hAnsi="宋体" w:cs="宋体"/>
          <w:kern w:val="0"/>
          <w:szCs w:val="21"/>
          <w:u w:val="single"/>
        </w:rPr>
        <w:softHyphen/>
      </w:r>
      <w:r>
        <w:rPr>
          <w:rFonts w:hint="eastAsia" w:ascii="宋体" w:hAnsi="宋体" w:cs="宋体"/>
          <w:kern w:val="0"/>
          <w:szCs w:val="21"/>
          <w:u w:val="single"/>
        </w:rPr>
        <w:t xml:space="preserve"> </w:t>
      </w:r>
      <w:r>
        <w:rPr>
          <w:rFonts w:hint="eastAsia" w:ascii="宋体" w:hAnsi="宋体" w:cs="宋体"/>
          <w:kern w:val="0"/>
          <w:szCs w:val="21"/>
        </w:rPr>
        <w:t>）的约定，我单位对（</w:t>
      </w:r>
      <w:r>
        <w:rPr>
          <w:rFonts w:hint="eastAsia" w:ascii="宋体" w:hAnsi="宋体" w:cs="宋体"/>
          <w:kern w:val="0"/>
          <w:szCs w:val="21"/>
          <w:u w:val="single"/>
        </w:rPr>
        <w:t xml:space="preserve"> 项目名称 </w:t>
      </w:r>
      <w:r>
        <w:rPr>
          <w:rFonts w:hint="eastAsia" w:ascii="宋体" w:hAnsi="宋体" w:cs="宋体"/>
          <w:kern w:val="0"/>
          <w:szCs w:val="21"/>
        </w:rPr>
        <w:t>） 政府采购项目</w:t>
      </w: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rPr>
        <w:t>分标中标（或成交）供应商（</w:t>
      </w:r>
      <w:r>
        <w:rPr>
          <w:rFonts w:hint="eastAsia" w:ascii="宋体" w:hAnsi="宋体" w:cs="宋体"/>
          <w:kern w:val="0"/>
          <w:szCs w:val="21"/>
          <w:u w:val="single"/>
        </w:rPr>
        <w:t xml:space="preserve"> 公司名称 </w:t>
      </w:r>
      <w:r>
        <w:rPr>
          <w:rFonts w:hint="eastAsia" w:ascii="宋体" w:hAnsi="宋体" w:cs="宋体"/>
          <w:kern w:val="0"/>
          <w:szCs w:val="21"/>
        </w:rPr>
        <w:t>） 提供的货物（或工程、服务）进行了验收，验收情况如下：</w:t>
      </w:r>
    </w:p>
    <w:tbl>
      <w:tblPr>
        <w:tblStyle w:val="50"/>
        <w:tblW w:w="0" w:type="auto"/>
        <w:jc w:val="center"/>
        <w:tblLayout w:type="fixed"/>
        <w:tblCellMar>
          <w:top w:w="0" w:type="dxa"/>
          <w:left w:w="0" w:type="dxa"/>
          <w:bottom w:w="0" w:type="dxa"/>
          <w:right w:w="0" w:type="dxa"/>
        </w:tblCellMar>
      </w:tblPr>
      <w:tblGrid>
        <w:gridCol w:w="1497"/>
        <w:gridCol w:w="2159"/>
        <w:gridCol w:w="897"/>
        <w:gridCol w:w="114"/>
        <w:gridCol w:w="2251"/>
        <w:gridCol w:w="200"/>
        <w:gridCol w:w="770"/>
        <w:gridCol w:w="1606"/>
      </w:tblGrid>
      <w:tr w14:paraId="6E20E94F">
        <w:tblPrEx>
          <w:tblCellMar>
            <w:top w:w="0" w:type="dxa"/>
            <w:left w:w="0" w:type="dxa"/>
            <w:bottom w:w="0" w:type="dxa"/>
            <w:right w:w="0" w:type="dxa"/>
          </w:tblCellMar>
        </w:tblPrEx>
        <w:trPr>
          <w:trHeight w:val="523" w:hRule="atLeast"/>
          <w:jc w:val="center"/>
        </w:trPr>
        <w:tc>
          <w:tcPr>
            <w:tcW w:w="3656" w:type="dxa"/>
            <w:gridSpan w:val="2"/>
            <w:tcBorders>
              <w:top w:val="single" w:color="auto" w:sz="8" w:space="0"/>
              <w:left w:val="single" w:color="auto" w:sz="8" w:space="0"/>
              <w:bottom w:val="single" w:color="auto" w:sz="8" w:space="0"/>
              <w:right w:val="single" w:color="auto" w:sz="8" w:space="0"/>
            </w:tcBorders>
            <w:vAlign w:val="center"/>
          </w:tcPr>
          <w:p w14:paraId="703916F2">
            <w:pPr>
              <w:widowControl/>
              <w:snapToGrid w:val="0"/>
              <w:spacing w:before="100" w:beforeAutospacing="1" w:after="100" w:afterAutospacing="1" w:line="320" w:lineRule="atLeast"/>
              <w:ind w:firstLine="5"/>
              <w:jc w:val="center"/>
              <w:rPr>
                <w:rFonts w:ascii="宋体" w:hAnsi="宋体" w:cs="宋体"/>
                <w:kern w:val="0"/>
                <w:szCs w:val="21"/>
              </w:rPr>
            </w:pPr>
            <w:r>
              <w:rPr>
                <w:rFonts w:ascii="宋体" w:hAnsi="宋体" w:cs="宋体"/>
                <w:kern w:val="0"/>
                <w:szCs w:val="21"/>
              </w:rPr>
              <w:t>验收方式：</w:t>
            </w:r>
          </w:p>
        </w:tc>
        <w:tc>
          <w:tcPr>
            <w:tcW w:w="5838" w:type="dxa"/>
            <w:gridSpan w:val="6"/>
            <w:tcBorders>
              <w:top w:val="single" w:color="auto" w:sz="8" w:space="0"/>
              <w:left w:val="nil"/>
              <w:bottom w:val="single" w:color="auto" w:sz="8" w:space="0"/>
              <w:right w:val="single" w:color="auto" w:sz="8" w:space="0"/>
            </w:tcBorders>
            <w:vAlign w:val="center"/>
          </w:tcPr>
          <w:p w14:paraId="3A5F4D22">
            <w:pPr>
              <w:widowControl/>
              <w:snapToGrid w:val="0"/>
              <w:spacing w:before="100" w:beforeAutospacing="1" w:after="100" w:afterAutospacing="1" w:line="320" w:lineRule="atLeast"/>
              <w:ind w:firstLine="480"/>
              <w:jc w:val="center"/>
              <w:rPr>
                <w:rFonts w:ascii="宋体" w:hAnsi="宋体" w:cs="宋体"/>
                <w:kern w:val="0"/>
                <w:szCs w:val="21"/>
              </w:rPr>
            </w:pPr>
            <w:r>
              <w:rPr>
                <w:rFonts w:ascii="宋体" w:hAnsi="宋体" w:cs="宋体"/>
                <w:kern w:val="0"/>
                <w:szCs w:val="21"/>
              </w:rPr>
              <w:t>□自行验收 □委托验收</w:t>
            </w:r>
          </w:p>
        </w:tc>
      </w:tr>
      <w:tr w14:paraId="58D166AB">
        <w:tblPrEx>
          <w:tblCellMar>
            <w:top w:w="0" w:type="dxa"/>
            <w:left w:w="0" w:type="dxa"/>
            <w:bottom w:w="0" w:type="dxa"/>
            <w:right w:w="0" w:type="dxa"/>
          </w:tblCellMar>
        </w:tblPrEx>
        <w:trPr>
          <w:trHeight w:val="654" w:hRule="atLeast"/>
          <w:jc w:val="center"/>
        </w:trPr>
        <w:tc>
          <w:tcPr>
            <w:tcW w:w="1497" w:type="dxa"/>
            <w:tcBorders>
              <w:top w:val="nil"/>
              <w:left w:val="single" w:color="auto" w:sz="8" w:space="0"/>
              <w:bottom w:val="single" w:color="auto" w:sz="8" w:space="0"/>
              <w:right w:val="single" w:color="auto" w:sz="8" w:space="0"/>
            </w:tcBorders>
            <w:vAlign w:val="center"/>
          </w:tcPr>
          <w:p w14:paraId="267F86CA">
            <w:pPr>
              <w:widowControl/>
              <w:snapToGrid w:val="0"/>
              <w:spacing w:before="100" w:beforeAutospacing="1" w:after="100" w:afterAutospacing="1" w:line="320" w:lineRule="atLeast"/>
              <w:ind w:firstLine="2"/>
              <w:jc w:val="center"/>
              <w:rPr>
                <w:rFonts w:ascii="宋体" w:hAnsi="宋体" w:cs="宋体"/>
                <w:kern w:val="0"/>
                <w:szCs w:val="21"/>
              </w:rPr>
            </w:pPr>
            <w:r>
              <w:rPr>
                <w:rFonts w:ascii="宋体" w:hAnsi="宋体" w:cs="宋体"/>
                <w:kern w:val="0"/>
                <w:szCs w:val="21"/>
              </w:rPr>
              <w:t>序号</w:t>
            </w:r>
          </w:p>
        </w:tc>
        <w:tc>
          <w:tcPr>
            <w:tcW w:w="2159" w:type="dxa"/>
            <w:tcBorders>
              <w:top w:val="nil"/>
              <w:left w:val="nil"/>
              <w:bottom w:val="single" w:color="auto" w:sz="8" w:space="0"/>
              <w:right w:val="single" w:color="auto" w:sz="8" w:space="0"/>
            </w:tcBorders>
            <w:vAlign w:val="center"/>
          </w:tcPr>
          <w:p w14:paraId="52B151C6">
            <w:pPr>
              <w:widowControl/>
              <w:snapToGrid w:val="0"/>
              <w:spacing w:before="100" w:beforeAutospacing="1" w:after="100" w:afterAutospacing="1" w:line="320" w:lineRule="atLeast"/>
              <w:ind w:firstLine="2"/>
              <w:jc w:val="center"/>
              <w:rPr>
                <w:rFonts w:ascii="宋体" w:hAnsi="宋体" w:cs="宋体"/>
                <w:kern w:val="0"/>
                <w:szCs w:val="21"/>
              </w:rPr>
            </w:pPr>
            <w:r>
              <w:rPr>
                <w:rFonts w:ascii="宋体" w:hAnsi="宋体" w:cs="宋体"/>
                <w:kern w:val="0"/>
                <w:szCs w:val="21"/>
              </w:rPr>
              <w:t>名 称</w:t>
            </w:r>
          </w:p>
        </w:tc>
        <w:tc>
          <w:tcPr>
            <w:tcW w:w="3262" w:type="dxa"/>
            <w:gridSpan w:val="3"/>
            <w:tcBorders>
              <w:top w:val="nil"/>
              <w:left w:val="nil"/>
              <w:bottom w:val="single" w:color="auto" w:sz="8" w:space="0"/>
              <w:right w:val="single" w:color="auto" w:sz="8" w:space="0"/>
            </w:tcBorders>
            <w:vAlign w:val="center"/>
          </w:tcPr>
          <w:p w14:paraId="3EBEE73F">
            <w:pPr>
              <w:widowControl/>
              <w:snapToGrid w:val="0"/>
              <w:spacing w:before="100" w:beforeAutospacing="1" w:after="100" w:afterAutospacing="1" w:line="320" w:lineRule="atLeast"/>
              <w:ind w:firstLine="2"/>
              <w:jc w:val="center"/>
              <w:rPr>
                <w:rFonts w:ascii="宋体" w:hAnsi="宋体" w:cs="宋体"/>
                <w:kern w:val="0"/>
                <w:szCs w:val="21"/>
              </w:rPr>
            </w:pPr>
            <w:r>
              <w:rPr>
                <w:rFonts w:ascii="宋体" w:hAnsi="宋体" w:cs="宋体"/>
                <w:kern w:val="0"/>
                <w:szCs w:val="21"/>
              </w:rPr>
              <w:t>货物型号规格、标准及配置等（或服务内容、标准）</w:t>
            </w:r>
          </w:p>
        </w:tc>
        <w:tc>
          <w:tcPr>
            <w:tcW w:w="970" w:type="dxa"/>
            <w:gridSpan w:val="2"/>
            <w:tcBorders>
              <w:top w:val="nil"/>
              <w:left w:val="nil"/>
              <w:bottom w:val="single" w:color="auto" w:sz="8" w:space="0"/>
              <w:right w:val="single" w:color="auto" w:sz="8" w:space="0"/>
            </w:tcBorders>
            <w:vAlign w:val="center"/>
          </w:tcPr>
          <w:p w14:paraId="16D0148B">
            <w:pPr>
              <w:widowControl/>
              <w:snapToGrid w:val="0"/>
              <w:spacing w:before="100" w:beforeAutospacing="1" w:after="100" w:afterAutospacing="1" w:line="320" w:lineRule="atLeast"/>
              <w:jc w:val="center"/>
              <w:rPr>
                <w:rFonts w:ascii="宋体" w:hAnsi="宋体" w:cs="宋体"/>
                <w:kern w:val="0"/>
                <w:szCs w:val="21"/>
              </w:rPr>
            </w:pPr>
            <w:r>
              <w:rPr>
                <w:rFonts w:ascii="宋体" w:hAnsi="宋体" w:cs="宋体"/>
                <w:kern w:val="0"/>
                <w:szCs w:val="21"/>
              </w:rPr>
              <w:t>数量</w:t>
            </w:r>
          </w:p>
        </w:tc>
        <w:tc>
          <w:tcPr>
            <w:tcW w:w="1606" w:type="dxa"/>
            <w:tcBorders>
              <w:top w:val="nil"/>
              <w:left w:val="nil"/>
              <w:bottom w:val="single" w:color="auto" w:sz="8" w:space="0"/>
              <w:right w:val="single" w:color="auto" w:sz="8" w:space="0"/>
            </w:tcBorders>
            <w:vAlign w:val="center"/>
          </w:tcPr>
          <w:p w14:paraId="149819C1">
            <w:pPr>
              <w:widowControl/>
              <w:snapToGrid w:val="0"/>
              <w:spacing w:before="100" w:beforeAutospacing="1" w:after="100" w:afterAutospacing="1" w:line="320" w:lineRule="atLeast"/>
              <w:ind w:firstLine="2"/>
              <w:jc w:val="center"/>
              <w:rPr>
                <w:rFonts w:ascii="宋体" w:hAnsi="宋体" w:cs="宋体"/>
                <w:kern w:val="0"/>
                <w:szCs w:val="21"/>
              </w:rPr>
            </w:pPr>
            <w:r>
              <w:rPr>
                <w:rFonts w:ascii="宋体" w:hAnsi="宋体" w:cs="宋体"/>
                <w:kern w:val="0"/>
                <w:szCs w:val="21"/>
              </w:rPr>
              <w:t>金 额</w:t>
            </w:r>
          </w:p>
        </w:tc>
      </w:tr>
      <w:tr w14:paraId="50DCECFC">
        <w:tblPrEx>
          <w:tblCellMar>
            <w:top w:w="0" w:type="dxa"/>
            <w:left w:w="0" w:type="dxa"/>
            <w:bottom w:w="0" w:type="dxa"/>
            <w:right w:w="0" w:type="dxa"/>
          </w:tblCellMar>
        </w:tblPrEx>
        <w:trPr>
          <w:trHeight w:val="513" w:hRule="atLeast"/>
          <w:jc w:val="center"/>
        </w:trPr>
        <w:tc>
          <w:tcPr>
            <w:tcW w:w="1497" w:type="dxa"/>
            <w:tcBorders>
              <w:top w:val="nil"/>
              <w:left w:val="single" w:color="auto" w:sz="8" w:space="0"/>
              <w:bottom w:val="single" w:color="auto" w:sz="8" w:space="0"/>
              <w:right w:val="single" w:color="auto" w:sz="8" w:space="0"/>
            </w:tcBorders>
            <w:vAlign w:val="center"/>
          </w:tcPr>
          <w:p w14:paraId="0D04D8DD">
            <w:pPr>
              <w:widowControl/>
              <w:spacing w:before="100" w:beforeAutospacing="1" w:after="100" w:afterAutospacing="1" w:line="240" w:lineRule="atLeast"/>
              <w:jc w:val="center"/>
              <w:rPr>
                <w:rFonts w:ascii="宋体" w:hAnsi="宋体" w:cs="宋体"/>
                <w:kern w:val="0"/>
                <w:szCs w:val="21"/>
              </w:rPr>
            </w:pPr>
          </w:p>
        </w:tc>
        <w:tc>
          <w:tcPr>
            <w:tcW w:w="2159" w:type="dxa"/>
            <w:tcBorders>
              <w:top w:val="nil"/>
              <w:left w:val="nil"/>
              <w:bottom w:val="single" w:color="auto" w:sz="8" w:space="0"/>
              <w:right w:val="single" w:color="auto" w:sz="8" w:space="0"/>
            </w:tcBorders>
            <w:vAlign w:val="center"/>
          </w:tcPr>
          <w:p w14:paraId="36A3B712">
            <w:pPr>
              <w:widowControl/>
              <w:spacing w:before="100" w:beforeAutospacing="1" w:after="100" w:afterAutospacing="1" w:line="240" w:lineRule="atLeast"/>
              <w:jc w:val="center"/>
              <w:rPr>
                <w:rFonts w:ascii="宋体" w:hAnsi="宋体" w:cs="宋体"/>
                <w:kern w:val="0"/>
                <w:szCs w:val="21"/>
              </w:rPr>
            </w:pPr>
          </w:p>
        </w:tc>
        <w:tc>
          <w:tcPr>
            <w:tcW w:w="3262" w:type="dxa"/>
            <w:gridSpan w:val="3"/>
            <w:tcBorders>
              <w:top w:val="nil"/>
              <w:left w:val="nil"/>
              <w:bottom w:val="single" w:color="auto" w:sz="8" w:space="0"/>
              <w:right w:val="single" w:color="auto" w:sz="8" w:space="0"/>
            </w:tcBorders>
            <w:vAlign w:val="center"/>
          </w:tcPr>
          <w:p w14:paraId="27764507">
            <w:pPr>
              <w:widowControl/>
              <w:spacing w:before="100" w:beforeAutospacing="1" w:after="100" w:afterAutospacing="1" w:line="240" w:lineRule="atLeast"/>
              <w:jc w:val="center"/>
              <w:rPr>
                <w:rFonts w:ascii="宋体" w:hAnsi="宋体" w:cs="宋体"/>
                <w:kern w:val="0"/>
                <w:szCs w:val="21"/>
              </w:rPr>
            </w:pPr>
          </w:p>
        </w:tc>
        <w:tc>
          <w:tcPr>
            <w:tcW w:w="970" w:type="dxa"/>
            <w:gridSpan w:val="2"/>
            <w:tcBorders>
              <w:top w:val="nil"/>
              <w:left w:val="nil"/>
              <w:bottom w:val="single" w:color="auto" w:sz="8" w:space="0"/>
              <w:right w:val="single" w:color="auto" w:sz="8" w:space="0"/>
            </w:tcBorders>
            <w:vAlign w:val="center"/>
          </w:tcPr>
          <w:p w14:paraId="3D277311">
            <w:pPr>
              <w:widowControl/>
              <w:spacing w:before="100" w:beforeAutospacing="1" w:after="100" w:afterAutospacing="1" w:line="240" w:lineRule="atLeast"/>
              <w:jc w:val="center"/>
              <w:rPr>
                <w:rFonts w:ascii="宋体" w:hAnsi="宋体" w:cs="宋体"/>
                <w:kern w:val="0"/>
                <w:szCs w:val="21"/>
              </w:rPr>
            </w:pPr>
          </w:p>
        </w:tc>
        <w:tc>
          <w:tcPr>
            <w:tcW w:w="1606" w:type="dxa"/>
            <w:tcBorders>
              <w:top w:val="nil"/>
              <w:left w:val="nil"/>
              <w:bottom w:val="single" w:color="auto" w:sz="8" w:space="0"/>
              <w:right w:val="single" w:color="auto" w:sz="8" w:space="0"/>
            </w:tcBorders>
            <w:vAlign w:val="center"/>
          </w:tcPr>
          <w:p w14:paraId="621C9A25">
            <w:pPr>
              <w:widowControl/>
              <w:spacing w:before="100" w:beforeAutospacing="1" w:after="100" w:afterAutospacing="1" w:line="240" w:lineRule="atLeast"/>
              <w:jc w:val="center"/>
              <w:rPr>
                <w:rFonts w:ascii="宋体" w:hAnsi="宋体" w:cs="宋体"/>
                <w:kern w:val="0"/>
                <w:szCs w:val="21"/>
              </w:rPr>
            </w:pPr>
          </w:p>
        </w:tc>
      </w:tr>
      <w:tr w14:paraId="0AA1448E">
        <w:tblPrEx>
          <w:tblCellMar>
            <w:top w:w="0" w:type="dxa"/>
            <w:left w:w="0" w:type="dxa"/>
            <w:bottom w:w="0" w:type="dxa"/>
            <w:right w:w="0" w:type="dxa"/>
          </w:tblCellMar>
        </w:tblPrEx>
        <w:trPr>
          <w:trHeight w:val="513" w:hRule="atLeast"/>
          <w:jc w:val="center"/>
        </w:trPr>
        <w:tc>
          <w:tcPr>
            <w:tcW w:w="1497" w:type="dxa"/>
            <w:tcBorders>
              <w:top w:val="nil"/>
              <w:left w:val="single" w:color="auto" w:sz="8" w:space="0"/>
              <w:bottom w:val="single" w:color="auto" w:sz="8" w:space="0"/>
              <w:right w:val="single" w:color="auto" w:sz="8" w:space="0"/>
            </w:tcBorders>
            <w:vAlign w:val="center"/>
          </w:tcPr>
          <w:p w14:paraId="61AD81BE">
            <w:pPr>
              <w:widowControl/>
              <w:spacing w:before="100" w:beforeAutospacing="1" w:after="100" w:afterAutospacing="1" w:line="240" w:lineRule="atLeast"/>
              <w:jc w:val="center"/>
              <w:rPr>
                <w:rFonts w:ascii="宋体" w:hAnsi="宋体" w:cs="宋体"/>
                <w:kern w:val="0"/>
                <w:szCs w:val="21"/>
              </w:rPr>
            </w:pPr>
          </w:p>
        </w:tc>
        <w:tc>
          <w:tcPr>
            <w:tcW w:w="2159" w:type="dxa"/>
            <w:tcBorders>
              <w:top w:val="nil"/>
              <w:left w:val="nil"/>
              <w:bottom w:val="single" w:color="auto" w:sz="8" w:space="0"/>
              <w:right w:val="single" w:color="auto" w:sz="8" w:space="0"/>
            </w:tcBorders>
            <w:vAlign w:val="center"/>
          </w:tcPr>
          <w:p w14:paraId="2356A33A">
            <w:pPr>
              <w:widowControl/>
              <w:spacing w:before="100" w:beforeAutospacing="1" w:after="100" w:afterAutospacing="1" w:line="240" w:lineRule="atLeast"/>
              <w:jc w:val="center"/>
              <w:rPr>
                <w:rFonts w:ascii="宋体" w:hAnsi="宋体" w:cs="宋体"/>
                <w:kern w:val="0"/>
                <w:szCs w:val="21"/>
              </w:rPr>
            </w:pPr>
          </w:p>
        </w:tc>
        <w:tc>
          <w:tcPr>
            <w:tcW w:w="3262" w:type="dxa"/>
            <w:gridSpan w:val="3"/>
            <w:tcBorders>
              <w:top w:val="nil"/>
              <w:left w:val="nil"/>
              <w:bottom w:val="single" w:color="auto" w:sz="8" w:space="0"/>
              <w:right w:val="single" w:color="auto" w:sz="8" w:space="0"/>
            </w:tcBorders>
            <w:vAlign w:val="center"/>
          </w:tcPr>
          <w:p w14:paraId="5369DCED">
            <w:pPr>
              <w:widowControl/>
              <w:spacing w:before="100" w:beforeAutospacing="1" w:after="100" w:afterAutospacing="1" w:line="240" w:lineRule="atLeast"/>
              <w:jc w:val="center"/>
              <w:rPr>
                <w:rFonts w:ascii="宋体" w:hAnsi="宋体" w:cs="宋体"/>
                <w:kern w:val="0"/>
                <w:szCs w:val="21"/>
              </w:rPr>
            </w:pPr>
          </w:p>
        </w:tc>
        <w:tc>
          <w:tcPr>
            <w:tcW w:w="970" w:type="dxa"/>
            <w:gridSpan w:val="2"/>
            <w:tcBorders>
              <w:top w:val="nil"/>
              <w:left w:val="nil"/>
              <w:bottom w:val="single" w:color="auto" w:sz="8" w:space="0"/>
              <w:right w:val="single" w:color="auto" w:sz="8" w:space="0"/>
            </w:tcBorders>
            <w:vAlign w:val="center"/>
          </w:tcPr>
          <w:p w14:paraId="0DA2AC15">
            <w:pPr>
              <w:widowControl/>
              <w:spacing w:before="100" w:beforeAutospacing="1" w:after="100" w:afterAutospacing="1" w:line="240" w:lineRule="atLeast"/>
              <w:jc w:val="center"/>
              <w:rPr>
                <w:rFonts w:ascii="宋体" w:hAnsi="宋体" w:cs="宋体"/>
                <w:kern w:val="0"/>
                <w:szCs w:val="21"/>
              </w:rPr>
            </w:pPr>
          </w:p>
        </w:tc>
        <w:tc>
          <w:tcPr>
            <w:tcW w:w="1606" w:type="dxa"/>
            <w:tcBorders>
              <w:top w:val="nil"/>
              <w:left w:val="nil"/>
              <w:bottom w:val="single" w:color="auto" w:sz="8" w:space="0"/>
              <w:right w:val="single" w:color="auto" w:sz="8" w:space="0"/>
            </w:tcBorders>
            <w:vAlign w:val="center"/>
          </w:tcPr>
          <w:p w14:paraId="03EE2FBD">
            <w:pPr>
              <w:widowControl/>
              <w:spacing w:before="100" w:beforeAutospacing="1" w:after="100" w:afterAutospacing="1" w:line="240" w:lineRule="atLeast"/>
              <w:jc w:val="center"/>
              <w:rPr>
                <w:rFonts w:ascii="宋体" w:hAnsi="宋体" w:cs="宋体"/>
                <w:kern w:val="0"/>
                <w:szCs w:val="21"/>
              </w:rPr>
            </w:pPr>
          </w:p>
        </w:tc>
      </w:tr>
      <w:tr w14:paraId="2D9BE5C6">
        <w:tblPrEx>
          <w:tblCellMar>
            <w:top w:w="0" w:type="dxa"/>
            <w:left w:w="0" w:type="dxa"/>
            <w:bottom w:w="0" w:type="dxa"/>
            <w:right w:w="0" w:type="dxa"/>
          </w:tblCellMar>
        </w:tblPrEx>
        <w:trPr>
          <w:trHeight w:val="513" w:hRule="atLeast"/>
          <w:jc w:val="center"/>
        </w:trPr>
        <w:tc>
          <w:tcPr>
            <w:tcW w:w="1497" w:type="dxa"/>
            <w:tcBorders>
              <w:top w:val="nil"/>
              <w:left w:val="single" w:color="auto" w:sz="8" w:space="0"/>
              <w:bottom w:val="single" w:color="auto" w:sz="8" w:space="0"/>
              <w:right w:val="single" w:color="auto" w:sz="8" w:space="0"/>
            </w:tcBorders>
            <w:vAlign w:val="center"/>
          </w:tcPr>
          <w:p w14:paraId="6A12C462">
            <w:pPr>
              <w:widowControl/>
              <w:spacing w:before="100" w:beforeAutospacing="1" w:after="100" w:afterAutospacing="1" w:line="240" w:lineRule="atLeast"/>
              <w:jc w:val="center"/>
              <w:rPr>
                <w:rFonts w:ascii="宋体" w:hAnsi="宋体" w:cs="宋体"/>
                <w:kern w:val="0"/>
                <w:szCs w:val="21"/>
              </w:rPr>
            </w:pPr>
          </w:p>
        </w:tc>
        <w:tc>
          <w:tcPr>
            <w:tcW w:w="2159" w:type="dxa"/>
            <w:tcBorders>
              <w:top w:val="nil"/>
              <w:left w:val="nil"/>
              <w:bottom w:val="single" w:color="auto" w:sz="8" w:space="0"/>
              <w:right w:val="single" w:color="auto" w:sz="8" w:space="0"/>
            </w:tcBorders>
            <w:vAlign w:val="center"/>
          </w:tcPr>
          <w:p w14:paraId="29F34BF7">
            <w:pPr>
              <w:widowControl/>
              <w:spacing w:before="100" w:beforeAutospacing="1" w:after="100" w:afterAutospacing="1" w:line="240" w:lineRule="atLeast"/>
              <w:jc w:val="center"/>
              <w:rPr>
                <w:rFonts w:ascii="宋体" w:hAnsi="宋体" w:cs="宋体"/>
                <w:kern w:val="0"/>
                <w:szCs w:val="21"/>
              </w:rPr>
            </w:pPr>
          </w:p>
        </w:tc>
        <w:tc>
          <w:tcPr>
            <w:tcW w:w="3262" w:type="dxa"/>
            <w:gridSpan w:val="3"/>
            <w:tcBorders>
              <w:top w:val="nil"/>
              <w:left w:val="nil"/>
              <w:bottom w:val="single" w:color="auto" w:sz="8" w:space="0"/>
              <w:right w:val="single" w:color="auto" w:sz="8" w:space="0"/>
            </w:tcBorders>
            <w:vAlign w:val="center"/>
          </w:tcPr>
          <w:p w14:paraId="155C228B">
            <w:pPr>
              <w:widowControl/>
              <w:spacing w:before="100" w:beforeAutospacing="1" w:after="100" w:afterAutospacing="1" w:line="240" w:lineRule="atLeast"/>
              <w:jc w:val="center"/>
              <w:rPr>
                <w:rFonts w:ascii="宋体" w:hAnsi="宋体" w:cs="宋体"/>
                <w:kern w:val="0"/>
                <w:szCs w:val="21"/>
              </w:rPr>
            </w:pPr>
          </w:p>
        </w:tc>
        <w:tc>
          <w:tcPr>
            <w:tcW w:w="970" w:type="dxa"/>
            <w:gridSpan w:val="2"/>
            <w:tcBorders>
              <w:top w:val="nil"/>
              <w:left w:val="nil"/>
              <w:bottom w:val="single" w:color="auto" w:sz="8" w:space="0"/>
              <w:right w:val="single" w:color="auto" w:sz="8" w:space="0"/>
            </w:tcBorders>
            <w:vAlign w:val="center"/>
          </w:tcPr>
          <w:p w14:paraId="25511D7B">
            <w:pPr>
              <w:widowControl/>
              <w:spacing w:before="100" w:beforeAutospacing="1" w:after="100" w:afterAutospacing="1" w:line="240" w:lineRule="atLeast"/>
              <w:jc w:val="center"/>
              <w:rPr>
                <w:rFonts w:ascii="宋体" w:hAnsi="宋体" w:cs="宋体"/>
                <w:kern w:val="0"/>
                <w:szCs w:val="21"/>
              </w:rPr>
            </w:pPr>
          </w:p>
        </w:tc>
        <w:tc>
          <w:tcPr>
            <w:tcW w:w="1606" w:type="dxa"/>
            <w:tcBorders>
              <w:top w:val="nil"/>
              <w:left w:val="nil"/>
              <w:bottom w:val="single" w:color="auto" w:sz="8" w:space="0"/>
              <w:right w:val="single" w:color="auto" w:sz="8" w:space="0"/>
            </w:tcBorders>
            <w:vAlign w:val="center"/>
          </w:tcPr>
          <w:p w14:paraId="418ECF5F">
            <w:pPr>
              <w:widowControl/>
              <w:spacing w:before="100" w:beforeAutospacing="1" w:after="100" w:afterAutospacing="1" w:line="240" w:lineRule="atLeast"/>
              <w:jc w:val="center"/>
              <w:rPr>
                <w:rFonts w:ascii="宋体" w:hAnsi="宋体" w:cs="宋体"/>
                <w:kern w:val="0"/>
                <w:szCs w:val="21"/>
              </w:rPr>
            </w:pPr>
          </w:p>
        </w:tc>
      </w:tr>
      <w:tr w14:paraId="1E6FB1ED">
        <w:tblPrEx>
          <w:tblCellMar>
            <w:top w:w="0" w:type="dxa"/>
            <w:left w:w="0" w:type="dxa"/>
            <w:bottom w:w="0" w:type="dxa"/>
            <w:right w:w="0" w:type="dxa"/>
          </w:tblCellMar>
        </w:tblPrEx>
        <w:trPr>
          <w:trHeight w:val="513" w:hRule="atLeast"/>
          <w:jc w:val="center"/>
        </w:trPr>
        <w:tc>
          <w:tcPr>
            <w:tcW w:w="6918" w:type="dxa"/>
            <w:gridSpan w:val="5"/>
            <w:tcBorders>
              <w:top w:val="nil"/>
              <w:left w:val="single" w:color="auto" w:sz="8" w:space="0"/>
              <w:bottom w:val="single" w:color="auto" w:sz="8" w:space="0"/>
              <w:right w:val="single" w:color="auto" w:sz="8" w:space="0"/>
            </w:tcBorders>
            <w:vAlign w:val="center"/>
          </w:tcPr>
          <w:p w14:paraId="7BB1087A">
            <w:pPr>
              <w:widowControl/>
              <w:snapToGrid w:val="0"/>
              <w:spacing w:before="100" w:beforeAutospacing="1" w:after="100" w:afterAutospacing="1" w:line="320" w:lineRule="atLeast"/>
              <w:ind w:firstLine="5"/>
              <w:jc w:val="center"/>
              <w:rPr>
                <w:rFonts w:ascii="宋体" w:hAnsi="宋体" w:cs="宋体"/>
                <w:kern w:val="0"/>
                <w:szCs w:val="21"/>
              </w:rPr>
            </w:pPr>
            <w:r>
              <w:rPr>
                <w:rFonts w:ascii="宋体" w:hAnsi="宋体" w:cs="宋体"/>
                <w:kern w:val="0"/>
                <w:szCs w:val="21"/>
              </w:rPr>
              <w:t>合 计</w:t>
            </w:r>
          </w:p>
        </w:tc>
        <w:tc>
          <w:tcPr>
            <w:tcW w:w="970" w:type="dxa"/>
            <w:gridSpan w:val="2"/>
            <w:tcBorders>
              <w:top w:val="nil"/>
              <w:left w:val="nil"/>
              <w:bottom w:val="single" w:color="auto" w:sz="8" w:space="0"/>
              <w:right w:val="single" w:color="auto" w:sz="8" w:space="0"/>
            </w:tcBorders>
            <w:vAlign w:val="center"/>
          </w:tcPr>
          <w:p w14:paraId="30557F40">
            <w:pPr>
              <w:widowControl/>
              <w:spacing w:before="100" w:beforeAutospacing="1" w:after="100" w:afterAutospacing="1" w:line="240" w:lineRule="atLeast"/>
              <w:jc w:val="center"/>
              <w:rPr>
                <w:rFonts w:ascii="宋体" w:hAnsi="宋体" w:cs="宋体"/>
                <w:kern w:val="0"/>
                <w:szCs w:val="21"/>
              </w:rPr>
            </w:pPr>
          </w:p>
        </w:tc>
        <w:tc>
          <w:tcPr>
            <w:tcW w:w="1606" w:type="dxa"/>
            <w:tcBorders>
              <w:top w:val="nil"/>
              <w:left w:val="nil"/>
              <w:bottom w:val="single" w:color="auto" w:sz="8" w:space="0"/>
              <w:right w:val="single" w:color="auto" w:sz="8" w:space="0"/>
            </w:tcBorders>
            <w:vAlign w:val="center"/>
          </w:tcPr>
          <w:p w14:paraId="52E5D086">
            <w:pPr>
              <w:widowControl/>
              <w:spacing w:before="100" w:beforeAutospacing="1" w:after="100" w:afterAutospacing="1" w:line="240" w:lineRule="atLeast"/>
              <w:jc w:val="center"/>
              <w:rPr>
                <w:rFonts w:ascii="宋体" w:hAnsi="宋体" w:cs="宋体"/>
                <w:kern w:val="0"/>
                <w:szCs w:val="21"/>
              </w:rPr>
            </w:pPr>
          </w:p>
        </w:tc>
      </w:tr>
      <w:tr w14:paraId="610B3BFF">
        <w:tblPrEx>
          <w:tblCellMar>
            <w:top w:w="0" w:type="dxa"/>
            <w:left w:w="0" w:type="dxa"/>
            <w:bottom w:w="0" w:type="dxa"/>
            <w:right w:w="0" w:type="dxa"/>
          </w:tblCellMar>
        </w:tblPrEx>
        <w:trPr>
          <w:trHeight w:val="674" w:hRule="atLeast"/>
          <w:jc w:val="center"/>
        </w:trPr>
        <w:tc>
          <w:tcPr>
            <w:tcW w:w="9494" w:type="dxa"/>
            <w:gridSpan w:val="8"/>
            <w:tcBorders>
              <w:top w:val="nil"/>
              <w:left w:val="single" w:color="auto" w:sz="8" w:space="0"/>
              <w:bottom w:val="single" w:color="auto" w:sz="8" w:space="0"/>
              <w:right w:val="single" w:color="auto" w:sz="8" w:space="0"/>
            </w:tcBorders>
            <w:vAlign w:val="center"/>
          </w:tcPr>
          <w:p w14:paraId="00FB1C1D">
            <w:pPr>
              <w:widowControl/>
              <w:snapToGrid w:val="0"/>
              <w:spacing w:before="100" w:beforeAutospacing="1" w:after="100" w:afterAutospacing="1" w:line="320" w:lineRule="atLeast"/>
              <w:ind w:firstLine="2"/>
              <w:jc w:val="left"/>
              <w:rPr>
                <w:rFonts w:ascii="宋体" w:hAnsi="宋体" w:cs="宋体"/>
                <w:kern w:val="0"/>
                <w:szCs w:val="21"/>
              </w:rPr>
            </w:pPr>
            <w:r>
              <w:rPr>
                <w:rFonts w:ascii="宋体" w:hAnsi="宋体" w:cs="宋体"/>
                <w:kern w:val="0"/>
                <w:szCs w:val="21"/>
              </w:rPr>
              <w:t>合计大写金额： 仟 佰 拾 万 仟 佰 拾 元</w:t>
            </w:r>
          </w:p>
        </w:tc>
      </w:tr>
      <w:tr w14:paraId="75D4C63E">
        <w:tblPrEx>
          <w:tblCellMar>
            <w:top w:w="0" w:type="dxa"/>
            <w:left w:w="0" w:type="dxa"/>
            <w:bottom w:w="0" w:type="dxa"/>
            <w:right w:w="0" w:type="dxa"/>
          </w:tblCellMar>
        </w:tblPrEx>
        <w:trPr>
          <w:trHeight w:val="674" w:hRule="atLeast"/>
          <w:jc w:val="center"/>
        </w:trPr>
        <w:tc>
          <w:tcPr>
            <w:tcW w:w="1497" w:type="dxa"/>
            <w:tcBorders>
              <w:top w:val="nil"/>
              <w:left w:val="single" w:color="auto" w:sz="8" w:space="0"/>
              <w:bottom w:val="single" w:color="auto" w:sz="8" w:space="0"/>
              <w:right w:val="single" w:color="auto" w:sz="8" w:space="0"/>
            </w:tcBorders>
            <w:vAlign w:val="center"/>
          </w:tcPr>
          <w:p w14:paraId="68F7C75E">
            <w:pPr>
              <w:widowControl/>
              <w:snapToGrid w:val="0"/>
              <w:spacing w:before="100" w:beforeAutospacing="1" w:after="100" w:afterAutospacing="1" w:line="320" w:lineRule="atLeast"/>
              <w:ind w:firstLine="2"/>
              <w:jc w:val="center"/>
              <w:rPr>
                <w:rFonts w:ascii="宋体" w:hAnsi="宋体" w:cs="宋体"/>
                <w:kern w:val="0"/>
                <w:szCs w:val="21"/>
              </w:rPr>
            </w:pPr>
            <w:r>
              <w:rPr>
                <w:rFonts w:ascii="宋体" w:hAnsi="宋体" w:cs="宋体"/>
                <w:kern w:val="0"/>
                <w:szCs w:val="21"/>
              </w:rPr>
              <w:t>实际供货日期</w:t>
            </w:r>
          </w:p>
        </w:tc>
        <w:tc>
          <w:tcPr>
            <w:tcW w:w="3056" w:type="dxa"/>
            <w:gridSpan w:val="2"/>
            <w:tcBorders>
              <w:top w:val="nil"/>
              <w:left w:val="nil"/>
              <w:bottom w:val="single" w:color="auto" w:sz="8" w:space="0"/>
              <w:right w:val="single" w:color="auto" w:sz="8" w:space="0"/>
            </w:tcBorders>
            <w:vAlign w:val="center"/>
          </w:tcPr>
          <w:p w14:paraId="086062F5">
            <w:pPr>
              <w:widowControl/>
              <w:spacing w:before="100" w:beforeAutospacing="1" w:after="100" w:afterAutospacing="1" w:line="240" w:lineRule="atLeast"/>
              <w:jc w:val="center"/>
              <w:rPr>
                <w:rFonts w:ascii="宋体" w:hAnsi="宋体" w:cs="宋体"/>
                <w:kern w:val="0"/>
                <w:szCs w:val="21"/>
              </w:rPr>
            </w:pPr>
          </w:p>
        </w:tc>
        <w:tc>
          <w:tcPr>
            <w:tcW w:w="2565" w:type="dxa"/>
            <w:gridSpan w:val="3"/>
            <w:tcBorders>
              <w:top w:val="nil"/>
              <w:left w:val="nil"/>
              <w:bottom w:val="single" w:color="auto" w:sz="8" w:space="0"/>
              <w:right w:val="single" w:color="auto" w:sz="8" w:space="0"/>
            </w:tcBorders>
            <w:vAlign w:val="center"/>
          </w:tcPr>
          <w:p w14:paraId="7B520128">
            <w:pPr>
              <w:widowControl/>
              <w:snapToGrid w:val="0"/>
              <w:spacing w:before="100" w:beforeAutospacing="1" w:after="100" w:afterAutospacing="1" w:line="320" w:lineRule="atLeast"/>
              <w:ind w:firstLine="46"/>
              <w:jc w:val="center"/>
              <w:rPr>
                <w:rFonts w:ascii="宋体" w:hAnsi="宋体" w:cs="宋体"/>
                <w:kern w:val="0"/>
                <w:szCs w:val="21"/>
              </w:rPr>
            </w:pPr>
            <w:r>
              <w:rPr>
                <w:rFonts w:ascii="宋体" w:hAnsi="宋体" w:cs="宋体"/>
                <w:kern w:val="0"/>
                <w:szCs w:val="21"/>
              </w:rPr>
              <w:t>合同交货验收日期</w:t>
            </w:r>
          </w:p>
        </w:tc>
        <w:tc>
          <w:tcPr>
            <w:tcW w:w="2376" w:type="dxa"/>
            <w:gridSpan w:val="2"/>
            <w:tcBorders>
              <w:top w:val="nil"/>
              <w:left w:val="nil"/>
              <w:bottom w:val="single" w:color="auto" w:sz="8" w:space="0"/>
              <w:right w:val="single" w:color="auto" w:sz="8" w:space="0"/>
            </w:tcBorders>
            <w:vAlign w:val="center"/>
          </w:tcPr>
          <w:p w14:paraId="281EF269">
            <w:pPr>
              <w:widowControl/>
              <w:spacing w:before="100" w:beforeAutospacing="1" w:after="100" w:afterAutospacing="1" w:line="240" w:lineRule="atLeast"/>
              <w:jc w:val="center"/>
              <w:rPr>
                <w:rFonts w:ascii="宋体" w:hAnsi="宋体" w:cs="宋体"/>
                <w:kern w:val="0"/>
                <w:szCs w:val="21"/>
              </w:rPr>
            </w:pPr>
          </w:p>
        </w:tc>
      </w:tr>
      <w:tr w14:paraId="7B710523">
        <w:tblPrEx>
          <w:tblCellMar>
            <w:top w:w="0" w:type="dxa"/>
            <w:left w:w="0" w:type="dxa"/>
            <w:bottom w:w="0" w:type="dxa"/>
            <w:right w:w="0" w:type="dxa"/>
          </w:tblCellMar>
        </w:tblPrEx>
        <w:trPr>
          <w:trHeight w:val="729" w:hRule="atLeast"/>
          <w:jc w:val="center"/>
        </w:trPr>
        <w:tc>
          <w:tcPr>
            <w:tcW w:w="1497" w:type="dxa"/>
            <w:tcBorders>
              <w:top w:val="nil"/>
              <w:left w:val="single" w:color="auto" w:sz="8" w:space="0"/>
              <w:bottom w:val="single" w:color="auto" w:sz="8" w:space="0"/>
              <w:right w:val="single" w:color="auto" w:sz="8" w:space="0"/>
            </w:tcBorders>
            <w:tcMar>
              <w:left w:w="108" w:type="dxa"/>
              <w:right w:w="108" w:type="dxa"/>
            </w:tcMar>
            <w:vAlign w:val="center"/>
          </w:tcPr>
          <w:p w14:paraId="6505E548">
            <w:pPr>
              <w:widowControl/>
              <w:snapToGrid w:val="0"/>
              <w:spacing w:before="100" w:beforeAutospacing="1" w:after="100" w:afterAutospacing="1" w:line="320" w:lineRule="atLeast"/>
              <w:jc w:val="left"/>
              <w:rPr>
                <w:rFonts w:ascii="宋体" w:hAnsi="宋体" w:cs="宋体"/>
                <w:kern w:val="0"/>
                <w:szCs w:val="21"/>
              </w:rPr>
            </w:pPr>
            <w:r>
              <w:rPr>
                <w:rFonts w:ascii="宋体" w:hAnsi="宋体" w:cs="宋体"/>
                <w:kern w:val="0"/>
                <w:szCs w:val="21"/>
              </w:rPr>
              <w:t>验收具体内容</w:t>
            </w:r>
          </w:p>
        </w:tc>
        <w:tc>
          <w:tcPr>
            <w:tcW w:w="7997" w:type="dxa"/>
            <w:gridSpan w:val="7"/>
            <w:tcBorders>
              <w:top w:val="nil"/>
              <w:left w:val="nil"/>
              <w:bottom w:val="single" w:color="auto" w:sz="8" w:space="0"/>
              <w:right w:val="single" w:color="auto" w:sz="8" w:space="0"/>
            </w:tcBorders>
            <w:tcMar>
              <w:left w:w="108" w:type="dxa"/>
              <w:right w:w="108" w:type="dxa"/>
            </w:tcMar>
            <w:vAlign w:val="center"/>
          </w:tcPr>
          <w:p w14:paraId="6045BA4C">
            <w:pPr>
              <w:widowControl/>
              <w:snapToGrid w:val="0"/>
              <w:spacing w:before="100" w:beforeAutospacing="1" w:after="100" w:afterAutospacing="1" w:line="320" w:lineRule="atLeast"/>
              <w:jc w:val="left"/>
              <w:rPr>
                <w:rFonts w:ascii="宋体" w:hAnsi="宋体" w:cs="宋体"/>
                <w:kern w:val="0"/>
                <w:szCs w:val="21"/>
              </w:rPr>
            </w:pPr>
            <w:r>
              <w:rPr>
                <w:rFonts w:ascii="宋体" w:hAnsi="宋体" w:cs="宋体"/>
                <w:kern w:val="0"/>
                <w:szCs w:val="21"/>
              </w:rPr>
              <w:t>（应按采购合同、采购文件、投标响应文件及验收方案等进行验收；并核对中标或者成交供应商在安装调试等方面是否违反合同约定或服务规范要求、提供的质量保证证明材料是否齐全、应有的配件及附件是否达到合同约定等。可附件)</w:t>
            </w:r>
          </w:p>
        </w:tc>
      </w:tr>
      <w:tr w14:paraId="3868E251">
        <w:tblPrEx>
          <w:tblCellMar>
            <w:top w:w="0" w:type="dxa"/>
            <w:left w:w="0" w:type="dxa"/>
            <w:bottom w:w="0" w:type="dxa"/>
            <w:right w:w="0" w:type="dxa"/>
          </w:tblCellMar>
        </w:tblPrEx>
        <w:trPr>
          <w:trHeight w:val="1348" w:hRule="atLeast"/>
          <w:jc w:val="center"/>
        </w:trPr>
        <w:tc>
          <w:tcPr>
            <w:tcW w:w="1497" w:type="dxa"/>
            <w:vMerge w:val="restart"/>
            <w:tcBorders>
              <w:top w:val="nil"/>
              <w:left w:val="single" w:color="auto" w:sz="8" w:space="0"/>
              <w:bottom w:val="single" w:color="auto" w:sz="8" w:space="0"/>
              <w:right w:val="single" w:color="auto" w:sz="8" w:space="0"/>
            </w:tcBorders>
            <w:tcMar>
              <w:left w:w="108" w:type="dxa"/>
              <w:right w:w="108" w:type="dxa"/>
            </w:tcMar>
            <w:vAlign w:val="center"/>
          </w:tcPr>
          <w:p w14:paraId="2FC5293D">
            <w:pPr>
              <w:widowControl/>
              <w:spacing w:before="100" w:beforeAutospacing="1" w:after="100" w:afterAutospacing="1" w:line="320" w:lineRule="atLeast"/>
              <w:jc w:val="left"/>
              <w:rPr>
                <w:rFonts w:ascii="宋体" w:hAnsi="宋体" w:cs="宋体"/>
                <w:kern w:val="0"/>
                <w:szCs w:val="21"/>
              </w:rPr>
            </w:pPr>
            <w:r>
              <w:rPr>
                <w:rFonts w:ascii="宋体" w:hAnsi="宋体" w:cs="宋体"/>
                <w:kern w:val="0"/>
                <w:szCs w:val="21"/>
              </w:rPr>
              <w:t>验收小组意见</w:t>
            </w:r>
          </w:p>
        </w:tc>
        <w:tc>
          <w:tcPr>
            <w:tcW w:w="7997" w:type="dxa"/>
            <w:gridSpan w:val="7"/>
            <w:tcBorders>
              <w:top w:val="nil"/>
              <w:left w:val="nil"/>
              <w:bottom w:val="single" w:color="auto" w:sz="8" w:space="0"/>
              <w:right w:val="single" w:color="auto" w:sz="8" w:space="0"/>
            </w:tcBorders>
            <w:vAlign w:val="center"/>
          </w:tcPr>
          <w:p w14:paraId="2A7AD559">
            <w:pPr>
              <w:widowControl/>
              <w:spacing w:before="100" w:beforeAutospacing="1" w:after="100" w:afterAutospacing="1" w:line="320" w:lineRule="atLeast"/>
              <w:jc w:val="left"/>
              <w:rPr>
                <w:rFonts w:ascii="宋体" w:hAnsi="宋体" w:cs="宋体"/>
                <w:kern w:val="0"/>
                <w:szCs w:val="21"/>
              </w:rPr>
            </w:pPr>
            <w:r>
              <w:rPr>
                <w:rFonts w:ascii="宋体" w:hAnsi="宋体" w:cs="宋体"/>
                <w:kern w:val="0"/>
                <w:szCs w:val="21"/>
              </w:rPr>
              <w:t>验收结论性意见：</w:t>
            </w:r>
          </w:p>
        </w:tc>
      </w:tr>
      <w:tr w14:paraId="64F12086">
        <w:tblPrEx>
          <w:tblCellMar>
            <w:top w:w="0" w:type="dxa"/>
            <w:left w:w="0" w:type="dxa"/>
            <w:bottom w:w="0" w:type="dxa"/>
            <w:right w:w="0" w:type="dxa"/>
          </w:tblCellMar>
        </w:tblPrEx>
        <w:trPr>
          <w:trHeight w:val="639" w:hRule="atLeast"/>
          <w:jc w:val="center"/>
        </w:trPr>
        <w:tc>
          <w:tcPr>
            <w:tcW w:w="1497" w:type="dxa"/>
            <w:vMerge w:val="continue"/>
            <w:tcBorders>
              <w:top w:val="nil"/>
              <w:left w:val="single" w:color="auto" w:sz="8" w:space="0"/>
              <w:bottom w:val="single" w:color="auto" w:sz="8" w:space="0"/>
              <w:right w:val="single" w:color="auto" w:sz="8" w:space="0"/>
            </w:tcBorders>
            <w:vAlign w:val="center"/>
          </w:tcPr>
          <w:p w14:paraId="6649CA53">
            <w:pPr>
              <w:rPr>
                <w:rFonts w:ascii="宋体" w:hAnsi="宋体"/>
              </w:rPr>
            </w:pPr>
          </w:p>
        </w:tc>
        <w:tc>
          <w:tcPr>
            <w:tcW w:w="7997" w:type="dxa"/>
            <w:gridSpan w:val="7"/>
            <w:tcBorders>
              <w:top w:val="nil"/>
              <w:left w:val="nil"/>
              <w:bottom w:val="single" w:color="auto" w:sz="8" w:space="0"/>
              <w:right w:val="single" w:color="auto" w:sz="8" w:space="0"/>
            </w:tcBorders>
            <w:vAlign w:val="center"/>
          </w:tcPr>
          <w:p w14:paraId="0DE09A19">
            <w:pPr>
              <w:widowControl/>
              <w:spacing w:before="100" w:beforeAutospacing="1" w:after="100" w:afterAutospacing="1" w:line="320" w:lineRule="atLeast"/>
              <w:ind w:firstLine="96"/>
              <w:jc w:val="left"/>
              <w:rPr>
                <w:rFonts w:ascii="宋体" w:hAnsi="宋体" w:cs="宋体"/>
                <w:kern w:val="0"/>
                <w:szCs w:val="21"/>
              </w:rPr>
            </w:pPr>
            <w:r>
              <w:rPr>
                <w:rFonts w:ascii="宋体" w:hAnsi="宋体" w:cs="宋体"/>
                <w:kern w:val="0"/>
                <w:szCs w:val="21"/>
              </w:rPr>
              <w:t>有异议的意见和说明理由：</w:t>
            </w:r>
          </w:p>
          <w:p w14:paraId="529F137C">
            <w:pPr>
              <w:widowControl/>
              <w:spacing w:before="100" w:beforeAutospacing="1" w:after="100" w:afterAutospacing="1" w:line="320" w:lineRule="atLeast"/>
              <w:jc w:val="left"/>
              <w:rPr>
                <w:rFonts w:ascii="宋体" w:hAnsi="宋体" w:cs="宋体"/>
                <w:kern w:val="0"/>
                <w:szCs w:val="21"/>
              </w:rPr>
            </w:pPr>
            <w:r>
              <w:rPr>
                <w:rFonts w:ascii="宋体" w:hAnsi="宋体" w:cs="宋体"/>
                <w:kern w:val="0"/>
                <w:szCs w:val="21"/>
              </w:rPr>
              <w:t>签字：</w:t>
            </w:r>
          </w:p>
        </w:tc>
      </w:tr>
      <w:tr w14:paraId="54F9F1E1">
        <w:tblPrEx>
          <w:tblCellMar>
            <w:top w:w="0" w:type="dxa"/>
            <w:left w:w="0" w:type="dxa"/>
            <w:bottom w:w="0" w:type="dxa"/>
            <w:right w:w="0" w:type="dxa"/>
          </w:tblCellMar>
        </w:tblPrEx>
        <w:trPr>
          <w:trHeight w:val="534" w:hRule="atLeast"/>
          <w:jc w:val="center"/>
        </w:trPr>
        <w:tc>
          <w:tcPr>
            <w:tcW w:w="9494" w:type="dxa"/>
            <w:gridSpan w:val="8"/>
            <w:tcBorders>
              <w:top w:val="nil"/>
              <w:left w:val="single" w:color="auto" w:sz="8" w:space="0"/>
              <w:bottom w:val="single" w:color="auto" w:sz="8" w:space="0"/>
              <w:right w:val="single" w:color="auto" w:sz="8" w:space="0"/>
            </w:tcBorders>
            <w:tcMar>
              <w:left w:w="108" w:type="dxa"/>
              <w:right w:w="108" w:type="dxa"/>
            </w:tcMar>
            <w:vAlign w:val="center"/>
          </w:tcPr>
          <w:p w14:paraId="756ED77F">
            <w:pPr>
              <w:widowControl/>
              <w:spacing w:before="100" w:beforeAutospacing="1" w:after="100" w:afterAutospacing="1" w:line="320" w:lineRule="atLeast"/>
              <w:jc w:val="left"/>
              <w:rPr>
                <w:rFonts w:ascii="宋体" w:hAnsi="宋体" w:cs="宋体"/>
                <w:kern w:val="0"/>
                <w:szCs w:val="21"/>
              </w:rPr>
            </w:pPr>
            <w:r>
              <w:rPr>
                <w:rFonts w:ascii="宋体" w:hAnsi="宋体" w:cs="宋体"/>
                <w:kern w:val="0"/>
                <w:szCs w:val="21"/>
              </w:rPr>
              <w:t>验收小组成员签字：</w:t>
            </w:r>
          </w:p>
        </w:tc>
      </w:tr>
      <w:tr w14:paraId="6962382E">
        <w:tblPrEx>
          <w:tblCellMar>
            <w:top w:w="0" w:type="dxa"/>
            <w:left w:w="0" w:type="dxa"/>
            <w:bottom w:w="0" w:type="dxa"/>
            <w:right w:w="0" w:type="dxa"/>
          </w:tblCellMar>
        </w:tblPrEx>
        <w:trPr>
          <w:trHeight w:val="774" w:hRule="atLeast"/>
          <w:jc w:val="center"/>
        </w:trPr>
        <w:tc>
          <w:tcPr>
            <w:tcW w:w="9494" w:type="dxa"/>
            <w:gridSpan w:val="8"/>
            <w:tcBorders>
              <w:top w:val="nil"/>
              <w:left w:val="single" w:color="auto" w:sz="8" w:space="0"/>
              <w:bottom w:val="single" w:color="auto" w:sz="8" w:space="0"/>
              <w:right w:val="single" w:color="auto" w:sz="8" w:space="0"/>
            </w:tcBorders>
            <w:tcMar>
              <w:left w:w="108" w:type="dxa"/>
              <w:right w:w="108" w:type="dxa"/>
            </w:tcMar>
            <w:vAlign w:val="center"/>
          </w:tcPr>
          <w:p w14:paraId="7A5A0847">
            <w:pPr>
              <w:widowControl/>
              <w:spacing w:before="100" w:beforeAutospacing="1" w:after="100" w:afterAutospacing="1" w:line="320" w:lineRule="atLeast"/>
              <w:jc w:val="left"/>
              <w:rPr>
                <w:rFonts w:ascii="宋体" w:hAnsi="宋体" w:cs="宋体"/>
                <w:kern w:val="0"/>
                <w:szCs w:val="21"/>
              </w:rPr>
            </w:pPr>
            <w:r>
              <w:rPr>
                <w:rFonts w:ascii="宋体" w:hAnsi="宋体" w:cs="宋体"/>
                <w:kern w:val="0"/>
                <w:szCs w:val="21"/>
              </w:rPr>
              <w:t>监督人员或其他相关人员签字：</w:t>
            </w:r>
          </w:p>
          <w:p w14:paraId="70E3E473">
            <w:pPr>
              <w:widowControl/>
              <w:spacing w:before="100" w:beforeAutospacing="1" w:after="100" w:afterAutospacing="1" w:line="320" w:lineRule="atLeast"/>
              <w:ind w:firstLine="74"/>
              <w:jc w:val="left"/>
              <w:rPr>
                <w:rFonts w:ascii="宋体" w:hAnsi="宋体" w:cs="宋体"/>
                <w:kern w:val="0"/>
                <w:szCs w:val="21"/>
              </w:rPr>
            </w:pPr>
            <w:r>
              <w:rPr>
                <w:rFonts w:ascii="宋体" w:hAnsi="宋体" w:cs="宋体"/>
                <w:kern w:val="0"/>
                <w:szCs w:val="21"/>
              </w:rPr>
              <w:t>或受邀机构的意见（盖章）：</w:t>
            </w:r>
          </w:p>
        </w:tc>
      </w:tr>
      <w:tr w14:paraId="0B14BECB">
        <w:tblPrEx>
          <w:tblCellMar>
            <w:top w:w="0" w:type="dxa"/>
            <w:left w:w="0" w:type="dxa"/>
            <w:bottom w:w="0" w:type="dxa"/>
            <w:right w:w="0" w:type="dxa"/>
          </w:tblCellMar>
        </w:tblPrEx>
        <w:trPr>
          <w:trHeight w:val="797" w:hRule="atLeast"/>
          <w:jc w:val="center"/>
        </w:trPr>
        <w:tc>
          <w:tcPr>
            <w:tcW w:w="4667" w:type="dxa"/>
            <w:gridSpan w:val="4"/>
            <w:tcBorders>
              <w:top w:val="nil"/>
              <w:left w:val="single" w:color="auto" w:sz="8" w:space="0"/>
              <w:bottom w:val="single" w:color="auto" w:sz="8" w:space="0"/>
              <w:right w:val="nil"/>
            </w:tcBorders>
            <w:tcMar>
              <w:left w:w="108" w:type="dxa"/>
              <w:right w:w="108" w:type="dxa"/>
            </w:tcMar>
            <w:vAlign w:val="center"/>
          </w:tcPr>
          <w:p w14:paraId="74A54E3A">
            <w:pPr>
              <w:widowControl/>
              <w:spacing w:before="100" w:beforeAutospacing="1" w:after="100" w:afterAutospacing="1" w:line="320" w:lineRule="atLeast"/>
              <w:ind w:firstLine="74"/>
              <w:jc w:val="left"/>
              <w:rPr>
                <w:rFonts w:ascii="宋体" w:hAnsi="宋体" w:cs="宋体"/>
                <w:kern w:val="0"/>
                <w:szCs w:val="21"/>
              </w:rPr>
            </w:pPr>
            <w:r>
              <w:rPr>
                <w:rFonts w:ascii="宋体" w:hAnsi="宋体" w:cs="宋体"/>
                <w:kern w:val="0"/>
                <w:szCs w:val="21"/>
              </w:rPr>
              <w:t>中标或者成交供应商负责人签字或盖章：</w:t>
            </w:r>
          </w:p>
          <w:p w14:paraId="021CF3AC">
            <w:pPr>
              <w:widowControl/>
              <w:spacing w:before="100" w:beforeAutospacing="1" w:after="100" w:afterAutospacing="1" w:line="320" w:lineRule="atLeast"/>
              <w:jc w:val="left"/>
              <w:rPr>
                <w:rFonts w:ascii="宋体" w:hAnsi="宋体" w:cs="宋体"/>
                <w:kern w:val="0"/>
                <w:szCs w:val="21"/>
              </w:rPr>
            </w:pPr>
            <w:r>
              <w:rPr>
                <w:rFonts w:ascii="宋体" w:hAnsi="宋体" w:cs="宋体"/>
                <w:kern w:val="0"/>
                <w:szCs w:val="21"/>
              </w:rPr>
              <w:t>联系电话： 年 月 日</w:t>
            </w:r>
          </w:p>
        </w:tc>
        <w:tc>
          <w:tcPr>
            <w:tcW w:w="4827" w:type="dxa"/>
            <w:gridSpan w:val="4"/>
            <w:tcBorders>
              <w:top w:val="nil"/>
              <w:left w:val="nil"/>
              <w:bottom w:val="single" w:color="auto" w:sz="8" w:space="0"/>
              <w:right w:val="single" w:color="auto" w:sz="8" w:space="0"/>
            </w:tcBorders>
            <w:vAlign w:val="center"/>
          </w:tcPr>
          <w:p w14:paraId="69423049">
            <w:pPr>
              <w:widowControl/>
              <w:spacing w:before="100" w:beforeAutospacing="1" w:after="100" w:afterAutospacing="1" w:line="320" w:lineRule="atLeast"/>
              <w:jc w:val="left"/>
              <w:rPr>
                <w:rFonts w:ascii="宋体" w:hAnsi="宋体" w:cs="宋体"/>
                <w:kern w:val="0"/>
                <w:szCs w:val="21"/>
              </w:rPr>
            </w:pPr>
            <w:r>
              <w:rPr>
                <w:rFonts w:ascii="宋体" w:hAnsi="宋体" w:cs="宋体"/>
                <w:kern w:val="0"/>
                <w:szCs w:val="21"/>
              </w:rPr>
              <w:t>采购人或受托机构的意见（盖章）：</w:t>
            </w:r>
          </w:p>
          <w:p w14:paraId="2414DC5B">
            <w:pPr>
              <w:widowControl/>
              <w:spacing w:before="100" w:beforeAutospacing="1" w:after="100" w:afterAutospacing="1" w:line="320" w:lineRule="atLeast"/>
              <w:jc w:val="left"/>
              <w:rPr>
                <w:rFonts w:ascii="宋体" w:hAnsi="宋体" w:cs="宋体"/>
                <w:kern w:val="0"/>
                <w:szCs w:val="21"/>
              </w:rPr>
            </w:pPr>
            <w:r>
              <w:rPr>
                <w:rFonts w:ascii="宋体" w:hAnsi="宋体" w:cs="宋体"/>
                <w:kern w:val="0"/>
                <w:szCs w:val="21"/>
              </w:rPr>
              <w:t>联系电话： 年 月 日</w:t>
            </w:r>
          </w:p>
        </w:tc>
      </w:tr>
    </w:tbl>
    <w:p w14:paraId="5498B0F9">
      <w:pPr>
        <w:jc w:val="left"/>
        <w:rPr>
          <w:rFonts w:ascii="宋体" w:hAnsi="宋体"/>
        </w:rPr>
      </w:pPr>
    </w:p>
    <w:p w14:paraId="597BE502">
      <w:pPr>
        <w:jc w:val="left"/>
      </w:pPr>
      <w:r>
        <w:rPr>
          <w:rFonts w:ascii="宋体" w:hAnsi="宋体"/>
        </w:rPr>
        <w:br w:type="page"/>
      </w:r>
      <w:r>
        <w:rPr>
          <w:rFonts w:hint="eastAsia" w:ascii="楷体" w:eastAsia="楷体"/>
          <w:kern w:val="0"/>
          <w:sz w:val="32"/>
          <w:szCs w:val="32"/>
        </w:rPr>
        <w:t>附件2：</w:t>
      </w:r>
    </w:p>
    <w:p w14:paraId="759FD533">
      <w:pPr>
        <w:jc w:val="center"/>
        <w:rPr>
          <w:rFonts w:ascii="黑体" w:eastAsia="黑体"/>
          <w:sz w:val="32"/>
          <w:szCs w:val="32"/>
        </w:rPr>
      </w:pPr>
      <w:r>
        <w:rPr>
          <w:rFonts w:hint="eastAsia" w:ascii="黑体" w:eastAsia="黑体"/>
          <w:sz w:val="32"/>
          <w:szCs w:val="32"/>
        </w:rPr>
        <w:t>政府采购项目履约保证金退付意见书</w:t>
      </w:r>
      <w:r>
        <w:rPr>
          <w:rFonts w:hint="eastAsia" w:ascii="仿宋" w:eastAsia="仿宋" w:cs="宋体"/>
          <w:kern w:val="0"/>
          <w:sz w:val="32"/>
          <w:szCs w:val="32"/>
        </w:rPr>
        <w:t>（格式）</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640"/>
      </w:tblGrid>
      <w:tr w14:paraId="0B5D2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1008" w:type="dxa"/>
            <w:vMerge w:val="restart"/>
            <w:vAlign w:val="center"/>
          </w:tcPr>
          <w:p w14:paraId="50020BE8">
            <w:pPr>
              <w:jc w:val="center"/>
              <w:rPr>
                <w:szCs w:val="21"/>
              </w:rPr>
            </w:pPr>
            <w:r>
              <w:rPr>
                <w:rFonts w:hint="eastAsia"/>
                <w:szCs w:val="21"/>
              </w:rPr>
              <w:t>供</w:t>
            </w:r>
          </w:p>
          <w:p w14:paraId="0F57CFCA">
            <w:pPr>
              <w:jc w:val="center"/>
              <w:rPr>
                <w:szCs w:val="21"/>
              </w:rPr>
            </w:pPr>
            <w:r>
              <w:rPr>
                <w:rFonts w:hint="eastAsia"/>
                <w:szCs w:val="21"/>
              </w:rPr>
              <w:t>应</w:t>
            </w:r>
          </w:p>
          <w:p w14:paraId="0F36FC38">
            <w:pPr>
              <w:jc w:val="center"/>
              <w:rPr>
                <w:szCs w:val="21"/>
              </w:rPr>
            </w:pPr>
            <w:r>
              <w:rPr>
                <w:rFonts w:hint="eastAsia"/>
                <w:szCs w:val="21"/>
              </w:rPr>
              <w:t>商</w:t>
            </w:r>
          </w:p>
          <w:p w14:paraId="3D586C17">
            <w:pPr>
              <w:jc w:val="center"/>
              <w:rPr>
                <w:szCs w:val="21"/>
              </w:rPr>
            </w:pPr>
            <w:r>
              <w:rPr>
                <w:rFonts w:hint="eastAsia"/>
                <w:szCs w:val="21"/>
              </w:rPr>
              <w:t>申</w:t>
            </w:r>
          </w:p>
          <w:p w14:paraId="693594CA">
            <w:pPr>
              <w:jc w:val="center"/>
              <w:rPr>
                <w:szCs w:val="21"/>
              </w:rPr>
            </w:pPr>
            <w:r>
              <w:rPr>
                <w:rFonts w:hint="eastAsia"/>
                <w:szCs w:val="21"/>
              </w:rPr>
              <w:t>请</w:t>
            </w:r>
          </w:p>
        </w:tc>
        <w:tc>
          <w:tcPr>
            <w:tcW w:w="8640" w:type="dxa"/>
            <w:vAlign w:val="center"/>
          </w:tcPr>
          <w:p w14:paraId="4278F2A8">
            <w:pPr>
              <w:rPr>
                <w:szCs w:val="21"/>
              </w:rPr>
            </w:pPr>
            <w:r>
              <w:rPr>
                <w:rFonts w:hint="eastAsia"/>
                <w:szCs w:val="21"/>
              </w:rPr>
              <w:t>项目编号：</w:t>
            </w:r>
          </w:p>
        </w:tc>
      </w:tr>
      <w:tr w14:paraId="64C64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1008" w:type="dxa"/>
            <w:vMerge w:val="continue"/>
            <w:vAlign w:val="center"/>
          </w:tcPr>
          <w:p w14:paraId="20CD59C1"/>
        </w:tc>
        <w:tc>
          <w:tcPr>
            <w:tcW w:w="8640" w:type="dxa"/>
            <w:vAlign w:val="center"/>
          </w:tcPr>
          <w:p w14:paraId="50E1145A">
            <w:pPr>
              <w:rPr>
                <w:szCs w:val="21"/>
              </w:rPr>
            </w:pPr>
            <w:r>
              <w:rPr>
                <w:rFonts w:hint="eastAsia"/>
                <w:szCs w:val="21"/>
              </w:rPr>
              <w:t>项目名称：</w:t>
            </w:r>
          </w:p>
        </w:tc>
      </w:tr>
      <w:tr w14:paraId="5B5F8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8" w:type="dxa"/>
            <w:vMerge w:val="continue"/>
          </w:tcPr>
          <w:p w14:paraId="0A241B9E"/>
        </w:tc>
        <w:tc>
          <w:tcPr>
            <w:tcW w:w="8640" w:type="dxa"/>
          </w:tcPr>
          <w:p w14:paraId="330001A9">
            <w:pPr>
              <w:rPr>
                <w:szCs w:val="21"/>
              </w:rPr>
            </w:pPr>
            <w:r>
              <w:rPr>
                <w:rFonts w:hint="eastAsia"/>
                <w:szCs w:val="21"/>
              </w:rPr>
              <w:t xml:space="preserve">  </w:t>
            </w:r>
          </w:p>
          <w:p w14:paraId="7984793C">
            <w:pPr>
              <w:spacing w:line="400" w:lineRule="exact"/>
              <w:ind w:firstLine="420" w:firstLineChars="200"/>
              <w:rPr>
                <w:szCs w:val="21"/>
              </w:rPr>
            </w:pPr>
            <w:r>
              <w:rPr>
                <w:rFonts w:hint="eastAsia"/>
                <w:szCs w:val="21"/>
              </w:rPr>
              <w:t>该项目已于</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日验收并交付使用。根据合同规定，该项目的履约保证金期限于</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日已满，请将履约保证金</w:t>
            </w:r>
          </w:p>
          <w:p w14:paraId="470FE434">
            <w:pPr>
              <w:spacing w:line="400" w:lineRule="exact"/>
              <w:rPr>
                <w:szCs w:val="21"/>
              </w:rPr>
            </w:pPr>
            <w:r>
              <w:rPr>
                <w:rFonts w:hint="eastAsia"/>
                <w:szCs w:val="21"/>
                <w:u w:val="single"/>
              </w:rPr>
              <w:t xml:space="preserve">                                        </w:t>
            </w:r>
            <w:r>
              <w:rPr>
                <w:rFonts w:hint="eastAsia"/>
                <w:szCs w:val="21"/>
              </w:rPr>
              <w:t>（大写）¥</w:t>
            </w:r>
            <w:r>
              <w:rPr>
                <w:rFonts w:hint="eastAsia"/>
                <w:szCs w:val="21"/>
                <w:u w:val="single"/>
              </w:rPr>
              <w:t xml:space="preserve">          </w:t>
            </w:r>
            <w:r>
              <w:rPr>
                <w:rFonts w:hint="eastAsia"/>
                <w:szCs w:val="21"/>
              </w:rPr>
              <w:t>（小写）退付到达以下账户。</w:t>
            </w:r>
          </w:p>
          <w:p w14:paraId="70622A68">
            <w:pPr>
              <w:spacing w:line="400" w:lineRule="exact"/>
              <w:ind w:firstLine="705"/>
              <w:rPr>
                <w:szCs w:val="21"/>
              </w:rPr>
            </w:pPr>
            <w:r>
              <w:rPr>
                <w:rFonts w:hint="eastAsia"/>
                <w:szCs w:val="21"/>
              </w:rPr>
              <w:t>单位名称：</w:t>
            </w:r>
          </w:p>
          <w:p w14:paraId="2B69BBA0">
            <w:pPr>
              <w:spacing w:line="400" w:lineRule="exact"/>
              <w:ind w:firstLine="705"/>
              <w:rPr>
                <w:szCs w:val="21"/>
              </w:rPr>
            </w:pPr>
            <w:r>
              <w:rPr>
                <w:rFonts w:hint="eastAsia"/>
                <w:szCs w:val="21"/>
              </w:rPr>
              <w:t>开户银行：</w:t>
            </w:r>
          </w:p>
          <w:p w14:paraId="77847036">
            <w:pPr>
              <w:spacing w:line="400" w:lineRule="exact"/>
              <w:ind w:firstLine="705"/>
              <w:rPr>
                <w:szCs w:val="21"/>
              </w:rPr>
            </w:pPr>
            <w:r>
              <w:rPr>
                <w:rFonts w:hint="eastAsia"/>
                <w:szCs w:val="21"/>
              </w:rPr>
              <w:t>账   号：</w:t>
            </w:r>
          </w:p>
          <w:p w14:paraId="50EE4084">
            <w:pPr>
              <w:spacing w:line="400" w:lineRule="exact"/>
              <w:rPr>
                <w:szCs w:val="21"/>
              </w:rPr>
            </w:pPr>
            <w:r>
              <w:rPr>
                <w:rFonts w:hint="eastAsia"/>
                <w:szCs w:val="21"/>
              </w:rPr>
              <w:t>联系人及电话：</w:t>
            </w:r>
          </w:p>
          <w:p w14:paraId="6DFE44F4">
            <w:pPr>
              <w:spacing w:line="400" w:lineRule="exact"/>
              <w:rPr>
                <w:szCs w:val="21"/>
              </w:rPr>
            </w:pPr>
          </w:p>
          <w:p w14:paraId="0BD44445">
            <w:pPr>
              <w:spacing w:line="520" w:lineRule="exact"/>
              <w:jc w:val="center"/>
              <w:rPr>
                <w:szCs w:val="21"/>
              </w:rPr>
            </w:pPr>
            <w:r>
              <w:rPr>
                <w:rFonts w:hint="eastAsia"/>
                <w:szCs w:val="21"/>
              </w:rPr>
              <w:t xml:space="preserve">                                     供应商签章：</w:t>
            </w:r>
          </w:p>
          <w:p w14:paraId="28027D73">
            <w:pPr>
              <w:spacing w:line="520" w:lineRule="exact"/>
              <w:jc w:val="center"/>
              <w:rPr>
                <w:szCs w:val="21"/>
              </w:rPr>
            </w:pPr>
            <w:r>
              <w:rPr>
                <w:rFonts w:hint="eastAsia"/>
                <w:szCs w:val="21"/>
              </w:rPr>
              <w:t xml:space="preserve">                           年    月     日</w:t>
            </w:r>
          </w:p>
        </w:tc>
      </w:tr>
      <w:tr w14:paraId="40C3F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1D453DA7">
            <w:pPr>
              <w:jc w:val="center"/>
              <w:rPr>
                <w:szCs w:val="21"/>
              </w:rPr>
            </w:pPr>
            <w:r>
              <w:rPr>
                <w:rFonts w:hint="eastAsia"/>
                <w:szCs w:val="21"/>
              </w:rPr>
              <w:t>采</w:t>
            </w:r>
          </w:p>
          <w:p w14:paraId="2081F404">
            <w:pPr>
              <w:jc w:val="center"/>
              <w:rPr>
                <w:szCs w:val="21"/>
              </w:rPr>
            </w:pPr>
            <w:r>
              <w:rPr>
                <w:rFonts w:hint="eastAsia"/>
                <w:szCs w:val="21"/>
              </w:rPr>
              <w:t>购</w:t>
            </w:r>
          </w:p>
          <w:p w14:paraId="00592FCB">
            <w:pPr>
              <w:jc w:val="center"/>
              <w:rPr>
                <w:szCs w:val="21"/>
              </w:rPr>
            </w:pPr>
            <w:r>
              <w:rPr>
                <w:rFonts w:hint="eastAsia"/>
                <w:szCs w:val="21"/>
              </w:rPr>
              <w:t>单</w:t>
            </w:r>
          </w:p>
          <w:p w14:paraId="042FFA46">
            <w:pPr>
              <w:jc w:val="center"/>
              <w:rPr>
                <w:szCs w:val="21"/>
              </w:rPr>
            </w:pPr>
            <w:r>
              <w:rPr>
                <w:rFonts w:hint="eastAsia"/>
                <w:szCs w:val="21"/>
              </w:rPr>
              <w:t>位</w:t>
            </w:r>
          </w:p>
          <w:p w14:paraId="202B944B">
            <w:pPr>
              <w:jc w:val="center"/>
              <w:rPr>
                <w:szCs w:val="21"/>
              </w:rPr>
            </w:pPr>
            <w:r>
              <w:rPr>
                <w:rFonts w:hint="eastAsia"/>
                <w:szCs w:val="21"/>
              </w:rPr>
              <w:t>意</w:t>
            </w:r>
          </w:p>
          <w:p w14:paraId="64A3C21C">
            <w:pPr>
              <w:jc w:val="center"/>
              <w:rPr>
                <w:szCs w:val="21"/>
              </w:rPr>
            </w:pPr>
            <w:r>
              <w:rPr>
                <w:rFonts w:hint="eastAsia"/>
                <w:szCs w:val="21"/>
              </w:rPr>
              <w:t>见</w:t>
            </w:r>
          </w:p>
        </w:tc>
        <w:tc>
          <w:tcPr>
            <w:tcW w:w="8640" w:type="dxa"/>
          </w:tcPr>
          <w:p w14:paraId="2F4F1C22">
            <w:pPr>
              <w:rPr>
                <w:szCs w:val="21"/>
              </w:rPr>
            </w:pPr>
          </w:p>
          <w:p w14:paraId="74C7CBB0">
            <w:pPr>
              <w:rPr>
                <w:szCs w:val="21"/>
              </w:rPr>
            </w:pPr>
            <w:r>
              <w:rPr>
                <w:rFonts w:hint="eastAsia"/>
                <w:szCs w:val="21"/>
              </w:rPr>
              <w:t>退付意见：是否同意退付履约保证金及退付金额：</w:t>
            </w:r>
          </w:p>
          <w:p w14:paraId="790A1993">
            <w:pPr>
              <w:rPr>
                <w:szCs w:val="21"/>
              </w:rPr>
            </w:pPr>
          </w:p>
          <w:p w14:paraId="3BF86F6C">
            <w:pPr>
              <w:rPr>
                <w:szCs w:val="21"/>
              </w:rPr>
            </w:pPr>
          </w:p>
          <w:p w14:paraId="0F02FF3D">
            <w:pPr>
              <w:spacing w:line="520" w:lineRule="exact"/>
              <w:rPr>
                <w:szCs w:val="21"/>
              </w:rPr>
            </w:pPr>
            <w:r>
              <w:rPr>
                <w:rFonts w:hint="eastAsia"/>
                <w:szCs w:val="21"/>
              </w:rPr>
              <w:t>联系人及电话：                                 采购单位签章</w:t>
            </w:r>
          </w:p>
          <w:p w14:paraId="7C521B5F">
            <w:pPr>
              <w:spacing w:line="520" w:lineRule="exact"/>
              <w:jc w:val="center"/>
              <w:rPr>
                <w:szCs w:val="21"/>
              </w:rPr>
            </w:pPr>
            <w:r>
              <w:rPr>
                <w:rFonts w:hint="eastAsia"/>
                <w:szCs w:val="21"/>
              </w:rPr>
              <w:t xml:space="preserve">                                        年    月     日</w:t>
            </w:r>
          </w:p>
        </w:tc>
      </w:tr>
      <w:tr w14:paraId="41F71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0763DE43">
            <w:pPr>
              <w:jc w:val="center"/>
              <w:rPr>
                <w:szCs w:val="21"/>
              </w:rPr>
            </w:pPr>
            <w:r>
              <w:rPr>
                <w:rFonts w:hint="eastAsia"/>
                <w:szCs w:val="21"/>
              </w:rPr>
              <w:t>财</w:t>
            </w:r>
          </w:p>
          <w:p w14:paraId="16224565">
            <w:pPr>
              <w:jc w:val="center"/>
              <w:rPr>
                <w:szCs w:val="21"/>
              </w:rPr>
            </w:pPr>
            <w:r>
              <w:rPr>
                <w:rFonts w:hint="eastAsia"/>
                <w:szCs w:val="21"/>
              </w:rPr>
              <w:t>务</w:t>
            </w:r>
          </w:p>
          <w:p w14:paraId="5836773B">
            <w:pPr>
              <w:jc w:val="center"/>
              <w:rPr>
                <w:szCs w:val="21"/>
              </w:rPr>
            </w:pPr>
            <w:r>
              <w:rPr>
                <w:rFonts w:hint="eastAsia"/>
                <w:szCs w:val="21"/>
              </w:rPr>
              <w:t>部</w:t>
            </w:r>
          </w:p>
          <w:p w14:paraId="5D82FE96">
            <w:pPr>
              <w:jc w:val="center"/>
              <w:rPr>
                <w:szCs w:val="21"/>
              </w:rPr>
            </w:pPr>
            <w:r>
              <w:rPr>
                <w:rFonts w:hint="eastAsia"/>
                <w:szCs w:val="21"/>
              </w:rPr>
              <w:t>门</w:t>
            </w:r>
          </w:p>
          <w:p w14:paraId="1DCBE8AA">
            <w:pPr>
              <w:jc w:val="center"/>
              <w:rPr>
                <w:szCs w:val="21"/>
              </w:rPr>
            </w:pPr>
            <w:r>
              <w:rPr>
                <w:rFonts w:hint="eastAsia"/>
                <w:szCs w:val="21"/>
              </w:rPr>
              <w:t>意</w:t>
            </w:r>
          </w:p>
          <w:p w14:paraId="31CE27CB">
            <w:pPr>
              <w:jc w:val="center"/>
              <w:rPr>
                <w:szCs w:val="21"/>
              </w:rPr>
            </w:pPr>
            <w:r>
              <w:rPr>
                <w:rFonts w:hint="eastAsia"/>
                <w:szCs w:val="21"/>
              </w:rPr>
              <w:t>见</w:t>
            </w:r>
          </w:p>
        </w:tc>
        <w:tc>
          <w:tcPr>
            <w:tcW w:w="8640" w:type="dxa"/>
          </w:tcPr>
          <w:p w14:paraId="1808D7D0">
            <w:pPr>
              <w:spacing w:line="640" w:lineRule="exact"/>
              <w:rPr>
                <w:szCs w:val="21"/>
              </w:rPr>
            </w:pPr>
            <w:r>
              <w:rPr>
                <w:rFonts w:hint="eastAsia"/>
                <w:szCs w:val="21"/>
              </w:rPr>
              <w:t>此表于</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 月 </w:t>
            </w:r>
            <w:r>
              <w:rPr>
                <w:rFonts w:hint="eastAsia"/>
                <w:szCs w:val="21"/>
                <w:u w:val="single"/>
              </w:rPr>
              <w:t xml:space="preserve">   </w:t>
            </w:r>
            <w:r>
              <w:rPr>
                <w:rFonts w:hint="eastAsia"/>
                <w:szCs w:val="21"/>
              </w:rPr>
              <w:t xml:space="preserve"> 日收到。</w:t>
            </w:r>
          </w:p>
          <w:p w14:paraId="7F51A584">
            <w:pPr>
              <w:spacing w:line="640" w:lineRule="exact"/>
              <w:rPr>
                <w:szCs w:val="21"/>
              </w:rPr>
            </w:pPr>
            <w:r>
              <w:rPr>
                <w:rFonts w:hint="eastAsia"/>
                <w:szCs w:val="21"/>
              </w:rPr>
              <w:t>会计审核：</w:t>
            </w:r>
          </w:p>
          <w:p w14:paraId="27FF918F">
            <w:pPr>
              <w:spacing w:line="640" w:lineRule="exact"/>
              <w:rPr>
                <w:szCs w:val="21"/>
              </w:rPr>
            </w:pPr>
            <w:r>
              <w:rPr>
                <w:rFonts w:hint="eastAsia"/>
                <w:szCs w:val="21"/>
              </w:rPr>
              <w:t>财务负责人审核：</w:t>
            </w:r>
          </w:p>
          <w:p w14:paraId="5737D7C4">
            <w:pPr>
              <w:spacing w:line="640" w:lineRule="exact"/>
              <w:rPr>
                <w:szCs w:val="21"/>
              </w:rPr>
            </w:pPr>
            <w:r>
              <w:rPr>
                <w:rFonts w:hint="eastAsia"/>
                <w:szCs w:val="21"/>
              </w:rPr>
              <w:t>单位负责人签字：</w:t>
            </w:r>
          </w:p>
          <w:p w14:paraId="4210C043">
            <w:pPr>
              <w:spacing w:line="640" w:lineRule="exact"/>
              <w:rPr>
                <w:szCs w:val="21"/>
              </w:rPr>
            </w:pPr>
            <w:r>
              <w:rPr>
                <w:rFonts w:hint="eastAsia"/>
                <w:szCs w:val="21"/>
              </w:rPr>
              <w:t>出纳办理转账日期：</w:t>
            </w:r>
          </w:p>
        </w:tc>
      </w:tr>
    </w:tbl>
    <w:p w14:paraId="784DC64F">
      <w:pPr>
        <w:spacing w:line="380" w:lineRule="exact"/>
        <w:ind w:left="419" w:leftChars="114" w:hanging="180" w:hangingChars="100"/>
      </w:pPr>
      <w:r>
        <w:rPr>
          <w:rFonts w:hint="eastAsia" w:ascii="宋体"/>
          <w:b/>
          <w:bCs/>
          <w:kern w:val="0"/>
          <w:sz w:val="18"/>
        </w:rPr>
        <w:t>注：供应商凭经采购单位审批的退付意见书办理履约保证金退付事宜。</w:t>
      </w:r>
    </w:p>
    <w:p w14:paraId="125635CA">
      <w:pPr>
        <w:jc w:val="left"/>
        <w:rPr>
          <w:rFonts w:ascii="楷体" w:eastAsia="楷体"/>
          <w:kern w:val="0"/>
          <w:sz w:val="32"/>
          <w:szCs w:val="32"/>
        </w:rPr>
      </w:pPr>
      <w:r>
        <w:rPr>
          <w:rFonts w:ascii="宋体" w:hAnsi="宋体"/>
        </w:rPr>
        <w:br w:type="page"/>
      </w:r>
      <w:r>
        <w:rPr>
          <w:rFonts w:hint="eastAsia" w:ascii="楷体" w:eastAsia="楷体"/>
          <w:kern w:val="0"/>
          <w:sz w:val="32"/>
          <w:szCs w:val="32"/>
        </w:rPr>
        <w:t>附件3：</w:t>
      </w:r>
    </w:p>
    <w:p w14:paraId="4682FE68">
      <w:pPr>
        <w:spacing w:line="528" w:lineRule="exact"/>
        <w:ind w:firstLine="2000" w:firstLineChars="500"/>
        <w:rPr>
          <w:rFonts w:ascii="Arial Unicode MS" w:hAnsi="Arial Unicode MS" w:eastAsia="Arial Unicode MS" w:cs="Arial Unicode MS"/>
          <w:sz w:val="40"/>
          <w:szCs w:val="40"/>
        </w:rPr>
      </w:pPr>
      <w:r>
        <w:rPr>
          <w:rFonts w:hint="eastAsia" w:ascii="微软雅黑" w:hAnsi="微软雅黑" w:eastAsia="微软雅黑" w:cs="微软雅黑"/>
          <w:sz w:val="40"/>
          <w:szCs w:val="40"/>
        </w:rPr>
        <w:t>节能产品政府采购品目清单</w:t>
      </w:r>
    </w:p>
    <w:tbl>
      <w:tblPr>
        <w:tblStyle w:val="50"/>
        <w:tblW w:w="9220" w:type="dxa"/>
        <w:tblInd w:w="93" w:type="dxa"/>
        <w:tblLayout w:type="autofit"/>
        <w:tblCellMar>
          <w:top w:w="0" w:type="dxa"/>
          <w:left w:w="108" w:type="dxa"/>
          <w:bottom w:w="0" w:type="dxa"/>
          <w:right w:w="108" w:type="dxa"/>
        </w:tblCellMar>
      </w:tblPr>
      <w:tblGrid>
        <w:gridCol w:w="631"/>
        <w:gridCol w:w="1161"/>
        <w:gridCol w:w="1581"/>
        <w:gridCol w:w="1615"/>
        <w:gridCol w:w="4232"/>
      </w:tblGrid>
      <w:tr w14:paraId="066A6192">
        <w:tblPrEx>
          <w:tblCellMar>
            <w:top w:w="0" w:type="dxa"/>
            <w:left w:w="108" w:type="dxa"/>
            <w:bottom w:w="0" w:type="dxa"/>
            <w:right w:w="108" w:type="dxa"/>
          </w:tblCellMar>
        </w:tblPrEx>
        <w:trPr>
          <w:trHeight w:val="555" w:hRule="atLeast"/>
        </w:trPr>
        <w:tc>
          <w:tcPr>
            <w:tcW w:w="660" w:type="dxa"/>
            <w:tcBorders>
              <w:top w:val="single" w:color="000000" w:sz="8" w:space="0"/>
              <w:left w:val="single" w:color="000000" w:sz="8" w:space="0"/>
              <w:bottom w:val="single" w:color="000000" w:sz="8" w:space="0"/>
              <w:right w:val="single" w:color="000000" w:sz="8" w:space="0"/>
            </w:tcBorders>
          </w:tcPr>
          <w:p w14:paraId="46F356C5">
            <w:pPr>
              <w:widowControl/>
              <w:jc w:val="center"/>
              <w:rPr>
                <w:rFonts w:ascii="宋体" w:hAnsi="宋体" w:cs="宋体"/>
                <w:b/>
                <w:bCs/>
                <w:kern w:val="0"/>
                <w:szCs w:val="21"/>
              </w:rPr>
            </w:pPr>
            <w:r>
              <w:rPr>
                <w:rFonts w:hint="eastAsia" w:ascii="宋体" w:hAnsi="宋体" w:cs="宋体"/>
                <w:b/>
                <w:bCs/>
                <w:kern w:val="0"/>
                <w:szCs w:val="21"/>
              </w:rPr>
              <w:t>品目序号</w:t>
            </w:r>
          </w:p>
        </w:tc>
        <w:tc>
          <w:tcPr>
            <w:tcW w:w="4020" w:type="dxa"/>
            <w:gridSpan w:val="3"/>
            <w:tcBorders>
              <w:top w:val="single" w:color="000000" w:sz="8" w:space="0"/>
              <w:left w:val="nil"/>
              <w:bottom w:val="single" w:color="000000" w:sz="8" w:space="0"/>
              <w:right w:val="single" w:color="000000" w:sz="8" w:space="0"/>
            </w:tcBorders>
            <w:vAlign w:val="center"/>
          </w:tcPr>
          <w:p w14:paraId="1730E0C2">
            <w:pPr>
              <w:widowControl/>
              <w:jc w:val="center"/>
              <w:rPr>
                <w:rFonts w:ascii="宋体" w:hAnsi="宋体" w:cs="宋体"/>
                <w:b/>
                <w:bCs/>
                <w:kern w:val="0"/>
                <w:szCs w:val="21"/>
              </w:rPr>
            </w:pPr>
            <w:r>
              <w:rPr>
                <w:rFonts w:hint="eastAsia" w:ascii="宋体" w:hAnsi="宋体" w:cs="宋体"/>
                <w:b/>
                <w:bCs/>
                <w:kern w:val="0"/>
                <w:szCs w:val="21"/>
              </w:rPr>
              <w:t>名称</w:t>
            </w:r>
          </w:p>
        </w:tc>
        <w:tc>
          <w:tcPr>
            <w:tcW w:w="4540" w:type="dxa"/>
            <w:tcBorders>
              <w:top w:val="single" w:color="000000" w:sz="8" w:space="0"/>
              <w:left w:val="nil"/>
              <w:bottom w:val="single" w:color="000000" w:sz="8" w:space="0"/>
              <w:right w:val="single" w:color="000000" w:sz="8" w:space="0"/>
            </w:tcBorders>
            <w:vAlign w:val="center"/>
          </w:tcPr>
          <w:p w14:paraId="0F5526C5">
            <w:pPr>
              <w:widowControl/>
              <w:jc w:val="center"/>
              <w:rPr>
                <w:rFonts w:ascii="宋体" w:hAnsi="宋体" w:cs="宋体"/>
                <w:b/>
                <w:bCs/>
                <w:kern w:val="0"/>
                <w:szCs w:val="21"/>
              </w:rPr>
            </w:pPr>
            <w:r>
              <w:rPr>
                <w:rFonts w:hint="eastAsia" w:ascii="宋体" w:hAnsi="宋体" w:cs="宋体"/>
                <w:b/>
                <w:bCs/>
                <w:kern w:val="0"/>
                <w:szCs w:val="21"/>
              </w:rPr>
              <w:t>依据的标准</w:t>
            </w:r>
          </w:p>
        </w:tc>
      </w:tr>
      <w:tr w14:paraId="4A44E46A">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14:paraId="4C7B0B01">
            <w:pPr>
              <w:widowControl/>
              <w:jc w:val="center"/>
              <w:rPr>
                <w:rFonts w:ascii="宋体" w:hAnsi="宋体" w:cs="宋体"/>
                <w:kern w:val="0"/>
                <w:szCs w:val="21"/>
              </w:rPr>
            </w:pPr>
            <w:r>
              <w:rPr>
                <w:rFonts w:hint="eastAsia" w:ascii="宋体" w:hAnsi="宋体" w:cs="宋体"/>
                <w:kern w:val="0"/>
                <w:szCs w:val="21"/>
              </w:rPr>
              <w:t>1</w:t>
            </w:r>
          </w:p>
        </w:tc>
        <w:tc>
          <w:tcPr>
            <w:tcW w:w="1080" w:type="dxa"/>
            <w:vMerge w:val="restart"/>
            <w:tcBorders>
              <w:top w:val="nil"/>
              <w:left w:val="single" w:color="000000" w:sz="8" w:space="0"/>
              <w:bottom w:val="single" w:color="000000" w:sz="8" w:space="0"/>
              <w:right w:val="single" w:color="000000" w:sz="8" w:space="0"/>
            </w:tcBorders>
            <w:vAlign w:val="center"/>
          </w:tcPr>
          <w:p w14:paraId="6C67C9F7">
            <w:pPr>
              <w:widowControl/>
              <w:jc w:val="center"/>
              <w:rPr>
                <w:rFonts w:ascii="宋体" w:hAnsi="宋体" w:cs="宋体"/>
                <w:kern w:val="0"/>
                <w:szCs w:val="21"/>
              </w:rPr>
            </w:pPr>
            <w:r>
              <w:rPr>
                <w:rFonts w:hint="eastAsia" w:ascii="宋体" w:hAnsi="宋体" w:cs="宋体"/>
                <w:kern w:val="0"/>
                <w:szCs w:val="21"/>
              </w:rPr>
              <w:t>A020101计算机设备</w:t>
            </w:r>
          </w:p>
        </w:tc>
        <w:tc>
          <w:tcPr>
            <w:tcW w:w="1320" w:type="dxa"/>
            <w:tcBorders>
              <w:top w:val="nil"/>
              <w:left w:val="nil"/>
              <w:bottom w:val="single" w:color="000000" w:sz="8" w:space="0"/>
              <w:right w:val="single" w:color="000000" w:sz="8" w:space="0"/>
            </w:tcBorders>
            <w:vAlign w:val="center"/>
          </w:tcPr>
          <w:p w14:paraId="6EA0408F">
            <w:pPr>
              <w:widowControl/>
              <w:jc w:val="center"/>
              <w:rPr>
                <w:rFonts w:ascii="宋体" w:hAnsi="宋体" w:cs="宋体"/>
                <w:kern w:val="0"/>
                <w:szCs w:val="21"/>
              </w:rPr>
            </w:pPr>
            <w:r>
              <w:rPr>
                <w:rFonts w:hint="eastAsia" w:ascii="宋体" w:hAnsi="宋体" w:cs="宋体"/>
                <w:kern w:val="0"/>
                <w:szCs w:val="21"/>
              </w:rPr>
              <w:t>★A02010104台式计算机</w:t>
            </w:r>
          </w:p>
        </w:tc>
        <w:tc>
          <w:tcPr>
            <w:tcW w:w="1620" w:type="dxa"/>
            <w:tcBorders>
              <w:top w:val="nil"/>
              <w:left w:val="nil"/>
              <w:bottom w:val="single" w:color="000000" w:sz="8" w:space="0"/>
              <w:right w:val="single" w:color="000000" w:sz="8" w:space="0"/>
            </w:tcBorders>
            <w:vAlign w:val="center"/>
          </w:tcPr>
          <w:p w14:paraId="0915D1E6">
            <w:pPr>
              <w:widowControl/>
              <w:jc w:val="center"/>
              <w:rPr>
                <w:rFonts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07EAFD7D">
            <w:pPr>
              <w:widowControl/>
              <w:jc w:val="left"/>
              <w:rPr>
                <w:rFonts w:ascii="宋体" w:hAnsi="宋体" w:cs="宋体"/>
                <w:kern w:val="0"/>
                <w:szCs w:val="21"/>
              </w:rPr>
            </w:pPr>
            <w:r>
              <w:rPr>
                <w:rFonts w:hint="eastAsia" w:ascii="宋体" w:hAnsi="宋体" w:cs="宋体"/>
                <w:kern w:val="0"/>
                <w:szCs w:val="21"/>
              </w:rPr>
              <w:t>《微型计算机能效限定值及能效等级》（GB28380）</w:t>
            </w:r>
          </w:p>
        </w:tc>
      </w:tr>
      <w:tr w14:paraId="258C2679">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05EF1A6D">
            <w:pPr>
              <w:widowControl/>
              <w:jc w:val="left"/>
              <w:rPr>
                <w:rFonts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72EE0D32">
            <w:pPr>
              <w:widowControl/>
              <w:jc w:val="left"/>
              <w:rPr>
                <w:rFonts w:ascii="宋体" w:hAnsi="宋体" w:cs="宋体"/>
                <w:kern w:val="0"/>
                <w:szCs w:val="21"/>
              </w:rPr>
            </w:pPr>
          </w:p>
        </w:tc>
        <w:tc>
          <w:tcPr>
            <w:tcW w:w="1320" w:type="dxa"/>
            <w:tcBorders>
              <w:top w:val="nil"/>
              <w:left w:val="nil"/>
              <w:bottom w:val="single" w:color="000000" w:sz="8" w:space="0"/>
              <w:right w:val="single" w:color="000000" w:sz="8" w:space="0"/>
            </w:tcBorders>
            <w:vAlign w:val="center"/>
          </w:tcPr>
          <w:p w14:paraId="551925D4">
            <w:pPr>
              <w:widowControl/>
              <w:jc w:val="center"/>
              <w:rPr>
                <w:rFonts w:ascii="宋体" w:hAnsi="宋体" w:cs="宋体"/>
                <w:kern w:val="0"/>
                <w:szCs w:val="21"/>
              </w:rPr>
            </w:pPr>
            <w:r>
              <w:rPr>
                <w:rFonts w:hint="eastAsia" w:ascii="宋体" w:hAnsi="宋体" w:cs="宋体"/>
                <w:kern w:val="0"/>
                <w:szCs w:val="21"/>
              </w:rPr>
              <w:t>★A02010105便携式计算机</w:t>
            </w:r>
          </w:p>
        </w:tc>
        <w:tc>
          <w:tcPr>
            <w:tcW w:w="1620" w:type="dxa"/>
            <w:tcBorders>
              <w:top w:val="nil"/>
              <w:left w:val="nil"/>
              <w:bottom w:val="single" w:color="000000" w:sz="8" w:space="0"/>
              <w:right w:val="single" w:color="000000" w:sz="8" w:space="0"/>
            </w:tcBorders>
            <w:vAlign w:val="center"/>
          </w:tcPr>
          <w:p w14:paraId="232BBBA7">
            <w:pPr>
              <w:widowControl/>
              <w:jc w:val="center"/>
              <w:rPr>
                <w:rFonts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41707958">
            <w:pPr>
              <w:widowControl/>
              <w:jc w:val="left"/>
              <w:rPr>
                <w:rFonts w:ascii="宋体" w:hAnsi="宋体" w:cs="宋体"/>
                <w:kern w:val="0"/>
                <w:szCs w:val="21"/>
              </w:rPr>
            </w:pPr>
            <w:r>
              <w:rPr>
                <w:rFonts w:hint="eastAsia" w:ascii="宋体" w:hAnsi="宋体" w:cs="宋体"/>
                <w:kern w:val="0"/>
                <w:szCs w:val="21"/>
              </w:rPr>
              <w:t>《微型计算机能效限定值及能效等级》（GB28380）</w:t>
            </w:r>
          </w:p>
        </w:tc>
      </w:tr>
      <w:tr w14:paraId="0970F538">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504D255D">
            <w:pPr>
              <w:widowControl/>
              <w:jc w:val="left"/>
              <w:rPr>
                <w:rFonts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5CA679BC">
            <w:pPr>
              <w:widowControl/>
              <w:jc w:val="left"/>
              <w:rPr>
                <w:rFonts w:ascii="宋体" w:hAnsi="宋体" w:cs="宋体"/>
                <w:kern w:val="0"/>
                <w:szCs w:val="21"/>
              </w:rPr>
            </w:pPr>
          </w:p>
        </w:tc>
        <w:tc>
          <w:tcPr>
            <w:tcW w:w="1320" w:type="dxa"/>
            <w:tcBorders>
              <w:top w:val="nil"/>
              <w:left w:val="nil"/>
              <w:bottom w:val="single" w:color="000000" w:sz="8" w:space="0"/>
              <w:right w:val="single" w:color="000000" w:sz="8" w:space="0"/>
            </w:tcBorders>
            <w:vAlign w:val="center"/>
          </w:tcPr>
          <w:p w14:paraId="7271D0CD">
            <w:pPr>
              <w:widowControl/>
              <w:jc w:val="center"/>
              <w:rPr>
                <w:rFonts w:ascii="宋体" w:hAnsi="宋体" w:cs="宋体"/>
                <w:kern w:val="0"/>
                <w:szCs w:val="21"/>
              </w:rPr>
            </w:pPr>
            <w:r>
              <w:rPr>
                <w:rFonts w:hint="eastAsia" w:ascii="宋体" w:hAnsi="宋体" w:cs="宋体"/>
                <w:kern w:val="0"/>
                <w:szCs w:val="21"/>
              </w:rPr>
              <w:t>★A02010107平板式微型计算机</w:t>
            </w:r>
          </w:p>
        </w:tc>
        <w:tc>
          <w:tcPr>
            <w:tcW w:w="1620" w:type="dxa"/>
            <w:tcBorders>
              <w:top w:val="nil"/>
              <w:left w:val="nil"/>
              <w:bottom w:val="single" w:color="000000" w:sz="8" w:space="0"/>
              <w:right w:val="single" w:color="000000" w:sz="8" w:space="0"/>
            </w:tcBorders>
            <w:vAlign w:val="center"/>
          </w:tcPr>
          <w:p w14:paraId="36A1295D">
            <w:pPr>
              <w:widowControl/>
              <w:jc w:val="center"/>
              <w:rPr>
                <w:rFonts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463BF7C3">
            <w:pPr>
              <w:widowControl/>
              <w:jc w:val="left"/>
              <w:rPr>
                <w:rFonts w:ascii="宋体" w:hAnsi="宋体" w:cs="宋体"/>
                <w:kern w:val="0"/>
                <w:szCs w:val="21"/>
              </w:rPr>
            </w:pPr>
            <w:r>
              <w:rPr>
                <w:rFonts w:hint="eastAsia" w:ascii="宋体" w:hAnsi="宋体" w:cs="宋体"/>
                <w:kern w:val="0"/>
                <w:szCs w:val="21"/>
              </w:rPr>
              <w:t>《微型计算机能效限定值及能效等级》（GB28380）</w:t>
            </w:r>
          </w:p>
        </w:tc>
      </w:tr>
      <w:tr w14:paraId="22BD168E">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14:paraId="34DBCD8D">
            <w:pPr>
              <w:widowControl/>
              <w:jc w:val="center"/>
              <w:rPr>
                <w:rFonts w:ascii="宋体" w:hAnsi="宋体" w:cs="宋体"/>
                <w:kern w:val="0"/>
                <w:szCs w:val="21"/>
              </w:rPr>
            </w:pPr>
            <w:r>
              <w:rPr>
                <w:rFonts w:hint="eastAsia" w:ascii="宋体" w:hAnsi="宋体" w:cs="宋体"/>
                <w:kern w:val="0"/>
                <w:szCs w:val="21"/>
              </w:rPr>
              <w:t>2</w:t>
            </w:r>
          </w:p>
        </w:tc>
        <w:tc>
          <w:tcPr>
            <w:tcW w:w="1080" w:type="dxa"/>
            <w:vMerge w:val="restart"/>
            <w:tcBorders>
              <w:top w:val="nil"/>
              <w:left w:val="single" w:color="000000" w:sz="8" w:space="0"/>
              <w:bottom w:val="single" w:color="000000" w:sz="8" w:space="0"/>
              <w:right w:val="single" w:color="000000" w:sz="8" w:space="0"/>
            </w:tcBorders>
            <w:vAlign w:val="center"/>
          </w:tcPr>
          <w:p w14:paraId="37FF08C4">
            <w:pPr>
              <w:widowControl/>
              <w:jc w:val="center"/>
              <w:rPr>
                <w:rFonts w:ascii="宋体" w:hAnsi="宋体" w:cs="宋体"/>
                <w:kern w:val="0"/>
                <w:szCs w:val="21"/>
              </w:rPr>
            </w:pPr>
            <w:r>
              <w:rPr>
                <w:rFonts w:hint="eastAsia" w:ascii="宋体" w:hAnsi="宋体" w:cs="宋体"/>
                <w:kern w:val="0"/>
                <w:szCs w:val="21"/>
              </w:rPr>
              <w:t>A020106输入输出设备</w:t>
            </w:r>
          </w:p>
        </w:tc>
        <w:tc>
          <w:tcPr>
            <w:tcW w:w="1320" w:type="dxa"/>
            <w:vMerge w:val="restart"/>
            <w:tcBorders>
              <w:top w:val="nil"/>
              <w:left w:val="single" w:color="000000" w:sz="8" w:space="0"/>
              <w:bottom w:val="single" w:color="000000" w:sz="8" w:space="0"/>
              <w:right w:val="single" w:color="000000" w:sz="8" w:space="0"/>
            </w:tcBorders>
            <w:vAlign w:val="center"/>
          </w:tcPr>
          <w:p w14:paraId="0536D52C">
            <w:pPr>
              <w:widowControl/>
              <w:jc w:val="center"/>
              <w:rPr>
                <w:rFonts w:ascii="宋体" w:hAnsi="宋体" w:cs="宋体"/>
                <w:kern w:val="0"/>
                <w:szCs w:val="21"/>
              </w:rPr>
            </w:pPr>
            <w:r>
              <w:rPr>
                <w:rFonts w:hint="eastAsia" w:ascii="宋体" w:hAnsi="宋体" w:cs="宋体"/>
                <w:kern w:val="0"/>
                <w:szCs w:val="21"/>
              </w:rPr>
              <w:t>A02010601打印设备</w:t>
            </w:r>
          </w:p>
        </w:tc>
        <w:tc>
          <w:tcPr>
            <w:tcW w:w="1620" w:type="dxa"/>
            <w:tcBorders>
              <w:top w:val="nil"/>
              <w:left w:val="nil"/>
              <w:bottom w:val="single" w:color="000000" w:sz="8" w:space="0"/>
              <w:right w:val="single" w:color="000000" w:sz="8" w:space="0"/>
            </w:tcBorders>
            <w:vAlign w:val="center"/>
          </w:tcPr>
          <w:p w14:paraId="4622D301">
            <w:pPr>
              <w:widowControl/>
              <w:jc w:val="center"/>
              <w:rPr>
                <w:rFonts w:ascii="宋体" w:hAnsi="宋体" w:cs="宋体"/>
                <w:kern w:val="0"/>
                <w:szCs w:val="21"/>
              </w:rPr>
            </w:pPr>
            <w:r>
              <w:rPr>
                <w:rFonts w:hint="eastAsia" w:ascii="宋体" w:hAnsi="宋体" w:cs="宋体"/>
                <w:kern w:val="0"/>
                <w:szCs w:val="21"/>
              </w:rPr>
              <w:t>A0201060101喷墨打印机</w:t>
            </w:r>
          </w:p>
        </w:tc>
        <w:tc>
          <w:tcPr>
            <w:tcW w:w="4540" w:type="dxa"/>
            <w:tcBorders>
              <w:top w:val="nil"/>
              <w:left w:val="nil"/>
              <w:bottom w:val="single" w:color="000000" w:sz="8" w:space="0"/>
              <w:right w:val="single" w:color="000000" w:sz="8" w:space="0"/>
            </w:tcBorders>
            <w:vAlign w:val="center"/>
          </w:tcPr>
          <w:p w14:paraId="604E7EDC">
            <w:pPr>
              <w:widowControl/>
              <w:jc w:val="left"/>
              <w:rPr>
                <w:rFonts w:ascii="宋体" w:hAnsi="宋体" w:cs="宋体"/>
                <w:kern w:val="0"/>
                <w:szCs w:val="21"/>
              </w:rPr>
            </w:pPr>
            <w:r>
              <w:rPr>
                <w:rFonts w:hint="eastAsia" w:ascii="宋体" w:hAnsi="宋体" w:cs="宋体"/>
                <w:kern w:val="0"/>
                <w:szCs w:val="21"/>
              </w:rPr>
              <w:t>《复印机、打印机和传真机能效限定值及能效等级》（GB21521）</w:t>
            </w:r>
          </w:p>
        </w:tc>
      </w:tr>
      <w:tr w14:paraId="2355641F">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6233269B">
            <w:pPr>
              <w:widowControl/>
              <w:jc w:val="left"/>
              <w:rPr>
                <w:rFonts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48DD428A">
            <w:pPr>
              <w:widowControl/>
              <w:jc w:val="left"/>
              <w:rPr>
                <w:rFonts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50E1E600">
            <w:pPr>
              <w:widowControl/>
              <w:jc w:val="left"/>
              <w:rPr>
                <w:rFonts w:ascii="宋体" w:hAnsi="宋体" w:cs="宋体"/>
                <w:kern w:val="0"/>
                <w:szCs w:val="21"/>
              </w:rPr>
            </w:pPr>
          </w:p>
        </w:tc>
        <w:tc>
          <w:tcPr>
            <w:tcW w:w="1620" w:type="dxa"/>
            <w:tcBorders>
              <w:top w:val="nil"/>
              <w:left w:val="nil"/>
              <w:bottom w:val="single" w:color="000000" w:sz="8" w:space="0"/>
              <w:right w:val="single" w:color="000000" w:sz="8" w:space="0"/>
            </w:tcBorders>
            <w:vAlign w:val="center"/>
          </w:tcPr>
          <w:p w14:paraId="1B4B8A32">
            <w:pPr>
              <w:widowControl/>
              <w:jc w:val="center"/>
              <w:rPr>
                <w:rFonts w:ascii="宋体" w:hAnsi="宋体" w:cs="宋体"/>
                <w:kern w:val="0"/>
                <w:szCs w:val="21"/>
              </w:rPr>
            </w:pPr>
            <w:r>
              <w:rPr>
                <w:rFonts w:hint="eastAsia" w:ascii="宋体" w:hAnsi="宋体" w:cs="宋体"/>
                <w:kern w:val="0"/>
                <w:szCs w:val="21"/>
              </w:rPr>
              <w:t>★A0201060102激光打印机</w:t>
            </w:r>
          </w:p>
        </w:tc>
        <w:tc>
          <w:tcPr>
            <w:tcW w:w="4540" w:type="dxa"/>
            <w:tcBorders>
              <w:top w:val="nil"/>
              <w:left w:val="nil"/>
              <w:bottom w:val="single" w:color="000000" w:sz="8" w:space="0"/>
              <w:right w:val="single" w:color="000000" w:sz="8" w:space="0"/>
            </w:tcBorders>
            <w:vAlign w:val="center"/>
          </w:tcPr>
          <w:p w14:paraId="378F0DD5">
            <w:pPr>
              <w:widowControl/>
              <w:jc w:val="left"/>
              <w:rPr>
                <w:rFonts w:ascii="宋体" w:hAnsi="宋体" w:cs="宋体"/>
                <w:kern w:val="0"/>
                <w:szCs w:val="21"/>
              </w:rPr>
            </w:pPr>
            <w:r>
              <w:rPr>
                <w:rFonts w:hint="eastAsia" w:ascii="宋体" w:hAnsi="宋体" w:cs="宋体"/>
                <w:kern w:val="0"/>
                <w:szCs w:val="21"/>
              </w:rPr>
              <w:t>《复印机、打印机和传真机能效限定值及能效等级》（GB21521）</w:t>
            </w:r>
          </w:p>
        </w:tc>
      </w:tr>
      <w:tr w14:paraId="645C1C8F">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6E4B5C30">
            <w:pPr>
              <w:widowControl/>
              <w:jc w:val="left"/>
              <w:rPr>
                <w:rFonts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523E8440">
            <w:pPr>
              <w:widowControl/>
              <w:jc w:val="left"/>
              <w:rPr>
                <w:rFonts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1BD8D1EF">
            <w:pPr>
              <w:widowControl/>
              <w:jc w:val="left"/>
              <w:rPr>
                <w:rFonts w:ascii="宋体" w:hAnsi="宋体" w:cs="宋体"/>
                <w:kern w:val="0"/>
                <w:szCs w:val="21"/>
              </w:rPr>
            </w:pPr>
          </w:p>
        </w:tc>
        <w:tc>
          <w:tcPr>
            <w:tcW w:w="1620" w:type="dxa"/>
            <w:tcBorders>
              <w:top w:val="nil"/>
              <w:left w:val="nil"/>
              <w:bottom w:val="single" w:color="000000" w:sz="8" w:space="0"/>
              <w:right w:val="single" w:color="000000" w:sz="8" w:space="0"/>
            </w:tcBorders>
            <w:vAlign w:val="center"/>
          </w:tcPr>
          <w:p w14:paraId="5171F561">
            <w:pPr>
              <w:widowControl/>
              <w:jc w:val="center"/>
              <w:rPr>
                <w:rFonts w:ascii="宋体" w:hAnsi="宋体" w:cs="宋体"/>
                <w:kern w:val="0"/>
                <w:szCs w:val="21"/>
              </w:rPr>
            </w:pPr>
            <w:r>
              <w:rPr>
                <w:rFonts w:hint="eastAsia" w:ascii="宋体" w:hAnsi="宋体" w:cs="宋体"/>
                <w:kern w:val="0"/>
                <w:szCs w:val="21"/>
              </w:rPr>
              <w:t>★A0201060104针式打印机</w:t>
            </w:r>
          </w:p>
        </w:tc>
        <w:tc>
          <w:tcPr>
            <w:tcW w:w="4540" w:type="dxa"/>
            <w:tcBorders>
              <w:top w:val="nil"/>
              <w:left w:val="nil"/>
              <w:bottom w:val="single" w:color="000000" w:sz="8" w:space="0"/>
              <w:right w:val="single" w:color="000000" w:sz="8" w:space="0"/>
            </w:tcBorders>
            <w:vAlign w:val="center"/>
          </w:tcPr>
          <w:p w14:paraId="72A9F1AA">
            <w:pPr>
              <w:widowControl/>
              <w:jc w:val="left"/>
              <w:rPr>
                <w:rFonts w:ascii="宋体" w:hAnsi="宋体" w:cs="宋体"/>
                <w:kern w:val="0"/>
                <w:szCs w:val="21"/>
              </w:rPr>
            </w:pPr>
            <w:r>
              <w:rPr>
                <w:rFonts w:hint="eastAsia" w:ascii="宋体" w:hAnsi="宋体" w:cs="宋体"/>
                <w:kern w:val="0"/>
                <w:szCs w:val="21"/>
              </w:rPr>
              <w:t>《复印机、打印机和传真机能效限定值及能效等级》（GB21521）</w:t>
            </w:r>
          </w:p>
        </w:tc>
      </w:tr>
      <w:tr w14:paraId="12A762DC">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0DA4E307">
            <w:pPr>
              <w:widowControl/>
              <w:jc w:val="left"/>
              <w:rPr>
                <w:rFonts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1E8352FD">
            <w:pPr>
              <w:widowControl/>
              <w:jc w:val="left"/>
              <w:rPr>
                <w:rFonts w:ascii="宋体" w:hAnsi="宋体" w:cs="宋体"/>
                <w:kern w:val="0"/>
                <w:szCs w:val="21"/>
              </w:rPr>
            </w:pPr>
          </w:p>
        </w:tc>
        <w:tc>
          <w:tcPr>
            <w:tcW w:w="1320" w:type="dxa"/>
            <w:tcBorders>
              <w:top w:val="nil"/>
              <w:left w:val="nil"/>
              <w:bottom w:val="single" w:color="000000" w:sz="8" w:space="0"/>
              <w:right w:val="single" w:color="000000" w:sz="8" w:space="0"/>
            </w:tcBorders>
            <w:vAlign w:val="center"/>
          </w:tcPr>
          <w:p w14:paraId="54AA3B26">
            <w:pPr>
              <w:widowControl/>
              <w:jc w:val="center"/>
              <w:rPr>
                <w:rFonts w:ascii="宋体" w:hAnsi="宋体" w:cs="宋体"/>
                <w:kern w:val="0"/>
                <w:szCs w:val="21"/>
              </w:rPr>
            </w:pPr>
            <w:r>
              <w:rPr>
                <w:rFonts w:hint="eastAsia" w:ascii="宋体" w:hAnsi="宋体" w:cs="宋体"/>
                <w:kern w:val="0"/>
                <w:szCs w:val="21"/>
              </w:rPr>
              <w:t>A02010604显示设备</w:t>
            </w:r>
          </w:p>
        </w:tc>
        <w:tc>
          <w:tcPr>
            <w:tcW w:w="1620" w:type="dxa"/>
            <w:tcBorders>
              <w:top w:val="nil"/>
              <w:left w:val="nil"/>
              <w:bottom w:val="single" w:color="000000" w:sz="8" w:space="0"/>
              <w:right w:val="single" w:color="000000" w:sz="8" w:space="0"/>
            </w:tcBorders>
            <w:vAlign w:val="center"/>
          </w:tcPr>
          <w:p w14:paraId="384BF006">
            <w:pPr>
              <w:widowControl/>
              <w:jc w:val="center"/>
              <w:rPr>
                <w:rFonts w:ascii="宋体" w:hAnsi="宋体" w:cs="宋体"/>
                <w:kern w:val="0"/>
                <w:szCs w:val="21"/>
              </w:rPr>
            </w:pPr>
            <w:r>
              <w:rPr>
                <w:rFonts w:hint="eastAsia" w:ascii="宋体" w:hAnsi="宋体" w:cs="宋体"/>
                <w:kern w:val="0"/>
                <w:szCs w:val="21"/>
              </w:rPr>
              <w:t>★A0201060401液晶显示器</w:t>
            </w:r>
          </w:p>
        </w:tc>
        <w:tc>
          <w:tcPr>
            <w:tcW w:w="4540" w:type="dxa"/>
            <w:tcBorders>
              <w:top w:val="nil"/>
              <w:left w:val="nil"/>
              <w:bottom w:val="single" w:color="000000" w:sz="8" w:space="0"/>
              <w:right w:val="single" w:color="000000" w:sz="8" w:space="0"/>
            </w:tcBorders>
            <w:vAlign w:val="center"/>
          </w:tcPr>
          <w:p w14:paraId="44E51A8F">
            <w:pPr>
              <w:widowControl/>
              <w:jc w:val="left"/>
              <w:rPr>
                <w:rFonts w:ascii="宋体" w:hAnsi="宋体" w:cs="宋体"/>
                <w:kern w:val="0"/>
                <w:szCs w:val="21"/>
              </w:rPr>
            </w:pPr>
            <w:r>
              <w:rPr>
                <w:rFonts w:hint="eastAsia" w:ascii="宋体" w:hAnsi="宋体" w:cs="宋体"/>
                <w:kern w:val="0"/>
                <w:szCs w:val="21"/>
              </w:rPr>
              <w:t>《计算机显示器能效限定值及能效等级》（GB21520）</w:t>
            </w:r>
          </w:p>
        </w:tc>
      </w:tr>
      <w:tr w14:paraId="669DD569">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vAlign w:val="center"/>
          </w:tcPr>
          <w:p w14:paraId="33FA167C">
            <w:pPr>
              <w:widowControl/>
              <w:jc w:val="left"/>
              <w:rPr>
                <w:rFonts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48A8CB30">
            <w:pPr>
              <w:widowControl/>
              <w:jc w:val="left"/>
              <w:rPr>
                <w:rFonts w:ascii="宋体" w:hAnsi="宋体" w:cs="宋体"/>
                <w:kern w:val="0"/>
                <w:szCs w:val="21"/>
              </w:rPr>
            </w:pPr>
          </w:p>
        </w:tc>
        <w:tc>
          <w:tcPr>
            <w:tcW w:w="1320" w:type="dxa"/>
            <w:tcBorders>
              <w:top w:val="nil"/>
              <w:left w:val="nil"/>
              <w:bottom w:val="single" w:color="000000" w:sz="8" w:space="0"/>
              <w:right w:val="single" w:color="000000" w:sz="8" w:space="0"/>
            </w:tcBorders>
            <w:vAlign w:val="center"/>
          </w:tcPr>
          <w:p w14:paraId="0D74083C">
            <w:pPr>
              <w:widowControl/>
              <w:jc w:val="center"/>
              <w:rPr>
                <w:rFonts w:ascii="宋体" w:hAnsi="宋体" w:cs="宋体"/>
                <w:kern w:val="0"/>
                <w:szCs w:val="21"/>
              </w:rPr>
            </w:pPr>
            <w:r>
              <w:rPr>
                <w:rFonts w:hint="eastAsia" w:ascii="宋体" w:hAnsi="宋体" w:cs="宋体"/>
                <w:kern w:val="0"/>
                <w:szCs w:val="21"/>
              </w:rPr>
              <w:t>A02010609图形图像输入设备</w:t>
            </w:r>
          </w:p>
        </w:tc>
        <w:tc>
          <w:tcPr>
            <w:tcW w:w="1620" w:type="dxa"/>
            <w:tcBorders>
              <w:top w:val="nil"/>
              <w:left w:val="nil"/>
              <w:bottom w:val="single" w:color="000000" w:sz="8" w:space="0"/>
              <w:right w:val="single" w:color="000000" w:sz="8" w:space="0"/>
            </w:tcBorders>
            <w:vAlign w:val="center"/>
          </w:tcPr>
          <w:p w14:paraId="178D108D">
            <w:pPr>
              <w:widowControl/>
              <w:jc w:val="center"/>
              <w:rPr>
                <w:rFonts w:ascii="宋体" w:hAnsi="宋体" w:cs="宋体"/>
                <w:kern w:val="0"/>
                <w:szCs w:val="21"/>
              </w:rPr>
            </w:pPr>
            <w:r>
              <w:rPr>
                <w:rFonts w:hint="eastAsia" w:ascii="宋体" w:hAnsi="宋体" w:cs="宋体"/>
                <w:kern w:val="0"/>
                <w:szCs w:val="21"/>
              </w:rPr>
              <w:t>A0201060901扫描仪</w:t>
            </w:r>
          </w:p>
        </w:tc>
        <w:tc>
          <w:tcPr>
            <w:tcW w:w="4540" w:type="dxa"/>
            <w:tcBorders>
              <w:top w:val="nil"/>
              <w:left w:val="nil"/>
              <w:bottom w:val="single" w:color="000000" w:sz="8" w:space="0"/>
              <w:right w:val="single" w:color="000000" w:sz="8" w:space="0"/>
            </w:tcBorders>
            <w:vAlign w:val="center"/>
          </w:tcPr>
          <w:p w14:paraId="17AB8F4E">
            <w:pPr>
              <w:widowControl/>
              <w:jc w:val="left"/>
              <w:rPr>
                <w:rFonts w:ascii="宋体" w:hAnsi="宋体" w:cs="宋体"/>
                <w:kern w:val="0"/>
                <w:szCs w:val="21"/>
              </w:rPr>
            </w:pPr>
            <w:r>
              <w:rPr>
                <w:rFonts w:hint="eastAsia" w:ascii="宋体" w:hAnsi="宋体" w:cs="宋体"/>
                <w:kern w:val="0"/>
                <w:szCs w:val="21"/>
              </w:rPr>
              <w:t>参照《复印机、打印机和传真机能效限定值及能效等级》（GB21521中打印速度为15页/分的针式打印机相关要求中打印速度为15页/分的针式打印机相关要求</w:t>
            </w:r>
          </w:p>
        </w:tc>
      </w:tr>
      <w:tr w14:paraId="12432C1A">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65A00379">
            <w:pPr>
              <w:widowControl/>
              <w:jc w:val="center"/>
              <w:rPr>
                <w:rFonts w:ascii="宋体" w:hAnsi="宋体" w:cs="宋体"/>
                <w:kern w:val="0"/>
                <w:szCs w:val="21"/>
              </w:rPr>
            </w:pPr>
            <w:r>
              <w:rPr>
                <w:rFonts w:hint="eastAsia" w:ascii="宋体" w:hAnsi="宋体" w:cs="宋体"/>
                <w:kern w:val="0"/>
                <w:szCs w:val="21"/>
              </w:rPr>
              <w:t>3</w:t>
            </w:r>
          </w:p>
        </w:tc>
        <w:tc>
          <w:tcPr>
            <w:tcW w:w="1080" w:type="dxa"/>
            <w:tcBorders>
              <w:top w:val="nil"/>
              <w:left w:val="nil"/>
              <w:bottom w:val="single" w:color="000000" w:sz="8" w:space="0"/>
              <w:right w:val="single" w:color="000000" w:sz="8" w:space="0"/>
            </w:tcBorders>
            <w:vAlign w:val="center"/>
          </w:tcPr>
          <w:p w14:paraId="64F2EE2A">
            <w:pPr>
              <w:widowControl/>
              <w:jc w:val="center"/>
              <w:rPr>
                <w:rFonts w:ascii="宋体" w:hAnsi="宋体" w:cs="宋体"/>
                <w:kern w:val="0"/>
                <w:szCs w:val="21"/>
              </w:rPr>
            </w:pPr>
            <w:r>
              <w:rPr>
                <w:rFonts w:hint="eastAsia" w:ascii="宋体" w:hAnsi="宋体" w:cs="宋体"/>
                <w:kern w:val="0"/>
                <w:szCs w:val="21"/>
              </w:rPr>
              <w:t>A020202投影仪</w:t>
            </w:r>
          </w:p>
        </w:tc>
        <w:tc>
          <w:tcPr>
            <w:tcW w:w="1320" w:type="dxa"/>
            <w:tcBorders>
              <w:top w:val="nil"/>
              <w:left w:val="nil"/>
              <w:bottom w:val="single" w:color="000000" w:sz="8" w:space="0"/>
              <w:right w:val="single" w:color="000000" w:sz="8" w:space="0"/>
            </w:tcBorders>
            <w:vAlign w:val="center"/>
          </w:tcPr>
          <w:p w14:paraId="022B44E2">
            <w:pPr>
              <w:widowControl/>
              <w:jc w:val="center"/>
              <w:rPr>
                <w:rFonts w:ascii="宋体" w:hAnsi="宋体" w:cs="宋体"/>
                <w:kern w:val="0"/>
                <w:szCs w:val="21"/>
              </w:rPr>
            </w:pPr>
            <w:r>
              <w:rPr>
                <w:rFonts w:hint="eastAsia" w:ascii="宋体" w:hAnsi="宋体" w:cs="宋体"/>
                <w:kern w:val="0"/>
                <w:szCs w:val="21"/>
              </w:rPr>
              <w:t>　</w:t>
            </w:r>
          </w:p>
        </w:tc>
        <w:tc>
          <w:tcPr>
            <w:tcW w:w="1620" w:type="dxa"/>
            <w:tcBorders>
              <w:top w:val="nil"/>
              <w:left w:val="nil"/>
              <w:bottom w:val="single" w:color="000000" w:sz="8" w:space="0"/>
              <w:right w:val="single" w:color="000000" w:sz="8" w:space="0"/>
            </w:tcBorders>
            <w:vAlign w:val="center"/>
          </w:tcPr>
          <w:p w14:paraId="6FD449A3">
            <w:pPr>
              <w:widowControl/>
              <w:jc w:val="center"/>
              <w:rPr>
                <w:rFonts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08D95B35">
            <w:pPr>
              <w:widowControl/>
              <w:jc w:val="left"/>
              <w:rPr>
                <w:rFonts w:ascii="宋体" w:hAnsi="宋体" w:cs="宋体"/>
                <w:kern w:val="0"/>
                <w:szCs w:val="21"/>
              </w:rPr>
            </w:pPr>
            <w:r>
              <w:rPr>
                <w:rFonts w:hint="eastAsia" w:ascii="宋体" w:hAnsi="宋体" w:cs="宋体"/>
                <w:kern w:val="0"/>
                <w:szCs w:val="21"/>
              </w:rPr>
              <w:t>《投影机能效限定值及能效等级》（GB32028）</w:t>
            </w:r>
          </w:p>
        </w:tc>
      </w:tr>
      <w:tr w14:paraId="6BE70A37">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5F2460BC">
            <w:pPr>
              <w:widowControl/>
              <w:jc w:val="center"/>
              <w:rPr>
                <w:rFonts w:ascii="宋体" w:hAnsi="宋体" w:cs="宋体"/>
                <w:kern w:val="0"/>
                <w:szCs w:val="21"/>
              </w:rPr>
            </w:pPr>
            <w:r>
              <w:rPr>
                <w:rFonts w:hint="eastAsia" w:ascii="宋体" w:hAnsi="宋体" w:cs="宋体"/>
                <w:kern w:val="0"/>
                <w:szCs w:val="21"/>
              </w:rPr>
              <w:t>4</w:t>
            </w:r>
          </w:p>
        </w:tc>
        <w:tc>
          <w:tcPr>
            <w:tcW w:w="1080" w:type="dxa"/>
            <w:tcBorders>
              <w:top w:val="nil"/>
              <w:left w:val="nil"/>
              <w:bottom w:val="single" w:color="000000" w:sz="8" w:space="0"/>
              <w:right w:val="single" w:color="000000" w:sz="8" w:space="0"/>
            </w:tcBorders>
            <w:vAlign w:val="center"/>
          </w:tcPr>
          <w:p w14:paraId="09461998">
            <w:pPr>
              <w:widowControl/>
              <w:jc w:val="center"/>
              <w:rPr>
                <w:rFonts w:ascii="宋体" w:hAnsi="宋体" w:cs="宋体"/>
                <w:kern w:val="0"/>
                <w:szCs w:val="21"/>
              </w:rPr>
            </w:pPr>
            <w:r>
              <w:rPr>
                <w:rFonts w:hint="eastAsia" w:ascii="宋体" w:hAnsi="宋体" w:cs="宋体"/>
                <w:kern w:val="0"/>
                <w:szCs w:val="21"/>
              </w:rPr>
              <w:t>A020204多功能一体机</w:t>
            </w:r>
          </w:p>
        </w:tc>
        <w:tc>
          <w:tcPr>
            <w:tcW w:w="1320" w:type="dxa"/>
            <w:tcBorders>
              <w:top w:val="nil"/>
              <w:left w:val="nil"/>
              <w:bottom w:val="single" w:color="000000" w:sz="8" w:space="0"/>
              <w:right w:val="single" w:color="000000" w:sz="8" w:space="0"/>
            </w:tcBorders>
            <w:vAlign w:val="center"/>
          </w:tcPr>
          <w:p w14:paraId="1DD56532">
            <w:pPr>
              <w:widowControl/>
              <w:jc w:val="center"/>
              <w:rPr>
                <w:rFonts w:ascii="宋体" w:hAnsi="宋体" w:cs="宋体"/>
                <w:kern w:val="0"/>
                <w:szCs w:val="21"/>
              </w:rPr>
            </w:pPr>
            <w:r>
              <w:rPr>
                <w:rFonts w:hint="eastAsia" w:ascii="宋体" w:hAnsi="宋体" w:cs="宋体"/>
                <w:kern w:val="0"/>
                <w:szCs w:val="21"/>
              </w:rPr>
              <w:t>　</w:t>
            </w:r>
          </w:p>
        </w:tc>
        <w:tc>
          <w:tcPr>
            <w:tcW w:w="1620" w:type="dxa"/>
            <w:tcBorders>
              <w:top w:val="nil"/>
              <w:left w:val="nil"/>
              <w:bottom w:val="single" w:color="000000" w:sz="8" w:space="0"/>
              <w:right w:val="single" w:color="000000" w:sz="8" w:space="0"/>
            </w:tcBorders>
            <w:vAlign w:val="center"/>
          </w:tcPr>
          <w:p w14:paraId="63B6830F">
            <w:pPr>
              <w:widowControl/>
              <w:jc w:val="center"/>
              <w:rPr>
                <w:rFonts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6FB57BC2">
            <w:pPr>
              <w:widowControl/>
              <w:jc w:val="left"/>
              <w:rPr>
                <w:rFonts w:ascii="宋体" w:hAnsi="宋体" w:cs="宋体"/>
                <w:kern w:val="0"/>
                <w:szCs w:val="21"/>
              </w:rPr>
            </w:pPr>
            <w:r>
              <w:rPr>
                <w:rFonts w:hint="eastAsia" w:ascii="宋体" w:hAnsi="宋体" w:cs="宋体"/>
                <w:kern w:val="0"/>
                <w:szCs w:val="21"/>
              </w:rPr>
              <w:t>《复印机、打印机和传真机能效限定值及能效等级》（GB21521）</w:t>
            </w:r>
          </w:p>
        </w:tc>
      </w:tr>
      <w:tr w14:paraId="1AA01E9A">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5C9709B3">
            <w:pPr>
              <w:widowControl/>
              <w:jc w:val="center"/>
              <w:rPr>
                <w:rFonts w:ascii="宋体" w:hAnsi="宋体" w:cs="宋体"/>
                <w:kern w:val="0"/>
                <w:szCs w:val="21"/>
              </w:rPr>
            </w:pPr>
            <w:r>
              <w:rPr>
                <w:rFonts w:hint="eastAsia" w:ascii="宋体" w:hAnsi="宋体" w:cs="宋体"/>
                <w:kern w:val="0"/>
                <w:szCs w:val="21"/>
              </w:rPr>
              <w:t>5</w:t>
            </w:r>
          </w:p>
        </w:tc>
        <w:tc>
          <w:tcPr>
            <w:tcW w:w="1080" w:type="dxa"/>
            <w:tcBorders>
              <w:top w:val="nil"/>
              <w:left w:val="nil"/>
              <w:bottom w:val="single" w:color="000000" w:sz="8" w:space="0"/>
              <w:right w:val="single" w:color="000000" w:sz="8" w:space="0"/>
            </w:tcBorders>
            <w:vAlign w:val="center"/>
          </w:tcPr>
          <w:p w14:paraId="5421FE0C">
            <w:pPr>
              <w:widowControl/>
              <w:jc w:val="center"/>
              <w:rPr>
                <w:rFonts w:ascii="宋体" w:hAnsi="宋体" w:cs="宋体"/>
                <w:kern w:val="0"/>
                <w:szCs w:val="21"/>
              </w:rPr>
            </w:pPr>
            <w:r>
              <w:rPr>
                <w:rFonts w:hint="eastAsia" w:ascii="宋体" w:hAnsi="宋体" w:cs="宋体"/>
                <w:kern w:val="0"/>
                <w:szCs w:val="21"/>
              </w:rPr>
              <w:t>A020519泵</w:t>
            </w:r>
          </w:p>
        </w:tc>
        <w:tc>
          <w:tcPr>
            <w:tcW w:w="1320" w:type="dxa"/>
            <w:tcBorders>
              <w:top w:val="nil"/>
              <w:left w:val="nil"/>
              <w:bottom w:val="single" w:color="000000" w:sz="8" w:space="0"/>
              <w:right w:val="single" w:color="000000" w:sz="8" w:space="0"/>
            </w:tcBorders>
            <w:vAlign w:val="center"/>
          </w:tcPr>
          <w:p w14:paraId="5964DEF2">
            <w:pPr>
              <w:widowControl/>
              <w:jc w:val="center"/>
              <w:rPr>
                <w:rFonts w:ascii="宋体" w:hAnsi="宋体" w:cs="宋体"/>
                <w:kern w:val="0"/>
                <w:szCs w:val="21"/>
              </w:rPr>
            </w:pPr>
            <w:r>
              <w:rPr>
                <w:rFonts w:hint="eastAsia" w:ascii="宋体" w:hAnsi="宋体" w:cs="宋体"/>
                <w:kern w:val="0"/>
                <w:szCs w:val="21"/>
              </w:rPr>
              <w:t>A02051901离心泵</w:t>
            </w:r>
          </w:p>
        </w:tc>
        <w:tc>
          <w:tcPr>
            <w:tcW w:w="1620" w:type="dxa"/>
            <w:tcBorders>
              <w:top w:val="nil"/>
              <w:left w:val="nil"/>
              <w:bottom w:val="single" w:color="000000" w:sz="8" w:space="0"/>
              <w:right w:val="single" w:color="000000" w:sz="8" w:space="0"/>
            </w:tcBorders>
            <w:vAlign w:val="center"/>
          </w:tcPr>
          <w:p w14:paraId="05643C98">
            <w:pPr>
              <w:widowControl/>
              <w:jc w:val="center"/>
              <w:rPr>
                <w:rFonts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067465F5">
            <w:pPr>
              <w:widowControl/>
              <w:jc w:val="left"/>
              <w:rPr>
                <w:rFonts w:ascii="宋体" w:hAnsi="宋体" w:cs="宋体"/>
                <w:kern w:val="0"/>
                <w:szCs w:val="21"/>
              </w:rPr>
            </w:pPr>
            <w:r>
              <w:rPr>
                <w:rFonts w:hint="eastAsia" w:ascii="宋体" w:hAnsi="宋体" w:cs="宋体"/>
                <w:kern w:val="0"/>
                <w:szCs w:val="21"/>
              </w:rPr>
              <w:t>《清水离心泵能效限定值及节能评价值》（GB19762）</w:t>
            </w:r>
          </w:p>
        </w:tc>
      </w:tr>
      <w:tr w14:paraId="09803EDB">
        <w:tblPrEx>
          <w:tblCellMar>
            <w:top w:w="0" w:type="dxa"/>
            <w:left w:w="108" w:type="dxa"/>
            <w:bottom w:w="0" w:type="dxa"/>
            <w:right w:w="108" w:type="dxa"/>
          </w:tblCellMar>
        </w:tblPrEx>
        <w:trPr>
          <w:trHeight w:val="735" w:hRule="atLeast"/>
        </w:trPr>
        <w:tc>
          <w:tcPr>
            <w:tcW w:w="660" w:type="dxa"/>
            <w:vMerge w:val="restart"/>
            <w:tcBorders>
              <w:top w:val="nil"/>
              <w:left w:val="single" w:color="000000" w:sz="8" w:space="0"/>
              <w:bottom w:val="single" w:color="000000" w:sz="8" w:space="0"/>
              <w:right w:val="single" w:color="000000" w:sz="8" w:space="0"/>
            </w:tcBorders>
            <w:vAlign w:val="center"/>
          </w:tcPr>
          <w:p w14:paraId="2174FB6C">
            <w:pPr>
              <w:widowControl/>
              <w:jc w:val="center"/>
              <w:rPr>
                <w:rFonts w:ascii="宋体" w:hAnsi="宋体" w:cs="宋体"/>
                <w:kern w:val="0"/>
                <w:szCs w:val="21"/>
              </w:rPr>
            </w:pPr>
            <w:r>
              <w:rPr>
                <w:rFonts w:hint="eastAsia" w:ascii="宋体" w:hAnsi="宋体" w:cs="宋体"/>
                <w:kern w:val="0"/>
                <w:szCs w:val="21"/>
              </w:rPr>
              <w:t>6</w:t>
            </w:r>
          </w:p>
        </w:tc>
        <w:tc>
          <w:tcPr>
            <w:tcW w:w="1080" w:type="dxa"/>
            <w:vMerge w:val="restart"/>
            <w:tcBorders>
              <w:top w:val="nil"/>
              <w:left w:val="single" w:color="000000" w:sz="8" w:space="0"/>
              <w:bottom w:val="single" w:color="000000" w:sz="8" w:space="0"/>
              <w:right w:val="single" w:color="000000" w:sz="8" w:space="0"/>
            </w:tcBorders>
            <w:vAlign w:val="center"/>
          </w:tcPr>
          <w:p w14:paraId="25D77C47">
            <w:pPr>
              <w:widowControl/>
              <w:jc w:val="center"/>
              <w:rPr>
                <w:rFonts w:ascii="宋体" w:hAnsi="宋体" w:cs="宋体"/>
                <w:kern w:val="0"/>
                <w:szCs w:val="21"/>
              </w:rPr>
            </w:pPr>
            <w:r>
              <w:rPr>
                <w:rFonts w:hint="eastAsia" w:ascii="宋体" w:hAnsi="宋体" w:cs="宋体"/>
                <w:kern w:val="0"/>
                <w:szCs w:val="21"/>
              </w:rPr>
              <w:t>A020523制冷空调设备</w:t>
            </w:r>
          </w:p>
        </w:tc>
        <w:tc>
          <w:tcPr>
            <w:tcW w:w="1320" w:type="dxa"/>
            <w:vMerge w:val="restart"/>
            <w:tcBorders>
              <w:top w:val="nil"/>
              <w:left w:val="single" w:color="000000" w:sz="8" w:space="0"/>
              <w:bottom w:val="single" w:color="000000" w:sz="8" w:space="0"/>
              <w:right w:val="single" w:color="000000" w:sz="8" w:space="0"/>
            </w:tcBorders>
            <w:vAlign w:val="center"/>
          </w:tcPr>
          <w:p w14:paraId="2E45DAE6">
            <w:pPr>
              <w:widowControl/>
              <w:jc w:val="center"/>
              <w:rPr>
                <w:rFonts w:ascii="宋体" w:hAnsi="宋体" w:cs="宋体"/>
                <w:kern w:val="0"/>
                <w:szCs w:val="21"/>
              </w:rPr>
            </w:pPr>
            <w:r>
              <w:rPr>
                <w:rFonts w:hint="eastAsia" w:ascii="宋体" w:hAnsi="宋体" w:cs="宋体"/>
                <w:kern w:val="0"/>
                <w:szCs w:val="21"/>
              </w:rPr>
              <w:t>★A02052301制冷压缩机</w:t>
            </w:r>
          </w:p>
        </w:tc>
        <w:tc>
          <w:tcPr>
            <w:tcW w:w="1620" w:type="dxa"/>
            <w:tcBorders>
              <w:top w:val="nil"/>
              <w:left w:val="nil"/>
              <w:bottom w:val="single" w:color="000000" w:sz="8" w:space="0"/>
              <w:right w:val="single" w:color="000000" w:sz="8" w:space="0"/>
            </w:tcBorders>
            <w:vAlign w:val="center"/>
          </w:tcPr>
          <w:p w14:paraId="247179E2">
            <w:pPr>
              <w:widowControl/>
              <w:jc w:val="center"/>
              <w:rPr>
                <w:rFonts w:ascii="宋体" w:hAnsi="宋体" w:cs="宋体"/>
                <w:kern w:val="0"/>
                <w:szCs w:val="21"/>
              </w:rPr>
            </w:pPr>
            <w:r>
              <w:rPr>
                <w:rFonts w:hint="eastAsia" w:ascii="宋体" w:hAnsi="宋体" w:cs="宋体"/>
                <w:kern w:val="0"/>
                <w:szCs w:val="21"/>
              </w:rPr>
              <w:t>冷水机组</w:t>
            </w:r>
          </w:p>
        </w:tc>
        <w:tc>
          <w:tcPr>
            <w:tcW w:w="4540" w:type="dxa"/>
            <w:tcBorders>
              <w:top w:val="nil"/>
              <w:left w:val="nil"/>
              <w:bottom w:val="single" w:color="000000" w:sz="8" w:space="0"/>
              <w:right w:val="single" w:color="000000" w:sz="8" w:space="0"/>
            </w:tcBorders>
            <w:vAlign w:val="center"/>
          </w:tcPr>
          <w:p w14:paraId="417139D4">
            <w:pPr>
              <w:widowControl/>
              <w:jc w:val="left"/>
              <w:rPr>
                <w:rFonts w:ascii="宋体" w:hAnsi="宋体" w:cs="宋体"/>
                <w:kern w:val="0"/>
                <w:szCs w:val="21"/>
              </w:rPr>
            </w:pPr>
            <w:r>
              <w:rPr>
                <w:rFonts w:hint="eastAsia" w:ascii="宋体" w:hAnsi="宋体" w:cs="宋体"/>
                <w:kern w:val="0"/>
                <w:szCs w:val="21"/>
              </w:rPr>
              <w:t>《冷水机组能效限定值及能效等级》（GB19577），《低环境温度空气源热泵（冷水）机组能效限定值及能效等级》（GB37480）</w:t>
            </w:r>
          </w:p>
        </w:tc>
      </w:tr>
      <w:tr w14:paraId="3255EF00">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6B7F4449">
            <w:pPr>
              <w:widowControl/>
              <w:jc w:val="left"/>
              <w:rPr>
                <w:rFonts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03174F6F">
            <w:pPr>
              <w:widowControl/>
              <w:jc w:val="left"/>
              <w:rPr>
                <w:rFonts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6AE13B1E">
            <w:pPr>
              <w:widowControl/>
              <w:jc w:val="left"/>
              <w:rPr>
                <w:rFonts w:ascii="宋体" w:hAnsi="宋体" w:cs="宋体"/>
                <w:kern w:val="0"/>
                <w:szCs w:val="21"/>
              </w:rPr>
            </w:pPr>
          </w:p>
        </w:tc>
        <w:tc>
          <w:tcPr>
            <w:tcW w:w="1620" w:type="dxa"/>
            <w:tcBorders>
              <w:top w:val="nil"/>
              <w:left w:val="nil"/>
              <w:bottom w:val="single" w:color="000000" w:sz="8" w:space="0"/>
              <w:right w:val="single" w:color="000000" w:sz="8" w:space="0"/>
            </w:tcBorders>
            <w:vAlign w:val="center"/>
          </w:tcPr>
          <w:p w14:paraId="6408B51B">
            <w:pPr>
              <w:widowControl/>
              <w:jc w:val="center"/>
              <w:rPr>
                <w:rFonts w:ascii="宋体" w:hAnsi="宋体" w:cs="宋体"/>
                <w:kern w:val="0"/>
                <w:szCs w:val="21"/>
              </w:rPr>
            </w:pPr>
            <w:r>
              <w:rPr>
                <w:rFonts w:hint="eastAsia" w:ascii="宋体" w:hAnsi="宋体" w:cs="宋体"/>
                <w:kern w:val="0"/>
                <w:szCs w:val="21"/>
              </w:rPr>
              <w:t>水源热泵机组</w:t>
            </w:r>
          </w:p>
        </w:tc>
        <w:tc>
          <w:tcPr>
            <w:tcW w:w="4540" w:type="dxa"/>
            <w:tcBorders>
              <w:top w:val="nil"/>
              <w:left w:val="nil"/>
              <w:bottom w:val="single" w:color="000000" w:sz="8" w:space="0"/>
              <w:right w:val="single" w:color="000000" w:sz="8" w:space="0"/>
            </w:tcBorders>
            <w:vAlign w:val="center"/>
          </w:tcPr>
          <w:p w14:paraId="630ED39A">
            <w:pPr>
              <w:widowControl/>
              <w:jc w:val="left"/>
              <w:rPr>
                <w:rFonts w:ascii="宋体" w:hAnsi="宋体" w:cs="宋体"/>
                <w:kern w:val="0"/>
                <w:szCs w:val="21"/>
              </w:rPr>
            </w:pPr>
            <w:r>
              <w:rPr>
                <w:rFonts w:hint="eastAsia" w:ascii="宋体" w:hAnsi="宋体" w:cs="宋体"/>
                <w:kern w:val="0"/>
                <w:szCs w:val="21"/>
              </w:rPr>
              <w:t>《水（地）源热泵机组能效限定值及能效等级》（GB30721）</w:t>
            </w:r>
          </w:p>
        </w:tc>
      </w:tr>
      <w:tr w14:paraId="5983E9D9">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2AD7D66B">
            <w:pPr>
              <w:widowControl/>
              <w:jc w:val="left"/>
              <w:rPr>
                <w:rFonts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6DB257B7">
            <w:pPr>
              <w:widowControl/>
              <w:jc w:val="left"/>
              <w:rPr>
                <w:rFonts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430C59AE">
            <w:pPr>
              <w:widowControl/>
              <w:jc w:val="left"/>
              <w:rPr>
                <w:rFonts w:ascii="宋体" w:hAnsi="宋体" w:cs="宋体"/>
                <w:kern w:val="0"/>
                <w:szCs w:val="21"/>
              </w:rPr>
            </w:pPr>
          </w:p>
        </w:tc>
        <w:tc>
          <w:tcPr>
            <w:tcW w:w="1620" w:type="dxa"/>
            <w:tcBorders>
              <w:top w:val="nil"/>
              <w:left w:val="nil"/>
              <w:bottom w:val="single" w:color="000000" w:sz="8" w:space="0"/>
              <w:right w:val="single" w:color="000000" w:sz="8" w:space="0"/>
            </w:tcBorders>
            <w:vAlign w:val="center"/>
          </w:tcPr>
          <w:p w14:paraId="2A6ABE65">
            <w:pPr>
              <w:widowControl/>
              <w:jc w:val="center"/>
              <w:rPr>
                <w:rFonts w:ascii="宋体" w:hAnsi="宋体" w:cs="宋体"/>
                <w:kern w:val="0"/>
                <w:szCs w:val="21"/>
              </w:rPr>
            </w:pPr>
            <w:r>
              <w:rPr>
                <w:rFonts w:hint="eastAsia" w:ascii="宋体" w:hAnsi="宋体" w:cs="宋体"/>
                <w:kern w:val="0"/>
                <w:szCs w:val="21"/>
              </w:rPr>
              <w:t>溴化锂吸收式冷水机组</w:t>
            </w:r>
          </w:p>
        </w:tc>
        <w:tc>
          <w:tcPr>
            <w:tcW w:w="4540" w:type="dxa"/>
            <w:tcBorders>
              <w:top w:val="nil"/>
              <w:left w:val="nil"/>
              <w:bottom w:val="single" w:color="000000" w:sz="8" w:space="0"/>
              <w:right w:val="single" w:color="000000" w:sz="8" w:space="0"/>
            </w:tcBorders>
            <w:vAlign w:val="center"/>
          </w:tcPr>
          <w:p w14:paraId="517F6396">
            <w:pPr>
              <w:widowControl/>
              <w:jc w:val="left"/>
              <w:rPr>
                <w:rFonts w:ascii="宋体" w:hAnsi="宋体" w:cs="宋体"/>
                <w:kern w:val="0"/>
                <w:szCs w:val="21"/>
              </w:rPr>
            </w:pPr>
            <w:r>
              <w:rPr>
                <w:rFonts w:hint="eastAsia" w:ascii="宋体" w:hAnsi="宋体" w:cs="宋体"/>
                <w:kern w:val="0"/>
                <w:szCs w:val="21"/>
              </w:rPr>
              <w:t>《溴化锂吸收式冷水机组能效限定值及能效等级》（GB29540）</w:t>
            </w:r>
          </w:p>
        </w:tc>
      </w:tr>
      <w:tr w14:paraId="463E300A">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342673F5">
            <w:pPr>
              <w:widowControl/>
              <w:jc w:val="left"/>
              <w:rPr>
                <w:rFonts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70BC0C57">
            <w:pPr>
              <w:widowControl/>
              <w:jc w:val="left"/>
              <w:rPr>
                <w:rFonts w:ascii="宋体" w:hAnsi="宋体" w:cs="宋体"/>
                <w:kern w:val="0"/>
                <w:szCs w:val="21"/>
              </w:rPr>
            </w:pPr>
          </w:p>
        </w:tc>
        <w:tc>
          <w:tcPr>
            <w:tcW w:w="1320" w:type="dxa"/>
            <w:vMerge w:val="restart"/>
            <w:tcBorders>
              <w:top w:val="nil"/>
              <w:left w:val="single" w:color="000000" w:sz="8" w:space="0"/>
              <w:bottom w:val="single" w:color="000000" w:sz="8" w:space="0"/>
              <w:right w:val="single" w:color="000000" w:sz="8" w:space="0"/>
            </w:tcBorders>
            <w:vAlign w:val="center"/>
          </w:tcPr>
          <w:p w14:paraId="394C7C4A">
            <w:pPr>
              <w:widowControl/>
              <w:jc w:val="center"/>
              <w:rPr>
                <w:rFonts w:ascii="宋体" w:hAnsi="宋体" w:cs="宋体"/>
                <w:kern w:val="0"/>
                <w:szCs w:val="21"/>
              </w:rPr>
            </w:pPr>
            <w:r>
              <w:rPr>
                <w:rFonts w:hint="eastAsia" w:ascii="宋体" w:hAnsi="宋体" w:cs="宋体"/>
                <w:kern w:val="0"/>
                <w:szCs w:val="21"/>
              </w:rPr>
              <w:t>★A02052305空调机组</w:t>
            </w:r>
          </w:p>
        </w:tc>
        <w:tc>
          <w:tcPr>
            <w:tcW w:w="1620" w:type="dxa"/>
            <w:tcBorders>
              <w:top w:val="nil"/>
              <w:left w:val="nil"/>
              <w:bottom w:val="single" w:color="000000" w:sz="8" w:space="0"/>
              <w:right w:val="single" w:color="000000" w:sz="8" w:space="0"/>
            </w:tcBorders>
            <w:vAlign w:val="center"/>
          </w:tcPr>
          <w:p w14:paraId="012B2A6F">
            <w:pPr>
              <w:widowControl/>
              <w:jc w:val="center"/>
              <w:rPr>
                <w:rFonts w:ascii="宋体" w:hAnsi="宋体" w:cs="宋体"/>
                <w:kern w:val="0"/>
                <w:szCs w:val="21"/>
              </w:rPr>
            </w:pPr>
            <w:r>
              <w:rPr>
                <w:rFonts w:hint="eastAsia" w:ascii="宋体" w:hAnsi="宋体" w:cs="宋体"/>
                <w:kern w:val="0"/>
                <w:szCs w:val="21"/>
              </w:rPr>
              <w:t>多联式空调（热泵）机组(制冷量&gt;14000W)</w:t>
            </w:r>
          </w:p>
        </w:tc>
        <w:tc>
          <w:tcPr>
            <w:tcW w:w="4540" w:type="dxa"/>
            <w:tcBorders>
              <w:top w:val="nil"/>
              <w:left w:val="nil"/>
              <w:bottom w:val="single" w:color="000000" w:sz="8" w:space="0"/>
              <w:right w:val="single" w:color="000000" w:sz="8" w:space="0"/>
            </w:tcBorders>
            <w:vAlign w:val="center"/>
          </w:tcPr>
          <w:p w14:paraId="26133B90">
            <w:pPr>
              <w:widowControl/>
              <w:jc w:val="left"/>
              <w:rPr>
                <w:rFonts w:ascii="宋体" w:hAnsi="宋体" w:cs="宋体"/>
                <w:kern w:val="0"/>
                <w:szCs w:val="21"/>
              </w:rPr>
            </w:pPr>
            <w:r>
              <w:rPr>
                <w:rFonts w:hint="eastAsia" w:ascii="宋体" w:hAnsi="宋体" w:cs="宋体"/>
                <w:kern w:val="0"/>
                <w:szCs w:val="21"/>
              </w:rPr>
              <w:t>《多联式空调（热泵）机组能效限定值及能源效率等级》（GB21454）</w:t>
            </w:r>
          </w:p>
        </w:tc>
      </w:tr>
      <w:tr w14:paraId="1E70D254">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05E7192A">
            <w:pPr>
              <w:widowControl/>
              <w:jc w:val="left"/>
              <w:rPr>
                <w:rFonts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71EAEDD2">
            <w:pPr>
              <w:widowControl/>
              <w:jc w:val="left"/>
              <w:rPr>
                <w:rFonts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46D81CCC">
            <w:pPr>
              <w:widowControl/>
              <w:jc w:val="left"/>
              <w:rPr>
                <w:rFonts w:ascii="宋体" w:hAnsi="宋体" w:cs="宋体"/>
                <w:kern w:val="0"/>
                <w:szCs w:val="21"/>
              </w:rPr>
            </w:pPr>
          </w:p>
        </w:tc>
        <w:tc>
          <w:tcPr>
            <w:tcW w:w="1620" w:type="dxa"/>
            <w:tcBorders>
              <w:top w:val="nil"/>
              <w:left w:val="nil"/>
              <w:bottom w:val="single" w:color="000000" w:sz="8" w:space="0"/>
              <w:right w:val="single" w:color="000000" w:sz="8" w:space="0"/>
            </w:tcBorders>
            <w:vAlign w:val="center"/>
          </w:tcPr>
          <w:p w14:paraId="5A74B3AC">
            <w:pPr>
              <w:widowControl/>
              <w:jc w:val="center"/>
              <w:rPr>
                <w:rFonts w:ascii="宋体" w:hAnsi="宋体" w:cs="宋体"/>
                <w:kern w:val="0"/>
                <w:szCs w:val="21"/>
              </w:rPr>
            </w:pPr>
            <w:r>
              <w:rPr>
                <w:rFonts w:hint="eastAsia" w:ascii="宋体" w:hAnsi="宋体" w:cs="宋体"/>
                <w:kern w:val="0"/>
                <w:szCs w:val="21"/>
              </w:rPr>
              <w:t>单元式空气调节机(制冷量&gt;14000W</w:t>
            </w:r>
          </w:p>
        </w:tc>
        <w:tc>
          <w:tcPr>
            <w:tcW w:w="4540" w:type="dxa"/>
            <w:tcBorders>
              <w:top w:val="nil"/>
              <w:left w:val="nil"/>
              <w:bottom w:val="single" w:color="000000" w:sz="8" w:space="0"/>
              <w:right w:val="single" w:color="000000" w:sz="8" w:space="0"/>
            </w:tcBorders>
            <w:vAlign w:val="center"/>
          </w:tcPr>
          <w:p w14:paraId="0EB2C7DC">
            <w:pPr>
              <w:widowControl/>
              <w:jc w:val="left"/>
              <w:rPr>
                <w:rFonts w:ascii="宋体" w:hAnsi="宋体" w:cs="宋体"/>
                <w:kern w:val="0"/>
                <w:szCs w:val="21"/>
              </w:rPr>
            </w:pPr>
            <w:r>
              <w:rPr>
                <w:rFonts w:hint="eastAsia" w:ascii="宋体" w:hAnsi="宋体" w:cs="宋体"/>
                <w:kern w:val="0"/>
                <w:szCs w:val="21"/>
              </w:rPr>
              <w:t>《单元式空气调节机能效限定值及能效等级》（GB19576）《风管送风式空调机组能效限定值及能效等级》（GB37479）</w:t>
            </w:r>
          </w:p>
        </w:tc>
      </w:tr>
      <w:tr w14:paraId="43B46416">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3EF8B1F2">
            <w:pPr>
              <w:widowControl/>
              <w:jc w:val="left"/>
              <w:rPr>
                <w:rFonts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57866B10">
            <w:pPr>
              <w:widowControl/>
              <w:jc w:val="left"/>
              <w:rPr>
                <w:rFonts w:ascii="宋体" w:hAnsi="宋体" w:cs="宋体"/>
                <w:kern w:val="0"/>
                <w:szCs w:val="21"/>
              </w:rPr>
            </w:pPr>
          </w:p>
        </w:tc>
        <w:tc>
          <w:tcPr>
            <w:tcW w:w="1320" w:type="dxa"/>
            <w:tcBorders>
              <w:top w:val="nil"/>
              <w:left w:val="nil"/>
              <w:bottom w:val="single" w:color="000000" w:sz="8" w:space="0"/>
              <w:right w:val="single" w:color="000000" w:sz="8" w:space="0"/>
            </w:tcBorders>
            <w:vAlign w:val="center"/>
          </w:tcPr>
          <w:p w14:paraId="140EE669">
            <w:pPr>
              <w:widowControl/>
              <w:jc w:val="center"/>
              <w:rPr>
                <w:rFonts w:ascii="宋体" w:hAnsi="宋体" w:cs="宋体"/>
                <w:kern w:val="0"/>
                <w:szCs w:val="21"/>
              </w:rPr>
            </w:pPr>
            <w:r>
              <w:rPr>
                <w:rFonts w:hint="eastAsia" w:ascii="宋体" w:hAnsi="宋体" w:cs="宋体"/>
                <w:kern w:val="0"/>
                <w:szCs w:val="21"/>
              </w:rPr>
              <w:t>★A02052309专用制冷、空调设备</w:t>
            </w:r>
          </w:p>
        </w:tc>
        <w:tc>
          <w:tcPr>
            <w:tcW w:w="1620" w:type="dxa"/>
            <w:tcBorders>
              <w:top w:val="nil"/>
              <w:left w:val="nil"/>
              <w:bottom w:val="single" w:color="000000" w:sz="8" w:space="0"/>
              <w:right w:val="single" w:color="000000" w:sz="8" w:space="0"/>
            </w:tcBorders>
            <w:vAlign w:val="center"/>
          </w:tcPr>
          <w:p w14:paraId="2463F1F4">
            <w:pPr>
              <w:widowControl/>
              <w:jc w:val="center"/>
              <w:rPr>
                <w:rFonts w:ascii="宋体" w:hAnsi="宋体" w:cs="宋体"/>
                <w:kern w:val="0"/>
                <w:szCs w:val="21"/>
              </w:rPr>
            </w:pPr>
            <w:r>
              <w:rPr>
                <w:rFonts w:hint="eastAsia" w:ascii="宋体" w:hAnsi="宋体" w:cs="宋体"/>
                <w:kern w:val="0"/>
                <w:szCs w:val="21"/>
              </w:rPr>
              <w:t>机房空调</w:t>
            </w:r>
          </w:p>
        </w:tc>
        <w:tc>
          <w:tcPr>
            <w:tcW w:w="4540" w:type="dxa"/>
            <w:tcBorders>
              <w:top w:val="nil"/>
              <w:left w:val="nil"/>
              <w:bottom w:val="single" w:color="000000" w:sz="8" w:space="0"/>
              <w:right w:val="single" w:color="000000" w:sz="8" w:space="0"/>
            </w:tcBorders>
            <w:vAlign w:val="center"/>
          </w:tcPr>
          <w:p w14:paraId="3C5E6AF0">
            <w:pPr>
              <w:widowControl/>
              <w:jc w:val="left"/>
              <w:rPr>
                <w:rFonts w:ascii="宋体" w:hAnsi="宋体" w:cs="宋体"/>
                <w:kern w:val="0"/>
                <w:szCs w:val="21"/>
              </w:rPr>
            </w:pPr>
            <w:r>
              <w:rPr>
                <w:rFonts w:hint="eastAsia" w:ascii="宋体" w:hAnsi="宋体" w:cs="宋体"/>
                <w:kern w:val="0"/>
                <w:szCs w:val="21"/>
              </w:rPr>
              <w:t>《单元式空气调节机能效限定值及能效等级》（GB19576）</w:t>
            </w:r>
          </w:p>
        </w:tc>
      </w:tr>
      <w:tr w14:paraId="0B1B56FA">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3AC8F2FF">
            <w:pPr>
              <w:widowControl/>
              <w:jc w:val="left"/>
              <w:rPr>
                <w:rFonts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047DEDB3">
            <w:pPr>
              <w:widowControl/>
              <w:jc w:val="left"/>
              <w:rPr>
                <w:rFonts w:ascii="宋体" w:hAnsi="宋体" w:cs="宋体"/>
                <w:kern w:val="0"/>
                <w:szCs w:val="21"/>
              </w:rPr>
            </w:pPr>
          </w:p>
        </w:tc>
        <w:tc>
          <w:tcPr>
            <w:tcW w:w="1320" w:type="dxa"/>
            <w:tcBorders>
              <w:top w:val="nil"/>
              <w:left w:val="nil"/>
              <w:bottom w:val="single" w:color="000000" w:sz="8" w:space="0"/>
              <w:right w:val="single" w:color="000000" w:sz="8" w:space="0"/>
            </w:tcBorders>
            <w:vAlign w:val="center"/>
          </w:tcPr>
          <w:p w14:paraId="7F9F4FB2">
            <w:pPr>
              <w:widowControl/>
              <w:jc w:val="center"/>
              <w:rPr>
                <w:rFonts w:ascii="宋体" w:hAnsi="宋体" w:cs="宋体"/>
                <w:kern w:val="0"/>
                <w:szCs w:val="21"/>
              </w:rPr>
            </w:pPr>
            <w:r>
              <w:rPr>
                <w:rFonts w:hint="eastAsia" w:ascii="宋体" w:hAnsi="宋体" w:cs="宋体"/>
                <w:kern w:val="0"/>
                <w:szCs w:val="21"/>
              </w:rPr>
              <w:t>A02052399其他制冷空调设备</w:t>
            </w:r>
          </w:p>
        </w:tc>
        <w:tc>
          <w:tcPr>
            <w:tcW w:w="1620" w:type="dxa"/>
            <w:tcBorders>
              <w:top w:val="nil"/>
              <w:left w:val="nil"/>
              <w:bottom w:val="single" w:color="000000" w:sz="8" w:space="0"/>
              <w:right w:val="single" w:color="000000" w:sz="8" w:space="0"/>
            </w:tcBorders>
            <w:vAlign w:val="center"/>
          </w:tcPr>
          <w:p w14:paraId="644CA0A5">
            <w:pPr>
              <w:widowControl/>
              <w:jc w:val="center"/>
              <w:rPr>
                <w:rFonts w:ascii="宋体" w:hAnsi="宋体" w:cs="宋体"/>
                <w:kern w:val="0"/>
                <w:szCs w:val="21"/>
              </w:rPr>
            </w:pPr>
            <w:r>
              <w:rPr>
                <w:rFonts w:hint="eastAsia" w:ascii="宋体" w:hAnsi="宋体" w:cs="宋体"/>
                <w:kern w:val="0"/>
                <w:szCs w:val="21"/>
              </w:rPr>
              <w:t>冷却塔</w:t>
            </w:r>
          </w:p>
        </w:tc>
        <w:tc>
          <w:tcPr>
            <w:tcW w:w="4540" w:type="dxa"/>
            <w:tcBorders>
              <w:top w:val="nil"/>
              <w:left w:val="nil"/>
              <w:bottom w:val="single" w:color="000000" w:sz="8" w:space="0"/>
              <w:right w:val="single" w:color="000000" w:sz="8" w:space="0"/>
            </w:tcBorders>
            <w:vAlign w:val="center"/>
          </w:tcPr>
          <w:p w14:paraId="457EED65">
            <w:pPr>
              <w:widowControl/>
              <w:jc w:val="left"/>
              <w:rPr>
                <w:rFonts w:ascii="宋体" w:hAnsi="宋体" w:cs="宋体"/>
                <w:kern w:val="0"/>
                <w:szCs w:val="21"/>
              </w:rPr>
            </w:pPr>
            <w:r>
              <w:rPr>
                <w:rFonts w:hint="eastAsia" w:ascii="宋体" w:hAnsi="宋体" w:cs="宋体"/>
                <w:kern w:val="0"/>
                <w:szCs w:val="21"/>
              </w:rPr>
              <w:t>《机械通风冷却塔第1部分：中小型开式冷却塔》（GB/T7190.1）；《机械通风冷却塔第2部分：大型开式冷却塔》（GB/T7190.2）</w:t>
            </w:r>
          </w:p>
        </w:tc>
      </w:tr>
      <w:tr w14:paraId="2FDBD985">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37D14938">
            <w:pPr>
              <w:widowControl/>
              <w:jc w:val="center"/>
              <w:rPr>
                <w:rFonts w:ascii="宋体" w:hAnsi="宋体" w:cs="宋体"/>
                <w:kern w:val="0"/>
                <w:szCs w:val="21"/>
              </w:rPr>
            </w:pPr>
            <w:r>
              <w:rPr>
                <w:rFonts w:hint="eastAsia" w:ascii="宋体" w:hAnsi="宋体" w:cs="宋体"/>
                <w:kern w:val="0"/>
                <w:szCs w:val="21"/>
              </w:rPr>
              <w:t>7</w:t>
            </w:r>
          </w:p>
        </w:tc>
        <w:tc>
          <w:tcPr>
            <w:tcW w:w="1080" w:type="dxa"/>
            <w:tcBorders>
              <w:top w:val="nil"/>
              <w:left w:val="nil"/>
              <w:bottom w:val="single" w:color="000000" w:sz="8" w:space="0"/>
              <w:right w:val="single" w:color="000000" w:sz="8" w:space="0"/>
            </w:tcBorders>
            <w:vAlign w:val="center"/>
          </w:tcPr>
          <w:p w14:paraId="505635ED">
            <w:pPr>
              <w:widowControl/>
              <w:jc w:val="center"/>
              <w:rPr>
                <w:rFonts w:ascii="宋体" w:hAnsi="宋体" w:cs="宋体"/>
                <w:kern w:val="0"/>
                <w:szCs w:val="21"/>
              </w:rPr>
            </w:pPr>
            <w:r>
              <w:rPr>
                <w:rFonts w:hint="eastAsia" w:ascii="宋体" w:hAnsi="宋体" w:cs="宋体"/>
                <w:kern w:val="0"/>
                <w:szCs w:val="21"/>
              </w:rPr>
              <w:t>A020601电机</w:t>
            </w:r>
          </w:p>
        </w:tc>
        <w:tc>
          <w:tcPr>
            <w:tcW w:w="1320" w:type="dxa"/>
            <w:tcBorders>
              <w:top w:val="nil"/>
              <w:left w:val="nil"/>
              <w:bottom w:val="single" w:color="000000" w:sz="8" w:space="0"/>
              <w:right w:val="single" w:color="000000" w:sz="8" w:space="0"/>
            </w:tcBorders>
            <w:vAlign w:val="center"/>
          </w:tcPr>
          <w:p w14:paraId="15247D74">
            <w:pPr>
              <w:widowControl/>
              <w:jc w:val="center"/>
              <w:rPr>
                <w:rFonts w:ascii="宋体" w:hAnsi="宋体" w:cs="宋体"/>
                <w:kern w:val="0"/>
                <w:szCs w:val="21"/>
              </w:rPr>
            </w:pPr>
            <w:r>
              <w:rPr>
                <w:rFonts w:hint="eastAsia" w:ascii="宋体" w:hAnsi="宋体" w:cs="宋体"/>
                <w:kern w:val="0"/>
                <w:szCs w:val="21"/>
              </w:rPr>
              <w:t>　</w:t>
            </w:r>
          </w:p>
        </w:tc>
        <w:tc>
          <w:tcPr>
            <w:tcW w:w="1620" w:type="dxa"/>
            <w:tcBorders>
              <w:top w:val="nil"/>
              <w:left w:val="nil"/>
              <w:bottom w:val="single" w:color="000000" w:sz="8" w:space="0"/>
              <w:right w:val="single" w:color="000000" w:sz="8" w:space="0"/>
            </w:tcBorders>
            <w:vAlign w:val="center"/>
          </w:tcPr>
          <w:p w14:paraId="6F15B805">
            <w:pPr>
              <w:widowControl/>
              <w:jc w:val="center"/>
              <w:rPr>
                <w:rFonts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7F643B46">
            <w:pPr>
              <w:widowControl/>
              <w:jc w:val="left"/>
              <w:rPr>
                <w:rFonts w:ascii="宋体" w:hAnsi="宋体" w:cs="宋体"/>
                <w:kern w:val="0"/>
                <w:szCs w:val="21"/>
              </w:rPr>
            </w:pPr>
            <w:r>
              <w:rPr>
                <w:rFonts w:hint="eastAsia" w:ascii="宋体" w:hAnsi="宋体" w:cs="宋体"/>
                <w:kern w:val="0"/>
                <w:szCs w:val="21"/>
              </w:rPr>
              <w:t>《中小型三相异步电动机能效限定值及能效等级》（GB18613）</w:t>
            </w:r>
          </w:p>
        </w:tc>
      </w:tr>
      <w:tr w14:paraId="5C1C23FC">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71FCDDA2">
            <w:pPr>
              <w:widowControl/>
              <w:jc w:val="center"/>
              <w:rPr>
                <w:rFonts w:ascii="宋体" w:hAnsi="宋体" w:cs="宋体"/>
                <w:kern w:val="0"/>
                <w:szCs w:val="21"/>
              </w:rPr>
            </w:pPr>
            <w:r>
              <w:rPr>
                <w:rFonts w:hint="eastAsia" w:ascii="宋体" w:hAnsi="宋体" w:cs="宋体"/>
                <w:kern w:val="0"/>
                <w:szCs w:val="21"/>
              </w:rPr>
              <w:t>8</w:t>
            </w:r>
          </w:p>
        </w:tc>
        <w:tc>
          <w:tcPr>
            <w:tcW w:w="1080" w:type="dxa"/>
            <w:tcBorders>
              <w:top w:val="nil"/>
              <w:left w:val="nil"/>
              <w:bottom w:val="single" w:color="000000" w:sz="8" w:space="0"/>
              <w:right w:val="single" w:color="000000" w:sz="8" w:space="0"/>
            </w:tcBorders>
            <w:vAlign w:val="center"/>
          </w:tcPr>
          <w:p w14:paraId="6A12DE64">
            <w:pPr>
              <w:widowControl/>
              <w:jc w:val="center"/>
              <w:rPr>
                <w:rFonts w:ascii="宋体" w:hAnsi="宋体" w:cs="宋体"/>
                <w:kern w:val="0"/>
                <w:szCs w:val="21"/>
              </w:rPr>
            </w:pPr>
            <w:r>
              <w:rPr>
                <w:rFonts w:hint="eastAsia" w:ascii="宋体" w:hAnsi="宋体" w:cs="宋体"/>
                <w:kern w:val="0"/>
                <w:szCs w:val="21"/>
              </w:rPr>
              <w:t>A020602变压器</w:t>
            </w:r>
          </w:p>
        </w:tc>
        <w:tc>
          <w:tcPr>
            <w:tcW w:w="1320" w:type="dxa"/>
            <w:tcBorders>
              <w:top w:val="nil"/>
              <w:left w:val="nil"/>
              <w:bottom w:val="single" w:color="000000" w:sz="8" w:space="0"/>
              <w:right w:val="single" w:color="000000" w:sz="8" w:space="0"/>
            </w:tcBorders>
            <w:vAlign w:val="center"/>
          </w:tcPr>
          <w:p w14:paraId="7B4E8488">
            <w:pPr>
              <w:widowControl/>
              <w:jc w:val="center"/>
              <w:rPr>
                <w:rFonts w:ascii="宋体" w:hAnsi="宋体" w:cs="宋体"/>
                <w:kern w:val="0"/>
                <w:szCs w:val="21"/>
              </w:rPr>
            </w:pPr>
            <w:r>
              <w:rPr>
                <w:rFonts w:hint="eastAsia" w:ascii="宋体" w:hAnsi="宋体" w:cs="宋体"/>
                <w:kern w:val="0"/>
                <w:szCs w:val="21"/>
              </w:rPr>
              <w:t>配电变压器</w:t>
            </w:r>
          </w:p>
        </w:tc>
        <w:tc>
          <w:tcPr>
            <w:tcW w:w="1620" w:type="dxa"/>
            <w:tcBorders>
              <w:top w:val="nil"/>
              <w:left w:val="nil"/>
              <w:bottom w:val="single" w:color="000000" w:sz="8" w:space="0"/>
              <w:right w:val="single" w:color="000000" w:sz="8" w:space="0"/>
            </w:tcBorders>
            <w:vAlign w:val="center"/>
          </w:tcPr>
          <w:p w14:paraId="622248F9">
            <w:pPr>
              <w:widowControl/>
              <w:jc w:val="center"/>
              <w:rPr>
                <w:rFonts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46F4821C">
            <w:pPr>
              <w:widowControl/>
              <w:jc w:val="left"/>
              <w:rPr>
                <w:rFonts w:ascii="宋体" w:hAnsi="宋体" w:cs="宋体"/>
                <w:kern w:val="0"/>
                <w:szCs w:val="21"/>
              </w:rPr>
            </w:pPr>
            <w:r>
              <w:rPr>
                <w:rFonts w:hint="eastAsia" w:ascii="宋体" w:hAnsi="宋体" w:cs="宋体"/>
                <w:kern w:val="0"/>
                <w:szCs w:val="21"/>
              </w:rPr>
              <w:t>《三相配电变压器能效限定值及能效等级》（GB20052）</w:t>
            </w:r>
          </w:p>
        </w:tc>
      </w:tr>
      <w:tr w14:paraId="3B0B4337">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43F3970D">
            <w:pPr>
              <w:widowControl/>
              <w:jc w:val="center"/>
              <w:rPr>
                <w:rFonts w:ascii="宋体" w:hAnsi="宋体" w:cs="宋体"/>
                <w:kern w:val="0"/>
                <w:szCs w:val="21"/>
              </w:rPr>
            </w:pPr>
            <w:r>
              <w:rPr>
                <w:rFonts w:hint="eastAsia" w:ascii="宋体" w:hAnsi="宋体" w:cs="宋体"/>
                <w:kern w:val="0"/>
                <w:szCs w:val="21"/>
              </w:rPr>
              <w:t>9</w:t>
            </w:r>
          </w:p>
        </w:tc>
        <w:tc>
          <w:tcPr>
            <w:tcW w:w="1080" w:type="dxa"/>
            <w:tcBorders>
              <w:top w:val="nil"/>
              <w:left w:val="nil"/>
              <w:bottom w:val="single" w:color="000000" w:sz="8" w:space="0"/>
              <w:right w:val="single" w:color="000000" w:sz="8" w:space="0"/>
            </w:tcBorders>
            <w:vAlign w:val="center"/>
          </w:tcPr>
          <w:p w14:paraId="5419F7DF">
            <w:pPr>
              <w:widowControl/>
              <w:jc w:val="center"/>
              <w:rPr>
                <w:rFonts w:ascii="宋体" w:hAnsi="宋体" w:cs="宋体"/>
                <w:kern w:val="0"/>
                <w:szCs w:val="21"/>
              </w:rPr>
            </w:pPr>
            <w:r>
              <w:rPr>
                <w:rFonts w:hint="eastAsia" w:ascii="宋体" w:hAnsi="宋体" w:cs="宋体"/>
                <w:kern w:val="0"/>
                <w:szCs w:val="21"/>
              </w:rPr>
              <w:t>★A020609镇流器</w:t>
            </w:r>
          </w:p>
        </w:tc>
        <w:tc>
          <w:tcPr>
            <w:tcW w:w="1320" w:type="dxa"/>
            <w:tcBorders>
              <w:top w:val="nil"/>
              <w:left w:val="nil"/>
              <w:bottom w:val="single" w:color="000000" w:sz="8" w:space="0"/>
              <w:right w:val="single" w:color="000000" w:sz="8" w:space="0"/>
            </w:tcBorders>
            <w:vAlign w:val="center"/>
          </w:tcPr>
          <w:p w14:paraId="29B634A7">
            <w:pPr>
              <w:widowControl/>
              <w:jc w:val="center"/>
              <w:rPr>
                <w:rFonts w:ascii="宋体" w:hAnsi="宋体" w:cs="宋体"/>
                <w:kern w:val="0"/>
                <w:szCs w:val="21"/>
              </w:rPr>
            </w:pPr>
            <w:r>
              <w:rPr>
                <w:rFonts w:hint="eastAsia" w:ascii="宋体" w:hAnsi="宋体" w:cs="宋体"/>
                <w:kern w:val="0"/>
                <w:szCs w:val="21"/>
              </w:rPr>
              <w:t>管型荧光灯镇流器</w:t>
            </w:r>
          </w:p>
        </w:tc>
        <w:tc>
          <w:tcPr>
            <w:tcW w:w="1620" w:type="dxa"/>
            <w:tcBorders>
              <w:top w:val="nil"/>
              <w:left w:val="nil"/>
              <w:bottom w:val="single" w:color="000000" w:sz="8" w:space="0"/>
              <w:right w:val="single" w:color="000000" w:sz="8" w:space="0"/>
            </w:tcBorders>
            <w:vAlign w:val="center"/>
          </w:tcPr>
          <w:p w14:paraId="6A910A0D">
            <w:pPr>
              <w:widowControl/>
              <w:jc w:val="center"/>
              <w:rPr>
                <w:rFonts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48C911F3">
            <w:pPr>
              <w:widowControl/>
              <w:jc w:val="left"/>
              <w:rPr>
                <w:rFonts w:ascii="宋体" w:hAnsi="宋体" w:cs="宋体"/>
                <w:kern w:val="0"/>
                <w:szCs w:val="21"/>
              </w:rPr>
            </w:pPr>
            <w:r>
              <w:rPr>
                <w:rFonts w:hint="eastAsia" w:ascii="宋体" w:hAnsi="宋体" w:cs="宋体"/>
                <w:kern w:val="0"/>
                <w:szCs w:val="21"/>
              </w:rPr>
              <w:t>《管形荧光灯镇流器能效限定值及能效等级》（GB17896）</w:t>
            </w:r>
          </w:p>
        </w:tc>
      </w:tr>
      <w:tr w14:paraId="4B767573">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14:paraId="5831490F">
            <w:pPr>
              <w:widowControl/>
              <w:jc w:val="center"/>
              <w:rPr>
                <w:rFonts w:ascii="宋体" w:hAnsi="宋体" w:cs="宋体"/>
                <w:kern w:val="0"/>
                <w:szCs w:val="21"/>
              </w:rPr>
            </w:pPr>
            <w:r>
              <w:rPr>
                <w:rFonts w:hint="eastAsia" w:ascii="宋体" w:hAnsi="宋体" w:cs="宋体"/>
                <w:kern w:val="0"/>
                <w:szCs w:val="21"/>
              </w:rPr>
              <w:t>10</w:t>
            </w:r>
          </w:p>
        </w:tc>
        <w:tc>
          <w:tcPr>
            <w:tcW w:w="1080" w:type="dxa"/>
            <w:vMerge w:val="restart"/>
            <w:tcBorders>
              <w:top w:val="nil"/>
              <w:left w:val="single" w:color="000000" w:sz="8" w:space="0"/>
              <w:bottom w:val="single" w:color="000000" w:sz="8" w:space="0"/>
              <w:right w:val="single" w:color="000000" w:sz="8" w:space="0"/>
            </w:tcBorders>
            <w:vAlign w:val="center"/>
          </w:tcPr>
          <w:p w14:paraId="6C02228E">
            <w:pPr>
              <w:widowControl/>
              <w:jc w:val="center"/>
              <w:rPr>
                <w:rFonts w:ascii="宋体" w:hAnsi="宋体" w:cs="宋体"/>
                <w:kern w:val="0"/>
                <w:szCs w:val="21"/>
              </w:rPr>
            </w:pPr>
            <w:r>
              <w:rPr>
                <w:rFonts w:hint="eastAsia" w:ascii="宋体" w:hAnsi="宋体" w:cs="宋体"/>
                <w:kern w:val="0"/>
                <w:szCs w:val="21"/>
              </w:rPr>
              <w:t>A020618生活用电器</w:t>
            </w:r>
          </w:p>
        </w:tc>
        <w:tc>
          <w:tcPr>
            <w:tcW w:w="1320" w:type="dxa"/>
            <w:tcBorders>
              <w:top w:val="nil"/>
              <w:left w:val="nil"/>
              <w:bottom w:val="single" w:color="000000" w:sz="8" w:space="0"/>
              <w:right w:val="single" w:color="000000" w:sz="8" w:space="0"/>
            </w:tcBorders>
            <w:vAlign w:val="center"/>
          </w:tcPr>
          <w:p w14:paraId="289DFDBD">
            <w:pPr>
              <w:widowControl/>
              <w:jc w:val="center"/>
              <w:rPr>
                <w:rFonts w:ascii="宋体" w:hAnsi="宋体" w:cs="宋体"/>
                <w:kern w:val="0"/>
                <w:szCs w:val="21"/>
              </w:rPr>
            </w:pPr>
            <w:r>
              <w:rPr>
                <w:rFonts w:hint="eastAsia" w:ascii="宋体" w:hAnsi="宋体" w:cs="宋体"/>
                <w:kern w:val="0"/>
                <w:szCs w:val="21"/>
              </w:rPr>
              <w:t>A0206180101电冰箱</w:t>
            </w:r>
          </w:p>
        </w:tc>
        <w:tc>
          <w:tcPr>
            <w:tcW w:w="1620" w:type="dxa"/>
            <w:tcBorders>
              <w:top w:val="nil"/>
              <w:left w:val="nil"/>
              <w:bottom w:val="single" w:color="000000" w:sz="8" w:space="0"/>
              <w:right w:val="single" w:color="000000" w:sz="8" w:space="0"/>
            </w:tcBorders>
            <w:vAlign w:val="center"/>
          </w:tcPr>
          <w:p w14:paraId="1237C175">
            <w:pPr>
              <w:widowControl/>
              <w:jc w:val="center"/>
              <w:rPr>
                <w:rFonts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579C3664">
            <w:pPr>
              <w:widowControl/>
              <w:jc w:val="left"/>
              <w:rPr>
                <w:rFonts w:ascii="宋体" w:hAnsi="宋体" w:cs="宋体"/>
                <w:kern w:val="0"/>
                <w:szCs w:val="21"/>
              </w:rPr>
            </w:pPr>
            <w:r>
              <w:rPr>
                <w:rFonts w:hint="eastAsia" w:ascii="宋体" w:hAnsi="宋体" w:cs="宋体"/>
                <w:kern w:val="0"/>
                <w:szCs w:val="21"/>
              </w:rPr>
              <w:t>《家用电冰箱耗电量限定值及能效等级》（GB 12021.2）</w:t>
            </w:r>
          </w:p>
        </w:tc>
      </w:tr>
      <w:tr w14:paraId="57411E38">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vAlign w:val="center"/>
          </w:tcPr>
          <w:p w14:paraId="2487A39C">
            <w:pPr>
              <w:widowControl/>
              <w:jc w:val="left"/>
              <w:rPr>
                <w:rFonts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49551682">
            <w:pPr>
              <w:widowControl/>
              <w:jc w:val="left"/>
              <w:rPr>
                <w:rFonts w:ascii="宋体" w:hAnsi="宋体" w:cs="宋体"/>
                <w:kern w:val="0"/>
                <w:szCs w:val="21"/>
              </w:rPr>
            </w:pPr>
          </w:p>
        </w:tc>
        <w:tc>
          <w:tcPr>
            <w:tcW w:w="1320" w:type="dxa"/>
            <w:vMerge w:val="restart"/>
            <w:tcBorders>
              <w:top w:val="nil"/>
              <w:left w:val="single" w:color="000000" w:sz="8" w:space="0"/>
              <w:bottom w:val="single" w:color="000000" w:sz="8" w:space="0"/>
              <w:right w:val="single" w:color="000000" w:sz="8" w:space="0"/>
            </w:tcBorders>
            <w:vAlign w:val="center"/>
          </w:tcPr>
          <w:p w14:paraId="5BC793B8">
            <w:pPr>
              <w:widowControl/>
              <w:jc w:val="center"/>
              <w:rPr>
                <w:rFonts w:ascii="宋体" w:hAnsi="宋体" w:cs="宋体"/>
                <w:kern w:val="0"/>
                <w:szCs w:val="21"/>
              </w:rPr>
            </w:pPr>
            <w:r>
              <w:rPr>
                <w:rFonts w:hint="eastAsia" w:ascii="宋体" w:hAnsi="宋体" w:cs="宋体"/>
                <w:kern w:val="0"/>
                <w:szCs w:val="21"/>
              </w:rPr>
              <w:t>★A0206180203空调机</w:t>
            </w:r>
          </w:p>
        </w:tc>
        <w:tc>
          <w:tcPr>
            <w:tcW w:w="1620" w:type="dxa"/>
            <w:tcBorders>
              <w:top w:val="nil"/>
              <w:left w:val="nil"/>
              <w:bottom w:val="single" w:color="000000" w:sz="8" w:space="0"/>
              <w:right w:val="single" w:color="000000" w:sz="8" w:space="0"/>
            </w:tcBorders>
            <w:vAlign w:val="center"/>
          </w:tcPr>
          <w:p w14:paraId="78909994">
            <w:pPr>
              <w:widowControl/>
              <w:jc w:val="center"/>
              <w:rPr>
                <w:rFonts w:ascii="宋体" w:hAnsi="宋体" w:cs="宋体"/>
                <w:kern w:val="0"/>
                <w:szCs w:val="21"/>
              </w:rPr>
            </w:pPr>
            <w:r>
              <w:rPr>
                <w:rFonts w:hint="eastAsia" w:ascii="宋体" w:hAnsi="宋体" w:cs="宋体"/>
                <w:kern w:val="0"/>
                <w:szCs w:val="21"/>
              </w:rPr>
              <w:t>房间空气调节器</w:t>
            </w:r>
          </w:p>
        </w:tc>
        <w:tc>
          <w:tcPr>
            <w:tcW w:w="4540" w:type="dxa"/>
            <w:tcBorders>
              <w:top w:val="nil"/>
              <w:left w:val="nil"/>
              <w:bottom w:val="single" w:color="000000" w:sz="8" w:space="0"/>
              <w:right w:val="single" w:color="000000" w:sz="8" w:space="0"/>
            </w:tcBorders>
            <w:vAlign w:val="center"/>
          </w:tcPr>
          <w:p w14:paraId="6A0CA474">
            <w:pPr>
              <w:widowControl/>
              <w:jc w:val="left"/>
              <w:rPr>
                <w:rFonts w:ascii="宋体" w:hAnsi="宋体" w:cs="宋体"/>
                <w:kern w:val="0"/>
                <w:szCs w:val="21"/>
              </w:rPr>
            </w:pPr>
            <w:r>
              <w:rPr>
                <w:rFonts w:hint="eastAsia" w:ascii="宋体" w:hAnsi="宋体" w:cs="宋体"/>
                <w:kern w:val="0"/>
                <w:szCs w:val="21"/>
              </w:rPr>
              <w:t>《转速可控型房间空气调节器能效限定值及能效等级》（GB21455-2013），待2019年修订发布后，按《房间空气调节器能效限定值及能效等级》（GB21455-2019实施。</w:t>
            </w:r>
          </w:p>
        </w:tc>
      </w:tr>
      <w:tr w14:paraId="75B8F88F">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106CC32A">
            <w:pPr>
              <w:widowControl/>
              <w:jc w:val="left"/>
              <w:rPr>
                <w:rFonts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2A0677AA">
            <w:pPr>
              <w:widowControl/>
              <w:jc w:val="left"/>
              <w:rPr>
                <w:rFonts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2EF08A8B">
            <w:pPr>
              <w:widowControl/>
              <w:jc w:val="left"/>
              <w:rPr>
                <w:rFonts w:ascii="宋体" w:hAnsi="宋体" w:cs="宋体"/>
                <w:kern w:val="0"/>
                <w:szCs w:val="21"/>
              </w:rPr>
            </w:pPr>
          </w:p>
        </w:tc>
        <w:tc>
          <w:tcPr>
            <w:tcW w:w="1620" w:type="dxa"/>
            <w:tcBorders>
              <w:top w:val="nil"/>
              <w:left w:val="nil"/>
              <w:bottom w:val="single" w:color="000000" w:sz="8" w:space="0"/>
              <w:right w:val="single" w:color="000000" w:sz="8" w:space="0"/>
            </w:tcBorders>
            <w:vAlign w:val="center"/>
          </w:tcPr>
          <w:p w14:paraId="125E80CF">
            <w:pPr>
              <w:widowControl/>
              <w:jc w:val="center"/>
              <w:rPr>
                <w:rFonts w:ascii="宋体" w:hAnsi="宋体" w:cs="宋体"/>
                <w:kern w:val="0"/>
                <w:szCs w:val="21"/>
              </w:rPr>
            </w:pPr>
            <w:r>
              <w:rPr>
                <w:rFonts w:hint="eastAsia" w:ascii="宋体" w:hAnsi="宋体" w:cs="宋体"/>
                <w:kern w:val="0"/>
                <w:szCs w:val="21"/>
              </w:rPr>
              <w:t>多联式空调（热泵）机组（制冷量≤ 14000W）</w:t>
            </w:r>
          </w:p>
        </w:tc>
        <w:tc>
          <w:tcPr>
            <w:tcW w:w="4540" w:type="dxa"/>
            <w:tcBorders>
              <w:top w:val="nil"/>
              <w:left w:val="nil"/>
              <w:bottom w:val="single" w:color="000000" w:sz="8" w:space="0"/>
              <w:right w:val="single" w:color="000000" w:sz="8" w:space="0"/>
            </w:tcBorders>
            <w:vAlign w:val="center"/>
          </w:tcPr>
          <w:p w14:paraId="7727321E">
            <w:pPr>
              <w:widowControl/>
              <w:jc w:val="left"/>
              <w:rPr>
                <w:rFonts w:ascii="宋体" w:hAnsi="宋体" w:cs="宋体"/>
                <w:kern w:val="0"/>
                <w:szCs w:val="21"/>
              </w:rPr>
            </w:pPr>
            <w:r>
              <w:rPr>
                <w:rFonts w:hint="eastAsia" w:ascii="宋体" w:hAnsi="宋体" w:cs="宋体"/>
                <w:kern w:val="0"/>
                <w:szCs w:val="21"/>
              </w:rPr>
              <w:t>《多联式空调（热泵）机组能效限定值及能源效率等级》（GB21454）</w:t>
            </w:r>
          </w:p>
        </w:tc>
      </w:tr>
      <w:tr w14:paraId="50B23942">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017EFDD1">
            <w:pPr>
              <w:widowControl/>
              <w:jc w:val="left"/>
              <w:rPr>
                <w:rFonts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36C68ACE">
            <w:pPr>
              <w:widowControl/>
              <w:jc w:val="left"/>
              <w:rPr>
                <w:rFonts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733280B9">
            <w:pPr>
              <w:widowControl/>
              <w:jc w:val="left"/>
              <w:rPr>
                <w:rFonts w:ascii="宋体" w:hAnsi="宋体" w:cs="宋体"/>
                <w:kern w:val="0"/>
                <w:szCs w:val="21"/>
              </w:rPr>
            </w:pPr>
          </w:p>
        </w:tc>
        <w:tc>
          <w:tcPr>
            <w:tcW w:w="1620" w:type="dxa"/>
            <w:tcBorders>
              <w:top w:val="nil"/>
              <w:left w:val="nil"/>
              <w:bottom w:val="single" w:color="000000" w:sz="8" w:space="0"/>
              <w:right w:val="single" w:color="000000" w:sz="8" w:space="0"/>
            </w:tcBorders>
            <w:vAlign w:val="center"/>
          </w:tcPr>
          <w:p w14:paraId="67F83DB1">
            <w:pPr>
              <w:widowControl/>
              <w:jc w:val="center"/>
              <w:rPr>
                <w:rFonts w:ascii="宋体" w:hAnsi="宋体" w:cs="宋体"/>
                <w:kern w:val="0"/>
                <w:szCs w:val="21"/>
              </w:rPr>
            </w:pPr>
            <w:r>
              <w:rPr>
                <w:rFonts w:hint="eastAsia" w:ascii="宋体" w:hAnsi="宋体" w:cs="宋体"/>
                <w:kern w:val="0"/>
                <w:szCs w:val="21"/>
              </w:rPr>
              <w:t>单元式空气调节机(制冷量≤14000W)</w:t>
            </w:r>
          </w:p>
        </w:tc>
        <w:tc>
          <w:tcPr>
            <w:tcW w:w="4540" w:type="dxa"/>
            <w:tcBorders>
              <w:top w:val="nil"/>
              <w:left w:val="nil"/>
              <w:bottom w:val="single" w:color="000000" w:sz="8" w:space="0"/>
              <w:right w:val="single" w:color="000000" w:sz="8" w:space="0"/>
            </w:tcBorders>
            <w:vAlign w:val="center"/>
          </w:tcPr>
          <w:p w14:paraId="3B7E4EE1">
            <w:pPr>
              <w:widowControl/>
              <w:jc w:val="left"/>
              <w:rPr>
                <w:rFonts w:ascii="宋体" w:hAnsi="宋体" w:cs="宋体"/>
                <w:kern w:val="0"/>
                <w:szCs w:val="21"/>
              </w:rPr>
            </w:pPr>
            <w:r>
              <w:rPr>
                <w:rFonts w:hint="eastAsia" w:ascii="宋体" w:hAnsi="宋体" w:cs="宋体"/>
                <w:kern w:val="0"/>
                <w:szCs w:val="21"/>
              </w:rPr>
              <w:t>《单元式空气调节机能效限定值及能源效率等级》（GB19576）《风管送风式空调机组能效限定值及能效等级》（GB37479）</w:t>
            </w:r>
          </w:p>
        </w:tc>
      </w:tr>
      <w:tr w14:paraId="28695B85">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356AF53A">
            <w:pPr>
              <w:widowControl/>
              <w:jc w:val="left"/>
              <w:rPr>
                <w:rFonts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08B5AD7E">
            <w:pPr>
              <w:widowControl/>
              <w:jc w:val="left"/>
              <w:rPr>
                <w:rFonts w:ascii="宋体" w:hAnsi="宋体" w:cs="宋体"/>
                <w:kern w:val="0"/>
                <w:szCs w:val="21"/>
              </w:rPr>
            </w:pPr>
          </w:p>
        </w:tc>
        <w:tc>
          <w:tcPr>
            <w:tcW w:w="1320" w:type="dxa"/>
            <w:tcBorders>
              <w:top w:val="nil"/>
              <w:left w:val="nil"/>
              <w:bottom w:val="single" w:color="000000" w:sz="8" w:space="0"/>
              <w:right w:val="single" w:color="000000" w:sz="8" w:space="0"/>
            </w:tcBorders>
            <w:vAlign w:val="center"/>
          </w:tcPr>
          <w:p w14:paraId="196F9E0D">
            <w:pPr>
              <w:widowControl/>
              <w:jc w:val="center"/>
              <w:rPr>
                <w:rFonts w:ascii="宋体" w:hAnsi="宋体" w:cs="宋体"/>
                <w:kern w:val="0"/>
                <w:szCs w:val="21"/>
              </w:rPr>
            </w:pPr>
            <w:r>
              <w:rPr>
                <w:rFonts w:hint="eastAsia" w:ascii="宋体" w:hAnsi="宋体" w:cs="宋体"/>
                <w:kern w:val="0"/>
                <w:szCs w:val="21"/>
              </w:rPr>
              <w:t>A0206180301洗衣机</w:t>
            </w:r>
          </w:p>
        </w:tc>
        <w:tc>
          <w:tcPr>
            <w:tcW w:w="1620" w:type="dxa"/>
            <w:tcBorders>
              <w:top w:val="nil"/>
              <w:left w:val="nil"/>
              <w:bottom w:val="single" w:color="000000" w:sz="8" w:space="0"/>
              <w:right w:val="single" w:color="000000" w:sz="8" w:space="0"/>
            </w:tcBorders>
            <w:vAlign w:val="center"/>
          </w:tcPr>
          <w:p w14:paraId="775F1DA9">
            <w:pPr>
              <w:widowControl/>
              <w:jc w:val="center"/>
              <w:rPr>
                <w:rFonts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3D10A00D">
            <w:pPr>
              <w:widowControl/>
              <w:jc w:val="left"/>
              <w:rPr>
                <w:rFonts w:ascii="宋体" w:hAnsi="宋体" w:cs="宋体"/>
                <w:kern w:val="0"/>
                <w:szCs w:val="21"/>
              </w:rPr>
            </w:pPr>
            <w:r>
              <w:rPr>
                <w:rFonts w:hint="eastAsia" w:ascii="宋体" w:hAnsi="宋体" w:cs="宋体"/>
                <w:kern w:val="0"/>
                <w:szCs w:val="21"/>
              </w:rPr>
              <w:t>《电动洗衣机能效水效限定值及等级》（GB12021.4）</w:t>
            </w:r>
          </w:p>
        </w:tc>
      </w:tr>
      <w:tr w14:paraId="1F64D4AA">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60DAEB88">
            <w:pPr>
              <w:widowControl/>
              <w:jc w:val="left"/>
              <w:rPr>
                <w:rFonts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2ED2E7FB">
            <w:pPr>
              <w:widowControl/>
              <w:jc w:val="left"/>
              <w:rPr>
                <w:rFonts w:ascii="宋体" w:hAnsi="宋体" w:cs="宋体"/>
                <w:kern w:val="0"/>
                <w:szCs w:val="21"/>
              </w:rPr>
            </w:pPr>
          </w:p>
        </w:tc>
        <w:tc>
          <w:tcPr>
            <w:tcW w:w="1320" w:type="dxa"/>
            <w:vMerge w:val="restart"/>
            <w:tcBorders>
              <w:top w:val="nil"/>
              <w:left w:val="single" w:color="000000" w:sz="8" w:space="0"/>
              <w:bottom w:val="single" w:color="000000" w:sz="8" w:space="0"/>
              <w:right w:val="single" w:color="000000" w:sz="8" w:space="0"/>
            </w:tcBorders>
            <w:vAlign w:val="center"/>
          </w:tcPr>
          <w:p w14:paraId="733B5DA8">
            <w:pPr>
              <w:widowControl/>
              <w:jc w:val="center"/>
              <w:rPr>
                <w:rFonts w:ascii="宋体" w:hAnsi="宋体" w:cs="宋体"/>
                <w:kern w:val="0"/>
                <w:szCs w:val="21"/>
              </w:rPr>
            </w:pPr>
            <w:r>
              <w:rPr>
                <w:rFonts w:hint="eastAsia" w:ascii="宋体" w:hAnsi="宋体" w:cs="宋体"/>
                <w:kern w:val="0"/>
                <w:szCs w:val="21"/>
              </w:rPr>
              <w:t>A02061808热水器</w:t>
            </w:r>
          </w:p>
        </w:tc>
        <w:tc>
          <w:tcPr>
            <w:tcW w:w="1620" w:type="dxa"/>
            <w:tcBorders>
              <w:top w:val="nil"/>
              <w:left w:val="nil"/>
              <w:bottom w:val="single" w:color="000000" w:sz="8" w:space="0"/>
              <w:right w:val="single" w:color="000000" w:sz="8" w:space="0"/>
            </w:tcBorders>
            <w:vAlign w:val="center"/>
          </w:tcPr>
          <w:p w14:paraId="35C6CAD2">
            <w:pPr>
              <w:widowControl/>
              <w:jc w:val="center"/>
              <w:rPr>
                <w:rFonts w:ascii="宋体" w:hAnsi="宋体" w:cs="宋体"/>
                <w:kern w:val="0"/>
                <w:szCs w:val="21"/>
              </w:rPr>
            </w:pPr>
            <w:r>
              <w:rPr>
                <w:rFonts w:hint="eastAsia" w:ascii="宋体" w:hAnsi="宋体" w:cs="宋体"/>
                <w:kern w:val="0"/>
                <w:szCs w:val="21"/>
              </w:rPr>
              <w:t>★电热水器</w:t>
            </w:r>
          </w:p>
        </w:tc>
        <w:tc>
          <w:tcPr>
            <w:tcW w:w="4540" w:type="dxa"/>
            <w:tcBorders>
              <w:top w:val="nil"/>
              <w:left w:val="nil"/>
              <w:bottom w:val="single" w:color="000000" w:sz="8" w:space="0"/>
              <w:right w:val="single" w:color="000000" w:sz="8" w:space="0"/>
            </w:tcBorders>
            <w:vAlign w:val="center"/>
          </w:tcPr>
          <w:p w14:paraId="02FD96D2">
            <w:pPr>
              <w:widowControl/>
              <w:jc w:val="left"/>
              <w:rPr>
                <w:rFonts w:ascii="宋体" w:hAnsi="宋体" w:cs="宋体"/>
                <w:kern w:val="0"/>
                <w:szCs w:val="21"/>
              </w:rPr>
            </w:pPr>
            <w:r>
              <w:rPr>
                <w:rFonts w:hint="eastAsia" w:ascii="宋体" w:hAnsi="宋体" w:cs="宋体"/>
                <w:kern w:val="0"/>
                <w:szCs w:val="21"/>
              </w:rPr>
              <w:t>《储水式电热水器能效限定值及能效等级》（GB21519）</w:t>
            </w:r>
          </w:p>
        </w:tc>
      </w:tr>
      <w:tr w14:paraId="2792725A">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0D0ED97F">
            <w:pPr>
              <w:widowControl/>
              <w:jc w:val="left"/>
              <w:rPr>
                <w:rFonts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7D9DD977">
            <w:pPr>
              <w:widowControl/>
              <w:jc w:val="left"/>
              <w:rPr>
                <w:rFonts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02610F2C">
            <w:pPr>
              <w:widowControl/>
              <w:jc w:val="left"/>
              <w:rPr>
                <w:rFonts w:ascii="宋体" w:hAnsi="宋体" w:cs="宋体"/>
                <w:kern w:val="0"/>
                <w:szCs w:val="21"/>
              </w:rPr>
            </w:pPr>
          </w:p>
        </w:tc>
        <w:tc>
          <w:tcPr>
            <w:tcW w:w="1620" w:type="dxa"/>
            <w:tcBorders>
              <w:top w:val="nil"/>
              <w:left w:val="nil"/>
              <w:bottom w:val="single" w:color="000000" w:sz="8" w:space="0"/>
              <w:right w:val="single" w:color="000000" w:sz="8" w:space="0"/>
            </w:tcBorders>
            <w:vAlign w:val="center"/>
          </w:tcPr>
          <w:p w14:paraId="7D150627">
            <w:pPr>
              <w:widowControl/>
              <w:jc w:val="center"/>
              <w:rPr>
                <w:rFonts w:ascii="宋体" w:hAnsi="宋体" w:cs="宋体"/>
                <w:kern w:val="0"/>
                <w:szCs w:val="21"/>
              </w:rPr>
            </w:pPr>
            <w:r>
              <w:rPr>
                <w:rFonts w:hint="eastAsia" w:ascii="宋体" w:hAnsi="宋体" w:cs="宋体"/>
                <w:kern w:val="0"/>
                <w:szCs w:val="21"/>
              </w:rPr>
              <w:t>燃气热水器</w:t>
            </w:r>
          </w:p>
        </w:tc>
        <w:tc>
          <w:tcPr>
            <w:tcW w:w="4540" w:type="dxa"/>
            <w:tcBorders>
              <w:top w:val="nil"/>
              <w:left w:val="nil"/>
              <w:bottom w:val="single" w:color="000000" w:sz="8" w:space="0"/>
              <w:right w:val="single" w:color="000000" w:sz="8" w:space="0"/>
            </w:tcBorders>
            <w:vAlign w:val="center"/>
          </w:tcPr>
          <w:p w14:paraId="03A2AC2D">
            <w:pPr>
              <w:widowControl/>
              <w:jc w:val="left"/>
              <w:rPr>
                <w:rFonts w:ascii="宋体" w:hAnsi="宋体" w:cs="宋体"/>
                <w:kern w:val="0"/>
                <w:szCs w:val="21"/>
              </w:rPr>
            </w:pPr>
            <w:r>
              <w:rPr>
                <w:rFonts w:hint="eastAsia" w:ascii="宋体" w:hAnsi="宋体" w:cs="宋体"/>
                <w:kern w:val="0"/>
                <w:szCs w:val="21"/>
              </w:rPr>
              <w:t>《家用燃气快速热水器和燃气采暖热水炉能效限定值及能效等级》（GB20665）</w:t>
            </w:r>
          </w:p>
        </w:tc>
      </w:tr>
      <w:tr w14:paraId="133CCBFD">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5F25C78D">
            <w:pPr>
              <w:widowControl/>
              <w:jc w:val="left"/>
              <w:rPr>
                <w:rFonts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40FB8FDA">
            <w:pPr>
              <w:widowControl/>
              <w:jc w:val="left"/>
              <w:rPr>
                <w:rFonts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4735FBAA">
            <w:pPr>
              <w:widowControl/>
              <w:jc w:val="left"/>
              <w:rPr>
                <w:rFonts w:ascii="宋体" w:hAnsi="宋体" w:cs="宋体"/>
                <w:kern w:val="0"/>
                <w:szCs w:val="21"/>
              </w:rPr>
            </w:pPr>
          </w:p>
        </w:tc>
        <w:tc>
          <w:tcPr>
            <w:tcW w:w="1620" w:type="dxa"/>
            <w:tcBorders>
              <w:top w:val="nil"/>
              <w:left w:val="nil"/>
              <w:bottom w:val="single" w:color="000000" w:sz="8" w:space="0"/>
              <w:right w:val="single" w:color="000000" w:sz="8" w:space="0"/>
            </w:tcBorders>
            <w:vAlign w:val="center"/>
          </w:tcPr>
          <w:p w14:paraId="0B547C9C">
            <w:pPr>
              <w:widowControl/>
              <w:jc w:val="center"/>
              <w:rPr>
                <w:rFonts w:ascii="宋体" w:hAnsi="宋体" w:cs="宋体"/>
                <w:kern w:val="0"/>
                <w:szCs w:val="21"/>
              </w:rPr>
            </w:pPr>
            <w:r>
              <w:rPr>
                <w:rFonts w:hint="eastAsia" w:ascii="宋体" w:hAnsi="宋体" w:cs="宋体"/>
                <w:kern w:val="0"/>
                <w:szCs w:val="21"/>
              </w:rPr>
              <w:t>热泵热水器</w:t>
            </w:r>
          </w:p>
        </w:tc>
        <w:tc>
          <w:tcPr>
            <w:tcW w:w="4540" w:type="dxa"/>
            <w:tcBorders>
              <w:top w:val="nil"/>
              <w:left w:val="nil"/>
              <w:bottom w:val="single" w:color="000000" w:sz="8" w:space="0"/>
              <w:right w:val="single" w:color="000000" w:sz="8" w:space="0"/>
            </w:tcBorders>
            <w:vAlign w:val="center"/>
          </w:tcPr>
          <w:p w14:paraId="43ECE2F5">
            <w:pPr>
              <w:widowControl/>
              <w:jc w:val="left"/>
              <w:rPr>
                <w:rFonts w:ascii="宋体" w:hAnsi="宋体" w:cs="宋体"/>
                <w:kern w:val="0"/>
                <w:szCs w:val="21"/>
              </w:rPr>
            </w:pPr>
            <w:r>
              <w:rPr>
                <w:rFonts w:hint="eastAsia" w:ascii="宋体" w:hAnsi="宋体" w:cs="宋体"/>
                <w:kern w:val="0"/>
                <w:szCs w:val="21"/>
              </w:rPr>
              <w:t>《热泵热水机（器）能效限定值及能效等级》（GB29541）</w:t>
            </w:r>
          </w:p>
        </w:tc>
      </w:tr>
      <w:tr w14:paraId="6B494F6F">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3CB1C978">
            <w:pPr>
              <w:widowControl/>
              <w:jc w:val="left"/>
              <w:rPr>
                <w:rFonts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6AB811D6">
            <w:pPr>
              <w:widowControl/>
              <w:jc w:val="left"/>
              <w:rPr>
                <w:rFonts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4C5EAF01">
            <w:pPr>
              <w:widowControl/>
              <w:jc w:val="left"/>
              <w:rPr>
                <w:rFonts w:ascii="宋体" w:hAnsi="宋体" w:cs="宋体"/>
                <w:kern w:val="0"/>
                <w:szCs w:val="21"/>
              </w:rPr>
            </w:pPr>
          </w:p>
        </w:tc>
        <w:tc>
          <w:tcPr>
            <w:tcW w:w="1620" w:type="dxa"/>
            <w:tcBorders>
              <w:top w:val="nil"/>
              <w:left w:val="nil"/>
              <w:bottom w:val="single" w:color="000000" w:sz="8" w:space="0"/>
              <w:right w:val="single" w:color="000000" w:sz="8" w:space="0"/>
            </w:tcBorders>
            <w:vAlign w:val="center"/>
          </w:tcPr>
          <w:p w14:paraId="24CCB37B">
            <w:pPr>
              <w:widowControl/>
              <w:jc w:val="center"/>
              <w:rPr>
                <w:rFonts w:ascii="宋体" w:hAnsi="宋体" w:cs="宋体"/>
                <w:kern w:val="0"/>
                <w:szCs w:val="21"/>
              </w:rPr>
            </w:pPr>
            <w:r>
              <w:rPr>
                <w:rFonts w:hint="eastAsia" w:ascii="宋体" w:hAnsi="宋体" w:cs="宋体"/>
                <w:kern w:val="0"/>
                <w:szCs w:val="21"/>
              </w:rPr>
              <w:t>太阳能热水系统</w:t>
            </w:r>
          </w:p>
        </w:tc>
        <w:tc>
          <w:tcPr>
            <w:tcW w:w="4540" w:type="dxa"/>
            <w:tcBorders>
              <w:top w:val="nil"/>
              <w:left w:val="nil"/>
              <w:bottom w:val="single" w:color="000000" w:sz="8" w:space="0"/>
              <w:right w:val="single" w:color="000000" w:sz="8" w:space="0"/>
            </w:tcBorders>
            <w:vAlign w:val="center"/>
          </w:tcPr>
          <w:p w14:paraId="7164478A">
            <w:pPr>
              <w:widowControl/>
              <w:jc w:val="left"/>
              <w:rPr>
                <w:rFonts w:ascii="宋体" w:hAnsi="宋体" w:cs="宋体"/>
                <w:kern w:val="0"/>
                <w:szCs w:val="21"/>
              </w:rPr>
            </w:pPr>
            <w:r>
              <w:rPr>
                <w:rFonts w:hint="eastAsia" w:ascii="宋体" w:hAnsi="宋体" w:cs="宋体"/>
                <w:kern w:val="0"/>
                <w:szCs w:val="21"/>
              </w:rPr>
              <w:t>《家用太阳能热水系统能效限定值及能效等级》（GB26969）</w:t>
            </w:r>
          </w:p>
        </w:tc>
      </w:tr>
      <w:tr w14:paraId="13942702">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14:paraId="0F9FCCE9">
            <w:pPr>
              <w:widowControl/>
              <w:jc w:val="center"/>
              <w:rPr>
                <w:rFonts w:ascii="宋体" w:hAnsi="宋体" w:cs="宋体"/>
                <w:kern w:val="0"/>
                <w:szCs w:val="21"/>
              </w:rPr>
            </w:pPr>
            <w:r>
              <w:rPr>
                <w:rFonts w:hint="eastAsia" w:ascii="宋体" w:hAnsi="宋体" w:cs="宋体"/>
                <w:kern w:val="0"/>
                <w:szCs w:val="21"/>
              </w:rPr>
              <w:t>11</w:t>
            </w:r>
          </w:p>
        </w:tc>
        <w:tc>
          <w:tcPr>
            <w:tcW w:w="1080" w:type="dxa"/>
            <w:vMerge w:val="restart"/>
            <w:tcBorders>
              <w:top w:val="nil"/>
              <w:left w:val="single" w:color="000000" w:sz="8" w:space="0"/>
              <w:bottom w:val="single" w:color="000000" w:sz="8" w:space="0"/>
              <w:right w:val="single" w:color="000000" w:sz="8" w:space="0"/>
            </w:tcBorders>
            <w:vAlign w:val="center"/>
          </w:tcPr>
          <w:p w14:paraId="5DEB0B2A">
            <w:pPr>
              <w:widowControl/>
              <w:jc w:val="center"/>
              <w:rPr>
                <w:rFonts w:ascii="宋体" w:hAnsi="宋体" w:cs="宋体"/>
                <w:kern w:val="0"/>
                <w:szCs w:val="21"/>
              </w:rPr>
            </w:pPr>
            <w:r>
              <w:rPr>
                <w:rFonts w:hint="eastAsia" w:ascii="宋体" w:hAnsi="宋体" w:cs="宋体"/>
                <w:kern w:val="0"/>
                <w:szCs w:val="21"/>
              </w:rPr>
              <w:t>A020619照明设备</w:t>
            </w:r>
          </w:p>
        </w:tc>
        <w:tc>
          <w:tcPr>
            <w:tcW w:w="1320" w:type="dxa"/>
            <w:tcBorders>
              <w:top w:val="nil"/>
              <w:left w:val="nil"/>
              <w:bottom w:val="single" w:color="000000" w:sz="8" w:space="0"/>
              <w:right w:val="single" w:color="000000" w:sz="8" w:space="0"/>
            </w:tcBorders>
            <w:vAlign w:val="center"/>
          </w:tcPr>
          <w:p w14:paraId="6B474532">
            <w:pPr>
              <w:widowControl/>
              <w:jc w:val="center"/>
              <w:rPr>
                <w:rFonts w:ascii="宋体" w:hAnsi="宋体" w:cs="宋体"/>
                <w:kern w:val="0"/>
                <w:szCs w:val="21"/>
              </w:rPr>
            </w:pPr>
            <w:r>
              <w:rPr>
                <w:rFonts w:hint="eastAsia" w:ascii="宋体" w:hAnsi="宋体" w:cs="宋体"/>
                <w:kern w:val="0"/>
                <w:szCs w:val="21"/>
              </w:rPr>
              <w:t>★普通照明用双端荧光灯</w:t>
            </w:r>
          </w:p>
        </w:tc>
        <w:tc>
          <w:tcPr>
            <w:tcW w:w="1620" w:type="dxa"/>
            <w:tcBorders>
              <w:top w:val="nil"/>
              <w:left w:val="nil"/>
              <w:bottom w:val="single" w:color="000000" w:sz="8" w:space="0"/>
              <w:right w:val="single" w:color="000000" w:sz="8" w:space="0"/>
            </w:tcBorders>
            <w:vAlign w:val="center"/>
          </w:tcPr>
          <w:p w14:paraId="0EFCC7A5">
            <w:pPr>
              <w:widowControl/>
              <w:jc w:val="center"/>
              <w:rPr>
                <w:rFonts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17ACCF4D">
            <w:pPr>
              <w:widowControl/>
              <w:jc w:val="left"/>
              <w:rPr>
                <w:rFonts w:ascii="宋体" w:hAnsi="宋体" w:cs="宋体"/>
                <w:kern w:val="0"/>
                <w:szCs w:val="21"/>
              </w:rPr>
            </w:pPr>
            <w:r>
              <w:rPr>
                <w:rFonts w:hint="eastAsia" w:ascii="宋体" w:hAnsi="宋体" w:cs="宋体"/>
                <w:kern w:val="0"/>
                <w:szCs w:val="21"/>
              </w:rPr>
              <w:t>《普通照明用双端荧光灯能效限定值及能效等级》（GB19043）</w:t>
            </w:r>
          </w:p>
        </w:tc>
      </w:tr>
      <w:tr w14:paraId="3A61A8D4">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7FA54052">
            <w:pPr>
              <w:widowControl/>
              <w:jc w:val="left"/>
              <w:rPr>
                <w:rFonts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6FD4D509">
            <w:pPr>
              <w:widowControl/>
              <w:jc w:val="left"/>
              <w:rPr>
                <w:rFonts w:ascii="宋体" w:hAnsi="宋体" w:cs="宋体"/>
                <w:kern w:val="0"/>
                <w:szCs w:val="21"/>
              </w:rPr>
            </w:pPr>
          </w:p>
        </w:tc>
        <w:tc>
          <w:tcPr>
            <w:tcW w:w="1320" w:type="dxa"/>
            <w:tcBorders>
              <w:top w:val="nil"/>
              <w:left w:val="nil"/>
              <w:bottom w:val="single" w:color="000000" w:sz="8" w:space="0"/>
              <w:right w:val="single" w:color="000000" w:sz="8" w:space="0"/>
            </w:tcBorders>
            <w:vAlign w:val="center"/>
          </w:tcPr>
          <w:p w14:paraId="5F11026C">
            <w:pPr>
              <w:widowControl/>
              <w:jc w:val="center"/>
              <w:rPr>
                <w:rFonts w:ascii="宋体" w:hAnsi="宋体" w:cs="宋体"/>
                <w:kern w:val="0"/>
                <w:szCs w:val="21"/>
              </w:rPr>
            </w:pPr>
            <w:r>
              <w:rPr>
                <w:rFonts w:hint="eastAsia" w:ascii="宋体" w:hAnsi="宋体" w:cs="宋体"/>
                <w:kern w:val="0"/>
                <w:szCs w:val="21"/>
              </w:rPr>
              <w:t>LED道路/隧道照明产品</w:t>
            </w:r>
          </w:p>
        </w:tc>
        <w:tc>
          <w:tcPr>
            <w:tcW w:w="1620" w:type="dxa"/>
            <w:tcBorders>
              <w:top w:val="nil"/>
              <w:left w:val="nil"/>
              <w:bottom w:val="single" w:color="000000" w:sz="8" w:space="0"/>
              <w:right w:val="single" w:color="000000" w:sz="8" w:space="0"/>
            </w:tcBorders>
            <w:vAlign w:val="center"/>
          </w:tcPr>
          <w:p w14:paraId="60F11D66">
            <w:pPr>
              <w:widowControl/>
              <w:jc w:val="center"/>
              <w:rPr>
                <w:rFonts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45AA97E8">
            <w:pPr>
              <w:widowControl/>
              <w:jc w:val="left"/>
              <w:rPr>
                <w:rFonts w:ascii="宋体" w:hAnsi="宋体" w:cs="宋体"/>
                <w:kern w:val="0"/>
                <w:szCs w:val="21"/>
              </w:rPr>
            </w:pPr>
            <w:r>
              <w:rPr>
                <w:rFonts w:hint="eastAsia" w:ascii="宋体" w:hAnsi="宋体" w:cs="宋体"/>
                <w:kern w:val="0"/>
                <w:szCs w:val="21"/>
              </w:rPr>
              <w:t>《道路和隧道照明用LED灯具能效限定值及能效等级》（GB37478）</w:t>
            </w:r>
          </w:p>
        </w:tc>
      </w:tr>
      <w:tr w14:paraId="06898481">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6BA40C13">
            <w:pPr>
              <w:widowControl/>
              <w:jc w:val="left"/>
              <w:rPr>
                <w:rFonts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3BB19DB2">
            <w:pPr>
              <w:widowControl/>
              <w:jc w:val="left"/>
              <w:rPr>
                <w:rFonts w:ascii="宋体" w:hAnsi="宋体" w:cs="宋体"/>
                <w:kern w:val="0"/>
                <w:szCs w:val="21"/>
              </w:rPr>
            </w:pPr>
          </w:p>
        </w:tc>
        <w:tc>
          <w:tcPr>
            <w:tcW w:w="1320" w:type="dxa"/>
            <w:tcBorders>
              <w:top w:val="nil"/>
              <w:left w:val="nil"/>
              <w:bottom w:val="single" w:color="000000" w:sz="8" w:space="0"/>
              <w:right w:val="single" w:color="000000" w:sz="8" w:space="0"/>
            </w:tcBorders>
            <w:vAlign w:val="center"/>
          </w:tcPr>
          <w:p w14:paraId="634D28AD">
            <w:pPr>
              <w:widowControl/>
              <w:jc w:val="center"/>
              <w:rPr>
                <w:rFonts w:ascii="宋体" w:hAnsi="宋体" w:cs="宋体"/>
                <w:kern w:val="0"/>
                <w:szCs w:val="21"/>
              </w:rPr>
            </w:pPr>
            <w:r>
              <w:rPr>
                <w:rFonts w:hint="eastAsia" w:ascii="宋体" w:hAnsi="宋体" w:cs="宋体"/>
                <w:kern w:val="0"/>
                <w:szCs w:val="21"/>
              </w:rPr>
              <w:t>LED筒灯</w:t>
            </w:r>
          </w:p>
        </w:tc>
        <w:tc>
          <w:tcPr>
            <w:tcW w:w="1620" w:type="dxa"/>
            <w:tcBorders>
              <w:top w:val="nil"/>
              <w:left w:val="nil"/>
              <w:bottom w:val="single" w:color="000000" w:sz="8" w:space="0"/>
              <w:right w:val="single" w:color="000000" w:sz="8" w:space="0"/>
            </w:tcBorders>
            <w:vAlign w:val="center"/>
          </w:tcPr>
          <w:p w14:paraId="45E43E58">
            <w:pPr>
              <w:widowControl/>
              <w:jc w:val="center"/>
              <w:rPr>
                <w:rFonts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7AAFDA8D">
            <w:pPr>
              <w:widowControl/>
              <w:jc w:val="left"/>
              <w:rPr>
                <w:rFonts w:ascii="宋体" w:hAnsi="宋体" w:cs="宋体"/>
                <w:kern w:val="0"/>
                <w:szCs w:val="21"/>
              </w:rPr>
            </w:pPr>
            <w:r>
              <w:rPr>
                <w:rFonts w:hint="eastAsia" w:ascii="宋体" w:hAnsi="宋体" w:cs="宋体"/>
                <w:kern w:val="0"/>
                <w:szCs w:val="21"/>
              </w:rPr>
              <w:t>《室内照明用LED产品能效限定值及能效等级》（GB30255）</w:t>
            </w:r>
          </w:p>
        </w:tc>
      </w:tr>
      <w:tr w14:paraId="15ECE1CF">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3C06A48B">
            <w:pPr>
              <w:widowControl/>
              <w:jc w:val="left"/>
              <w:rPr>
                <w:rFonts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4D3C0EC2">
            <w:pPr>
              <w:widowControl/>
              <w:jc w:val="left"/>
              <w:rPr>
                <w:rFonts w:ascii="宋体" w:hAnsi="宋体" w:cs="宋体"/>
                <w:kern w:val="0"/>
                <w:szCs w:val="21"/>
              </w:rPr>
            </w:pPr>
          </w:p>
        </w:tc>
        <w:tc>
          <w:tcPr>
            <w:tcW w:w="1320" w:type="dxa"/>
            <w:tcBorders>
              <w:top w:val="nil"/>
              <w:left w:val="nil"/>
              <w:bottom w:val="single" w:color="000000" w:sz="8" w:space="0"/>
              <w:right w:val="single" w:color="000000" w:sz="8" w:space="0"/>
            </w:tcBorders>
            <w:vAlign w:val="center"/>
          </w:tcPr>
          <w:p w14:paraId="42AB8ACA">
            <w:pPr>
              <w:widowControl/>
              <w:jc w:val="center"/>
              <w:rPr>
                <w:rFonts w:ascii="宋体" w:hAnsi="宋体" w:cs="宋体"/>
                <w:kern w:val="0"/>
                <w:szCs w:val="21"/>
              </w:rPr>
            </w:pPr>
            <w:r>
              <w:rPr>
                <w:rFonts w:hint="eastAsia" w:ascii="宋体" w:hAnsi="宋体" w:cs="宋体"/>
                <w:kern w:val="0"/>
                <w:szCs w:val="21"/>
              </w:rPr>
              <w:t>普通照明用非定向自镇流LED灯</w:t>
            </w:r>
          </w:p>
        </w:tc>
        <w:tc>
          <w:tcPr>
            <w:tcW w:w="1620" w:type="dxa"/>
            <w:tcBorders>
              <w:top w:val="nil"/>
              <w:left w:val="nil"/>
              <w:bottom w:val="single" w:color="000000" w:sz="8" w:space="0"/>
              <w:right w:val="single" w:color="000000" w:sz="8" w:space="0"/>
            </w:tcBorders>
            <w:vAlign w:val="center"/>
          </w:tcPr>
          <w:p w14:paraId="08217CF9">
            <w:pPr>
              <w:widowControl/>
              <w:jc w:val="center"/>
              <w:rPr>
                <w:rFonts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0E33A83B">
            <w:pPr>
              <w:widowControl/>
              <w:jc w:val="left"/>
              <w:rPr>
                <w:rFonts w:ascii="宋体" w:hAnsi="宋体" w:cs="宋体"/>
                <w:kern w:val="0"/>
                <w:szCs w:val="21"/>
              </w:rPr>
            </w:pPr>
            <w:r>
              <w:rPr>
                <w:rFonts w:hint="eastAsia" w:ascii="宋体" w:hAnsi="宋体" w:cs="宋体"/>
                <w:kern w:val="0"/>
                <w:szCs w:val="21"/>
              </w:rPr>
              <w:t>《室内照明用LED产品能效限定值及能效等级》（GB30255）</w:t>
            </w:r>
          </w:p>
        </w:tc>
      </w:tr>
      <w:tr w14:paraId="7B946323">
        <w:tblPrEx>
          <w:tblCellMar>
            <w:top w:w="0" w:type="dxa"/>
            <w:left w:w="108" w:type="dxa"/>
            <w:bottom w:w="0" w:type="dxa"/>
            <w:right w:w="108" w:type="dxa"/>
          </w:tblCellMar>
        </w:tblPrEx>
        <w:trPr>
          <w:trHeight w:val="735" w:hRule="atLeast"/>
        </w:trPr>
        <w:tc>
          <w:tcPr>
            <w:tcW w:w="660" w:type="dxa"/>
            <w:tcBorders>
              <w:top w:val="nil"/>
              <w:left w:val="single" w:color="000000" w:sz="8" w:space="0"/>
              <w:bottom w:val="single" w:color="000000" w:sz="8" w:space="0"/>
              <w:right w:val="single" w:color="000000" w:sz="8" w:space="0"/>
            </w:tcBorders>
            <w:vAlign w:val="center"/>
          </w:tcPr>
          <w:p w14:paraId="2B3F285B">
            <w:pPr>
              <w:widowControl/>
              <w:jc w:val="center"/>
              <w:rPr>
                <w:rFonts w:ascii="宋体" w:hAnsi="宋体" w:cs="宋体"/>
                <w:kern w:val="0"/>
                <w:szCs w:val="21"/>
              </w:rPr>
            </w:pPr>
            <w:r>
              <w:rPr>
                <w:rFonts w:hint="eastAsia" w:ascii="宋体" w:hAnsi="宋体" w:cs="宋体"/>
                <w:kern w:val="0"/>
                <w:szCs w:val="21"/>
              </w:rPr>
              <w:t>12</w:t>
            </w:r>
          </w:p>
        </w:tc>
        <w:tc>
          <w:tcPr>
            <w:tcW w:w="1080" w:type="dxa"/>
            <w:tcBorders>
              <w:top w:val="nil"/>
              <w:left w:val="nil"/>
              <w:bottom w:val="single" w:color="000000" w:sz="8" w:space="0"/>
              <w:right w:val="single" w:color="000000" w:sz="8" w:space="0"/>
            </w:tcBorders>
            <w:vAlign w:val="center"/>
          </w:tcPr>
          <w:p w14:paraId="6787A753">
            <w:pPr>
              <w:widowControl/>
              <w:jc w:val="center"/>
              <w:rPr>
                <w:rFonts w:ascii="宋体" w:hAnsi="宋体" w:cs="宋体"/>
                <w:kern w:val="0"/>
                <w:szCs w:val="21"/>
              </w:rPr>
            </w:pPr>
            <w:r>
              <w:rPr>
                <w:rFonts w:hint="eastAsia" w:ascii="宋体" w:hAnsi="宋体" w:cs="宋体"/>
                <w:kern w:val="0"/>
                <w:szCs w:val="21"/>
              </w:rPr>
              <w:t>★A020910电视设备</w:t>
            </w:r>
          </w:p>
        </w:tc>
        <w:tc>
          <w:tcPr>
            <w:tcW w:w="1320" w:type="dxa"/>
            <w:tcBorders>
              <w:top w:val="nil"/>
              <w:left w:val="nil"/>
              <w:bottom w:val="single" w:color="000000" w:sz="8" w:space="0"/>
              <w:right w:val="single" w:color="000000" w:sz="8" w:space="0"/>
            </w:tcBorders>
            <w:vAlign w:val="center"/>
          </w:tcPr>
          <w:p w14:paraId="55AFA642">
            <w:pPr>
              <w:widowControl/>
              <w:jc w:val="center"/>
              <w:rPr>
                <w:rFonts w:ascii="宋体" w:hAnsi="宋体" w:cs="宋体"/>
                <w:kern w:val="0"/>
                <w:szCs w:val="21"/>
              </w:rPr>
            </w:pPr>
            <w:r>
              <w:rPr>
                <w:rFonts w:hint="eastAsia" w:ascii="宋体" w:hAnsi="宋体" w:cs="宋体"/>
                <w:kern w:val="0"/>
                <w:szCs w:val="21"/>
              </w:rPr>
              <w:t>A02091001普通电视设备（电视机）</w:t>
            </w:r>
          </w:p>
        </w:tc>
        <w:tc>
          <w:tcPr>
            <w:tcW w:w="1620" w:type="dxa"/>
            <w:tcBorders>
              <w:top w:val="nil"/>
              <w:left w:val="nil"/>
              <w:bottom w:val="single" w:color="000000" w:sz="8" w:space="0"/>
              <w:right w:val="single" w:color="000000" w:sz="8" w:space="0"/>
            </w:tcBorders>
            <w:vAlign w:val="center"/>
          </w:tcPr>
          <w:p w14:paraId="5B7ED337">
            <w:pPr>
              <w:widowControl/>
              <w:jc w:val="center"/>
              <w:rPr>
                <w:rFonts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6C1AE337">
            <w:pPr>
              <w:widowControl/>
              <w:jc w:val="left"/>
              <w:rPr>
                <w:rFonts w:ascii="宋体" w:hAnsi="宋体" w:cs="宋体"/>
                <w:kern w:val="0"/>
                <w:szCs w:val="21"/>
              </w:rPr>
            </w:pPr>
            <w:r>
              <w:rPr>
                <w:rFonts w:hint="eastAsia" w:ascii="宋体" w:hAnsi="宋体" w:cs="宋体"/>
                <w:kern w:val="0"/>
                <w:szCs w:val="21"/>
              </w:rPr>
              <w:t>《平板电视能效限定值及能效等级》（GB24850）</w:t>
            </w:r>
          </w:p>
        </w:tc>
      </w:tr>
      <w:tr w14:paraId="5A10A829">
        <w:tblPrEx>
          <w:tblCellMar>
            <w:top w:w="0" w:type="dxa"/>
            <w:left w:w="108" w:type="dxa"/>
            <w:bottom w:w="0" w:type="dxa"/>
            <w:right w:w="108" w:type="dxa"/>
          </w:tblCellMar>
        </w:tblPrEx>
        <w:trPr>
          <w:trHeight w:val="975" w:hRule="atLeast"/>
        </w:trPr>
        <w:tc>
          <w:tcPr>
            <w:tcW w:w="660" w:type="dxa"/>
            <w:tcBorders>
              <w:top w:val="nil"/>
              <w:left w:val="single" w:color="000000" w:sz="8" w:space="0"/>
              <w:bottom w:val="single" w:color="000000" w:sz="8" w:space="0"/>
              <w:right w:val="single" w:color="000000" w:sz="8" w:space="0"/>
            </w:tcBorders>
            <w:vAlign w:val="center"/>
          </w:tcPr>
          <w:p w14:paraId="5530DB28">
            <w:pPr>
              <w:widowControl/>
              <w:jc w:val="center"/>
              <w:rPr>
                <w:rFonts w:ascii="宋体" w:hAnsi="宋体" w:cs="宋体"/>
                <w:kern w:val="0"/>
                <w:szCs w:val="21"/>
              </w:rPr>
            </w:pPr>
            <w:r>
              <w:rPr>
                <w:rFonts w:hint="eastAsia" w:ascii="宋体" w:hAnsi="宋体" w:cs="宋体"/>
                <w:kern w:val="0"/>
                <w:szCs w:val="21"/>
              </w:rPr>
              <w:t>13</w:t>
            </w:r>
          </w:p>
        </w:tc>
        <w:tc>
          <w:tcPr>
            <w:tcW w:w="1080" w:type="dxa"/>
            <w:tcBorders>
              <w:top w:val="nil"/>
              <w:left w:val="nil"/>
              <w:bottom w:val="single" w:color="000000" w:sz="8" w:space="0"/>
              <w:right w:val="single" w:color="000000" w:sz="8" w:space="0"/>
            </w:tcBorders>
            <w:vAlign w:val="center"/>
          </w:tcPr>
          <w:p w14:paraId="2EBC677F">
            <w:pPr>
              <w:widowControl/>
              <w:jc w:val="center"/>
              <w:rPr>
                <w:rFonts w:ascii="宋体" w:hAnsi="宋体" w:cs="宋体"/>
                <w:kern w:val="0"/>
                <w:szCs w:val="21"/>
              </w:rPr>
            </w:pPr>
            <w:r>
              <w:rPr>
                <w:rFonts w:hint="eastAsia" w:ascii="宋体" w:hAnsi="宋体" w:cs="宋体"/>
                <w:kern w:val="0"/>
                <w:szCs w:val="21"/>
              </w:rPr>
              <w:t>★A020911视频设备</w:t>
            </w:r>
          </w:p>
        </w:tc>
        <w:tc>
          <w:tcPr>
            <w:tcW w:w="1320" w:type="dxa"/>
            <w:tcBorders>
              <w:top w:val="nil"/>
              <w:left w:val="nil"/>
              <w:bottom w:val="single" w:color="000000" w:sz="8" w:space="0"/>
              <w:right w:val="single" w:color="000000" w:sz="8" w:space="0"/>
            </w:tcBorders>
            <w:vAlign w:val="center"/>
          </w:tcPr>
          <w:p w14:paraId="12DF6BCC">
            <w:pPr>
              <w:widowControl/>
              <w:jc w:val="center"/>
              <w:rPr>
                <w:rFonts w:ascii="宋体" w:hAnsi="宋体" w:cs="宋体"/>
                <w:kern w:val="0"/>
                <w:szCs w:val="21"/>
              </w:rPr>
            </w:pPr>
            <w:r>
              <w:rPr>
                <w:rFonts w:hint="eastAsia" w:ascii="宋体" w:hAnsi="宋体" w:cs="宋体"/>
                <w:kern w:val="0"/>
                <w:szCs w:val="21"/>
              </w:rPr>
              <w:t>A02091107视频监控设备</w:t>
            </w:r>
          </w:p>
        </w:tc>
        <w:tc>
          <w:tcPr>
            <w:tcW w:w="1620" w:type="dxa"/>
            <w:tcBorders>
              <w:top w:val="nil"/>
              <w:left w:val="nil"/>
              <w:bottom w:val="single" w:color="000000" w:sz="8" w:space="0"/>
              <w:right w:val="single" w:color="000000" w:sz="8" w:space="0"/>
            </w:tcBorders>
            <w:vAlign w:val="center"/>
          </w:tcPr>
          <w:p w14:paraId="2C58BBC8">
            <w:pPr>
              <w:widowControl/>
              <w:jc w:val="center"/>
              <w:rPr>
                <w:rFonts w:ascii="宋体" w:hAnsi="宋体" w:cs="宋体"/>
                <w:kern w:val="0"/>
                <w:szCs w:val="21"/>
              </w:rPr>
            </w:pPr>
            <w:r>
              <w:rPr>
                <w:rFonts w:hint="eastAsia" w:ascii="宋体" w:hAnsi="宋体" w:cs="宋体"/>
                <w:kern w:val="0"/>
                <w:szCs w:val="21"/>
              </w:rPr>
              <w:t>监视器</w:t>
            </w:r>
          </w:p>
        </w:tc>
        <w:tc>
          <w:tcPr>
            <w:tcW w:w="4540" w:type="dxa"/>
            <w:tcBorders>
              <w:top w:val="nil"/>
              <w:left w:val="nil"/>
              <w:bottom w:val="single" w:color="000000" w:sz="8" w:space="0"/>
              <w:right w:val="single" w:color="000000" w:sz="8" w:space="0"/>
            </w:tcBorders>
            <w:vAlign w:val="center"/>
          </w:tcPr>
          <w:p w14:paraId="693A2D3D">
            <w:pPr>
              <w:widowControl/>
              <w:jc w:val="left"/>
              <w:rPr>
                <w:rFonts w:ascii="宋体" w:hAnsi="宋体" w:cs="宋体"/>
                <w:kern w:val="0"/>
                <w:szCs w:val="21"/>
              </w:rPr>
            </w:pPr>
            <w:r>
              <w:rPr>
                <w:rFonts w:hint="eastAsia" w:ascii="宋体" w:hAnsi="宋体" w:cs="宋体"/>
                <w:kern w:val="0"/>
                <w:szCs w:val="21"/>
              </w:rPr>
              <w:t>以射频信号为主要信号输入的监视器应符合《平板电视能效限定值及能效等级》（GB24850），以数字信号为主要信号输入的监视器应符合《计算机显示器能效限定值及能效等级》（GB21520）</w:t>
            </w:r>
          </w:p>
        </w:tc>
      </w:tr>
      <w:tr w14:paraId="6906E990">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4869AC3F">
            <w:pPr>
              <w:widowControl/>
              <w:jc w:val="center"/>
              <w:rPr>
                <w:rFonts w:ascii="宋体" w:hAnsi="宋体" w:cs="宋体"/>
                <w:kern w:val="0"/>
                <w:szCs w:val="21"/>
              </w:rPr>
            </w:pPr>
            <w:r>
              <w:rPr>
                <w:rFonts w:hint="eastAsia" w:ascii="宋体" w:hAnsi="宋体" w:cs="宋体"/>
                <w:kern w:val="0"/>
                <w:szCs w:val="21"/>
              </w:rPr>
              <w:t>14</w:t>
            </w:r>
          </w:p>
        </w:tc>
        <w:tc>
          <w:tcPr>
            <w:tcW w:w="1080" w:type="dxa"/>
            <w:tcBorders>
              <w:top w:val="nil"/>
              <w:left w:val="nil"/>
              <w:bottom w:val="single" w:color="000000" w:sz="8" w:space="0"/>
              <w:right w:val="single" w:color="000000" w:sz="8" w:space="0"/>
            </w:tcBorders>
            <w:vAlign w:val="center"/>
          </w:tcPr>
          <w:p w14:paraId="4A0C5AE8">
            <w:pPr>
              <w:widowControl/>
              <w:jc w:val="center"/>
              <w:rPr>
                <w:rFonts w:ascii="宋体" w:hAnsi="宋体" w:cs="宋体"/>
                <w:kern w:val="0"/>
                <w:szCs w:val="21"/>
              </w:rPr>
            </w:pPr>
            <w:r>
              <w:rPr>
                <w:rFonts w:hint="eastAsia" w:ascii="宋体" w:hAnsi="宋体" w:cs="宋体"/>
                <w:kern w:val="0"/>
                <w:szCs w:val="21"/>
              </w:rPr>
              <w:t>A031210饮食炊事机械</w:t>
            </w:r>
          </w:p>
        </w:tc>
        <w:tc>
          <w:tcPr>
            <w:tcW w:w="1320" w:type="dxa"/>
            <w:tcBorders>
              <w:top w:val="nil"/>
              <w:left w:val="nil"/>
              <w:bottom w:val="single" w:color="000000" w:sz="8" w:space="0"/>
              <w:right w:val="single" w:color="000000" w:sz="8" w:space="0"/>
            </w:tcBorders>
            <w:vAlign w:val="center"/>
          </w:tcPr>
          <w:p w14:paraId="5538DFB1">
            <w:pPr>
              <w:widowControl/>
              <w:jc w:val="center"/>
              <w:rPr>
                <w:rFonts w:ascii="宋体" w:hAnsi="宋体" w:cs="宋体"/>
                <w:kern w:val="0"/>
                <w:szCs w:val="21"/>
              </w:rPr>
            </w:pPr>
            <w:r>
              <w:rPr>
                <w:rFonts w:hint="eastAsia" w:ascii="宋体" w:hAnsi="宋体" w:cs="宋体"/>
                <w:kern w:val="0"/>
                <w:szCs w:val="21"/>
              </w:rPr>
              <w:t>商用燃气灶具</w:t>
            </w:r>
          </w:p>
        </w:tc>
        <w:tc>
          <w:tcPr>
            <w:tcW w:w="1620" w:type="dxa"/>
            <w:tcBorders>
              <w:top w:val="nil"/>
              <w:left w:val="nil"/>
              <w:bottom w:val="single" w:color="000000" w:sz="8" w:space="0"/>
              <w:right w:val="single" w:color="000000" w:sz="8" w:space="0"/>
            </w:tcBorders>
            <w:vAlign w:val="center"/>
          </w:tcPr>
          <w:p w14:paraId="6F9D1880">
            <w:pPr>
              <w:widowControl/>
              <w:jc w:val="center"/>
              <w:rPr>
                <w:rFonts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5F5098C1">
            <w:pPr>
              <w:widowControl/>
              <w:jc w:val="left"/>
              <w:rPr>
                <w:rFonts w:ascii="宋体" w:hAnsi="宋体" w:cs="宋体"/>
                <w:kern w:val="0"/>
                <w:szCs w:val="21"/>
              </w:rPr>
            </w:pPr>
            <w:r>
              <w:rPr>
                <w:rFonts w:hint="eastAsia" w:ascii="宋体" w:hAnsi="宋体" w:cs="宋体"/>
                <w:kern w:val="0"/>
                <w:szCs w:val="21"/>
              </w:rPr>
              <w:t>《商用燃气灶具能效限定值及能效等级》（GB30531）</w:t>
            </w:r>
          </w:p>
        </w:tc>
      </w:tr>
      <w:tr w14:paraId="0030B694">
        <w:tblPrEx>
          <w:tblCellMar>
            <w:top w:w="0" w:type="dxa"/>
            <w:left w:w="108" w:type="dxa"/>
            <w:bottom w:w="0" w:type="dxa"/>
            <w:right w:w="108" w:type="dxa"/>
          </w:tblCellMar>
        </w:tblPrEx>
        <w:trPr>
          <w:trHeight w:val="285" w:hRule="atLeast"/>
        </w:trPr>
        <w:tc>
          <w:tcPr>
            <w:tcW w:w="660" w:type="dxa"/>
            <w:vMerge w:val="restart"/>
            <w:tcBorders>
              <w:top w:val="nil"/>
              <w:left w:val="single" w:color="000000" w:sz="8" w:space="0"/>
              <w:bottom w:val="single" w:color="000000" w:sz="8" w:space="0"/>
              <w:right w:val="single" w:color="000000" w:sz="8" w:space="0"/>
            </w:tcBorders>
            <w:vAlign w:val="center"/>
          </w:tcPr>
          <w:p w14:paraId="1C508200">
            <w:pPr>
              <w:widowControl/>
              <w:jc w:val="center"/>
              <w:rPr>
                <w:rFonts w:ascii="宋体" w:hAnsi="宋体" w:cs="宋体"/>
                <w:kern w:val="0"/>
                <w:szCs w:val="21"/>
              </w:rPr>
            </w:pPr>
            <w:r>
              <w:rPr>
                <w:rFonts w:hint="eastAsia" w:ascii="宋体" w:hAnsi="宋体" w:cs="宋体"/>
                <w:kern w:val="0"/>
                <w:szCs w:val="21"/>
              </w:rPr>
              <w:t>15</w:t>
            </w:r>
          </w:p>
        </w:tc>
        <w:tc>
          <w:tcPr>
            <w:tcW w:w="1080" w:type="dxa"/>
            <w:vMerge w:val="restart"/>
            <w:tcBorders>
              <w:top w:val="nil"/>
              <w:left w:val="single" w:color="000000" w:sz="8" w:space="0"/>
              <w:bottom w:val="single" w:color="000000" w:sz="8" w:space="0"/>
              <w:right w:val="single" w:color="000000" w:sz="8" w:space="0"/>
            </w:tcBorders>
            <w:vAlign w:val="center"/>
          </w:tcPr>
          <w:p w14:paraId="0B229E07">
            <w:pPr>
              <w:widowControl/>
              <w:jc w:val="center"/>
              <w:rPr>
                <w:rFonts w:ascii="宋体" w:hAnsi="宋体" w:cs="宋体"/>
                <w:kern w:val="0"/>
                <w:szCs w:val="21"/>
              </w:rPr>
            </w:pPr>
            <w:r>
              <w:rPr>
                <w:rFonts w:hint="eastAsia" w:ascii="宋体" w:hAnsi="宋体" w:cs="宋体"/>
                <w:kern w:val="0"/>
                <w:szCs w:val="21"/>
              </w:rPr>
              <w:t>★A060805便器</w:t>
            </w:r>
          </w:p>
        </w:tc>
        <w:tc>
          <w:tcPr>
            <w:tcW w:w="1320" w:type="dxa"/>
            <w:tcBorders>
              <w:top w:val="nil"/>
              <w:left w:val="nil"/>
              <w:bottom w:val="single" w:color="000000" w:sz="8" w:space="0"/>
              <w:right w:val="single" w:color="000000" w:sz="8" w:space="0"/>
            </w:tcBorders>
            <w:vAlign w:val="center"/>
          </w:tcPr>
          <w:p w14:paraId="69FC5BA4">
            <w:pPr>
              <w:widowControl/>
              <w:jc w:val="center"/>
              <w:rPr>
                <w:rFonts w:ascii="宋体" w:hAnsi="宋体" w:cs="宋体"/>
                <w:kern w:val="0"/>
                <w:szCs w:val="21"/>
              </w:rPr>
            </w:pPr>
            <w:r>
              <w:rPr>
                <w:rFonts w:hint="eastAsia" w:ascii="宋体" w:hAnsi="宋体" w:cs="宋体"/>
                <w:kern w:val="0"/>
                <w:szCs w:val="21"/>
              </w:rPr>
              <w:t>坐便器</w:t>
            </w:r>
          </w:p>
        </w:tc>
        <w:tc>
          <w:tcPr>
            <w:tcW w:w="1620" w:type="dxa"/>
            <w:tcBorders>
              <w:top w:val="nil"/>
              <w:left w:val="nil"/>
              <w:bottom w:val="single" w:color="000000" w:sz="8" w:space="0"/>
              <w:right w:val="single" w:color="000000" w:sz="8" w:space="0"/>
            </w:tcBorders>
            <w:vAlign w:val="center"/>
          </w:tcPr>
          <w:p w14:paraId="78C244CC">
            <w:pPr>
              <w:widowControl/>
              <w:jc w:val="center"/>
              <w:rPr>
                <w:rFonts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705DEB1A">
            <w:pPr>
              <w:widowControl/>
              <w:jc w:val="left"/>
              <w:rPr>
                <w:rFonts w:ascii="宋体" w:hAnsi="宋体" w:cs="宋体"/>
                <w:kern w:val="0"/>
                <w:szCs w:val="21"/>
              </w:rPr>
            </w:pPr>
            <w:r>
              <w:rPr>
                <w:rFonts w:hint="eastAsia" w:ascii="宋体" w:hAnsi="宋体" w:cs="宋体"/>
                <w:kern w:val="0"/>
                <w:szCs w:val="21"/>
              </w:rPr>
              <w:t>《坐便器水效限定值及水效等级》（GB25502）</w:t>
            </w:r>
          </w:p>
        </w:tc>
      </w:tr>
      <w:tr w14:paraId="22855243">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2987A88F">
            <w:pPr>
              <w:widowControl/>
              <w:jc w:val="left"/>
              <w:rPr>
                <w:rFonts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0AE1D0EF">
            <w:pPr>
              <w:widowControl/>
              <w:jc w:val="left"/>
              <w:rPr>
                <w:rFonts w:ascii="宋体" w:hAnsi="宋体" w:cs="宋体"/>
                <w:kern w:val="0"/>
                <w:szCs w:val="21"/>
              </w:rPr>
            </w:pPr>
          </w:p>
        </w:tc>
        <w:tc>
          <w:tcPr>
            <w:tcW w:w="1320" w:type="dxa"/>
            <w:tcBorders>
              <w:top w:val="nil"/>
              <w:left w:val="nil"/>
              <w:bottom w:val="single" w:color="000000" w:sz="8" w:space="0"/>
              <w:right w:val="single" w:color="000000" w:sz="8" w:space="0"/>
            </w:tcBorders>
            <w:vAlign w:val="center"/>
          </w:tcPr>
          <w:p w14:paraId="1A8A3DCC">
            <w:pPr>
              <w:widowControl/>
              <w:jc w:val="center"/>
              <w:rPr>
                <w:rFonts w:ascii="宋体" w:hAnsi="宋体" w:cs="宋体"/>
                <w:kern w:val="0"/>
                <w:szCs w:val="21"/>
              </w:rPr>
            </w:pPr>
            <w:r>
              <w:rPr>
                <w:rFonts w:hint="eastAsia" w:ascii="宋体" w:hAnsi="宋体" w:cs="宋体"/>
                <w:kern w:val="0"/>
                <w:szCs w:val="21"/>
              </w:rPr>
              <w:t>蹲便器</w:t>
            </w:r>
          </w:p>
        </w:tc>
        <w:tc>
          <w:tcPr>
            <w:tcW w:w="1620" w:type="dxa"/>
            <w:tcBorders>
              <w:top w:val="nil"/>
              <w:left w:val="nil"/>
              <w:bottom w:val="single" w:color="000000" w:sz="8" w:space="0"/>
              <w:right w:val="single" w:color="000000" w:sz="8" w:space="0"/>
            </w:tcBorders>
            <w:vAlign w:val="center"/>
          </w:tcPr>
          <w:p w14:paraId="512ABA98">
            <w:pPr>
              <w:widowControl/>
              <w:jc w:val="center"/>
              <w:rPr>
                <w:rFonts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33C49211">
            <w:pPr>
              <w:widowControl/>
              <w:jc w:val="left"/>
              <w:rPr>
                <w:rFonts w:ascii="宋体" w:hAnsi="宋体" w:cs="宋体"/>
                <w:kern w:val="0"/>
                <w:szCs w:val="21"/>
              </w:rPr>
            </w:pPr>
            <w:r>
              <w:rPr>
                <w:rFonts w:hint="eastAsia" w:ascii="宋体" w:hAnsi="宋体" w:cs="宋体"/>
                <w:kern w:val="0"/>
                <w:szCs w:val="21"/>
              </w:rPr>
              <w:t>《蹲便器用水效率限定值及用水效率等级》（GB30717）</w:t>
            </w:r>
          </w:p>
        </w:tc>
      </w:tr>
      <w:tr w14:paraId="5893B307">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0F8C7BC9">
            <w:pPr>
              <w:widowControl/>
              <w:jc w:val="left"/>
              <w:rPr>
                <w:rFonts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1C1F35CE">
            <w:pPr>
              <w:widowControl/>
              <w:jc w:val="left"/>
              <w:rPr>
                <w:rFonts w:ascii="宋体" w:hAnsi="宋体" w:cs="宋体"/>
                <w:kern w:val="0"/>
                <w:szCs w:val="21"/>
              </w:rPr>
            </w:pPr>
          </w:p>
        </w:tc>
        <w:tc>
          <w:tcPr>
            <w:tcW w:w="1320" w:type="dxa"/>
            <w:tcBorders>
              <w:top w:val="nil"/>
              <w:left w:val="nil"/>
              <w:bottom w:val="single" w:color="000000" w:sz="8" w:space="0"/>
              <w:right w:val="single" w:color="000000" w:sz="8" w:space="0"/>
            </w:tcBorders>
            <w:vAlign w:val="center"/>
          </w:tcPr>
          <w:p w14:paraId="490485DD">
            <w:pPr>
              <w:widowControl/>
              <w:jc w:val="center"/>
              <w:rPr>
                <w:rFonts w:ascii="宋体" w:hAnsi="宋体" w:cs="宋体"/>
                <w:kern w:val="0"/>
                <w:szCs w:val="21"/>
              </w:rPr>
            </w:pPr>
            <w:r>
              <w:rPr>
                <w:rFonts w:hint="eastAsia" w:ascii="宋体" w:hAnsi="宋体" w:cs="宋体"/>
                <w:kern w:val="0"/>
                <w:szCs w:val="21"/>
              </w:rPr>
              <w:t>小便器</w:t>
            </w:r>
          </w:p>
        </w:tc>
        <w:tc>
          <w:tcPr>
            <w:tcW w:w="1620" w:type="dxa"/>
            <w:tcBorders>
              <w:top w:val="nil"/>
              <w:left w:val="nil"/>
              <w:bottom w:val="single" w:color="000000" w:sz="8" w:space="0"/>
              <w:right w:val="single" w:color="000000" w:sz="8" w:space="0"/>
            </w:tcBorders>
            <w:vAlign w:val="center"/>
          </w:tcPr>
          <w:p w14:paraId="525EEAAC">
            <w:pPr>
              <w:widowControl/>
              <w:jc w:val="center"/>
              <w:rPr>
                <w:rFonts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608D1248">
            <w:pPr>
              <w:widowControl/>
              <w:jc w:val="left"/>
              <w:rPr>
                <w:rFonts w:ascii="宋体" w:hAnsi="宋体" w:cs="宋体"/>
                <w:kern w:val="0"/>
                <w:szCs w:val="21"/>
              </w:rPr>
            </w:pPr>
            <w:r>
              <w:rPr>
                <w:rFonts w:hint="eastAsia" w:ascii="宋体" w:hAnsi="宋体" w:cs="宋体"/>
                <w:kern w:val="0"/>
                <w:szCs w:val="21"/>
              </w:rPr>
              <w:t>《小便器用水效率限定值及用水效率等级》（GB28377）</w:t>
            </w:r>
          </w:p>
        </w:tc>
      </w:tr>
      <w:tr w14:paraId="31F32E72">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37AE40EA">
            <w:pPr>
              <w:widowControl/>
              <w:jc w:val="center"/>
              <w:rPr>
                <w:rFonts w:ascii="宋体" w:hAnsi="宋体" w:cs="宋体"/>
                <w:kern w:val="0"/>
                <w:szCs w:val="21"/>
              </w:rPr>
            </w:pPr>
            <w:r>
              <w:rPr>
                <w:rFonts w:hint="eastAsia" w:ascii="宋体" w:hAnsi="宋体" w:cs="宋体"/>
                <w:kern w:val="0"/>
                <w:szCs w:val="21"/>
              </w:rPr>
              <w:t>16</w:t>
            </w:r>
          </w:p>
        </w:tc>
        <w:tc>
          <w:tcPr>
            <w:tcW w:w="1080" w:type="dxa"/>
            <w:tcBorders>
              <w:top w:val="nil"/>
              <w:left w:val="nil"/>
              <w:bottom w:val="single" w:color="000000" w:sz="8" w:space="0"/>
              <w:right w:val="single" w:color="000000" w:sz="8" w:space="0"/>
            </w:tcBorders>
            <w:vAlign w:val="center"/>
          </w:tcPr>
          <w:p w14:paraId="234113C8">
            <w:pPr>
              <w:widowControl/>
              <w:jc w:val="center"/>
              <w:rPr>
                <w:rFonts w:ascii="宋体" w:hAnsi="宋体" w:cs="宋体"/>
                <w:kern w:val="0"/>
                <w:szCs w:val="21"/>
              </w:rPr>
            </w:pPr>
            <w:r>
              <w:rPr>
                <w:rFonts w:hint="eastAsia" w:ascii="宋体" w:hAnsi="宋体" w:cs="宋体"/>
                <w:kern w:val="0"/>
                <w:szCs w:val="21"/>
              </w:rPr>
              <w:t>★A060806水嘴</w:t>
            </w:r>
          </w:p>
        </w:tc>
        <w:tc>
          <w:tcPr>
            <w:tcW w:w="1320" w:type="dxa"/>
            <w:tcBorders>
              <w:top w:val="nil"/>
              <w:left w:val="nil"/>
              <w:bottom w:val="single" w:color="000000" w:sz="8" w:space="0"/>
              <w:right w:val="single" w:color="000000" w:sz="8" w:space="0"/>
            </w:tcBorders>
            <w:vAlign w:val="center"/>
          </w:tcPr>
          <w:p w14:paraId="1D038A4B">
            <w:pPr>
              <w:widowControl/>
              <w:jc w:val="center"/>
              <w:rPr>
                <w:rFonts w:ascii="宋体" w:hAnsi="宋体" w:cs="宋体"/>
                <w:kern w:val="0"/>
                <w:szCs w:val="21"/>
              </w:rPr>
            </w:pPr>
            <w:r>
              <w:rPr>
                <w:rFonts w:hint="eastAsia" w:ascii="宋体" w:hAnsi="宋体" w:cs="宋体"/>
                <w:kern w:val="0"/>
                <w:szCs w:val="21"/>
              </w:rPr>
              <w:t>　</w:t>
            </w:r>
          </w:p>
        </w:tc>
        <w:tc>
          <w:tcPr>
            <w:tcW w:w="1620" w:type="dxa"/>
            <w:tcBorders>
              <w:top w:val="nil"/>
              <w:left w:val="nil"/>
              <w:bottom w:val="single" w:color="000000" w:sz="8" w:space="0"/>
              <w:right w:val="single" w:color="000000" w:sz="8" w:space="0"/>
            </w:tcBorders>
            <w:vAlign w:val="center"/>
          </w:tcPr>
          <w:p w14:paraId="4B0C60ED">
            <w:pPr>
              <w:widowControl/>
              <w:jc w:val="center"/>
              <w:rPr>
                <w:rFonts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0BDA35AA">
            <w:pPr>
              <w:widowControl/>
              <w:jc w:val="left"/>
              <w:rPr>
                <w:rFonts w:ascii="宋体" w:hAnsi="宋体" w:cs="宋体"/>
                <w:kern w:val="0"/>
                <w:szCs w:val="21"/>
              </w:rPr>
            </w:pPr>
            <w:r>
              <w:rPr>
                <w:rFonts w:hint="eastAsia" w:ascii="宋体" w:hAnsi="宋体" w:cs="宋体"/>
                <w:kern w:val="0"/>
                <w:szCs w:val="21"/>
              </w:rPr>
              <w:t>《水嘴用水效率限定值及用水效率等级》（GB 25501）</w:t>
            </w:r>
          </w:p>
        </w:tc>
      </w:tr>
      <w:tr w14:paraId="7FBC98F0">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5D40962B">
            <w:pPr>
              <w:widowControl/>
              <w:jc w:val="center"/>
              <w:rPr>
                <w:rFonts w:ascii="宋体" w:hAnsi="宋体" w:cs="宋体"/>
                <w:kern w:val="0"/>
                <w:szCs w:val="21"/>
              </w:rPr>
            </w:pPr>
            <w:r>
              <w:rPr>
                <w:rFonts w:hint="eastAsia" w:ascii="宋体" w:hAnsi="宋体" w:cs="宋体"/>
                <w:kern w:val="0"/>
                <w:szCs w:val="21"/>
              </w:rPr>
              <w:t>17</w:t>
            </w:r>
          </w:p>
        </w:tc>
        <w:tc>
          <w:tcPr>
            <w:tcW w:w="1080" w:type="dxa"/>
            <w:tcBorders>
              <w:top w:val="nil"/>
              <w:left w:val="nil"/>
              <w:bottom w:val="single" w:color="000000" w:sz="8" w:space="0"/>
              <w:right w:val="single" w:color="000000" w:sz="8" w:space="0"/>
            </w:tcBorders>
            <w:vAlign w:val="center"/>
          </w:tcPr>
          <w:p w14:paraId="2605BE52">
            <w:pPr>
              <w:widowControl/>
              <w:jc w:val="center"/>
              <w:rPr>
                <w:rFonts w:ascii="宋体" w:hAnsi="宋体" w:cs="宋体"/>
                <w:kern w:val="0"/>
                <w:szCs w:val="21"/>
              </w:rPr>
            </w:pPr>
            <w:r>
              <w:rPr>
                <w:rFonts w:hint="eastAsia" w:ascii="宋体" w:hAnsi="宋体" w:cs="宋体"/>
                <w:kern w:val="0"/>
                <w:szCs w:val="21"/>
              </w:rPr>
              <w:t>A060807便器冲洗阀</w:t>
            </w:r>
          </w:p>
        </w:tc>
        <w:tc>
          <w:tcPr>
            <w:tcW w:w="1320" w:type="dxa"/>
            <w:tcBorders>
              <w:top w:val="nil"/>
              <w:left w:val="nil"/>
              <w:bottom w:val="single" w:color="000000" w:sz="8" w:space="0"/>
              <w:right w:val="single" w:color="000000" w:sz="8" w:space="0"/>
            </w:tcBorders>
            <w:vAlign w:val="center"/>
          </w:tcPr>
          <w:p w14:paraId="50A17071">
            <w:pPr>
              <w:widowControl/>
              <w:jc w:val="center"/>
              <w:rPr>
                <w:rFonts w:ascii="宋体" w:hAnsi="宋体" w:cs="宋体"/>
                <w:kern w:val="0"/>
                <w:szCs w:val="21"/>
              </w:rPr>
            </w:pPr>
            <w:r>
              <w:rPr>
                <w:rFonts w:hint="eastAsia" w:ascii="宋体" w:hAnsi="宋体" w:cs="宋体"/>
                <w:kern w:val="0"/>
                <w:szCs w:val="21"/>
              </w:rPr>
              <w:t>　</w:t>
            </w:r>
          </w:p>
        </w:tc>
        <w:tc>
          <w:tcPr>
            <w:tcW w:w="1620" w:type="dxa"/>
            <w:tcBorders>
              <w:top w:val="nil"/>
              <w:left w:val="nil"/>
              <w:bottom w:val="single" w:color="000000" w:sz="8" w:space="0"/>
              <w:right w:val="single" w:color="000000" w:sz="8" w:space="0"/>
            </w:tcBorders>
            <w:vAlign w:val="center"/>
          </w:tcPr>
          <w:p w14:paraId="41305CA7">
            <w:pPr>
              <w:widowControl/>
              <w:jc w:val="center"/>
              <w:rPr>
                <w:rFonts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585CE98B">
            <w:pPr>
              <w:widowControl/>
              <w:jc w:val="left"/>
              <w:rPr>
                <w:rFonts w:ascii="宋体" w:hAnsi="宋体" w:cs="宋体"/>
                <w:kern w:val="0"/>
                <w:szCs w:val="21"/>
              </w:rPr>
            </w:pPr>
            <w:r>
              <w:rPr>
                <w:rFonts w:hint="eastAsia" w:ascii="宋体" w:hAnsi="宋体" w:cs="宋体"/>
                <w:kern w:val="0"/>
                <w:szCs w:val="21"/>
              </w:rPr>
              <w:t>《便器冲洗阀用水效率限定值及用水效率等级》（GB28379）</w:t>
            </w:r>
          </w:p>
        </w:tc>
      </w:tr>
      <w:tr w14:paraId="4AFF52D3">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4DFD6B28">
            <w:pPr>
              <w:widowControl/>
              <w:jc w:val="center"/>
              <w:rPr>
                <w:rFonts w:ascii="宋体" w:hAnsi="宋体" w:cs="宋体"/>
                <w:kern w:val="0"/>
                <w:szCs w:val="21"/>
              </w:rPr>
            </w:pPr>
            <w:r>
              <w:rPr>
                <w:rFonts w:hint="eastAsia" w:ascii="宋体" w:hAnsi="宋体" w:cs="宋体"/>
                <w:kern w:val="0"/>
                <w:szCs w:val="21"/>
              </w:rPr>
              <w:t>18</w:t>
            </w:r>
          </w:p>
        </w:tc>
        <w:tc>
          <w:tcPr>
            <w:tcW w:w="1080" w:type="dxa"/>
            <w:tcBorders>
              <w:top w:val="nil"/>
              <w:left w:val="nil"/>
              <w:bottom w:val="single" w:color="000000" w:sz="8" w:space="0"/>
              <w:right w:val="single" w:color="000000" w:sz="8" w:space="0"/>
            </w:tcBorders>
            <w:vAlign w:val="center"/>
          </w:tcPr>
          <w:p w14:paraId="27C9302D">
            <w:pPr>
              <w:widowControl/>
              <w:jc w:val="center"/>
              <w:rPr>
                <w:rFonts w:ascii="宋体" w:hAnsi="宋体" w:cs="宋体"/>
                <w:kern w:val="0"/>
                <w:szCs w:val="21"/>
              </w:rPr>
            </w:pPr>
            <w:r>
              <w:rPr>
                <w:rFonts w:hint="eastAsia" w:ascii="宋体" w:hAnsi="宋体" w:cs="宋体"/>
                <w:kern w:val="0"/>
                <w:szCs w:val="21"/>
              </w:rPr>
              <w:t>A060810淋浴器</w:t>
            </w:r>
          </w:p>
        </w:tc>
        <w:tc>
          <w:tcPr>
            <w:tcW w:w="1320" w:type="dxa"/>
            <w:tcBorders>
              <w:top w:val="nil"/>
              <w:left w:val="nil"/>
              <w:bottom w:val="single" w:color="000000" w:sz="8" w:space="0"/>
              <w:right w:val="single" w:color="000000" w:sz="8" w:space="0"/>
            </w:tcBorders>
            <w:vAlign w:val="center"/>
          </w:tcPr>
          <w:p w14:paraId="54E55134">
            <w:pPr>
              <w:widowControl/>
              <w:jc w:val="center"/>
              <w:rPr>
                <w:rFonts w:ascii="宋体" w:hAnsi="宋体" w:cs="宋体"/>
                <w:kern w:val="0"/>
                <w:szCs w:val="21"/>
              </w:rPr>
            </w:pPr>
            <w:r>
              <w:rPr>
                <w:rFonts w:hint="eastAsia" w:ascii="宋体" w:hAnsi="宋体" w:cs="宋体"/>
                <w:kern w:val="0"/>
                <w:szCs w:val="21"/>
              </w:rPr>
              <w:t>　</w:t>
            </w:r>
          </w:p>
        </w:tc>
        <w:tc>
          <w:tcPr>
            <w:tcW w:w="1620" w:type="dxa"/>
            <w:tcBorders>
              <w:top w:val="nil"/>
              <w:left w:val="nil"/>
              <w:bottom w:val="single" w:color="000000" w:sz="8" w:space="0"/>
              <w:right w:val="single" w:color="000000" w:sz="8" w:space="0"/>
            </w:tcBorders>
            <w:vAlign w:val="center"/>
          </w:tcPr>
          <w:p w14:paraId="31AB4BDB">
            <w:pPr>
              <w:widowControl/>
              <w:jc w:val="center"/>
              <w:rPr>
                <w:rFonts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692A912B">
            <w:pPr>
              <w:widowControl/>
              <w:jc w:val="left"/>
              <w:rPr>
                <w:rFonts w:ascii="宋体" w:hAnsi="宋体" w:cs="宋体"/>
                <w:kern w:val="0"/>
                <w:szCs w:val="21"/>
              </w:rPr>
            </w:pPr>
            <w:r>
              <w:rPr>
                <w:rFonts w:hint="eastAsia" w:ascii="宋体" w:hAnsi="宋体" w:cs="宋体"/>
                <w:kern w:val="0"/>
                <w:szCs w:val="21"/>
              </w:rPr>
              <w:t>《淋浴器用水效率限定值及用水效率等级》（GB28378）</w:t>
            </w:r>
          </w:p>
        </w:tc>
      </w:tr>
    </w:tbl>
    <w:p w14:paraId="74FD7C68">
      <w:pPr>
        <w:pStyle w:val="19"/>
        <w:spacing w:line="360" w:lineRule="auto"/>
        <w:rPr>
          <w:spacing w:val="-3"/>
          <w:sz w:val="21"/>
          <w:szCs w:val="21"/>
        </w:rPr>
      </w:pPr>
    </w:p>
    <w:p w14:paraId="04F678AC">
      <w:pPr>
        <w:pStyle w:val="19"/>
        <w:spacing w:line="360" w:lineRule="auto"/>
        <w:rPr>
          <w:rFonts w:ascii="宋体" w:hAnsi="宋体"/>
          <w:sz w:val="21"/>
          <w:szCs w:val="21"/>
        </w:rPr>
      </w:pPr>
      <w:r>
        <w:rPr>
          <w:rFonts w:hint="eastAsia"/>
          <w:spacing w:val="-3"/>
          <w:sz w:val="21"/>
          <w:szCs w:val="21"/>
        </w:rPr>
        <w:t>注：</w:t>
      </w:r>
      <w:r>
        <w:rPr>
          <w:spacing w:val="-3"/>
          <w:sz w:val="21"/>
          <w:szCs w:val="21"/>
        </w:rPr>
        <w:t>1.</w:t>
      </w:r>
      <w:r>
        <w:rPr>
          <w:rFonts w:hint="eastAsia"/>
          <w:spacing w:val="-3"/>
          <w:sz w:val="21"/>
          <w:szCs w:val="21"/>
        </w:rPr>
        <w:t>节能产品认证应依据相关国家标准的最新版本，依据国家标准中二级能效（水效）</w:t>
      </w:r>
      <w:r>
        <w:rPr>
          <w:rFonts w:hint="eastAsia"/>
          <w:sz w:val="21"/>
          <w:szCs w:val="21"/>
        </w:rPr>
        <w:t>指标。</w:t>
      </w:r>
    </w:p>
    <w:p w14:paraId="57512A59">
      <w:pPr>
        <w:jc w:val="left"/>
        <w:rPr>
          <w:b/>
          <w:bCs/>
          <w:szCs w:val="21"/>
        </w:rPr>
      </w:pPr>
      <w:r>
        <w:rPr>
          <w:rFonts w:hint="eastAsia" w:ascii="宋体" w:hAnsi="宋体"/>
          <w:szCs w:val="21"/>
        </w:rPr>
        <w:t xml:space="preserve">    </w:t>
      </w:r>
      <w:r>
        <w:rPr>
          <w:szCs w:val="21"/>
        </w:rPr>
        <w:t>2</w:t>
      </w:r>
      <w:r>
        <w:rPr>
          <w:b/>
          <w:bCs/>
          <w:szCs w:val="21"/>
        </w:rPr>
        <w:t>.</w:t>
      </w:r>
      <w:r>
        <w:rPr>
          <w:rFonts w:hint="eastAsia"/>
          <w:b/>
          <w:bCs/>
          <w:szCs w:val="21"/>
        </w:rPr>
        <w:t>以</w:t>
      </w:r>
      <w:r>
        <w:rPr>
          <w:b/>
          <w:bCs/>
          <w:szCs w:val="21"/>
        </w:rPr>
        <w:t>“</w:t>
      </w:r>
      <w:r>
        <w:rPr>
          <w:rFonts w:hint="eastAsia"/>
          <w:b/>
          <w:bCs/>
          <w:szCs w:val="21"/>
        </w:rPr>
        <w:t>★</w:t>
      </w:r>
      <w:r>
        <w:rPr>
          <w:b/>
          <w:bCs/>
          <w:szCs w:val="21"/>
        </w:rPr>
        <w:t>”</w:t>
      </w:r>
      <w:r>
        <w:rPr>
          <w:rFonts w:hint="eastAsia"/>
          <w:b/>
          <w:bCs/>
          <w:szCs w:val="21"/>
        </w:rPr>
        <w:t>标注的为政府强制采购产品。</w:t>
      </w:r>
    </w:p>
    <w:p w14:paraId="2464559C">
      <w:pPr>
        <w:jc w:val="left"/>
        <w:rPr>
          <w:rFonts w:ascii="宋体"/>
          <w:sz w:val="32"/>
          <w:szCs w:val="32"/>
        </w:rPr>
      </w:pPr>
      <w:r>
        <w:rPr>
          <w:b/>
          <w:bCs/>
          <w:szCs w:val="21"/>
        </w:rPr>
        <w:br w:type="page"/>
      </w:r>
      <w:r>
        <w:rPr>
          <w:rFonts w:hint="eastAsia" w:ascii="楷体" w:eastAsia="楷体"/>
          <w:kern w:val="0"/>
          <w:sz w:val="32"/>
          <w:szCs w:val="32"/>
        </w:rPr>
        <w:t xml:space="preserve"> </w:t>
      </w:r>
    </w:p>
    <w:p w14:paraId="687A5A50">
      <w:pPr>
        <w:spacing w:line="400" w:lineRule="exact"/>
        <w:jc w:val="center"/>
        <w:rPr>
          <w:rFonts w:ascii="宋体"/>
          <w:sz w:val="32"/>
          <w:szCs w:val="32"/>
        </w:rPr>
      </w:pPr>
    </w:p>
    <w:p w14:paraId="036AD1B9">
      <w:pPr>
        <w:spacing w:line="400" w:lineRule="exact"/>
        <w:jc w:val="center"/>
        <w:rPr>
          <w:rFonts w:ascii="宋体"/>
          <w:sz w:val="32"/>
          <w:szCs w:val="32"/>
        </w:rPr>
      </w:pPr>
    </w:p>
    <w:p w14:paraId="1D1E8DF9">
      <w:pPr>
        <w:spacing w:line="400" w:lineRule="exact"/>
        <w:jc w:val="center"/>
        <w:rPr>
          <w:rFonts w:ascii="宋体"/>
          <w:sz w:val="32"/>
          <w:szCs w:val="32"/>
        </w:rPr>
      </w:pPr>
    </w:p>
    <w:p w14:paraId="69836E69">
      <w:pPr>
        <w:spacing w:line="400" w:lineRule="exact"/>
        <w:jc w:val="center"/>
        <w:rPr>
          <w:rFonts w:ascii="宋体"/>
          <w:sz w:val="32"/>
          <w:szCs w:val="32"/>
        </w:rPr>
      </w:pPr>
    </w:p>
    <w:p w14:paraId="256BE0BB">
      <w:pPr>
        <w:spacing w:line="400" w:lineRule="exact"/>
        <w:jc w:val="center"/>
        <w:rPr>
          <w:rFonts w:ascii="宋体"/>
          <w:sz w:val="32"/>
          <w:szCs w:val="32"/>
        </w:rPr>
      </w:pPr>
    </w:p>
    <w:p w14:paraId="572E5FD4">
      <w:pPr>
        <w:spacing w:line="400" w:lineRule="exact"/>
        <w:jc w:val="center"/>
        <w:rPr>
          <w:rFonts w:ascii="宋体"/>
          <w:sz w:val="32"/>
          <w:szCs w:val="32"/>
        </w:rPr>
      </w:pPr>
    </w:p>
    <w:p w14:paraId="59C79EA7">
      <w:pPr>
        <w:spacing w:line="400" w:lineRule="exact"/>
        <w:jc w:val="center"/>
        <w:rPr>
          <w:rFonts w:ascii="宋体"/>
          <w:sz w:val="32"/>
          <w:szCs w:val="32"/>
        </w:rPr>
      </w:pPr>
    </w:p>
    <w:p w14:paraId="321B7934">
      <w:pPr>
        <w:spacing w:line="400" w:lineRule="exact"/>
        <w:jc w:val="center"/>
        <w:rPr>
          <w:rFonts w:ascii="宋体"/>
          <w:sz w:val="32"/>
          <w:szCs w:val="32"/>
        </w:rPr>
      </w:pPr>
    </w:p>
    <w:p w14:paraId="170F03AF">
      <w:pPr>
        <w:spacing w:line="400" w:lineRule="exact"/>
        <w:jc w:val="center"/>
        <w:rPr>
          <w:rFonts w:ascii="宋体"/>
          <w:sz w:val="32"/>
          <w:szCs w:val="32"/>
        </w:rPr>
      </w:pPr>
    </w:p>
    <w:p w14:paraId="53A6DA80">
      <w:pPr>
        <w:spacing w:line="400" w:lineRule="exact"/>
        <w:jc w:val="center"/>
        <w:rPr>
          <w:rFonts w:ascii="宋体"/>
          <w:sz w:val="32"/>
          <w:szCs w:val="32"/>
        </w:rPr>
      </w:pPr>
    </w:p>
    <w:p w14:paraId="4CD492CD">
      <w:pPr>
        <w:spacing w:line="400" w:lineRule="exact"/>
        <w:jc w:val="center"/>
        <w:rPr>
          <w:rFonts w:ascii="宋体"/>
          <w:sz w:val="32"/>
          <w:szCs w:val="32"/>
        </w:rPr>
      </w:pPr>
    </w:p>
    <w:p w14:paraId="0C432303">
      <w:pPr>
        <w:spacing w:line="400" w:lineRule="exact"/>
        <w:rPr>
          <w:rFonts w:ascii="宋体"/>
          <w:sz w:val="32"/>
          <w:szCs w:val="32"/>
        </w:rPr>
      </w:pPr>
    </w:p>
    <w:bookmarkEnd w:id="95"/>
    <w:bookmarkEnd w:id="96"/>
    <w:p w14:paraId="0C1CE34E">
      <w:pPr>
        <w:pStyle w:val="46"/>
        <w:rPr>
          <w:sz w:val="44"/>
          <w:szCs w:val="44"/>
        </w:rPr>
      </w:pPr>
      <w:bookmarkStart w:id="97" w:name="_Toc476436175"/>
      <w:bookmarkStart w:id="98" w:name="_Toc476436434"/>
      <w:r>
        <w:rPr>
          <w:rFonts w:hint="eastAsia"/>
          <w:sz w:val="44"/>
          <w:szCs w:val="44"/>
        </w:rPr>
        <w:t>第四章  评标方法及评分标准</w:t>
      </w:r>
      <w:bookmarkEnd w:id="97"/>
      <w:bookmarkEnd w:id="98"/>
    </w:p>
    <w:p w14:paraId="3C1C29BF">
      <w:pPr>
        <w:pStyle w:val="26"/>
        <w:spacing w:line="360" w:lineRule="exact"/>
        <w:rPr>
          <w:b/>
          <w:bCs/>
        </w:rPr>
      </w:pPr>
      <w:bookmarkStart w:id="99" w:name="_Toc254970549"/>
      <w:bookmarkStart w:id="100" w:name="_Toc254970690"/>
    </w:p>
    <w:p w14:paraId="642253F5">
      <w:pPr>
        <w:pStyle w:val="26"/>
        <w:spacing w:line="360" w:lineRule="exact"/>
        <w:rPr>
          <w:b/>
          <w:bCs/>
        </w:rPr>
      </w:pPr>
    </w:p>
    <w:p w14:paraId="01831FAA">
      <w:pPr>
        <w:pStyle w:val="26"/>
        <w:spacing w:line="360" w:lineRule="exact"/>
        <w:rPr>
          <w:b/>
          <w:bCs/>
        </w:rPr>
      </w:pPr>
    </w:p>
    <w:p w14:paraId="065DB88C">
      <w:pPr>
        <w:pStyle w:val="26"/>
        <w:spacing w:line="360" w:lineRule="exact"/>
        <w:rPr>
          <w:b/>
          <w:bCs/>
        </w:rPr>
      </w:pPr>
    </w:p>
    <w:p w14:paraId="69ED0D2D">
      <w:pPr>
        <w:pStyle w:val="26"/>
        <w:spacing w:line="360" w:lineRule="exact"/>
        <w:rPr>
          <w:b/>
          <w:bCs/>
        </w:rPr>
      </w:pPr>
    </w:p>
    <w:p w14:paraId="450EB195">
      <w:pPr>
        <w:pStyle w:val="26"/>
        <w:spacing w:line="360" w:lineRule="exact"/>
        <w:rPr>
          <w:b/>
          <w:bCs/>
        </w:rPr>
      </w:pPr>
    </w:p>
    <w:p w14:paraId="6E8E743B">
      <w:pPr>
        <w:pStyle w:val="26"/>
        <w:spacing w:line="360" w:lineRule="exact"/>
        <w:rPr>
          <w:b/>
          <w:bCs/>
        </w:rPr>
      </w:pPr>
    </w:p>
    <w:p w14:paraId="08BBE9DF">
      <w:pPr>
        <w:pStyle w:val="26"/>
        <w:spacing w:line="360" w:lineRule="exact"/>
        <w:rPr>
          <w:b/>
          <w:bCs/>
        </w:rPr>
      </w:pPr>
    </w:p>
    <w:p w14:paraId="4B3B789D">
      <w:pPr>
        <w:pStyle w:val="26"/>
        <w:spacing w:line="360" w:lineRule="exact"/>
        <w:rPr>
          <w:b/>
          <w:bCs/>
        </w:rPr>
      </w:pPr>
    </w:p>
    <w:p w14:paraId="4CBC4D04">
      <w:pPr>
        <w:pStyle w:val="26"/>
        <w:spacing w:line="360" w:lineRule="exact"/>
        <w:rPr>
          <w:b/>
          <w:bCs/>
        </w:rPr>
      </w:pPr>
    </w:p>
    <w:bookmarkEnd w:id="99"/>
    <w:bookmarkEnd w:id="100"/>
    <w:p w14:paraId="27CBB020">
      <w:pPr>
        <w:pStyle w:val="26"/>
        <w:spacing w:line="360" w:lineRule="exact"/>
        <w:ind w:firstLine="3184" w:firstLineChars="995"/>
        <w:rPr>
          <w:rFonts w:ascii="仿宋_GB2312" w:eastAsia="仿宋_GB2312"/>
          <w:b/>
          <w:color w:val="000000"/>
          <w:sz w:val="32"/>
          <w:szCs w:val="32"/>
        </w:rPr>
      </w:pPr>
    </w:p>
    <w:p w14:paraId="6E4A171F">
      <w:pPr>
        <w:pStyle w:val="26"/>
        <w:spacing w:line="360" w:lineRule="exact"/>
        <w:ind w:firstLine="3184" w:firstLineChars="995"/>
        <w:rPr>
          <w:rFonts w:ascii="仿宋_GB2312" w:eastAsia="仿宋_GB2312"/>
          <w:b/>
          <w:color w:val="000000"/>
          <w:sz w:val="32"/>
          <w:szCs w:val="32"/>
        </w:rPr>
      </w:pPr>
    </w:p>
    <w:p w14:paraId="536A5961">
      <w:pPr>
        <w:pStyle w:val="26"/>
        <w:spacing w:line="360" w:lineRule="exact"/>
        <w:ind w:firstLine="3184" w:firstLineChars="995"/>
        <w:rPr>
          <w:rFonts w:ascii="仿宋_GB2312" w:eastAsia="仿宋_GB2312"/>
          <w:b/>
          <w:color w:val="000000"/>
          <w:sz w:val="32"/>
          <w:szCs w:val="32"/>
        </w:rPr>
      </w:pPr>
    </w:p>
    <w:p w14:paraId="0555A372">
      <w:pPr>
        <w:pStyle w:val="26"/>
        <w:spacing w:line="560" w:lineRule="exact"/>
        <w:jc w:val="center"/>
        <w:rPr>
          <w:b/>
          <w:color w:val="000000"/>
          <w:sz w:val="32"/>
          <w:szCs w:val="32"/>
        </w:rPr>
      </w:pPr>
      <w:r>
        <w:rPr>
          <w:rFonts w:hint="eastAsia" w:ascii="仿宋_GB2312" w:eastAsia="仿宋_GB2312"/>
          <w:b/>
          <w:color w:val="000000"/>
          <w:sz w:val="32"/>
          <w:szCs w:val="32"/>
        </w:rPr>
        <w:br w:type="page"/>
      </w:r>
      <w:r>
        <w:rPr>
          <w:rFonts w:hint="eastAsia"/>
          <w:b/>
          <w:color w:val="000000"/>
          <w:sz w:val="32"/>
          <w:szCs w:val="32"/>
        </w:rPr>
        <w:t>评标方法及评分标准</w:t>
      </w:r>
    </w:p>
    <w:p w14:paraId="01E21613">
      <w:pPr>
        <w:pStyle w:val="41"/>
        <w:spacing w:after="156" w:line="380" w:lineRule="exact"/>
        <w:ind w:left="0"/>
        <w:rPr>
          <w:rFonts w:ascii="宋体" w:hAnsi="宋体"/>
          <w:b/>
          <w:bCs/>
        </w:rPr>
      </w:pPr>
      <w:r>
        <w:rPr>
          <w:rFonts w:hint="eastAsia" w:ascii="宋体" w:hAnsi="宋体"/>
          <w:b/>
          <w:bCs/>
        </w:rPr>
        <w:t>一、评标原则</w:t>
      </w:r>
    </w:p>
    <w:p w14:paraId="6E6E9FA8">
      <w:pPr>
        <w:pStyle w:val="41"/>
        <w:spacing w:line="380" w:lineRule="exact"/>
        <w:ind w:left="0"/>
        <w:rPr>
          <w:rFonts w:ascii="宋体" w:hAnsi="宋体"/>
          <w:bCs/>
        </w:rPr>
      </w:pPr>
      <w:r>
        <w:rPr>
          <w:rFonts w:hint="eastAsia" w:ascii="宋体" w:hAnsi="宋体"/>
          <w:bCs/>
        </w:rPr>
        <w:t xml:space="preserve">    （一）评委组成：</w:t>
      </w:r>
      <w:r>
        <w:rPr>
          <w:rFonts w:hint="eastAsia"/>
          <w:bCs/>
          <w:szCs w:val="21"/>
        </w:rPr>
        <w:t>本招标采购项目的评标委员会由采购人代表和评审专家组成，成员人数应当为五人以上单数。其中，评审专家不得少于成员总数的三分之二。</w:t>
      </w:r>
    </w:p>
    <w:p w14:paraId="1708C6CB">
      <w:pPr>
        <w:pStyle w:val="41"/>
        <w:spacing w:line="380" w:lineRule="exact"/>
        <w:ind w:left="0"/>
        <w:rPr>
          <w:rFonts w:ascii="宋体" w:hAnsi="宋体"/>
          <w:b/>
          <w:bCs/>
        </w:rPr>
      </w:pPr>
      <w:r>
        <w:rPr>
          <w:rFonts w:hint="eastAsia" w:ascii="宋体" w:hAnsi="宋体"/>
          <w:bCs/>
        </w:rPr>
        <w:t xml:space="preserve">    （二）评标依据：</w:t>
      </w:r>
      <w:r>
        <w:rPr>
          <w:rFonts w:hint="eastAsia"/>
          <w:bCs/>
          <w:szCs w:val="21"/>
        </w:rPr>
        <w:t>评委将以招投标文件为评标依据，对投标人的投标文件内容按百分制打分。</w:t>
      </w:r>
    </w:p>
    <w:p w14:paraId="1887B126">
      <w:pPr>
        <w:pStyle w:val="41"/>
        <w:spacing w:line="380" w:lineRule="exact"/>
        <w:ind w:left="0"/>
        <w:rPr>
          <w:rFonts w:ascii="宋体" w:hAnsi="宋体"/>
          <w:bCs/>
        </w:rPr>
      </w:pPr>
      <w:r>
        <w:rPr>
          <w:rFonts w:hint="eastAsia" w:ascii="宋体" w:hAnsi="宋体"/>
          <w:bCs/>
        </w:rPr>
        <w:t xml:space="preserve">    （三）评标方式：以封闭方式进行。</w:t>
      </w:r>
    </w:p>
    <w:p w14:paraId="47F882B7">
      <w:pPr>
        <w:pStyle w:val="41"/>
        <w:spacing w:line="380" w:lineRule="exact"/>
        <w:ind w:left="0"/>
        <w:rPr>
          <w:rFonts w:ascii="宋体" w:hAnsi="宋体"/>
          <w:b/>
          <w:bCs/>
        </w:rPr>
      </w:pPr>
      <w:r>
        <w:rPr>
          <w:rFonts w:hint="eastAsia" w:ascii="宋体" w:hAnsi="宋体"/>
          <w:b/>
          <w:bCs/>
        </w:rPr>
        <w:t>二、评标方法</w:t>
      </w:r>
    </w:p>
    <w:p w14:paraId="20425B50">
      <w:pPr>
        <w:pStyle w:val="41"/>
        <w:spacing w:line="380" w:lineRule="exact"/>
        <w:ind w:left="0"/>
        <w:rPr>
          <w:rFonts w:ascii="宋体" w:hAnsi="宋体"/>
          <w:bCs/>
        </w:rPr>
      </w:pPr>
      <w:r>
        <w:rPr>
          <w:rFonts w:hint="eastAsia" w:ascii="宋体" w:hAnsi="宋体"/>
          <w:bCs/>
        </w:rPr>
        <w:t>（一）对进入详评的，采用百分制综合评分法。</w:t>
      </w:r>
    </w:p>
    <w:p w14:paraId="012924A2">
      <w:pPr>
        <w:pStyle w:val="41"/>
        <w:spacing w:line="380" w:lineRule="exact"/>
        <w:ind w:left="0"/>
        <w:rPr>
          <w:rFonts w:ascii="宋体" w:hAnsi="宋体"/>
          <w:bCs/>
        </w:rPr>
      </w:pPr>
      <w:r>
        <w:rPr>
          <w:rFonts w:hint="eastAsia" w:ascii="宋体" w:hAnsi="宋体"/>
          <w:bCs/>
        </w:rPr>
        <w:t>（二）计分办法（按四舍五入取至百分位）：</w:t>
      </w:r>
    </w:p>
    <w:p w14:paraId="015EC098">
      <w:pPr>
        <w:spacing w:line="380" w:lineRule="exact"/>
        <w:jc w:val="left"/>
        <w:rPr>
          <w:rFonts w:ascii="宋体" w:hAnsi="宋体" w:cs="宋体"/>
          <w:b/>
          <w:color w:val="auto"/>
          <w:szCs w:val="21"/>
          <w:highlight w:val="none"/>
        </w:rPr>
      </w:pPr>
      <w:r>
        <w:rPr>
          <w:rFonts w:hint="eastAsia" w:ascii="宋体" w:hAnsi="宋体" w:cs="宋体"/>
          <w:b/>
          <w:color w:val="auto"/>
          <w:szCs w:val="21"/>
          <w:highlight w:val="none"/>
        </w:rPr>
        <w:t>1、价格分………………………………………………………………………………30分</w:t>
      </w:r>
    </w:p>
    <w:p w14:paraId="673B9244">
      <w:pPr>
        <w:pStyle w:val="26"/>
        <w:spacing w:line="380" w:lineRule="exact"/>
        <w:ind w:firstLine="420" w:firstLineChars="200"/>
        <w:rPr>
          <w:rFonts w:hAnsi="宋体" w:cs="宋体"/>
          <w:color w:val="auto"/>
          <w:highlight w:val="none"/>
        </w:rPr>
      </w:pPr>
      <w:r>
        <w:rPr>
          <w:rFonts w:hint="eastAsia" w:hAnsi="宋体" w:cs="宋体"/>
          <w:color w:val="auto"/>
          <w:highlight w:val="none"/>
        </w:rPr>
        <w:t>（1）符合《政府采购促进中小企业发展管理办法》（财库〔2020〕46号）规定条件且按该办法中规定的格式提供了《中小企业声明函》的小型和微型企业。对其投标价给予</w:t>
      </w:r>
      <w:r>
        <w:rPr>
          <w:rFonts w:hAnsi="宋体" w:cs="宋体"/>
          <w:color w:val="auto"/>
          <w:highlight w:val="none"/>
        </w:rPr>
        <w:t>10%的扣除</w:t>
      </w:r>
      <w:r>
        <w:rPr>
          <w:rFonts w:hint="eastAsia" w:hAnsi="宋体" w:cs="宋体"/>
          <w:color w:val="auto"/>
          <w:highlight w:val="none"/>
        </w:rPr>
        <w:t>，扣除后的价格为评标价，即评标价=投标价×（1-10%）；大中型企业与小型、微型企业组成联合体投标，其中小型、微型企业的协议合同金额占到联合体协议合同总金额30%以上的，联合体投标价给予4%的扣除，扣除后的价格为评标价，即评标价=投标价×（1-4%）；除上述情况外，评标价=投标价。</w:t>
      </w:r>
    </w:p>
    <w:p w14:paraId="3EB76CF7">
      <w:pPr>
        <w:pStyle w:val="26"/>
        <w:spacing w:line="380" w:lineRule="exact"/>
        <w:ind w:firstLine="420" w:firstLineChars="200"/>
        <w:rPr>
          <w:rFonts w:hAnsi="宋体" w:cs="宋体"/>
          <w:color w:val="auto"/>
          <w:highlight w:val="none"/>
        </w:rPr>
      </w:pPr>
      <w:r>
        <w:rPr>
          <w:rFonts w:hint="eastAsia" w:hAnsi="宋体" w:cs="宋体"/>
          <w:color w:val="auto"/>
          <w:highlight w:val="none"/>
        </w:rPr>
        <w:t>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14:paraId="0BB53CF3">
      <w:pPr>
        <w:pStyle w:val="26"/>
        <w:spacing w:line="380" w:lineRule="exact"/>
        <w:ind w:firstLine="420" w:firstLineChars="200"/>
        <w:rPr>
          <w:rFonts w:hAnsi="宋体" w:cs="宋体"/>
          <w:color w:val="auto"/>
          <w:highlight w:val="none"/>
        </w:rPr>
      </w:pPr>
      <w:r>
        <w:rPr>
          <w:rFonts w:hint="eastAsia" w:hAnsi="宋体" w:cs="宋体"/>
          <w:color w:val="auto"/>
          <w:highlight w:val="none"/>
        </w:rPr>
        <w:t>按《关于促进残疾人就业政府采购政策的通知》(财库〔2017〕141号)认定为残疾人福利性单位的，在政府采购活动中，残疾人福利性单位视同小型、微型企业。残疾人福利性单位参加政府采购活动时，应当提供该通知规定的《残疾人福利性单位声明函》，并对声明的真实性负责。</w:t>
      </w:r>
    </w:p>
    <w:p w14:paraId="239FFD2A">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bCs/>
          <w:color w:val="auto"/>
          <w:szCs w:val="21"/>
          <w:highlight w:val="none"/>
        </w:rPr>
        <w:t>）</w:t>
      </w:r>
      <w:r>
        <w:rPr>
          <w:rFonts w:hint="eastAsia" w:ascii="宋体" w:hAnsi="宋体" w:cs="宋体"/>
          <w:color w:val="auto"/>
          <w:szCs w:val="21"/>
          <w:highlight w:val="none"/>
        </w:rPr>
        <w:t>根据《国务院办公厅关于在政府采购中实施本国产品标准及相关政策的通知》（国办发〔2025〕34号）的规定，供应商对其提供的产品出具符合要求的《关于符合本国产品标准的声明函》，该产品视为本国产品。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5B3EB1C4">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实洋价计算公式为：实洋价合计值＝图书码洋价合计值×折扣率，投标人有效的最低投标折扣率指所有进入详评的投标人的投标折扣率中，数值最小的（如：进入详评的三个投标人的投标折扣率分别为50％、60％、70％，则投标人中的最低投标折扣率为50％），以进入详评的最低的评标折扣率为30分。</w:t>
      </w:r>
    </w:p>
    <w:p w14:paraId="301E1903">
      <w:pPr>
        <w:pStyle w:val="26"/>
        <w:spacing w:line="380" w:lineRule="exact"/>
        <w:ind w:firstLine="3150" w:firstLineChars="1500"/>
        <w:rPr>
          <w:rFonts w:hAnsi="宋体" w:cs="宋体"/>
          <w:color w:val="auto"/>
          <w:highlight w:val="none"/>
        </w:rPr>
      </w:pPr>
      <w:r>
        <w:rPr>
          <w:rFonts w:hint="eastAsia" w:hAnsi="宋体" w:cs="宋体"/>
          <w:color w:val="auto"/>
          <w:highlight w:val="none"/>
        </w:rPr>
        <w:t>投标人有效的最低投标折扣率（%）</w:t>
      </w:r>
    </w:p>
    <w:p w14:paraId="66E336D5">
      <w:pPr>
        <w:pStyle w:val="26"/>
        <w:spacing w:line="380" w:lineRule="exact"/>
        <w:ind w:firstLine="420" w:firstLineChars="200"/>
        <w:rPr>
          <w:rFonts w:hAnsi="宋体" w:cs="宋体"/>
          <w:color w:val="auto"/>
          <w:highlight w:val="none"/>
        </w:rPr>
      </w:pPr>
      <w:r>
        <w:rPr>
          <w:rFonts w:hAnsi="宋体" w:cs="宋体"/>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1669415</wp:posOffset>
                </wp:positionH>
                <wp:positionV relativeFrom="paragraph">
                  <wp:posOffset>159385</wp:posOffset>
                </wp:positionV>
                <wp:extent cx="2400300" cy="0"/>
                <wp:effectExtent l="0" t="4445" r="0" b="5080"/>
                <wp:wrapNone/>
                <wp:docPr id="10" name="直接连接符 10"/>
                <wp:cNvGraphicFramePr/>
                <a:graphic xmlns:a="http://schemas.openxmlformats.org/drawingml/2006/main">
                  <a:graphicData uri="http://schemas.microsoft.com/office/word/2010/wordprocessingShape">
                    <wps:wsp>
                      <wps:cNvCnPr/>
                      <wps:spPr>
                        <a:xfrm>
                          <a:off x="0" y="0"/>
                          <a:ext cx="24003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31.45pt;margin-top:12.55pt;height:0pt;width:189pt;z-index:251660288;mso-width-relative:page;mso-height-relative:page;" filled="f" stroked="t" coordsize="21600,21600" o:gfxdata="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YqGGu1gAAAAkBAAAPAAAAAAAAAAEAIAAAACIAAABkcnMvZG93bnJldi54bWxQ&#10;SwECFAAUAAAACACHTuJAy2Bam/kBAAD0AwAADgAAAAAAAAABACAAAAAlAQAAZHJzL2Uyb0RvYy54&#10;bWxQSwUGAAAAAAYABgBZAQAAkAUAAAAA&#10;">
                <v:fill on="f" focussize="0,0"/>
                <v:stroke color="#000000" joinstyle="round"/>
                <v:imagedata o:title=""/>
                <o:lock v:ext="edit" aspectratio="f"/>
              </v:line>
            </w:pict>
          </mc:Fallback>
        </mc:AlternateContent>
      </w:r>
      <w:r>
        <w:rPr>
          <w:rFonts w:hint="eastAsia" w:hAnsi="宋体" w:cs="宋体"/>
          <w:color w:val="auto"/>
          <w:highlight w:val="none"/>
        </w:rPr>
        <w:t>(4)某投标人价格分 =                                       ×30分</w:t>
      </w:r>
    </w:p>
    <w:p w14:paraId="561B15C5">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                            某投标人有效投标折扣率（%）</w:t>
      </w:r>
    </w:p>
    <w:p w14:paraId="22CE8DE2">
      <w:pPr>
        <w:spacing w:line="380" w:lineRule="exact"/>
        <w:rPr>
          <w:rFonts w:ascii="宋体" w:hAnsi="宋体" w:cs="宋体"/>
          <w:b/>
          <w:color w:val="auto"/>
          <w:szCs w:val="21"/>
          <w:highlight w:val="none"/>
        </w:rPr>
      </w:pPr>
      <w:r>
        <w:rPr>
          <w:rFonts w:hint="eastAsia" w:ascii="宋体" w:hAnsi="宋体" w:cs="宋体"/>
          <w:b/>
          <w:color w:val="auto"/>
          <w:szCs w:val="21"/>
          <w:highlight w:val="none"/>
        </w:rPr>
        <w:t>2、技术分…………………………………………………………………………………47分</w:t>
      </w:r>
    </w:p>
    <w:p w14:paraId="78E3A845">
      <w:pPr>
        <w:pStyle w:val="26"/>
        <w:spacing w:line="380" w:lineRule="exact"/>
        <w:ind w:firstLine="420"/>
        <w:rPr>
          <w:rFonts w:hAnsi="宋体" w:cs="宋体"/>
          <w:bCs/>
          <w:color w:val="auto"/>
          <w:highlight w:val="none"/>
        </w:rPr>
      </w:pPr>
      <w:r>
        <w:rPr>
          <w:rFonts w:hint="eastAsia" w:hAnsi="宋体" w:cs="宋体"/>
          <w:bCs/>
          <w:color w:val="auto"/>
          <w:highlight w:val="none"/>
        </w:rPr>
        <w:t>由评委根据投标文件中提供的有效证明、投标人服务承诺的真实、可靠性及服务能力进行审核并打分。</w:t>
      </w:r>
    </w:p>
    <w:p w14:paraId="45804EEE">
      <w:pPr>
        <w:pStyle w:val="26"/>
        <w:spacing w:line="380" w:lineRule="exact"/>
        <w:ind w:firstLine="420"/>
        <w:rPr>
          <w:rFonts w:hAnsi="宋体" w:cs="宋体"/>
          <w:b/>
          <w:color w:val="auto"/>
          <w:highlight w:val="none"/>
        </w:rPr>
      </w:pPr>
      <w:r>
        <w:rPr>
          <w:rFonts w:hint="eastAsia" w:hAnsi="宋体" w:cs="宋体"/>
          <w:b/>
          <w:color w:val="auto"/>
          <w:highlight w:val="none"/>
        </w:rPr>
        <w:t>（1）保证专业图书到书率的具体措施分（满分12分）</w:t>
      </w:r>
    </w:p>
    <w:p w14:paraId="042906DB">
      <w:pPr>
        <w:pStyle w:val="127"/>
        <w:tabs>
          <w:tab w:val="left" w:pos="1468"/>
        </w:tabs>
        <w:spacing w:line="380" w:lineRule="exact"/>
        <w:ind w:firstLine="420"/>
        <w:rPr>
          <w:rFonts w:ascii="宋体" w:hAnsi="宋体" w:cs="宋体"/>
          <w:color w:val="auto"/>
          <w:szCs w:val="21"/>
          <w:highlight w:val="none"/>
        </w:rPr>
      </w:pPr>
      <w:r>
        <w:rPr>
          <w:rFonts w:hint="eastAsia" w:ascii="宋体" w:hAnsi="宋体" w:cs="宋体"/>
          <w:color w:val="auto"/>
          <w:szCs w:val="21"/>
          <w:highlight w:val="none"/>
        </w:rPr>
        <w:t>未提供或提供的内容不符合采购项目采购需求的，不得分。</w:t>
      </w:r>
    </w:p>
    <w:p w14:paraId="248395DF">
      <w:pPr>
        <w:pStyle w:val="16"/>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一档（4分）：保证专业图书到书率的具体措施（包含但不限于供货渠道保障、配送安排、物流运输安排、时间安排）描述只有基本框架，具体实施流程需进一步优化或细化。</w:t>
      </w:r>
    </w:p>
    <w:p w14:paraId="31C0C0AC">
      <w:pPr>
        <w:pStyle w:val="16"/>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二档（8分）：保证专业图书到书率的具体措施（包含但不限于针对采购清单制定专项备货计划、供货渠道保障、配送安排、物流运输安排、时间安排、人员专业配置）合理可行，承诺核心出版社到书率≥95%；</w:t>
      </w:r>
    </w:p>
    <w:p w14:paraId="37C00BA1">
      <w:pPr>
        <w:pStyle w:val="16"/>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三档（12分）：在满足二档要求的基础上，配送方案内容完善且具有针对性、可行性，承诺全年到书率≥98%；提供有应急与补救方案及缺货反馈流程，明确替代方案，具备基本补送机制，质量保障措施考虑周全完善。</w:t>
      </w:r>
    </w:p>
    <w:p w14:paraId="0994E068">
      <w:pPr>
        <w:pStyle w:val="26"/>
        <w:spacing w:line="380" w:lineRule="exact"/>
        <w:ind w:firstLine="420" w:firstLineChars="200"/>
        <w:rPr>
          <w:rFonts w:hAnsi="宋体" w:cs="宋体"/>
          <w:b/>
          <w:color w:val="auto"/>
          <w:highlight w:val="none"/>
        </w:rPr>
      </w:pPr>
      <w:r>
        <w:rPr>
          <w:rFonts w:hint="eastAsia" w:hAnsi="宋体" w:cs="宋体"/>
          <w:b/>
          <w:color w:val="auto"/>
          <w:highlight w:val="none"/>
        </w:rPr>
        <w:t>（2）与出版社合作情况（满分23分）</w:t>
      </w:r>
    </w:p>
    <w:p w14:paraId="3C1D2C79">
      <w:pPr>
        <w:pStyle w:val="26"/>
        <w:spacing w:line="380" w:lineRule="exact"/>
        <w:ind w:firstLine="420" w:firstLineChars="200"/>
        <w:rPr>
          <w:rFonts w:hAnsi="宋体" w:cs="宋体"/>
          <w:bCs/>
          <w:color w:val="auto"/>
          <w:highlight w:val="none"/>
        </w:rPr>
      </w:pPr>
      <w:r>
        <w:rPr>
          <w:rFonts w:hint="eastAsia" w:hAnsi="宋体" w:cs="宋体"/>
          <w:bCs/>
          <w:color w:val="auto"/>
          <w:highlight w:val="none"/>
        </w:rPr>
        <w:t>①提供人民卫生出版社、中国医药科技出版社、中国中医药出版社、北京大学医学出版社、中国协和医科大学出版社共</w:t>
      </w:r>
      <w:r>
        <w:rPr>
          <w:rFonts w:hAnsi="宋体" w:cs="宋体"/>
          <w:bCs/>
          <w:color w:val="auto"/>
          <w:highlight w:val="none"/>
        </w:rPr>
        <w:t>5家</w:t>
      </w:r>
      <w:r>
        <w:rPr>
          <w:rFonts w:hint="eastAsia" w:hAnsi="宋体" w:cs="宋体"/>
          <w:bCs/>
          <w:color w:val="auto"/>
          <w:highlight w:val="none"/>
        </w:rPr>
        <w:t>医学专业出版社与投标人</w:t>
      </w:r>
      <w:r>
        <w:rPr>
          <w:rFonts w:hAnsi="宋体" w:cs="宋体"/>
          <w:bCs/>
          <w:color w:val="auto"/>
          <w:highlight w:val="none"/>
        </w:rPr>
        <w:t>2025年</w:t>
      </w:r>
      <w:r>
        <w:rPr>
          <w:rFonts w:hint="eastAsia"/>
          <w:color w:val="auto"/>
          <w:highlight w:val="none"/>
        </w:rPr>
        <w:t>以来</w:t>
      </w:r>
      <w:r>
        <w:rPr>
          <w:rFonts w:hint="eastAsia" w:hAnsi="宋体" w:cs="宋体"/>
          <w:bCs/>
          <w:color w:val="auto"/>
          <w:highlight w:val="none"/>
        </w:rPr>
        <w:t>的结算发票复印件</w:t>
      </w:r>
      <w:r>
        <w:rPr>
          <w:rFonts w:hint="eastAsia"/>
          <w:color w:val="auto"/>
          <w:highlight w:val="none"/>
        </w:rPr>
        <w:t>(含其控股参股或同一控股的关联公司，包括其分公司、分支机构，</w:t>
      </w:r>
      <w:r>
        <w:rPr>
          <w:rFonts w:hint="eastAsia" w:hAnsi="宋体" w:cs="宋体"/>
          <w:bCs/>
          <w:color w:val="auto"/>
          <w:highlight w:val="none"/>
        </w:rPr>
        <w:t>投标人自行</w:t>
      </w:r>
      <w:r>
        <w:rPr>
          <w:rFonts w:hint="eastAsia"/>
          <w:color w:val="auto"/>
          <w:highlight w:val="none"/>
        </w:rPr>
        <w:t>提供关联关系证明材料否则不予计分</w:t>
      </w:r>
      <w:r>
        <w:rPr>
          <w:color w:val="auto"/>
          <w:highlight w:val="none"/>
        </w:rPr>
        <w:t>)</w:t>
      </w:r>
      <w:r>
        <w:rPr>
          <w:rFonts w:hint="eastAsia" w:hAnsi="宋体" w:cs="宋体"/>
          <w:bCs/>
          <w:color w:val="auto"/>
          <w:highlight w:val="none"/>
        </w:rPr>
        <w:t>。每个出版社</w:t>
      </w:r>
      <w:r>
        <w:rPr>
          <w:rFonts w:hAnsi="宋体" w:cs="宋体"/>
          <w:bCs/>
          <w:color w:val="auto"/>
          <w:highlight w:val="none"/>
        </w:rPr>
        <w:t>2分，不提供者得0分。</w:t>
      </w:r>
      <w:r>
        <w:rPr>
          <w:rFonts w:hint="eastAsia" w:hAnsi="宋体" w:cs="宋体"/>
          <w:b/>
          <w:color w:val="auto"/>
          <w:highlight w:val="none"/>
        </w:rPr>
        <w:t>（满分10分）</w:t>
      </w:r>
    </w:p>
    <w:p w14:paraId="18238805">
      <w:pPr>
        <w:spacing w:line="380" w:lineRule="exact"/>
        <w:ind w:firstLine="420" w:firstLineChars="200"/>
        <w:rPr>
          <w:rFonts w:ascii="宋体" w:hAnsi="宋体" w:cs="宋体"/>
          <w:color w:val="auto"/>
          <w:szCs w:val="21"/>
          <w:highlight w:val="none"/>
        </w:rPr>
      </w:pPr>
      <w:r>
        <w:rPr>
          <w:rFonts w:hint="eastAsia" w:ascii="宋体" w:hAnsi="宋体" w:cs="宋体"/>
          <w:bCs/>
          <w:color w:val="auto"/>
          <w:szCs w:val="21"/>
          <w:highlight w:val="none"/>
        </w:rPr>
        <w:t>②提供</w:t>
      </w:r>
      <w:r>
        <w:rPr>
          <w:rFonts w:ascii="宋体" w:hAnsi="宋体" w:cs="宋体"/>
          <w:bCs/>
          <w:color w:val="auto"/>
          <w:szCs w:val="21"/>
          <w:highlight w:val="none"/>
        </w:rPr>
        <w:t>2026</w:t>
      </w:r>
      <w:r>
        <w:rPr>
          <w:rFonts w:hint="eastAsia" w:ascii="宋体" w:hAnsi="宋体" w:cs="宋体"/>
          <w:bCs/>
          <w:color w:val="auto"/>
          <w:szCs w:val="21"/>
          <w:highlight w:val="none"/>
        </w:rPr>
        <w:t>年科学出版社、人民邮电出版社、电子工业出版社、化学工业出版社、机械工业出版社、中国人民大学出版社、北京大学出版社、清华大学出版社八社联合授权书得3分。</w:t>
      </w:r>
      <w:r>
        <w:rPr>
          <w:rFonts w:hint="eastAsia" w:ascii="宋体" w:hAnsi="宋体" w:cs="宋体"/>
          <w:b/>
          <w:color w:val="auto"/>
          <w:szCs w:val="21"/>
          <w:highlight w:val="none"/>
        </w:rPr>
        <w:t xml:space="preserve">（满分3分）   </w:t>
      </w:r>
      <w:r>
        <w:rPr>
          <w:rFonts w:hint="eastAsia" w:ascii="宋体" w:hAnsi="宋体" w:cs="宋体"/>
          <w:color w:val="auto"/>
          <w:szCs w:val="21"/>
          <w:highlight w:val="none"/>
        </w:rPr>
        <w:t xml:space="preserve">    </w:t>
      </w:r>
    </w:p>
    <w:p w14:paraId="1A11FABF">
      <w:pPr>
        <w:pStyle w:val="26"/>
        <w:spacing w:line="380" w:lineRule="exact"/>
        <w:ind w:firstLine="420" w:firstLineChars="200"/>
        <w:rPr>
          <w:color w:val="auto"/>
          <w:highlight w:val="none"/>
        </w:rPr>
      </w:pPr>
      <w:r>
        <w:rPr>
          <w:rFonts w:hint="eastAsia" w:hAnsi="宋体" w:cs="宋体"/>
          <w:bCs/>
          <w:color w:val="auto"/>
          <w:highlight w:val="none"/>
        </w:rPr>
        <w:t>③提供</w:t>
      </w:r>
      <w:r>
        <w:rPr>
          <w:rFonts w:hint="eastAsia" w:hAnsi="宋体" w:cs="宋体"/>
          <w:color w:val="auto"/>
          <w:highlight w:val="none"/>
        </w:rPr>
        <w:t>高等教育出版社、科学技术文献出版社、世界图书出版有限公司、天津科技翻译出版有限公司、中国社会科学出版社、中信出版社、商务印书馆、人民出版社、社会科学文献出版社、外语教学与研究出版社、生活.读书.新知三联出版社、新华出版社、中华书局、知识产权出版社、人民文学出版社、作家出版社、上海外语教育出版社、复旦大学出版社、上海交通大学出版社、浙江大学出版社、华中科技大学出版社、北京理工大学出版社、武汉大学出版社、南京大学出版社、中山大学出版社、东南大学出版社、四川大学出版社、中南大学出版社、吉林大学出版社、广西师范大学出版社、中国科学技术出版社、辽宁科学技术出版社、北京科学技术出版社、上海科学技术出版社、吉林科学技术出版社、天津科学技术出版社、湖南科学技术出版社、河南科学技术出版社</w:t>
      </w:r>
      <w:r>
        <w:rPr>
          <w:rFonts w:hint="eastAsia" w:hAnsi="宋体" w:cs="宋体"/>
          <w:bCs/>
          <w:color w:val="auto"/>
          <w:highlight w:val="none"/>
        </w:rPr>
        <w:t>共38家出版社与投标人</w:t>
      </w:r>
      <w:r>
        <w:rPr>
          <w:rFonts w:hAnsi="宋体" w:cs="宋体"/>
          <w:bCs/>
          <w:color w:val="auto"/>
          <w:highlight w:val="none"/>
        </w:rPr>
        <w:t>2025年</w:t>
      </w:r>
      <w:r>
        <w:rPr>
          <w:rFonts w:hint="eastAsia"/>
          <w:color w:val="auto"/>
          <w:highlight w:val="none"/>
        </w:rPr>
        <w:t>以来</w:t>
      </w:r>
      <w:r>
        <w:rPr>
          <w:rFonts w:hint="eastAsia" w:hAnsi="宋体" w:cs="宋体"/>
          <w:bCs/>
          <w:color w:val="auto"/>
          <w:highlight w:val="none"/>
        </w:rPr>
        <w:t>的结算发票复印件</w:t>
      </w:r>
      <w:r>
        <w:rPr>
          <w:rFonts w:hint="eastAsia" w:hAnsi="宋体" w:cs="宋体"/>
          <w:bCs/>
          <w:color w:val="auto"/>
          <w:highlight w:val="none"/>
          <w:lang w:eastAsia="zh-CN"/>
        </w:rPr>
        <w:t>，</w:t>
      </w:r>
      <w:r>
        <w:rPr>
          <w:rFonts w:hint="eastAsia" w:hAnsi="宋体" w:cs="宋体"/>
          <w:bCs/>
          <w:color w:val="auto"/>
          <w:highlight w:val="none"/>
          <w:lang w:val="en-US" w:eastAsia="zh-CN"/>
        </w:rPr>
        <w:t>或</w:t>
      </w:r>
      <w:r>
        <w:rPr>
          <w:rFonts w:hint="eastAsia" w:hAnsi="宋体" w:cs="宋体"/>
          <w:bCs/>
          <w:color w:val="auto"/>
          <w:highlight w:val="none"/>
        </w:rPr>
        <w:t>投标人持有出版社出具的授权文件/合同协议。提供38家的得10分，提供34-37家得8分，提供30-33家得6分，提供26-29家得4分，提供22-25家得2分，低于22家不得分。</w:t>
      </w:r>
      <w:r>
        <w:rPr>
          <w:rFonts w:hint="eastAsia" w:hAnsi="宋体" w:cs="宋体"/>
          <w:b/>
          <w:color w:val="auto"/>
          <w:highlight w:val="none"/>
        </w:rPr>
        <w:t>（满分10分）</w:t>
      </w:r>
    </w:p>
    <w:p w14:paraId="10937E45">
      <w:pPr>
        <w:pStyle w:val="26"/>
        <w:spacing w:line="380" w:lineRule="exact"/>
        <w:ind w:firstLine="420" w:firstLineChars="200"/>
        <w:rPr>
          <w:rFonts w:hAnsi="宋体" w:cs="宋体"/>
          <w:b/>
          <w:bCs/>
          <w:color w:val="auto"/>
          <w:highlight w:val="none"/>
        </w:rPr>
      </w:pPr>
      <w:r>
        <w:rPr>
          <w:rFonts w:hint="eastAsia" w:hAnsi="宋体" w:cs="宋体"/>
          <w:color w:val="auto"/>
          <w:highlight w:val="none"/>
        </w:rPr>
        <w:t>（3）具有中国高等教育文献保障系统（CALIS）的下载《协议书》且在有效期内，投标文件中提供真实有效的证明材料并加盖供应商电子签章，得2分。</w:t>
      </w:r>
      <w:r>
        <w:rPr>
          <w:rFonts w:hint="eastAsia" w:hAnsi="宋体" w:cs="宋体"/>
          <w:b/>
          <w:bCs/>
          <w:color w:val="auto"/>
          <w:highlight w:val="none"/>
        </w:rPr>
        <w:t>（满分2分）</w:t>
      </w:r>
    </w:p>
    <w:p w14:paraId="54E15A8A">
      <w:pPr>
        <w:pStyle w:val="26"/>
        <w:spacing w:line="380" w:lineRule="exact"/>
        <w:ind w:firstLine="420" w:firstLineChars="200"/>
        <w:rPr>
          <w:rFonts w:hAnsi="宋体" w:cs="宋体"/>
          <w:b/>
          <w:bCs/>
          <w:color w:val="auto"/>
          <w:highlight w:val="none"/>
        </w:rPr>
      </w:pPr>
      <w:r>
        <w:rPr>
          <w:rFonts w:hint="eastAsia" w:hAnsi="宋体" w:cs="宋体"/>
          <w:b/>
          <w:bCs/>
          <w:color w:val="auto"/>
          <w:highlight w:val="none"/>
        </w:rPr>
        <w:t>（4）售后服务方案（满分10分）</w:t>
      </w:r>
    </w:p>
    <w:p w14:paraId="450771ED">
      <w:pPr>
        <w:pStyle w:val="26"/>
        <w:spacing w:line="380" w:lineRule="exact"/>
        <w:ind w:firstLine="420" w:firstLineChars="200"/>
        <w:rPr>
          <w:rFonts w:hAnsi="宋体" w:cs="宋体"/>
          <w:color w:val="auto"/>
          <w:highlight w:val="none"/>
        </w:rPr>
      </w:pPr>
      <w:r>
        <w:rPr>
          <w:rFonts w:hint="eastAsia" w:hAnsi="宋体" w:cs="宋体"/>
          <w:color w:val="auto"/>
          <w:highlight w:val="none"/>
        </w:rPr>
        <w:t>一档（4分）：遇质量问题或其他突发情况在24小时内作出响应，且承诺能72小时内到达现场处理，供应商的服务体系、服务内容、故障解决方案、拟投入本项目的专业技术人员情况等售后服务方案仅满足采购文件要求。</w:t>
      </w:r>
    </w:p>
    <w:p w14:paraId="506F8475">
      <w:pPr>
        <w:pStyle w:val="26"/>
        <w:spacing w:line="380" w:lineRule="exact"/>
        <w:ind w:firstLine="420" w:firstLineChars="200"/>
        <w:rPr>
          <w:rFonts w:hAnsi="宋体" w:cs="宋体"/>
          <w:color w:val="auto"/>
          <w:highlight w:val="none"/>
        </w:rPr>
      </w:pPr>
      <w:r>
        <w:rPr>
          <w:rFonts w:hint="eastAsia" w:hAnsi="宋体" w:cs="宋体"/>
          <w:color w:val="auto"/>
          <w:highlight w:val="none"/>
        </w:rPr>
        <w:t>二档（7分）：在满足一档要求的基础上，遇质量问题或其他突发情况在12小时内作出响应，48小时内到达现场处理，12日内可更换不合格图书。供应商的服务体系、服务内容、故障解决方案、拟投入本项目的专业技术人员情况等售后服务方案内容完整合理，具有可行性。</w:t>
      </w:r>
    </w:p>
    <w:p w14:paraId="2BDF14FD">
      <w:pPr>
        <w:pStyle w:val="26"/>
        <w:spacing w:line="380" w:lineRule="exact"/>
        <w:ind w:firstLine="420" w:firstLineChars="200"/>
        <w:rPr>
          <w:rFonts w:hAnsi="宋体" w:cs="宋体"/>
          <w:color w:val="auto"/>
          <w:highlight w:val="none"/>
        </w:rPr>
      </w:pPr>
      <w:r>
        <w:rPr>
          <w:rFonts w:hint="eastAsia" w:hAnsi="宋体" w:cs="宋体"/>
          <w:color w:val="auto"/>
          <w:highlight w:val="none"/>
        </w:rPr>
        <w:t>三档（10分）：在满足二档要求的基础上，遇质量问题或其他突发情况在2小时内作出响应，24小时内到达现场处理。供应商针对图书编目及加工质量、图书退换、提供图书保质期内流通图书装帧破损的服务和违约处罚的售后服务措施完整、可行，各项售后服务且优于采购文件要求。</w:t>
      </w:r>
    </w:p>
    <w:p w14:paraId="685BAF7D">
      <w:pPr>
        <w:pStyle w:val="26"/>
        <w:spacing w:line="380" w:lineRule="exact"/>
        <w:ind w:firstLine="420" w:firstLineChars="200"/>
        <w:rPr>
          <w:color w:val="auto"/>
          <w:highlight w:val="none"/>
        </w:rPr>
      </w:pPr>
      <w:r>
        <w:rPr>
          <w:rFonts w:hint="eastAsia" w:hAnsi="宋体" w:cs="宋体"/>
          <w:color w:val="auto"/>
          <w:highlight w:val="none"/>
        </w:rPr>
        <w:t>注：未提供售后服务方案或售后服务方案未达到一档要求的，得0分。</w:t>
      </w:r>
    </w:p>
    <w:p w14:paraId="454CF0E4">
      <w:pPr>
        <w:spacing w:line="380" w:lineRule="exact"/>
        <w:rPr>
          <w:rFonts w:ascii="宋体" w:hAnsi="宋体" w:cs="宋体"/>
          <w:b/>
          <w:color w:val="auto"/>
          <w:szCs w:val="21"/>
          <w:highlight w:val="none"/>
        </w:rPr>
      </w:pPr>
      <w:r>
        <w:rPr>
          <w:rFonts w:hint="eastAsia" w:ascii="宋体" w:hAnsi="宋体" w:cs="宋体"/>
          <w:b/>
          <w:color w:val="auto"/>
          <w:szCs w:val="21"/>
          <w:highlight w:val="none"/>
        </w:rPr>
        <w:t>3、商务分…………………………………………………………………………………22分</w:t>
      </w:r>
    </w:p>
    <w:p w14:paraId="3B7FF46F">
      <w:pPr>
        <w:pStyle w:val="26"/>
        <w:spacing w:line="380" w:lineRule="exact"/>
        <w:ind w:firstLine="420" w:firstLineChars="200"/>
        <w:rPr>
          <w:rFonts w:hAnsi="宋体" w:cs="宋体"/>
          <w:b/>
          <w:color w:val="auto"/>
          <w:highlight w:val="none"/>
        </w:rPr>
      </w:pPr>
      <w:r>
        <w:rPr>
          <w:rFonts w:hint="eastAsia" w:hAnsi="宋体" w:cs="宋体"/>
          <w:b/>
          <w:color w:val="auto"/>
          <w:highlight w:val="none"/>
        </w:rPr>
        <w:t>（1）公司的技术力量（提供相关证明材料）（满分3分）</w:t>
      </w:r>
    </w:p>
    <w:p w14:paraId="00BB2205">
      <w:pPr>
        <w:pStyle w:val="26"/>
        <w:spacing w:line="380" w:lineRule="exact"/>
        <w:ind w:firstLine="452" w:firstLineChars="200"/>
        <w:rPr>
          <w:rFonts w:hint="eastAsia" w:eastAsia="宋体"/>
          <w:lang w:eastAsia="zh-CN"/>
        </w:rPr>
      </w:pPr>
      <w:r>
        <w:rPr>
          <w:rFonts w:hint="eastAsia" w:hAnsi="宋体" w:cs="宋体"/>
          <w:bCs w:val="0"/>
          <w:spacing w:val="8"/>
          <w:kern w:val="0"/>
        </w:rPr>
        <w:t>拟投入本项目的实施人员中有从事图书经销和数据加工业务的专业人员，每提供一份从业人员有效资质证明材料</w:t>
      </w:r>
      <w:r>
        <w:rPr>
          <w:rFonts w:hint="eastAsia" w:hAnsi="宋体" w:cs="宋体"/>
          <w:bCs w:val="0"/>
          <w:spacing w:val="8"/>
          <w:kern w:val="0"/>
          <w:lang w:val="en-US" w:eastAsia="zh-CN"/>
        </w:rPr>
        <w:t>得</w:t>
      </w:r>
      <w:r>
        <w:rPr>
          <w:rFonts w:hint="eastAsia" w:hAnsi="宋体" w:cs="宋体"/>
          <w:bCs w:val="0"/>
          <w:spacing w:val="8"/>
          <w:kern w:val="0"/>
        </w:rPr>
        <w:t>0.5分，满分3分。</w:t>
      </w:r>
      <w:r>
        <w:rPr>
          <w:rFonts w:hint="eastAsia" w:ascii="宋体" w:hAnsi="宋体" w:eastAsia="宋体" w:cs="宋体"/>
          <w:spacing w:val="8"/>
          <w:sz w:val="21"/>
          <w:szCs w:val="21"/>
        </w:rPr>
        <w:t>有效资质包括：出版物发行员职业资格证或出版物发行员职业技能等级证书、全国图书馆联合编目中心上传资格培训证书、国家图书馆/CALIS颁发的编目员资格证书，或同等效力的其他专业培训证明。</w:t>
      </w:r>
      <w:r>
        <w:rPr>
          <w:rFonts w:hint="eastAsia" w:hAnsi="宋体" w:cs="宋体"/>
          <w:bCs w:val="0"/>
          <w:spacing w:val="8"/>
          <w:kern w:val="0"/>
        </w:rPr>
        <w:t>（</w:t>
      </w:r>
      <w:r>
        <w:rPr>
          <w:rFonts w:hint="eastAsia" w:hAnsi="宋体" w:cs="宋体"/>
          <w:spacing w:val="8"/>
          <w:kern w:val="0"/>
        </w:rPr>
        <w:t>在投标文件中提供相关人员的资格证书，同时提供投标截止日前半年内任意1个月的社保证明或提供有效期内的劳动合同复印件</w:t>
      </w:r>
      <w:r>
        <w:rPr>
          <w:rFonts w:hint="eastAsia" w:hAnsi="宋体" w:cs="宋体"/>
          <w:bCs w:val="0"/>
          <w:spacing w:val="8"/>
          <w:kern w:val="0"/>
        </w:rPr>
        <w:t>）</w:t>
      </w:r>
      <w:r>
        <w:rPr>
          <w:rFonts w:hint="eastAsia" w:hAnsi="宋体" w:cs="宋体"/>
          <w:bCs w:val="0"/>
          <w:spacing w:val="8"/>
          <w:kern w:val="0"/>
          <w:lang w:eastAsia="zh-CN"/>
        </w:rPr>
        <w:t>。</w:t>
      </w:r>
    </w:p>
    <w:p w14:paraId="669A5BB5">
      <w:pPr>
        <w:pStyle w:val="26"/>
        <w:spacing w:line="380" w:lineRule="exact"/>
        <w:ind w:firstLine="420" w:firstLineChars="200"/>
        <w:rPr>
          <w:rFonts w:hAnsi="宋体" w:cs="宋体"/>
          <w:bCs/>
          <w:color w:val="auto"/>
          <w:highlight w:val="none"/>
        </w:rPr>
      </w:pPr>
      <w:r>
        <w:rPr>
          <w:rFonts w:hint="eastAsia" w:hAnsi="宋体" w:cs="宋体"/>
          <w:bCs/>
          <w:color w:val="auto"/>
          <w:highlight w:val="none"/>
        </w:rPr>
        <w:t>（2）投标人提供</w:t>
      </w:r>
      <w:r>
        <w:rPr>
          <w:rFonts w:hAnsi="宋体" w:cs="宋体"/>
          <w:bCs/>
          <w:color w:val="auto"/>
          <w:highlight w:val="none"/>
        </w:rPr>
        <w:t>2023年1月1日以来与图书馆合作中文图书采购项目的业绩证明（或提供包含图书编目与加工的图书采购业绩证明），每提供1份业绩证明材料得1分，满分7分。投标时提供合同复印件或中标（成交）通知书复印件（只需提供其一)，若提供的证明材料缺失关键内容（如标的名称、标的内容、时间等）或模糊不清导致无法判定的，不予计分。</w:t>
      </w:r>
    </w:p>
    <w:p w14:paraId="39CBB338">
      <w:pPr>
        <w:pStyle w:val="26"/>
        <w:spacing w:line="380" w:lineRule="exact"/>
        <w:ind w:firstLine="420" w:firstLineChars="200"/>
        <w:rPr>
          <w:rFonts w:hAnsi="宋体" w:cs="宋体"/>
          <w:color w:val="auto"/>
          <w:highlight w:val="none"/>
        </w:rPr>
      </w:pPr>
      <w:r>
        <w:rPr>
          <w:rFonts w:hint="eastAsia" w:hAnsi="宋体" w:cs="宋体"/>
          <w:color w:val="auto"/>
          <w:highlight w:val="none"/>
        </w:rPr>
        <w:t>（3）投标人提供2023年至投标截止时间中文图书采购项目采购人对图书供应情况的满意度调查结论的证明材料或评价表等满意度调查结论的证明材料（需加盖项目采购人公章），评价为“满意”或“优秀”或“评分≥95（百分制）”等类似评价最高等级且到书率≥95%，每提供1份符合要求的证明材料得1分，最高得8分（同一</w:t>
      </w:r>
      <w:r>
        <w:rPr>
          <w:rFonts w:hint="eastAsia"/>
          <w:color w:val="auto"/>
          <w:highlight w:val="none"/>
        </w:rPr>
        <w:t>采购人</w:t>
      </w:r>
      <w:r>
        <w:rPr>
          <w:rFonts w:hint="eastAsia" w:hAnsi="宋体" w:cs="宋体"/>
          <w:color w:val="auto"/>
          <w:highlight w:val="none"/>
        </w:rPr>
        <w:t>出具的满意度调查结论的证明材料不重复计分）。满分8分。</w:t>
      </w:r>
    </w:p>
    <w:p w14:paraId="6EB317EE">
      <w:pPr>
        <w:pStyle w:val="16"/>
        <w:ind w:firstLine="420" w:firstLineChars="200"/>
        <w:rPr>
          <w:color w:val="auto"/>
          <w:sz w:val="21"/>
          <w:szCs w:val="21"/>
          <w:highlight w:val="none"/>
        </w:rPr>
      </w:pPr>
      <w:r>
        <w:rPr>
          <w:rFonts w:hint="eastAsia"/>
          <w:color w:val="auto"/>
          <w:sz w:val="21"/>
          <w:szCs w:val="21"/>
          <w:highlight w:val="none"/>
        </w:rPr>
        <w:t>（4）针对采购人的增值服务措施（满分4分）</w:t>
      </w:r>
    </w:p>
    <w:p w14:paraId="09BB5985">
      <w:pPr>
        <w:pStyle w:val="16"/>
        <w:ind w:firstLine="630" w:firstLineChars="300"/>
        <w:rPr>
          <w:color w:val="auto"/>
          <w:sz w:val="21"/>
          <w:szCs w:val="21"/>
          <w:highlight w:val="none"/>
        </w:rPr>
      </w:pPr>
      <w:r>
        <w:rPr>
          <w:rFonts w:hint="eastAsia"/>
          <w:color w:val="auto"/>
          <w:sz w:val="21"/>
          <w:szCs w:val="21"/>
          <w:highlight w:val="none"/>
        </w:rPr>
        <w:t>在完全满足采购人《项目需求》的基础上，投标人为采购人提供优于项目需求，且与图书采购、图书加工、馆藏建设等相关的其他增值服务，每项得1分，满分4分。增值服务须经评标委员会认可，符合采购人工作要求和行业规则，投标文件中附增值服务承诺（格式自拟）。</w:t>
      </w:r>
    </w:p>
    <w:p w14:paraId="402FD583">
      <w:pPr>
        <w:pStyle w:val="26"/>
        <w:spacing w:line="380" w:lineRule="exact"/>
        <w:rPr>
          <w:rFonts w:hAnsi="宋体" w:cs="宋体"/>
          <w:b/>
          <w:bCs/>
          <w:color w:val="auto"/>
          <w:highlight w:val="none"/>
        </w:rPr>
      </w:pPr>
      <w:r>
        <w:rPr>
          <w:rFonts w:hint="eastAsia" w:hAnsi="宋体" w:cs="宋体"/>
          <w:b/>
          <w:bCs/>
          <w:color w:val="auto"/>
          <w:highlight w:val="none"/>
        </w:rPr>
        <w:t>4、政策功能分（节能、环保、区内产品等）………………………………………………</w:t>
      </w:r>
      <w:r>
        <w:rPr>
          <w:rFonts w:hAnsi="宋体" w:cs="宋体"/>
          <w:b/>
          <w:bCs/>
          <w:color w:val="auto"/>
          <w:highlight w:val="none"/>
        </w:rPr>
        <w:t>1</w:t>
      </w:r>
      <w:r>
        <w:rPr>
          <w:rFonts w:hint="eastAsia" w:hAnsi="宋体" w:cs="宋体"/>
          <w:b/>
          <w:bCs/>
          <w:color w:val="auto"/>
          <w:highlight w:val="none"/>
        </w:rPr>
        <w:t>分</w:t>
      </w:r>
    </w:p>
    <w:p w14:paraId="011C502E">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投标产品纳入《关于印发节能产品政府采购品目清单的通知》（财库〔2019〕19号）中节能产品政府采购品目清单的（适用于非强制采购节能产品，产品提供投标产品所属节能产品认证证书复印件并加盖单位公章），得0.5分。</w:t>
      </w:r>
    </w:p>
    <w:p w14:paraId="5A4A41F4">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（2）投标产品纳入《关于印发环境标志产品政府采购品目清单的通知》（财库〔2019〕18号）中环境标志产品政府采购品目清单的（提供投标产品所属环境标志产品认证证书复印件并加盖单位公章），得0.5分。</w:t>
      </w:r>
    </w:p>
    <w:p w14:paraId="089D151F">
      <w:pPr>
        <w:spacing w:line="380" w:lineRule="exact"/>
        <w:rPr>
          <w:rFonts w:ascii="宋体" w:hAnsi="宋体" w:cs="宋体"/>
          <w:bCs/>
          <w:color w:val="auto"/>
          <w:szCs w:val="21"/>
          <w:highlight w:val="none"/>
        </w:rPr>
      </w:pPr>
      <w:r>
        <w:rPr>
          <w:rFonts w:hint="eastAsia" w:ascii="宋体" w:hAnsi="宋体" w:cs="宋体"/>
          <w:b/>
          <w:color w:val="auto"/>
          <w:szCs w:val="21"/>
          <w:highlight w:val="none"/>
        </w:rPr>
        <w:t>（三）总得分=1 + 2 + 3 + 4 。</w:t>
      </w:r>
    </w:p>
    <w:p w14:paraId="0C109B2A">
      <w:pPr>
        <w:pStyle w:val="41"/>
        <w:spacing w:line="380" w:lineRule="exact"/>
        <w:ind w:left="0"/>
        <w:rPr>
          <w:rFonts w:ascii="宋体" w:hAnsi="宋体"/>
          <w:b/>
          <w:bCs/>
        </w:rPr>
      </w:pPr>
      <w:r>
        <w:rPr>
          <w:rFonts w:hint="eastAsia" w:ascii="宋体" w:hAnsi="宋体"/>
          <w:b/>
          <w:bCs/>
        </w:rPr>
        <w:t>三、中标候选人推荐原则</w:t>
      </w:r>
    </w:p>
    <w:p w14:paraId="2C575E1D">
      <w:pPr>
        <w:pStyle w:val="41"/>
        <w:spacing w:line="380" w:lineRule="exact"/>
        <w:ind w:left="0"/>
        <w:rPr>
          <w:rFonts w:ascii="宋体" w:hAnsi="宋体"/>
          <w:bCs/>
        </w:rPr>
      </w:pPr>
      <w:r>
        <w:rPr>
          <w:rFonts w:hint="eastAsia" w:ascii="宋体" w:hAnsi="宋体"/>
          <w:b/>
          <w:bCs/>
        </w:rPr>
        <w:t xml:space="preserve">  </w:t>
      </w:r>
      <w:r>
        <w:rPr>
          <w:rFonts w:hint="eastAsia" w:ascii="宋体" w:hAnsi="宋体"/>
          <w:bCs/>
        </w:rPr>
        <w:t>（一）评标委员会将根据评审后得分由高到低顺序排列次序并推荐中标候选人。得分相同的，以投标报价由低到高顺序排列；得分相同且投标报价相同的并列，投标文件满足招标文件全部实质性要求，且按照评审因素的量化指标评审得分最高的投标人为排名第一的中标候选人。采购人应当确定评审委员会推荐排名第一的中标候选人为</w:t>
      </w:r>
      <w:r>
        <w:rPr>
          <w:rFonts w:hint="eastAsia" w:ascii="宋体" w:hAnsi="宋体"/>
        </w:rPr>
        <w:t>中标人</w:t>
      </w:r>
      <w:r>
        <w:rPr>
          <w:rFonts w:hint="eastAsia" w:ascii="宋体" w:hAnsi="宋体"/>
          <w:bCs/>
        </w:rPr>
        <w:t>。排名第一的中标候选人放弃中标、因不可抗力或者自身原因提出不能履行合同，采购人可以确定排名第二的中标候选人为</w:t>
      </w:r>
      <w:r>
        <w:rPr>
          <w:rFonts w:hint="eastAsia" w:ascii="宋体" w:hAnsi="宋体"/>
        </w:rPr>
        <w:t>中标人</w:t>
      </w:r>
      <w:r>
        <w:rPr>
          <w:rFonts w:hint="eastAsia" w:ascii="宋体" w:hAnsi="宋体"/>
          <w:bCs/>
        </w:rPr>
        <w:t>。排名第二的中标候选人因前款规定的同样原因不能签订合同的，采购人、采购代理机构可以确定排名第三的中标候选人为中标人，采购人也可以决定重新采购。对采购过程、中标结果提出的质疑，合格供应商符合法定数量时，可以从合格的中标候选人中另行确定中标供应商的，应当依法另行确定中标供应商；否则应当重新开展采购活动。</w:t>
      </w:r>
    </w:p>
    <w:p w14:paraId="678DD89B">
      <w:pPr>
        <w:pStyle w:val="41"/>
        <w:spacing w:line="380" w:lineRule="exact"/>
        <w:ind w:left="0"/>
        <w:rPr>
          <w:rFonts w:ascii="宋体" w:hAnsi="宋体" w:cs="宋体"/>
          <w:bCs/>
          <w:color w:val="FF0000"/>
          <w:szCs w:val="21"/>
        </w:rPr>
      </w:pPr>
      <w:r>
        <w:rPr>
          <w:rFonts w:hint="eastAsia" w:ascii="宋体" w:hAnsi="宋体"/>
          <w:bCs/>
        </w:rPr>
        <w:t xml:space="preserve">  （二）</w:t>
      </w:r>
      <w:r>
        <w:rPr>
          <w:rFonts w:hint="eastAsia" w:ascii="宋体" w:hAnsi="宋体" w:cs="宋体"/>
          <w:bCs/>
          <w:szCs w:val="21"/>
        </w:rPr>
        <w:t>异常低价审查：具体详见第三章《投标人须知》。</w:t>
      </w:r>
    </w:p>
    <w:p w14:paraId="4054E9B9">
      <w:pPr>
        <w:spacing w:line="400" w:lineRule="exact"/>
        <w:jc w:val="center"/>
        <w:rPr>
          <w:rFonts w:ascii="宋体" w:hAnsi="宋体"/>
          <w:sz w:val="32"/>
          <w:szCs w:val="32"/>
        </w:rPr>
      </w:pPr>
      <w:r>
        <w:rPr>
          <w:rFonts w:ascii="宋体" w:hAnsi="宋体"/>
          <w:sz w:val="32"/>
          <w:szCs w:val="32"/>
        </w:rPr>
        <w:br w:type="page"/>
      </w:r>
    </w:p>
    <w:p w14:paraId="4C44775F">
      <w:pPr>
        <w:spacing w:line="400" w:lineRule="exact"/>
        <w:jc w:val="center"/>
        <w:rPr>
          <w:rFonts w:ascii="宋体"/>
          <w:sz w:val="32"/>
          <w:szCs w:val="32"/>
        </w:rPr>
      </w:pPr>
    </w:p>
    <w:p w14:paraId="38BFE6B9">
      <w:pPr>
        <w:spacing w:line="400" w:lineRule="exact"/>
        <w:jc w:val="center"/>
        <w:rPr>
          <w:rFonts w:ascii="宋体"/>
          <w:sz w:val="32"/>
          <w:szCs w:val="32"/>
        </w:rPr>
      </w:pPr>
    </w:p>
    <w:p w14:paraId="1BC334CE">
      <w:pPr>
        <w:spacing w:line="400" w:lineRule="exact"/>
        <w:jc w:val="center"/>
        <w:rPr>
          <w:rFonts w:ascii="宋体"/>
          <w:sz w:val="32"/>
          <w:szCs w:val="32"/>
        </w:rPr>
      </w:pPr>
    </w:p>
    <w:p w14:paraId="655935EA">
      <w:pPr>
        <w:spacing w:line="400" w:lineRule="exact"/>
        <w:jc w:val="center"/>
        <w:rPr>
          <w:rFonts w:ascii="宋体"/>
          <w:sz w:val="32"/>
          <w:szCs w:val="32"/>
        </w:rPr>
      </w:pPr>
    </w:p>
    <w:p w14:paraId="259B238D">
      <w:pPr>
        <w:spacing w:line="400" w:lineRule="exact"/>
        <w:jc w:val="center"/>
        <w:rPr>
          <w:rFonts w:ascii="宋体"/>
          <w:sz w:val="32"/>
          <w:szCs w:val="32"/>
        </w:rPr>
      </w:pPr>
    </w:p>
    <w:p w14:paraId="41B4E526">
      <w:pPr>
        <w:spacing w:line="400" w:lineRule="exact"/>
        <w:jc w:val="center"/>
        <w:rPr>
          <w:rFonts w:ascii="宋体"/>
          <w:sz w:val="32"/>
          <w:szCs w:val="32"/>
        </w:rPr>
      </w:pPr>
    </w:p>
    <w:p w14:paraId="7A59DA14">
      <w:pPr>
        <w:spacing w:line="400" w:lineRule="exact"/>
        <w:jc w:val="center"/>
        <w:rPr>
          <w:rFonts w:ascii="宋体"/>
          <w:sz w:val="32"/>
          <w:szCs w:val="32"/>
        </w:rPr>
      </w:pPr>
    </w:p>
    <w:p w14:paraId="054A6FF4">
      <w:pPr>
        <w:spacing w:line="400" w:lineRule="exact"/>
        <w:jc w:val="center"/>
        <w:rPr>
          <w:rFonts w:ascii="宋体"/>
          <w:sz w:val="32"/>
          <w:szCs w:val="32"/>
        </w:rPr>
      </w:pPr>
    </w:p>
    <w:p w14:paraId="2CF96D7C">
      <w:pPr>
        <w:spacing w:line="400" w:lineRule="exact"/>
        <w:jc w:val="center"/>
        <w:rPr>
          <w:rFonts w:ascii="宋体"/>
          <w:sz w:val="32"/>
          <w:szCs w:val="32"/>
        </w:rPr>
      </w:pPr>
    </w:p>
    <w:p w14:paraId="605708FD">
      <w:pPr>
        <w:spacing w:line="400" w:lineRule="exact"/>
        <w:jc w:val="center"/>
        <w:rPr>
          <w:rFonts w:ascii="宋体"/>
          <w:sz w:val="32"/>
          <w:szCs w:val="32"/>
        </w:rPr>
      </w:pPr>
    </w:p>
    <w:p w14:paraId="10C97FB8">
      <w:pPr>
        <w:spacing w:line="400" w:lineRule="exact"/>
        <w:jc w:val="center"/>
        <w:rPr>
          <w:rFonts w:ascii="宋体"/>
          <w:sz w:val="32"/>
          <w:szCs w:val="32"/>
        </w:rPr>
      </w:pPr>
    </w:p>
    <w:p w14:paraId="3DBE676A">
      <w:pPr>
        <w:spacing w:line="400" w:lineRule="exact"/>
        <w:jc w:val="center"/>
        <w:rPr>
          <w:rFonts w:ascii="宋体"/>
          <w:sz w:val="32"/>
          <w:szCs w:val="32"/>
        </w:rPr>
      </w:pPr>
    </w:p>
    <w:p w14:paraId="271B5DA9">
      <w:pPr>
        <w:spacing w:line="400" w:lineRule="exact"/>
        <w:rPr>
          <w:rFonts w:ascii="宋体"/>
          <w:sz w:val="32"/>
          <w:szCs w:val="32"/>
        </w:rPr>
      </w:pPr>
    </w:p>
    <w:p w14:paraId="1B2C9308">
      <w:pPr>
        <w:pStyle w:val="46"/>
        <w:rPr>
          <w:sz w:val="44"/>
          <w:szCs w:val="44"/>
        </w:rPr>
      </w:pPr>
      <w:bookmarkStart w:id="101" w:name="_Toc476436435"/>
      <w:bookmarkStart w:id="102" w:name="_Toc476436176"/>
      <w:r>
        <w:rPr>
          <w:rFonts w:hint="eastAsia"/>
          <w:sz w:val="44"/>
          <w:szCs w:val="44"/>
        </w:rPr>
        <w:t>第五章  政府采购合同主要条款</w:t>
      </w:r>
      <w:bookmarkEnd w:id="101"/>
      <w:bookmarkEnd w:id="102"/>
    </w:p>
    <w:p w14:paraId="0EBD73D2">
      <w:pPr>
        <w:pStyle w:val="26"/>
        <w:jc w:val="center"/>
        <w:rPr>
          <w:b/>
          <w:sz w:val="52"/>
          <w:szCs w:val="52"/>
        </w:rPr>
      </w:pPr>
    </w:p>
    <w:p w14:paraId="5C101148">
      <w:pPr>
        <w:pStyle w:val="26"/>
        <w:jc w:val="center"/>
        <w:rPr>
          <w:b/>
          <w:sz w:val="52"/>
          <w:szCs w:val="52"/>
        </w:rPr>
      </w:pPr>
      <w:r>
        <w:rPr>
          <w:b/>
          <w:sz w:val="52"/>
          <w:szCs w:val="52"/>
        </w:rPr>
        <w:br w:type="page"/>
      </w:r>
    </w:p>
    <w:p w14:paraId="2FE766C8">
      <w:pPr>
        <w:pStyle w:val="26"/>
        <w:jc w:val="center"/>
        <w:rPr>
          <w:b/>
          <w:sz w:val="52"/>
          <w:szCs w:val="52"/>
        </w:rPr>
      </w:pPr>
    </w:p>
    <w:p w14:paraId="0B09C14A">
      <w:pPr>
        <w:pStyle w:val="26"/>
        <w:jc w:val="center"/>
        <w:rPr>
          <w:rFonts w:ascii="方正大标宋简体" w:hAnsi="方正大标宋简体" w:eastAsia="方正大标宋简体" w:cs="方正大标宋简体"/>
          <w:bCs/>
          <w:sz w:val="72"/>
          <w:szCs w:val="72"/>
        </w:rPr>
      </w:pPr>
      <w:r>
        <w:rPr>
          <w:rFonts w:hint="eastAsia" w:ascii="方正大标宋简体" w:hAnsi="方正大标宋简体" w:eastAsia="方正大标宋简体" w:cs="方正大标宋简体"/>
          <w:bCs/>
          <w:sz w:val="72"/>
          <w:szCs w:val="72"/>
        </w:rPr>
        <w:t>采购合同</w:t>
      </w:r>
    </w:p>
    <w:p w14:paraId="11D91E79">
      <w:pPr>
        <w:rPr>
          <w:rFonts w:ascii="宋体" w:hAnsi="宋体"/>
          <w:szCs w:val="20"/>
        </w:rPr>
      </w:pPr>
    </w:p>
    <w:p w14:paraId="5A80354B">
      <w:pPr>
        <w:rPr>
          <w:rFonts w:ascii="宋体" w:hAnsi="宋体"/>
          <w:szCs w:val="20"/>
        </w:rPr>
      </w:pPr>
    </w:p>
    <w:p w14:paraId="57F8A2E2">
      <w:pPr>
        <w:rPr>
          <w:rFonts w:ascii="宋体" w:hAnsi="宋体"/>
          <w:szCs w:val="20"/>
        </w:rPr>
      </w:pPr>
    </w:p>
    <w:p w14:paraId="3F7EFEFF">
      <w:pPr>
        <w:rPr>
          <w:rFonts w:ascii="宋体" w:hAnsi="宋体"/>
          <w:szCs w:val="20"/>
        </w:rPr>
      </w:pPr>
    </w:p>
    <w:p w14:paraId="4F522872">
      <w:pPr>
        <w:rPr>
          <w:rFonts w:ascii="宋体" w:hAnsi="宋体"/>
          <w:szCs w:val="20"/>
        </w:rPr>
      </w:pPr>
    </w:p>
    <w:p w14:paraId="102F47AD">
      <w:pPr>
        <w:rPr>
          <w:rFonts w:ascii="宋体" w:hAnsi="宋体"/>
          <w:szCs w:val="20"/>
        </w:rPr>
      </w:pPr>
    </w:p>
    <w:p w14:paraId="38DF3718">
      <w:pPr>
        <w:rPr>
          <w:rFonts w:ascii="宋体" w:hAnsi="宋体" w:cs="宋体"/>
          <w:szCs w:val="20"/>
        </w:rPr>
      </w:pPr>
    </w:p>
    <w:p w14:paraId="7901564E">
      <w:pPr>
        <w:ind w:firstLine="1584" w:firstLineChars="495"/>
        <w:rPr>
          <w:rFonts w:ascii="宋体" w:hAnsi="宋体" w:cs="宋体"/>
          <w:bCs/>
          <w:sz w:val="32"/>
          <w:szCs w:val="32"/>
          <w:u w:val="single"/>
        </w:rPr>
      </w:pPr>
      <w:r>
        <w:rPr>
          <w:rFonts w:hint="eastAsia" w:ascii="宋体" w:hAnsi="宋体" w:cs="宋体"/>
          <w:bCs/>
          <w:sz w:val="32"/>
          <w:szCs w:val="32"/>
        </w:rPr>
        <w:t>合同名称：</w:t>
      </w:r>
      <w:r>
        <w:rPr>
          <w:rFonts w:hint="eastAsia" w:ascii="宋体" w:hAnsi="宋体" w:cs="宋体"/>
          <w:bCs/>
          <w:sz w:val="32"/>
          <w:szCs w:val="32"/>
          <w:u w:val="single"/>
        </w:rPr>
        <w:t xml:space="preserve">                    </w:t>
      </w:r>
    </w:p>
    <w:p w14:paraId="35CC1B10">
      <w:pPr>
        <w:ind w:firstLine="1584" w:firstLineChars="495"/>
        <w:rPr>
          <w:rFonts w:ascii="宋体" w:hAnsi="宋体" w:cs="宋体"/>
          <w:bCs/>
          <w:sz w:val="32"/>
          <w:szCs w:val="32"/>
          <w:u w:val="single"/>
        </w:rPr>
      </w:pPr>
    </w:p>
    <w:p w14:paraId="5C0A1A6B">
      <w:pPr>
        <w:ind w:firstLine="1584" w:firstLineChars="495"/>
        <w:rPr>
          <w:rFonts w:ascii="宋体" w:hAnsi="宋体" w:cs="宋体"/>
          <w:bCs/>
          <w:sz w:val="32"/>
          <w:szCs w:val="32"/>
          <w:u w:val="single"/>
        </w:rPr>
      </w:pPr>
      <w:r>
        <w:rPr>
          <w:rFonts w:hint="eastAsia" w:ascii="宋体" w:hAnsi="宋体" w:cs="宋体"/>
          <w:bCs/>
          <w:sz w:val="32"/>
          <w:szCs w:val="32"/>
        </w:rPr>
        <w:t>合同编号：</w:t>
      </w:r>
      <w:r>
        <w:rPr>
          <w:rFonts w:hint="eastAsia" w:ascii="宋体" w:hAnsi="宋体" w:cs="宋体"/>
          <w:bCs/>
          <w:sz w:val="32"/>
          <w:szCs w:val="32"/>
          <w:u w:val="single"/>
        </w:rPr>
        <w:t xml:space="preserve">                    </w:t>
      </w:r>
    </w:p>
    <w:p w14:paraId="7C03235C">
      <w:pPr>
        <w:jc w:val="center"/>
        <w:rPr>
          <w:rFonts w:ascii="宋体" w:hAnsi="宋体" w:cs="宋体"/>
          <w:bCs/>
          <w:szCs w:val="20"/>
        </w:rPr>
      </w:pPr>
    </w:p>
    <w:p w14:paraId="64029096">
      <w:pPr>
        <w:jc w:val="center"/>
        <w:rPr>
          <w:rFonts w:ascii="宋体" w:hAnsi="宋体" w:cs="宋体"/>
          <w:bCs/>
          <w:szCs w:val="20"/>
        </w:rPr>
      </w:pPr>
    </w:p>
    <w:p w14:paraId="09F700B3">
      <w:pPr>
        <w:jc w:val="center"/>
        <w:rPr>
          <w:rFonts w:ascii="宋体" w:hAnsi="宋体" w:cs="宋体"/>
          <w:bCs/>
          <w:szCs w:val="20"/>
        </w:rPr>
      </w:pPr>
    </w:p>
    <w:p w14:paraId="6C615F3E">
      <w:pPr>
        <w:jc w:val="center"/>
        <w:rPr>
          <w:rFonts w:ascii="宋体" w:hAnsi="宋体" w:cs="宋体"/>
          <w:bCs/>
          <w:szCs w:val="20"/>
        </w:rPr>
      </w:pPr>
    </w:p>
    <w:p w14:paraId="2D890398">
      <w:pPr>
        <w:jc w:val="center"/>
        <w:rPr>
          <w:rFonts w:ascii="宋体" w:hAnsi="宋体" w:cs="宋体"/>
          <w:bCs/>
          <w:szCs w:val="20"/>
        </w:rPr>
      </w:pPr>
    </w:p>
    <w:p w14:paraId="6B6EED5C">
      <w:pPr>
        <w:spacing w:line="340" w:lineRule="exact"/>
        <w:ind w:firstLine="1584" w:firstLineChars="495"/>
        <w:rPr>
          <w:rFonts w:ascii="宋体" w:hAnsi="宋体" w:cs="宋体"/>
          <w:bCs/>
          <w:sz w:val="32"/>
          <w:szCs w:val="32"/>
        </w:rPr>
      </w:pPr>
      <w:r>
        <w:rPr>
          <w:rFonts w:hint="eastAsia" w:ascii="宋体" w:hAnsi="宋体" w:cs="宋体"/>
          <w:bCs/>
          <w:sz w:val="32"/>
          <w:szCs w:val="32"/>
        </w:rPr>
        <w:t>采购单位（甲方）</w:t>
      </w:r>
      <w:r>
        <w:rPr>
          <w:rFonts w:hint="eastAsia" w:ascii="宋体" w:hAnsi="宋体" w:cs="宋体"/>
          <w:bCs/>
          <w:sz w:val="32"/>
          <w:szCs w:val="32"/>
          <w:u w:val="single"/>
        </w:rPr>
        <w:t xml:space="preserve">    广西医科大学   </w:t>
      </w:r>
    </w:p>
    <w:p w14:paraId="187DC4B4">
      <w:pPr>
        <w:spacing w:line="340" w:lineRule="exact"/>
        <w:ind w:firstLine="1584" w:firstLineChars="495"/>
        <w:rPr>
          <w:rFonts w:ascii="宋体" w:hAnsi="宋体" w:cs="宋体"/>
          <w:bCs/>
          <w:sz w:val="32"/>
          <w:szCs w:val="32"/>
        </w:rPr>
      </w:pPr>
    </w:p>
    <w:p w14:paraId="14FC321E">
      <w:pPr>
        <w:spacing w:line="340" w:lineRule="exact"/>
        <w:rPr>
          <w:rFonts w:ascii="宋体" w:hAnsi="宋体" w:cs="宋体"/>
          <w:bCs/>
          <w:sz w:val="32"/>
          <w:szCs w:val="32"/>
        </w:rPr>
      </w:pPr>
    </w:p>
    <w:p w14:paraId="56857A37">
      <w:pPr>
        <w:spacing w:line="340" w:lineRule="exact"/>
        <w:ind w:firstLine="1584" w:firstLineChars="495"/>
        <w:rPr>
          <w:rFonts w:ascii="宋体" w:hAnsi="宋体" w:cs="宋体"/>
          <w:bCs/>
          <w:sz w:val="32"/>
          <w:szCs w:val="32"/>
        </w:rPr>
      </w:pPr>
      <w:r>
        <w:rPr>
          <w:rFonts w:hint="eastAsia" w:ascii="宋体" w:hAnsi="宋体" w:cs="宋体"/>
          <w:bCs/>
          <w:sz w:val="32"/>
          <w:szCs w:val="32"/>
        </w:rPr>
        <w:t>供 应 商（乙方）</w:t>
      </w:r>
      <w:r>
        <w:rPr>
          <w:rFonts w:hint="eastAsia" w:ascii="宋体" w:hAnsi="宋体" w:cs="宋体"/>
          <w:bCs/>
          <w:sz w:val="32"/>
          <w:szCs w:val="32"/>
          <w:u w:val="single"/>
        </w:rPr>
        <w:t xml:space="preserve">                   </w:t>
      </w:r>
    </w:p>
    <w:p w14:paraId="0D01F535">
      <w:pPr>
        <w:spacing w:line="340" w:lineRule="exact"/>
        <w:ind w:firstLine="1039" w:firstLineChars="495"/>
        <w:rPr>
          <w:rFonts w:ascii="方正公文小标宋" w:hAnsi="方正公文小标宋" w:eastAsia="方正公文小标宋" w:cs="方正公文小标宋"/>
          <w:bCs/>
          <w:szCs w:val="20"/>
        </w:rPr>
      </w:pPr>
      <w:r>
        <w:rPr>
          <w:rFonts w:hint="eastAsia" w:ascii="方正公文小标宋" w:hAnsi="方正公文小标宋" w:eastAsia="方正公文小标宋" w:cs="方正公文小标宋"/>
          <w:bCs/>
          <w:szCs w:val="20"/>
        </w:rPr>
        <w:t xml:space="preserve">     </w:t>
      </w:r>
    </w:p>
    <w:p w14:paraId="40636F53">
      <w:pPr>
        <w:jc w:val="center"/>
        <w:rPr>
          <w:rFonts w:ascii="宋体" w:hAnsi="宋体"/>
          <w:szCs w:val="20"/>
        </w:rPr>
      </w:pPr>
    </w:p>
    <w:p w14:paraId="477F46C8">
      <w:pPr>
        <w:jc w:val="center"/>
        <w:rPr>
          <w:rFonts w:ascii="宋体" w:hAnsi="宋体"/>
          <w:szCs w:val="20"/>
        </w:rPr>
      </w:pPr>
    </w:p>
    <w:p w14:paraId="22DEFEE6">
      <w:pPr>
        <w:jc w:val="center"/>
        <w:rPr>
          <w:rFonts w:ascii="宋体" w:hAnsi="宋体"/>
          <w:szCs w:val="20"/>
        </w:rPr>
      </w:pPr>
    </w:p>
    <w:p w14:paraId="0B4053C9">
      <w:pPr>
        <w:jc w:val="center"/>
        <w:rPr>
          <w:rFonts w:ascii="宋体" w:hAnsi="宋体"/>
          <w:szCs w:val="20"/>
        </w:rPr>
      </w:pPr>
    </w:p>
    <w:p w14:paraId="6ED51ECD">
      <w:pPr>
        <w:jc w:val="center"/>
        <w:rPr>
          <w:rFonts w:ascii="宋体" w:hAnsi="宋体"/>
          <w:szCs w:val="20"/>
        </w:rPr>
      </w:pPr>
    </w:p>
    <w:p w14:paraId="7098AA82">
      <w:pPr>
        <w:jc w:val="center"/>
        <w:rPr>
          <w:rFonts w:ascii="宋体" w:hAnsi="宋体"/>
          <w:szCs w:val="20"/>
        </w:rPr>
      </w:pPr>
    </w:p>
    <w:p w14:paraId="1C3B8295">
      <w:pPr>
        <w:jc w:val="center"/>
        <w:rPr>
          <w:rFonts w:ascii="宋体" w:hAnsi="宋体"/>
          <w:szCs w:val="20"/>
        </w:rPr>
      </w:pPr>
    </w:p>
    <w:p w14:paraId="5570CDD1">
      <w:pPr>
        <w:jc w:val="center"/>
        <w:rPr>
          <w:rFonts w:ascii="宋体" w:hAnsi="宋体"/>
          <w:szCs w:val="20"/>
        </w:rPr>
      </w:pPr>
    </w:p>
    <w:p w14:paraId="2A9EE017">
      <w:pPr>
        <w:rPr>
          <w:rFonts w:ascii="黑体" w:hAnsi="宋体" w:eastAsia="黑体"/>
          <w:b/>
          <w:sz w:val="44"/>
          <w:szCs w:val="44"/>
        </w:rPr>
      </w:pPr>
      <w:r>
        <w:rPr>
          <w:rFonts w:hint="eastAsia" w:ascii="黑体" w:hAnsi="宋体" w:eastAsia="黑体"/>
          <w:b/>
          <w:sz w:val="44"/>
          <w:szCs w:val="44"/>
        </w:rPr>
        <w:br w:type="page"/>
      </w:r>
    </w:p>
    <w:p w14:paraId="61912A14">
      <w:pPr>
        <w:rPr>
          <w:rFonts w:ascii="黑体" w:hAnsi="宋体" w:eastAsia="黑体"/>
          <w:b/>
          <w:sz w:val="44"/>
          <w:szCs w:val="44"/>
        </w:rPr>
      </w:pPr>
    </w:p>
    <w:p w14:paraId="62289764">
      <w:pPr>
        <w:spacing w:line="300" w:lineRule="auto"/>
        <w:jc w:val="center"/>
        <w:rPr>
          <w:rFonts w:ascii="黑体" w:hAnsi="宋体" w:eastAsia="黑体"/>
          <w:b/>
          <w:bCs/>
          <w:sz w:val="44"/>
          <w:szCs w:val="44"/>
        </w:rPr>
      </w:pPr>
      <w:r>
        <w:rPr>
          <w:rFonts w:hint="eastAsia" w:ascii="黑体" w:hAnsi="宋体" w:eastAsia="黑体"/>
          <w:b/>
          <w:sz w:val="44"/>
          <w:szCs w:val="44"/>
        </w:rPr>
        <w:t>采购</w:t>
      </w:r>
      <w:r>
        <w:rPr>
          <w:rFonts w:hint="eastAsia" w:ascii="黑体" w:hAnsi="宋体" w:eastAsia="黑体"/>
          <w:b/>
          <w:bCs/>
          <w:sz w:val="44"/>
          <w:szCs w:val="44"/>
        </w:rPr>
        <w:t>合同</w:t>
      </w:r>
    </w:p>
    <w:p w14:paraId="44D8CE87">
      <w:pPr>
        <w:snapToGrid w:val="0"/>
        <w:spacing w:line="360" w:lineRule="exact"/>
        <w:jc w:val="center"/>
        <w:rPr>
          <w:rFonts w:ascii="宋体" w:hAnsi="宋体"/>
          <w:b/>
          <w:bCs/>
          <w:szCs w:val="21"/>
        </w:rPr>
      </w:pPr>
    </w:p>
    <w:p w14:paraId="0DB461C2">
      <w:pPr>
        <w:snapToGrid w:val="0"/>
        <w:spacing w:line="360" w:lineRule="exact"/>
        <w:ind w:right="480"/>
        <w:jc w:val="center"/>
        <w:rPr>
          <w:rFonts w:ascii="宋体" w:hAnsi="宋体"/>
          <w:bCs/>
          <w:szCs w:val="21"/>
        </w:rPr>
      </w:pPr>
      <w:r>
        <w:rPr>
          <w:rFonts w:hint="eastAsia" w:ascii="宋体" w:hAnsi="宋体"/>
          <w:bCs/>
          <w:szCs w:val="21"/>
        </w:rPr>
        <w:t xml:space="preserve">                                       合同编号：</w:t>
      </w:r>
    </w:p>
    <w:p w14:paraId="547C5F74">
      <w:pPr>
        <w:snapToGrid w:val="0"/>
        <w:spacing w:line="360" w:lineRule="exact"/>
        <w:ind w:firstLine="3670" w:firstLineChars="1748"/>
        <w:rPr>
          <w:rFonts w:ascii="宋体" w:hAnsi="宋体"/>
          <w:b/>
          <w:szCs w:val="21"/>
        </w:rPr>
      </w:pPr>
    </w:p>
    <w:p w14:paraId="52234CE8">
      <w:pPr>
        <w:snapToGrid w:val="0"/>
        <w:spacing w:line="360" w:lineRule="exact"/>
        <w:rPr>
          <w:rFonts w:ascii="宋体" w:hAnsi="宋体"/>
          <w:szCs w:val="21"/>
          <w:u w:val="single"/>
        </w:rPr>
      </w:pPr>
      <w:r>
        <w:rPr>
          <w:rFonts w:hint="eastAsia" w:ascii="宋体" w:hAnsi="宋体"/>
          <w:szCs w:val="21"/>
        </w:rPr>
        <w:t>采购单位（甲方）</w:t>
      </w:r>
      <w:r>
        <w:rPr>
          <w:rFonts w:hint="eastAsia" w:ascii="宋体" w:hAnsi="宋体"/>
          <w:szCs w:val="21"/>
          <w:u w:val="single"/>
        </w:rPr>
        <w:t xml:space="preserve">   广西医科大学     </w:t>
      </w:r>
      <w:r>
        <w:rPr>
          <w:rFonts w:hint="eastAsia" w:ascii="宋体" w:hAnsi="宋体"/>
          <w:spacing w:val="-20"/>
          <w:szCs w:val="21"/>
        </w:rPr>
        <w:t xml:space="preserve">             采 购 计 划 号</w:t>
      </w:r>
      <w:r>
        <w:rPr>
          <w:rFonts w:hint="eastAsia" w:ascii="宋体" w:hAnsi="宋体"/>
          <w:szCs w:val="21"/>
          <w:u w:val="single"/>
        </w:rPr>
        <w:t xml:space="preserve">                           </w:t>
      </w:r>
    </w:p>
    <w:p w14:paraId="5EECAFCC">
      <w:pPr>
        <w:snapToGrid w:val="0"/>
        <w:spacing w:line="360" w:lineRule="exact"/>
        <w:rPr>
          <w:rFonts w:ascii="宋体" w:hAnsi="宋体"/>
          <w:szCs w:val="21"/>
          <w:u w:val="single"/>
        </w:rPr>
      </w:pPr>
      <w:r>
        <w:rPr>
          <w:rFonts w:hint="eastAsia" w:ascii="宋体" w:hAnsi="宋体"/>
          <w:szCs w:val="21"/>
        </w:rPr>
        <w:t>供 应 商（乙方）</w:t>
      </w:r>
      <w:r>
        <w:rPr>
          <w:rFonts w:hint="eastAsia" w:ascii="宋体" w:hAnsi="宋体"/>
          <w:szCs w:val="21"/>
          <w:u w:val="single"/>
        </w:rPr>
        <w:t xml:space="preserve">                            </w:t>
      </w:r>
      <w:r>
        <w:rPr>
          <w:rFonts w:hint="eastAsia" w:ascii="宋体" w:hAnsi="宋体"/>
          <w:szCs w:val="21"/>
        </w:rPr>
        <w:t xml:space="preserve"> 项目名称和编号</w:t>
      </w:r>
      <w:r>
        <w:rPr>
          <w:rFonts w:hint="eastAsia" w:ascii="宋体" w:hAnsi="宋体"/>
          <w:szCs w:val="21"/>
          <w:u w:val="single"/>
        </w:rPr>
        <w:t xml:space="preserve">                        </w:t>
      </w:r>
    </w:p>
    <w:p w14:paraId="2E9303B2">
      <w:pPr>
        <w:snapToGrid w:val="0"/>
        <w:spacing w:line="360" w:lineRule="exact"/>
        <w:rPr>
          <w:rFonts w:ascii="宋体" w:hAnsi="宋体"/>
          <w:szCs w:val="21"/>
          <w:u w:val="single"/>
        </w:rPr>
      </w:pPr>
      <w:r>
        <w:rPr>
          <w:rFonts w:hint="eastAsia" w:ascii="宋体" w:hAnsi="宋体"/>
          <w:szCs w:val="21"/>
        </w:rPr>
        <w:t xml:space="preserve">签  订  地  点  </w:t>
      </w:r>
      <w:r>
        <w:rPr>
          <w:rFonts w:hint="eastAsia" w:ascii="宋体" w:hAnsi="宋体"/>
          <w:szCs w:val="21"/>
          <w:u w:val="single"/>
        </w:rPr>
        <w:t xml:space="preserve">                            </w:t>
      </w:r>
      <w:r>
        <w:rPr>
          <w:rFonts w:hint="eastAsia" w:ascii="宋体" w:hAnsi="宋体"/>
          <w:szCs w:val="21"/>
        </w:rPr>
        <w:t xml:space="preserve">  签 订 时 间 </w:t>
      </w:r>
      <w:r>
        <w:rPr>
          <w:rFonts w:hint="eastAsia" w:ascii="宋体" w:hAnsi="宋体"/>
          <w:szCs w:val="21"/>
          <w:u w:val="single"/>
        </w:rPr>
        <w:t xml:space="preserve">                         </w:t>
      </w:r>
    </w:p>
    <w:p w14:paraId="52021FBA">
      <w:pPr>
        <w:snapToGrid w:val="0"/>
        <w:spacing w:line="400" w:lineRule="exact"/>
        <w:ind w:firstLine="420" w:firstLineChars="200"/>
        <w:rPr>
          <w:rFonts w:ascii="宋体" w:hAnsi="宋体"/>
          <w:szCs w:val="21"/>
        </w:rPr>
      </w:pPr>
    </w:p>
    <w:p w14:paraId="7E149C17">
      <w:pPr>
        <w:spacing w:line="440" w:lineRule="exact"/>
        <w:ind w:firstLine="420" w:firstLineChars="200"/>
        <w:rPr>
          <w:color w:val="auto"/>
          <w:highlight w:val="none"/>
        </w:rPr>
      </w:pPr>
      <w:r>
        <w:rPr>
          <w:rFonts w:hint="eastAsia"/>
          <w:color w:val="auto"/>
          <w:highlight w:val="none"/>
        </w:rPr>
        <w:t>根据《中华人民共和国民法典》《中华人民共和国政府采购法》及广西壮族自治区关于政府采购的相关文件等规范性文件的规定，按照招标文件规定条款和乙方投标文件及其承诺，甲乙双方签订本合同。</w:t>
      </w:r>
    </w:p>
    <w:p w14:paraId="7CEA47FF">
      <w:pPr>
        <w:widowControl w:val="0"/>
        <w:adjustRightInd/>
        <w:snapToGrid/>
        <w:spacing w:line="440" w:lineRule="exact"/>
        <w:ind w:firstLine="420" w:firstLineChars="200"/>
        <w:jc w:val="both"/>
        <w:rPr>
          <w:b/>
          <w:bCs/>
          <w:color w:val="auto"/>
          <w:highlight w:val="none"/>
        </w:rPr>
      </w:pPr>
      <w:r>
        <w:rPr>
          <w:rFonts w:hint="eastAsia"/>
          <w:b/>
          <w:bCs/>
          <w:color w:val="auto"/>
          <w:highlight w:val="none"/>
        </w:rPr>
        <w:t>第一条  合同标的</w:t>
      </w:r>
    </w:p>
    <w:p w14:paraId="59771AD5">
      <w:pPr>
        <w:snapToGrid/>
        <w:spacing w:line="440" w:lineRule="exact"/>
        <w:ind w:firstLine="420" w:firstLineChars="200"/>
        <w:rPr>
          <w:color w:val="auto"/>
          <w:highlight w:val="none"/>
        </w:rPr>
      </w:pPr>
      <w:r>
        <w:rPr>
          <w:rFonts w:hint="eastAsia"/>
          <w:color w:val="auto"/>
          <w:highlight w:val="none"/>
        </w:rPr>
        <w:t>1.供货一览表</w:t>
      </w:r>
    </w:p>
    <w:tbl>
      <w:tblPr>
        <w:tblStyle w:val="50"/>
        <w:tblpPr w:leftFromText="180" w:rightFromText="180" w:vertAnchor="text" w:horzAnchor="page" w:tblpX="1245" w:tblpY="211"/>
        <w:tblOverlap w:val="never"/>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8"/>
        <w:gridCol w:w="2340"/>
        <w:gridCol w:w="1980"/>
        <w:gridCol w:w="3307"/>
      </w:tblGrid>
      <w:tr w14:paraId="4EBF4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1658" w:type="dxa"/>
            <w:tcBorders>
              <w:bottom w:val="single" w:color="auto" w:sz="4" w:space="0"/>
            </w:tcBorders>
            <w:vAlign w:val="center"/>
          </w:tcPr>
          <w:p w14:paraId="746ADBA4">
            <w:pPr>
              <w:spacing w:line="440" w:lineRule="exact"/>
              <w:ind w:firstLine="420" w:firstLineChars="200"/>
              <w:jc w:val="both"/>
              <w:rPr>
                <w:color w:val="auto"/>
                <w:highlight w:val="none"/>
              </w:rPr>
            </w:pPr>
            <w:r>
              <w:rPr>
                <w:rFonts w:hint="eastAsia"/>
                <w:color w:val="auto"/>
                <w:highlight w:val="none"/>
              </w:rPr>
              <w:t>项号</w:t>
            </w:r>
          </w:p>
        </w:tc>
        <w:tc>
          <w:tcPr>
            <w:tcW w:w="2340" w:type="dxa"/>
            <w:tcBorders>
              <w:bottom w:val="single" w:color="auto" w:sz="4" w:space="0"/>
            </w:tcBorders>
            <w:vAlign w:val="center"/>
          </w:tcPr>
          <w:p w14:paraId="12E88AC9">
            <w:pPr>
              <w:spacing w:line="440" w:lineRule="exact"/>
              <w:ind w:firstLine="420" w:firstLineChars="200"/>
              <w:jc w:val="both"/>
              <w:rPr>
                <w:color w:val="auto"/>
                <w:highlight w:val="none"/>
              </w:rPr>
            </w:pPr>
            <w:r>
              <w:rPr>
                <w:rFonts w:hint="eastAsia"/>
                <w:color w:val="auto"/>
                <w:highlight w:val="none"/>
              </w:rPr>
              <w:t>货物名称</w:t>
            </w:r>
          </w:p>
        </w:tc>
        <w:tc>
          <w:tcPr>
            <w:tcW w:w="1980" w:type="dxa"/>
            <w:tcBorders>
              <w:bottom w:val="single" w:color="auto" w:sz="4" w:space="0"/>
            </w:tcBorders>
            <w:vAlign w:val="center"/>
          </w:tcPr>
          <w:p w14:paraId="7C4B0A14">
            <w:pPr>
              <w:spacing w:line="440" w:lineRule="exact"/>
              <w:ind w:firstLine="420" w:firstLineChars="200"/>
              <w:jc w:val="both"/>
              <w:rPr>
                <w:color w:val="auto"/>
                <w:highlight w:val="none"/>
              </w:rPr>
            </w:pPr>
            <w:r>
              <w:rPr>
                <w:rFonts w:hint="eastAsia"/>
                <w:color w:val="auto"/>
                <w:highlight w:val="none"/>
              </w:rPr>
              <w:t>折扣率（%）</w:t>
            </w:r>
          </w:p>
        </w:tc>
        <w:tc>
          <w:tcPr>
            <w:tcW w:w="3307" w:type="dxa"/>
            <w:tcBorders>
              <w:bottom w:val="single" w:color="auto" w:sz="4" w:space="0"/>
            </w:tcBorders>
            <w:vAlign w:val="center"/>
          </w:tcPr>
          <w:p w14:paraId="5CF5FC65">
            <w:pPr>
              <w:spacing w:line="440" w:lineRule="exact"/>
              <w:ind w:firstLine="420" w:firstLineChars="200"/>
              <w:jc w:val="both"/>
              <w:rPr>
                <w:color w:val="auto"/>
                <w:highlight w:val="none"/>
              </w:rPr>
            </w:pPr>
            <w:r>
              <w:rPr>
                <w:rFonts w:hint="eastAsia"/>
                <w:color w:val="auto"/>
                <w:highlight w:val="none"/>
              </w:rPr>
              <w:t>备注</w:t>
            </w:r>
          </w:p>
        </w:tc>
      </w:tr>
      <w:tr w14:paraId="3F041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1658" w:type="dxa"/>
            <w:vAlign w:val="center"/>
          </w:tcPr>
          <w:p w14:paraId="6E096C29">
            <w:pPr>
              <w:spacing w:line="440" w:lineRule="exact"/>
              <w:ind w:firstLine="420" w:firstLineChars="200"/>
              <w:jc w:val="both"/>
              <w:rPr>
                <w:color w:val="auto"/>
                <w:highlight w:val="none"/>
              </w:rPr>
            </w:pPr>
            <w:r>
              <w:rPr>
                <w:rFonts w:hint="eastAsia"/>
                <w:color w:val="auto"/>
                <w:highlight w:val="none"/>
              </w:rPr>
              <w:t>1</w:t>
            </w:r>
          </w:p>
        </w:tc>
        <w:tc>
          <w:tcPr>
            <w:tcW w:w="2340" w:type="dxa"/>
            <w:vAlign w:val="center"/>
          </w:tcPr>
          <w:p w14:paraId="763CBC03">
            <w:pPr>
              <w:spacing w:line="440" w:lineRule="exact"/>
              <w:ind w:firstLine="420" w:firstLineChars="200"/>
              <w:jc w:val="both"/>
              <w:rPr>
                <w:color w:val="auto"/>
                <w:highlight w:val="none"/>
              </w:rPr>
            </w:pPr>
            <w:r>
              <w:rPr>
                <w:rFonts w:hint="eastAsia"/>
                <w:color w:val="auto"/>
                <w:highlight w:val="none"/>
              </w:rPr>
              <w:t>图书</w:t>
            </w:r>
          </w:p>
        </w:tc>
        <w:tc>
          <w:tcPr>
            <w:tcW w:w="1980" w:type="dxa"/>
            <w:vAlign w:val="center"/>
          </w:tcPr>
          <w:p w14:paraId="3D98BCB0">
            <w:pPr>
              <w:spacing w:line="440" w:lineRule="exact"/>
              <w:ind w:firstLine="420" w:firstLineChars="200"/>
              <w:jc w:val="both"/>
              <w:rPr>
                <w:color w:val="auto"/>
                <w:highlight w:val="none"/>
              </w:rPr>
            </w:pPr>
          </w:p>
        </w:tc>
        <w:tc>
          <w:tcPr>
            <w:tcW w:w="3307" w:type="dxa"/>
            <w:vAlign w:val="center"/>
          </w:tcPr>
          <w:p w14:paraId="14336763">
            <w:pPr>
              <w:spacing w:line="440" w:lineRule="exact"/>
              <w:ind w:firstLine="0" w:firstLineChars="0"/>
              <w:jc w:val="both"/>
              <w:rPr>
                <w:color w:val="auto"/>
                <w:highlight w:val="none"/>
              </w:rPr>
            </w:pPr>
            <w:r>
              <w:rPr>
                <w:rFonts w:hint="eastAsia"/>
                <w:color w:val="auto"/>
                <w:highlight w:val="none"/>
              </w:rPr>
              <w:t>实洋价合计值＝图书码洋价合计值×折扣率。</w:t>
            </w:r>
          </w:p>
        </w:tc>
      </w:tr>
    </w:tbl>
    <w:p w14:paraId="2390FFFB">
      <w:pPr>
        <w:snapToGrid/>
        <w:spacing w:line="440" w:lineRule="exact"/>
        <w:ind w:firstLine="420" w:firstLineChars="200"/>
        <w:rPr>
          <w:color w:val="auto"/>
          <w:highlight w:val="none"/>
        </w:rPr>
      </w:pPr>
      <w:r>
        <w:rPr>
          <w:rFonts w:hint="eastAsia"/>
          <w:color w:val="auto"/>
          <w:highlight w:val="none"/>
        </w:rPr>
        <w:t>2.甲方应付货款为甲方指定地点的现场交货价，包括</w:t>
      </w:r>
      <w:r>
        <w:rPr>
          <w:rFonts w:hint="eastAsia" w:ascii="宋体" w:hAnsi="宋体" w:cs="宋体"/>
          <w:color w:val="auto"/>
          <w:szCs w:val="21"/>
          <w:highlight w:val="none"/>
          <w:lang w:val="en-US" w:eastAsia="zh-CN"/>
        </w:rPr>
        <w:t>但不限于</w:t>
      </w:r>
      <w:r>
        <w:rPr>
          <w:rFonts w:hint="eastAsia"/>
          <w:color w:val="auto"/>
          <w:highlight w:val="none"/>
        </w:rPr>
        <w:t>：1）</w:t>
      </w:r>
      <w:r>
        <w:rPr>
          <w:rFonts w:hint="eastAsia" w:ascii="Calibri" w:cs="Courier New"/>
          <w:color w:val="auto"/>
          <w:szCs w:val="22"/>
          <w:highlight w:val="none"/>
        </w:rPr>
        <w:t>图书采购与加工成本、</w:t>
      </w:r>
      <w:r>
        <w:rPr>
          <w:rFonts w:hint="eastAsia"/>
          <w:color w:val="auto"/>
          <w:highlight w:val="none"/>
        </w:rPr>
        <w:t>运输（至</w:t>
      </w:r>
      <w:r>
        <w:rPr>
          <w:rFonts w:hint="eastAsia" w:ascii="Calibri" w:cs="Courier New"/>
          <w:color w:val="auto"/>
          <w:szCs w:val="22"/>
          <w:highlight w:val="none"/>
        </w:rPr>
        <w:t>指定交货地点）、售后服务、税金</w:t>
      </w:r>
      <w:r>
        <w:rPr>
          <w:rFonts w:hint="eastAsia"/>
          <w:color w:val="auto"/>
          <w:highlight w:val="none"/>
        </w:rPr>
        <w:t>等所有费用及应缴税、费；</w:t>
      </w:r>
      <w:r>
        <w:rPr>
          <w:color w:val="auto"/>
          <w:highlight w:val="none"/>
        </w:rPr>
        <w:t>2）货物的标准附件、备品备件、专用工具的价格；3）运输、装卸、保管、培训、技术支持、售后服务费；4）</w:t>
      </w:r>
      <w:r>
        <w:rPr>
          <w:rFonts w:hint="eastAsia"/>
          <w:color w:val="auto"/>
          <w:highlight w:val="none"/>
        </w:rPr>
        <w:t>保险费和各项税金。如采购文件及投标文件对其另有规定的，从其规定。除合同应付款项外，甲方无需额外支付其他任何费用。</w:t>
      </w:r>
    </w:p>
    <w:p w14:paraId="2A705FDD">
      <w:pPr>
        <w:snapToGrid/>
        <w:spacing w:line="440" w:lineRule="exact"/>
        <w:ind w:firstLine="420" w:firstLineChars="200"/>
        <w:rPr>
          <w:color w:val="auto"/>
          <w:highlight w:val="none"/>
        </w:rPr>
      </w:pPr>
      <w:r>
        <w:rPr>
          <w:rFonts w:hint="eastAsia"/>
          <w:color w:val="auto"/>
          <w:highlight w:val="none"/>
        </w:rPr>
        <w:t>3.本合同履行过程中，若甲方需追加与合同标的相同的货物的，在不改变合同其他条款的前提下，可以与乙方协商签订补充合同，但所有补充合同的采购金额不得超过招标文件中规定的本分标采购预算金额的10%。</w:t>
      </w:r>
    </w:p>
    <w:p w14:paraId="64271080">
      <w:pPr>
        <w:snapToGrid/>
        <w:spacing w:line="440" w:lineRule="exact"/>
        <w:ind w:firstLine="420" w:firstLineChars="200"/>
        <w:outlineLvl w:val="9"/>
        <w:rPr>
          <w:rFonts w:hint="eastAsia"/>
          <w:b/>
          <w:bCs/>
          <w:color w:val="auto"/>
          <w:highlight w:val="none"/>
        </w:rPr>
      </w:pPr>
      <w:r>
        <w:rPr>
          <w:rFonts w:hint="eastAsia"/>
          <w:b/>
          <w:bCs/>
          <w:color w:val="auto"/>
          <w:highlight w:val="none"/>
        </w:rPr>
        <w:t>第二条　质量保证</w:t>
      </w:r>
    </w:p>
    <w:p w14:paraId="380CA09A">
      <w:pPr>
        <w:snapToGrid/>
        <w:spacing w:line="440" w:lineRule="exact"/>
        <w:ind w:firstLine="420" w:firstLineChars="200"/>
        <w:rPr>
          <w:color w:val="auto"/>
          <w:highlight w:val="none"/>
        </w:rPr>
      </w:pPr>
      <w:r>
        <w:rPr>
          <w:rFonts w:hint="eastAsia"/>
          <w:color w:val="auto"/>
          <w:highlight w:val="none"/>
        </w:rPr>
        <w:t>1．乙方供应的所有图书必须为合法正规出版社出版的正版图书，严禁供应盗版、影印、盗印、非法编译、残次品、过期作废、内容违规图书，所有图书需具备完整ISBN编码、版权页、出版标识，符合国家图书出版质量标准及行业规范。图书应处于原始出厂状态且无任何使用痕迹，内容完整、清晰，无缺页、漏页、倒装、错印、污损、折角、破损等情况，封面、封底完好，装订牢固。</w:t>
      </w:r>
    </w:p>
    <w:p w14:paraId="4B8FDF66">
      <w:pPr>
        <w:snapToGrid/>
        <w:spacing w:line="440" w:lineRule="exact"/>
        <w:ind w:firstLine="420" w:firstLineChars="200"/>
        <w:rPr>
          <w:color w:val="auto"/>
          <w:highlight w:val="none"/>
        </w:rPr>
      </w:pPr>
      <w:r>
        <w:rPr>
          <w:rFonts w:hint="eastAsia"/>
          <w:color w:val="auto"/>
          <w:highlight w:val="none"/>
        </w:rPr>
        <w:t>2.乙方须免费提供标准、完整的电子编目数据，适配甲方图书管理系统，确保数据准确无误，无信息缺失或错误。</w:t>
      </w:r>
    </w:p>
    <w:p w14:paraId="1BDE179C">
      <w:pPr>
        <w:snapToGrid/>
        <w:spacing w:line="440" w:lineRule="exact"/>
        <w:ind w:firstLine="420" w:firstLineChars="200"/>
        <w:rPr>
          <w:color w:val="auto"/>
          <w:highlight w:val="none"/>
        </w:rPr>
      </w:pPr>
      <w:r>
        <w:rPr>
          <w:rFonts w:hint="eastAsia"/>
          <w:color w:val="auto"/>
          <w:highlight w:val="none"/>
        </w:rPr>
        <w:t>3．乙方所提供的服务及服务内容必须与招标文件和承诺相一致。</w:t>
      </w:r>
    </w:p>
    <w:p w14:paraId="4E1B543F">
      <w:pPr>
        <w:snapToGrid/>
        <w:spacing w:line="440" w:lineRule="exact"/>
        <w:ind w:firstLine="420" w:firstLineChars="200"/>
        <w:outlineLvl w:val="9"/>
        <w:rPr>
          <w:rFonts w:hint="eastAsia"/>
          <w:b/>
          <w:bCs/>
          <w:color w:val="auto"/>
          <w:highlight w:val="none"/>
        </w:rPr>
      </w:pPr>
      <w:r>
        <w:rPr>
          <w:rFonts w:hint="eastAsia"/>
          <w:b/>
          <w:bCs/>
          <w:color w:val="auto"/>
          <w:highlight w:val="none"/>
        </w:rPr>
        <w:t>第三条　权利保证</w:t>
      </w:r>
    </w:p>
    <w:p w14:paraId="2B73F89C">
      <w:pPr>
        <w:spacing w:line="440" w:lineRule="exact"/>
        <w:ind w:firstLine="420" w:firstLineChars="200"/>
        <w:rPr>
          <w:color w:val="auto"/>
          <w:highlight w:val="none"/>
        </w:rPr>
      </w:pPr>
      <w:r>
        <w:rPr>
          <w:rFonts w:hint="eastAsia"/>
          <w:color w:val="auto"/>
          <w:highlight w:val="none"/>
        </w:rPr>
        <w:t>1.乙方应保证所提供货物在使用时不会侵犯任何第三方的专利权、商标权、工业设计权或其他权利。乙方提供的货物如侵犯了第三方合法权益而引发的任何纠纷或诉讼，均由乙方负责交涉并承担全部责任。若因此导致甲方经济损失的，乙方应当予以赔偿，赔偿范围包括但不限于实际发生的经济损失以及甲方为解决纠纷、维护自身合法权益而产生的律师费、诉讼费、保全费、财产保全保函费、差旅费等。</w:t>
      </w:r>
    </w:p>
    <w:p w14:paraId="3160DA8C">
      <w:pPr>
        <w:spacing w:line="440" w:lineRule="exact"/>
        <w:ind w:firstLine="420" w:firstLineChars="200"/>
        <w:rPr>
          <w:color w:val="auto"/>
          <w:highlight w:val="none"/>
        </w:rPr>
      </w:pPr>
      <w:r>
        <w:rPr>
          <w:rFonts w:hint="eastAsia"/>
          <w:color w:val="auto"/>
          <w:highlight w:val="none"/>
        </w:rPr>
        <w:t>2.乙方应严格按照合同附件约定供应正版合格图书，保证图书数量、质量、品类完全符合要求，承担图书运输、装卸全过程的安全及质量责任。</w:t>
      </w:r>
    </w:p>
    <w:p w14:paraId="16F7BCA7">
      <w:pPr>
        <w:spacing w:line="440" w:lineRule="exact"/>
        <w:ind w:firstLine="420" w:firstLineChars="200"/>
        <w:rPr>
          <w:color w:val="auto"/>
          <w:highlight w:val="none"/>
        </w:rPr>
      </w:pPr>
      <w:r>
        <w:rPr>
          <w:rFonts w:hint="eastAsia"/>
          <w:color w:val="auto"/>
          <w:highlight w:val="none"/>
        </w:rPr>
        <w:t>3.未经甲方书面同意，乙方不得将由甲方提供的有关合同或任何合同条文、规格、计划、图纸、样品或资料提供给与履行本合同无关的任何其他人。即使向履行本合同有关的人员提供，也应注意保密并限于履行合同的必需范围。如乙方违反上述规定泄露甲方相关资料、保密信息的，乙方应当支付甲方因此造成的损失，甲方损失能够计算的按照实际损失赔偿，甲方的损失无法具体计算的，乙方应当按照合同价款2%进行赔偿。乙方还应当向甲方支付合同价款20%的违约金。</w:t>
      </w:r>
    </w:p>
    <w:p w14:paraId="2102651E">
      <w:pPr>
        <w:spacing w:line="440" w:lineRule="exact"/>
        <w:ind w:firstLine="420" w:firstLineChars="200"/>
        <w:rPr>
          <w:color w:val="auto"/>
          <w:highlight w:val="none"/>
        </w:rPr>
      </w:pPr>
      <w:r>
        <w:rPr>
          <w:rFonts w:hint="eastAsia"/>
          <w:color w:val="auto"/>
          <w:highlight w:val="none"/>
        </w:rPr>
        <w:t>4.乙方保证所交付的图书的所有权完全属于乙方且无任何抵押、质押、查封等产权瑕疵，如乙方提供的图书存在产权瑕疵则应当向甲方支付因此造成的损失。</w:t>
      </w:r>
    </w:p>
    <w:p w14:paraId="66EDF2F7">
      <w:pPr>
        <w:snapToGrid/>
        <w:spacing w:line="440" w:lineRule="exact"/>
        <w:ind w:firstLine="420" w:firstLineChars="200"/>
        <w:rPr>
          <w:color w:val="auto"/>
          <w:highlight w:val="none"/>
        </w:rPr>
      </w:pPr>
      <w:r>
        <w:rPr>
          <w:rFonts w:hint="eastAsia"/>
          <w:color w:val="auto"/>
          <w:highlight w:val="none"/>
        </w:rPr>
        <w:t>5.乙方对自身提供的报价文件、资质、承诺等均客观、真实，不得虚构或隐瞒事实影响本合同的履行，否则乙方应当对甲方承担缔约过失责任，赔偿甲方的损失。</w:t>
      </w:r>
    </w:p>
    <w:p w14:paraId="54A38F33">
      <w:pPr>
        <w:snapToGrid/>
        <w:spacing w:line="440" w:lineRule="exact"/>
        <w:ind w:firstLine="420" w:firstLineChars="200"/>
        <w:outlineLvl w:val="9"/>
        <w:rPr>
          <w:rFonts w:hint="eastAsia"/>
          <w:b/>
          <w:bCs/>
          <w:color w:val="auto"/>
          <w:highlight w:val="none"/>
        </w:rPr>
      </w:pPr>
      <w:r>
        <w:rPr>
          <w:rFonts w:hint="eastAsia"/>
          <w:b/>
          <w:bCs/>
          <w:color w:val="auto"/>
          <w:highlight w:val="none"/>
        </w:rPr>
        <w:t>第四条　包装和运输</w:t>
      </w:r>
    </w:p>
    <w:p w14:paraId="78D6062B">
      <w:pPr>
        <w:snapToGrid/>
        <w:spacing w:line="440" w:lineRule="exact"/>
        <w:ind w:firstLine="420" w:firstLineChars="200"/>
        <w:rPr>
          <w:color w:val="auto"/>
          <w:highlight w:val="none"/>
        </w:rPr>
      </w:pPr>
      <w:r>
        <w:rPr>
          <w:color w:val="auto"/>
          <w:highlight w:val="none"/>
        </w:rPr>
        <w:t>1</w:t>
      </w:r>
      <w:r>
        <w:rPr>
          <w:rFonts w:hint="eastAsia"/>
          <w:color w:val="auto"/>
          <w:highlight w:val="none"/>
        </w:rPr>
        <w:t>.乙方提供的货物均应按采购文件、投标文件要求的包装材料、包装标准、包装方式进行包装，每一包装单元内应附详细的装箱单和质量合格证。</w:t>
      </w:r>
    </w:p>
    <w:p w14:paraId="4E4C7761">
      <w:pPr>
        <w:snapToGrid/>
        <w:spacing w:line="440" w:lineRule="exact"/>
        <w:ind w:firstLine="420" w:firstLineChars="200"/>
        <w:rPr>
          <w:color w:val="auto"/>
          <w:highlight w:val="none"/>
        </w:rPr>
      </w:pPr>
      <w:r>
        <w:rPr>
          <w:color w:val="auto"/>
          <w:highlight w:val="none"/>
        </w:rPr>
        <w:t>2</w:t>
      </w:r>
      <w:r>
        <w:rPr>
          <w:rFonts w:hint="eastAsia"/>
          <w:color w:val="auto"/>
          <w:highlight w:val="none"/>
        </w:rPr>
        <w:t>.图书的运输方式：</w:t>
      </w:r>
      <w:r>
        <w:rPr>
          <w:color w:val="auto"/>
          <w:highlight w:val="none"/>
        </w:rPr>
        <w:t xml:space="preserve"> </w:t>
      </w:r>
      <w:r>
        <w:rPr>
          <w:rFonts w:hint="eastAsia"/>
          <w:color w:val="auto"/>
          <w:highlight w:val="none"/>
        </w:rPr>
        <w:t>由乙方按采购文件要求自定。</w:t>
      </w:r>
    </w:p>
    <w:p w14:paraId="40588CB4">
      <w:pPr>
        <w:snapToGrid/>
        <w:spacing w:line="440" w:lineRule="exact"/>
        <w:ind w:firstLine="420" w:firstLineChars="200"/>
        <w:rPr>
          <w:color w:val="auto"/>
          <w:highlight w:val="none"/>
        </w:rPr>
      </w:pPr>
      <w:r>
        <w:rPr>
          <w:color w:val="auto"/>
          <w:highlight w:val="none"/>
        </w:rPr>
        <w:t>3</w:t>
      </w:r>
      <w:r>
        <w:rPr>
          <w:rFonts w:hint="eastAsia"/>
          <w:color w:val="auto"/>
          <w:highlight w:val="none"/>
        </w:rPr>
        <w:t>.乙方负责货物运输，货物运输合理损耗及计算方法：</w:t>
      </w:r>
      <w:r>
        <w:rPr>
          <w:color w:val="auto"/>
          <w:highlight w:val="none"/>
        </w:rPr>
        <w:t xml:space="preserve"> </w:t>
      </w:r>
      <w:r>
        <w:rPr>
          <w:rFonts w:hint="eastAsia"/>
          <w:color w:val="auto"/>
          <w:highlight w:val="none"/>
        </w:rPr>
        <w:t>本项目合同不接受损耗。</w:t>
      </w:r>
    </w:p>
    <w:p w14:paraId="1A0A929A">
      <w:pPr>
        <w:autoSpaceDE/>
        <w:autoSpaceDN/>
        <w:adjustRightInd/>
        <w:spacing w:before="0" w:after="0" w:line="440" w:lineRule="exact"/>
        <w:ind w:firstLine="420" w:firstLineChars="200"/>
        <w:outlineLvl w:val="9"/>
        <w:rPr>
          <w:rFonts w:cs="宋体"/>
          <w:b/>
          <w:bCs/>
          <w:color w:val="auto"/>
          <w:sz w:val="24"/>
          <w:highlight w:val="none"/>
        </w:rPr>
      </w:pPr>
      <w:r>
        <w:rPr>
          <w:rFonts w:hint="eastAsia" w:cs="宋体"/>
          <w:color w:val="auto"/>
          <w:highlight w:val="none"/>
        </w:rPr>
        <w:t>4.</w:t>
      </w:r>
      <w:r>
        <w:rPr>
          <w:rFonts w:hint="eastAsia"/>
          <w:color w:val="auto"/>
          <w:highlight w:val="none"/>
        </w:rPr>
        <w:t>图书到馆分编、加工图书完毕并经甲方验收合格前图书毁损、灭失的风险均由乙方承担。</w:t>
      </w:r>
    </w:p>
    <w:p w14:paraId="410A2C78">
      <w:pPr>
        <w:snapToGrid/>
        <w:spacing w:line="440" w:lineRule="exact"/>
        <w:ind w:firstLine="420" w:firstLineChars="200"/>
        <w:outlineLvl w:val="9"/>
        <w:rPr>
          <w:rFonts w:hint="eastAsia"/>
          <w:b/>
          <w:bCs/>
          <w:color w:val="auto"/>
          <w:highlight w:val="none"/>
        </w:rPr>
      </w:pPr>
      <w:r>
        <w:rPr>
          <w:rFonts w:hint="eastAsia"/>
          <w:b/>
          <w:bCs/>
          <w:color w:val="auto"/>
          <w:highlight w:val="none"/>
        </w:rPr>
        <w:t>第五条　交付和验收</w:t>
      </w:r>
    </w:p>
    <w:p w14:paraId="79F70168">
      <w:pPr>
        <w:snapToGrid/>
        <w:spacing w:line="440" w:lineRule="exact"/>
        <w:ind w:firstLine="420" w:firstLineChars="200"/>
        <w:rPr>
          <w:color w:val="auto"/>
          <w:highlight w:val="none"/>
        </w:rPr>
      </w:pPr>
      <w:r>
        <w:rPr>
          <w:color w:val="auto"/>
          <w:highlight w:val="none"/>
        </w:rPr>
        <w:t>1</w:t>
      </w:r>
      <w:r>
        <w:rPr>
          <w:rFonts w:hint="eastAsia"/>
          <w:color w:val="auto"/>
          <w:highlight w:val="none"/>
        </w:rPr>
        <w:t xml:space="preserve">.交付使用时间：                      </w:t>
      </w:r>
    </w:p>
    <w:p w14:paraId="7B63A6D1">
      <w:pPr>
        <w:snapToGrid/>
        <w:spacing w:line="440" w:lineRule="exact"/>
        <w:ind w:firstLine="420" w:firstLineChars="200"/>
        <w:rPr>
          <w:color w:val="auto"/>
          <w:highlight w:val="none"/>
        </w:rPr>
      </w:pPr>
      <w:r>
        <w:rPr>
          <w:rFonts w:hint="eastAsia"/>
          <w:color w:val="auto"/>
          <w:highlight w:val="none"/>
        </w:rPr>
        <w:t>交货地点：       。</w:t>
      </w:r>
    </w:p>
    <w:p w14:paraId="3F72AD90">
      <w:pPr>
        <w:spacing w:line="440" w:lineRule="exact"/>
        <w:ind w:firstLine="420" w:firstLineChars="200"/>
        <w:rPr>
          <w:color w:val="auto"/>
          <w:highlight w:val="none"/>
        </w:rPr>
      </w:pPr>
      <w:r>
        <w:rPr>
          <w:rFonts w:hint="eastAsia" w:ascii="宋体" w:hAnsi="宋体" w:cs="宋体"/>
          <w:color w:val="auto"/>
          <w:highlight w:val="none"/>
        </w:rPr>
        <w:t>2.</w:t>
      </w:r>
      <w:r>
        <w:rPr>
          <w:rFonts w:hint="eastAsia"/>
          <w:color w:val="auto"/>
          <w:highlight w:val="none"/>
        </w:rPr>
        <w:t xml:space="preserve"> 订单发出及反馈</w:t>
      </w:r>
    </w:p>
    <w:p w14:paraId="669E59BE">
      <w:pPr>
        <w:spacing w:line="440" w:lineRule="exact"/>
        <w:ind w:firstLine="420" w:firstLineChars="200"/>
        <w:rPr>
          <w:color w:val="auto"/>
          <w:highlight w:val="none"/>
        </w:rPr>
      </w:pPr>
      <w:r>
        <w:rPr>
          <w:rFonts w:hint="eastAsia"/>
          <w:color w:val="auto"/>
          <w:highlight w:val="none"/>
        </w:rPr>
        <w:t>2.1 甲方在合同有效期内分批次不定时向中标供应商发出订单。</w:t>
      </w:r>
    </w:p>
    <w:p w14:paraId="38389B71">
      <w:pPr>
        <w:spacing w:line="440" w:lineRule="exact"/>
        <w:ind w:firstLine="420" w:firstLineChars="200"/>
        <w:rPr>
          <w:rFonts w:cs="Arial"/>
          <w:bCs/>
          <w:color w:val="auto"/>
          <w:highlight w:val="none"/>
        </w:rPr>
      </w:pPr>
      <w:r>
        <w:rPr>
          <w:color w:val="auto"/>
          <w:highlight w:val="none"/>
        </w:rPr>
        <w:t xml:space="preserve">2.2 </w:t>
      </w:r>
      <w:r>
        <w:rPr>
          <w:rFonts w:hint="eastAsia"/>
          <w:color w:val="auto"/>
          <w:highlight w:val="none"/>
        </w:rPr>
        <w:t>订单处理方式：收到甲方订单后的</w:t>
      </w:r>
      <w:r>
        <w:rPr>
          <w:color w:val="auto"/>
          <w:highlight w:val="none"/>
        </w:rPr>
        <w:t>2个工作日内</w:t>
      </w:r>
      <w:r>
        <w:rPr>
          <w:rFonts w:hint="eastAsia"/>
          <w:color w:val="auto"/>
          <w:highlight w:val="none"/>
        </w:rPr>
        <w:t>书面回复甲方确认收到订单，</w:t>
      </w:r>
      <w:r>
        <w:rPr>
          <w:rFonts w:hint="eastAsia" w:cs="Arial"/>
          <w:bCs/>
          <w:color w:val="auto"/>
          <w:highlight w:val="none"/>
        </w:rPr>
        <w:t>此后每周均须主动告知订单状态，包括上报出版社、配货、发货、到货率及加工情况等。</w:t>
      </w:r>
    </w:p>
    <w:p w14:paraId="4C2C66B2">
      <w:pPr>
        <w:spacing w:line="440" w:lineRule="exact"/>
        <w:ind w:firstLine="420" w:firstLineChars="200"/>
        <w:rPr>
          <w:color w:val="auto"/>
          <w:highlight w:val="none"/>
        </w:rPr>
      </w:pPr>
      <w:r>
        <w:rPr>
          <w:rFonts w:hint="eastAsia"/>
          <w:color w:val="auto"/>
          <w:highlight w:val="none"/>
        </w:rPr>
        <w:t>2.3 订单查重：乙方应进行订单查重（本批订单与历史订单查重、本批订单互相查重），如发现重复订购的情况，应在确认收到订单时告知甲方。</w:t>
      </w:r>
    </w:p>
    <w:p w14:paraId="7126C3BD">
      <w:pPr>
        <w:spacing w:line="440" w:lineRule="exact"/>
        <w:ind w:firstLine="420" w:firstLineChars="200"/>
        <w:rPr>
          <w:color w:val="auto"/>
          <w:highlight w:val="none"/>
        </w:rPr>
      </w:pPr>
      <w:r>
        <w:rPr>
          <w:rFonts w:hint="eastAsia"/>
          <w:color w:val="auto"/>
          <w:highlight w:val="none"/>
        </w:rPr>
        <w:t>2.4 订单反馈：</w:t>
      </w:r>
    </w:p>
    <w:p w14:paraId="1F2EFE1C">
      <w:pPr>
        <w:spacing w:line="440" w:lineRule="exact"/>
        <w:ind w:firstLine="420" w:firstLineChars="200"/>
        <w:rPr>
          <w:b/>
          <w:color w:val="auto"/>
          <w:highlight w:val="none"/>
        </w:rPr>
      </w:pPr>
      <w:r>
        <w:rPr>
          <w:rFonts w:hint="eastAsia" w:cs="Arial"/>
          <w:bCs/>
          <w:color w:val="auto"/>
          <w:highlight w:val="none"/>
        </w:rPr>
        <w:t>乙方</w:t>
      </w:r>
      <w:r>
        <w:rPr>
          <w:rFonts w:hint="eastAsia"/>
          <w:color w:val="auto"/>
          <w:highlight w:val="none"/>
        </w:rPr>
        <w:t>若发现订单中有不符合</w:t>
      </w:r>
      <w:r>
        <w:rPr>
          <w:rFonts w:hint="eastAsia" w:cs="Courier New" w:asciiTheme="minorEastAsia" w:hAnsiTheme="minorEastAsia"/>
          <w:color w:val="auto"/>
          <w:szCs w:val="22"/>
          <w:highlight w:val="none"/>
        </w:rPr>
        <w:t>采购需求</w:t>
      </w:r>
      <w:r>
        <w:rPr>
          <w:rFonts w:hint="eastAsia"/>
          <w:color w:val="auto"/>
          <w:highlight w:val="none"/>
        </w:rPr>
        <w:t>的图书，应在确认收到订单之日起</w:t>
      </w:r>
      <w:r>
        <w:rPr>
          <w:rFonts w:cs="Arial"/>
          <w:bCs/>
          <w:color w:val="auto"/>
          <w:highlight w:val="none"/>
        </w:rPr>
        <w:t>3日内</w:t>
      </w:r>
      <w:r>
        <w:rPr>
          <w:rFonts w:hint="eastAsia"/>
          <w:color w:val="auto"/>
          <w:highlight w:val="none"/>
        </w:rPr>
        <w:t>书面通知甲方请求确认是否继续订购；若发现图书实际情况（如</w:t>
      </w:r>
      <w:r>
        <w:rPr>
          <w:color w:val="auto"/>
          <w:highlight w:val="none"/>
        </w:rPr>
        <w:t>ISBN号、书名、著者、价格</w:t>
      </w:r>
      <w:r>
        <w:rPr>
          <w:rFonts w:hint="eastAsia"/>
          <w:color w:val="auto"/>
          <w:highlight w:val="none"/>
        </w:rPr>
        <w:t>、版次</w:t>
      </w:r>
      <w:r>
        <w:rPr>
          <w:color w:val="auto"/>
          <w:highlight w:val="none"/>
        </w:rPr>
        <w:t>等</w:t>
      </w:r>
      <w:r>
        <w:rPr>
          <w:rFonts w:hint="eastAsia"/>
          <w:color w:val="auto"/>
          <w:highlight w:val="none"/>
        </w:rPr>
        <w:t>）与订单信息不一致的，</w:t>
      </w:r>
      <w:r>
        <w:rPr>
          <w:color w:val="auto"/>
          <w:highlight w:val="none"/>
        </w:rPr>
        <w:t>应</w:t>
      </w:r>
      <w:r>
        <w:rPr>
          <w:rFonts w:hint="eastAsia"/>
          <w:color w:val="auto"/>
          <w:highlight w:val="none"/>
        </w:rPr>
        <w:t>书面通知甲方修改有关订单数据、重新确认订购需求。</w:t>
      </w:r>
    </w:p>
    <w:p w14:paraId="723B10E2">
      <w:pPr>
        <w:spacing w:line="440" w:lineRule="exact"/>
        <w:ind w:firstLine="436" w:firstLineChars="200"/>
        <w:rPr>
          <w:color w:val="auto"/>
          <w:highlight w:val="none"/>
        </w:rPr>
      </w:pPr>
      <w:r>
        <w:rPr>
          <w:rFonts w:hint="eastAsia" w:ascii="宋体" w:hAnsi="宋体"/>
          <w:color w:val="auto"/>
          <w:spacing w:val="4"/>
          <w:highlight w:val="none"/>
        </w:rPr>
        <w:t xml:space="preserve"> </w:t>
      </w:r>
      <w:r>
        <w:rPr>
          <w:color w:val="auto"/>
          <w:highlight w:val="none"/>
        </w:rPr>
        <w:t xml:space="preserve">3. </w:t>
      </w:r>
      <w:r>
        <w:rPr>
          <w:rFonts w:hint="eastAsia"/>
          <w:color w:val="auto"/>
          <w:highlight w:val="none"/>
        </w:rPr>
        <w:t>图书供货周期与到书率</w:t>
      </w:r>
    </w:p>
    <w:p w14:paraId="783FB1B8">
      <w:pPr>
        <w:spacing w:line="440" w:lineRule="exact"/>
        <w:ind w:firstLine="420" w:firstLineChars="200"/>
        <w:rPr>
          <w:color w:val="auto"/>
          <w:highlight w:val="none"/>
        </w:rPr>
      </w:pPr>
      <w:r>
        <w:rPr>
          <w:rFonts w:hint="eastAsia" w:cs="Arial"/>
          <w:bCs/>
          <w:color w:val="auto"/>
          <w:highlight w:val="none"/>
        </w:rPr>
        <w:t xml:space="preserve">3.1 </w:t>
      </w:r>
      <w:r>
        <w:rPr>
          <w:rFonts w:hint="eastAsia"/>
          <w:color w:val="auto"/>
          <w:highlight w:val="none"/>
        </w:rPr>
        <w:t>乙方必须在甲方订单所列书目范围内的确定供应得图书品种、数量并按时交货。图书交货以甲方验收确认为准。合同期内，每年供货周期内的到书率不低于95%，到书率统计口径具体如下：</w:t>
      </w:r>
    </w:p>
    <w:p w14:paraId="75BB2B7C">
      <w:pPr>
        <w:spacing w:line="440" w:lineRule="exact"/>
        <w:ind w:firstLine="420" w:firstLineChars="200"/>
        <w:rPr>
          <w:color w:val="auto"/>
          <w:highlight w:val="none"/>
        </w:rPr>
      </w:pPr>
      <w:r>
        <w:rPr>
          <w:rFonts w:hint="eastAsia"/>
          <w:color w:val="auto"/>
          <w:highlight w:val="none"/>
        </w:rPr>
        <w:t>（1）第一年的供货周期为合同签订之日起至2026年11月30日，第二年、第三年的供货周期为当年1月1日至当年11月30日。</w:t>
      </w:r>
    </w:p>
    <w:p w14:paraId="15ACE3DE">
      <w:pPr>
        <w:spacing w:line="440" w:lineRule="exact"/>
        <w:ind w:firstLine="420" w:firstLineChars="200"/>
        <w:rPr>
          <w:color w:val="auto"/>
          <w:highlight w:val="none"/>
        </w:rPr>
      </w:pPr>
      <w:r>
        <w:rPr>
          <w:rFonts w:hint="eastAsia"/>
          <w:color w:val="auto"/>
          <w:highlight w:val="none"/>
        </w:rPr>
        <w:t>（2）到书率系以当年供货周期内的图书采购总数量为计算基数，截至当年末仍未出版的图书数量不计入计算基数。</w:t>
      </w:r>
    </w:p>
    <w:p w14:paraId="31031A0B">
      <w:pPr>
        <w:spacing w:line="440" w:lineRule="exact"/>
        <w:ind w:firstLine="420" w:firstLineChars="200"/>
        <w:rPr>
          <w:color w:val="auto"/>
          <w:highlight w:val="none"/>
        </w:rPr>
      </w:pPr>
      <w:r>
        <w:rPr>
          <w:rFonts w:hint="eastAsia"/>
          <w:color w:val="auto"/>
          <w:highlight w:val="none"/>
        </w:rPr>
        <w:t>对于未能及时供应的图书，乙方要定期向甲方提供未到书目并注明原因，如“已采购未到货”、“包销书”、“合作书”、“出版社缺货”、“不适藏撤销”等，同时提出补缺措施。</w:t>
      </w:r>
    </w:p>
    <w:p w14:paraId="7CD4558C">
      <w:pPr>
        <w:spacing w:line="440" w:lineRule="exact"/>
        <w:ind w:firstLine="420" w:firstLineChars="200"/>
        <w:rPr>
          <w:color w:val="auto"/>
          <w:highlight w:val="none"/>
        </w:rPr>
      </w:pPr>
      <w:r>
        <w:rPr>
          <w:rFonts w:hint="eastAsia"/>
          <w:color w:val="auto"/>
          <w:highlight w:val="none"/>
        </w:rPr>
        <w:t>（3）每年供货周期截止日（即当年的11月30日）之后，甲方不再接收乙方根据当年订单交付的图书，当年的供货金额按截止日前已验收图书为准进行结算。若乙方仍将图书运至甲方指定地点的，应自行承担由此产生的全部费用而不得要求甲方支付货款或给予任何补偿、赔偿。乙方在下一年度供货周期交付上一年度订单项下图书的，甲方有权决定是否接收。</w:t>
      </w:r>
    </w:p>
    <w:p w14:paraId="729C669B">
      <w:pPr>
        <w:spacing w:line="440" w:lineRule="exact"/>
        <w:ind w:firstLine="420" w:firstLineChars="200"/>
        <w:rPr>
          <w:rFonts w:cs="宋体"/>
          <w:color w:val="auto"/>
          <w:highlight w:val="none"/>
        </w:rPr>
      </w:pPr>
      <w:r>
        <w:rPr>
          <w:rFonts w:hint="eastAsia" w:cs="宋体"/>
          <w:color w:val="auto"/>
          <w:highlight w:val="none"/>
        </w:rPr>
        <w:t xml:space="preserve">3.2 </w:t>
      </w:r>
      <w:r>
        <w:rPr>
          <w:rFonts w:hint="eastAsia"/>
          <w:color w:val="auto"/>
          <w:highlight w:val="none"/>
        </w:rPr>
        <w:t>乙方确认收到订单之日起</w:t>
      </w:r>
      <w:r>
        <w:rPr>
          <w:rFonts w:hint="eastAsia" w:cs="宋体"/>
          <w:color w:val="auto"/>
          <w:highlight w:val="none"/>
        </w:rPr>
        <w:t>超过90天乙方仍未交付的图书，</w:t>
      </w:r>
      <w:r>
        <w:rPr>
          <w:rFonts w:hint="eastAsia"/>
          <w:color w:val="auto"/>
          <w:highlight w:val="none"/>
        </w:rPr>
        <w:t>甲方有权直接向出版社、著者、</w:t>
      </w:r>
      <w:r>
        <w:rPr>
          <w:rFonts w:hint="eastAsia" w:cs="宋体"/>
          <w:color w:val="auto"/>
          <w:highlight w:val="none"/>
        </w:rPr>
        <w:t>其他供应商或零售店</w:t>
      </w:r>
      <w:r>
        <w:rPr>
          <w:rFonts w:hint="eastAsia"/>
          <w:color w:val="auto"/>
          <w:highlight w:val="none"/>
        </w:rPr>
        <w:t>采购，乙方须按甲方所付货款（即所采购图书的码洋价乘以采购数量）的五倍向甲方支付违约金。</w:t>
      </w:r>
    </w:p>
    <w:p w14:paraId="366330EC">
      <w:pPr>
        <w:spacing w:line="440" w:lineRule="exact"/>
        <w:ind w:firstLine="420" w:firstLineChars="200"/>
        <w:rPr>
          <w:rFonts w:cs="Arial"/>
          <w:bCs/>
          <w:color w:val="auto"/>
          <w:highlight w:val="none"/>
        </w:rPr>
      </w:pPr>
      <w:r>
        <w:rPr>
          <w:rFonts w:hint="eastAsia"/>
          <w:color w:val="auto"/>
          <w:highlight w:val="none"/>
        </w:rPr>
        <w:t>3.3 乙方需配合图书馆读者推荐购买图书、急编书的及时送达。通过快递、送货上门等方式所产生的费用由乙方承担。</w:t>
      </w:r>
    </w:p>
    <w:p w14:paraId="1B46F8C3">
      <w:pPr>
        <w:spacing w:line="440" w:lineRule="exact"/>
        <w:ind w:firstLine="420" w:firstLineChars="200"/>
        <w:rPr>
          <w:color w:val="auto"/>
          <w:highlight w:val="none"/>
        </w:rPr>
      </w:pPr>
      <w:r>
        <w:rPr>
          <w:rFonts w:hint="eastAsia"/>
          <w:color w:val="auto"/>
          <w:highlight w:val="none"/>
        </w:rPr>
        <w:t>4. 图书验收与退换货</w:t>
      </w:r>
    </w:p>
    <w:p w14:paraId="225FA376">
      <w:pPr>
        <w:spacing w:line="440" w:lineRule="exact"/>
        <w:ind w:firstLine="420" w:firstLineChars="200"/>
        <w:rPr>
          <w:rFonts w:ascii="宋体" w:hAnsi="宋体" w:cs="Arial"/>
          <w:bCs/>
          <w:color w:val="auto"/>
          <w:szCs w:val="21"/>
          <w:highlight w:val="none"/>
        </w:rPr>
      </w:pPr>
      <w:r>
        <w:rPr>
          <w:rFonts w:hint="eastAsia" w:ascii="宋体" w:hAnsi="宋体" w:cs="Arial"/>
          <w:bCs/>
          <w:color w:val="auto"/>
          <w:szCs w:val="21"/>
          <w:highlight w:val="none"/>
        </w:rPr>
        <w:t>4.1 乙方</w:t>
      </w:r>
      <w:r>
        <w:rPr>
          <w:rFonts w:hint="eastAsia"/>
          <w:color w:val="auto"/>
          <w:highlight w:val="none"/>
        </w:rPr>
        <w:t>应严格执行图书行业国家标准和行业标准，提供的图书必须为正版图书。盗版图书一经发现，除假一赔十外，乙方还需承担由此造成的一切后果，同时本合同自动终止。</w:t>
      </w:r>
    </w:p>
    <w:p w14:paraId="64D101FF">
      <w:pPr>
        <w:spacing w:line="440" w:lineRule="exact"/>
        <w:ind w:firstLine="420" w:firstLineChars="200"/>
        <w:rPr>
          <w:rFonts w:cs="Arial"/>
          <w:bCs/>
          <w:color w:val="auto"/>
          <w:highlight w:val="none"/>
        </w:rPr>
      </w:pPr>
      <w:r>
        <w:rPr>
          <w:rFonts w:cs="Arial"/>
          <w:bCs/>
          <w:color w:val="auto"/>
          <w:highlight w:val="none"/>
        </w:rPr>
        <w:t xml:space="preserve">4.2 </w:t>
      </w:r>
      <w:r>
        <w:rPr>
          <w:rFonts w:hint="eastAsia" w:cs="Arial"/>
          <w:bCs/>
          <w:color w:val="auto"/>
          <w:highlight w:val="none"/>
        </w:rPr>
        <w:t>甲方</w:t>
      </w:r>
      <w:r>
        <w:rPr>
          <w:rFonts w:hint="eastAsia"/>
          <w:color w:val="auto"/>
          <w:highlight w:val="none"/>
        </w:rPr>
        <w:t>订单中如含有不符合采购需求中“</w:t>
      </w:r>
      <w:r>
        <w:rPr>
          <w:rFonts w:hint="eastAsia" w:ascii="Calibri" w:hAnsi="Calibri"/>
          <w:b/>
          <w:color w:val="auto"/>
          <w:szCs w:val="22"/>
          <w:highlight w:val="none"/>
        </w:rPr>
        <w:t>技术参数及性能（配置）要求”的图书</w:t>
      </w:r>
      <w:r>
        <w:rPr>
          <w:rFonts w:hint="eastAsia"/>
          <w:color w:val="auto"/>
          <w:highlight w:val="none"/>
        </w:rPr>
        <w:t>，若乙方未依照本条第</w:t>
      </w:r>
      <w:r>
        <w:rPr>
          <w:color w:val="auto"/>
          <w:highlight w:val="none"/>
        </w:rPr>
        <w:t>2.4</w:t>
      </w:r>
      <w:r>
        <w:rPr>
          <w:rFonts w:hint="eastAsia"/>
          <w:color w:val="auto"/>
          <w:highlight w:val="none"/>
        </w:rPr>
        <w:t>项</w:t>
      </w:r>
      <w:r>
        <w:rPr>
          <w:color w:val="auto"/>
          <w:highlight w:val="none"/>
        </w:rPr>
        <w:t>的规定书面通知甲方请求确认是否继续订购</w:t>
      </w:r>
      <w:r>
        <w:rPr>
          <w:rFonts w:hint="eastAsia"/>
          <w:color w:val="auto"/>
          <w:highlight w:val="none"/>
        </w:rPr>
        <w:t>的，乙方在初步验收或加工前应先选择剔除，并将剔除图书目录发给甲方确认。若乙方未将应剔除图书目录发给甲方确认的，对于乙方交付的不符合</w:t>
      </w:r>
      <w:r>
        <w:rPr>
          <w:rFonts w:hint="eastAsia" w:ascii="Calibri" w:hAnsi="Calibri"/>
          <w:b/>
          <w:color w:val="auto"/>
          <w:szCs w:val="22"/>
          <w:highlight w:val="none"/>
        </w:rPr>
        <w:t>采购需求的图书</w:t>
      </w:r>
      <w:r>
        <w:rPr>
          <w:rFonts w:hint="eastAsia"/>
          <w:color w:val="auto"/>
          <w:highlight w:val="none"/>
        </w:rPr>
        <w:t>，即使乙方已按照本条第</w:t>
      </w:r>
      <w:r>
        <w:rPr>
          <w:color w:val="auto"/>
          <w:highlight w:val="none"/>
        </w:rPr>
        <w:t>5</w:t>
      </w:r>
      <w:r>
        <w:rPr>
          <w:rFonts w:hint="eastAsia"/>
          <w:color w:val="auto"/>
          <w:highlight w:val="none"/>
        </w:rPr>
        <w:t>款图书加工要求进行加工的，甲方仍有权退货，由此造成的损失由乙方自行承担。</w:t>
      </w:r>
    </w:p>
    <w:p w14:paraId="798E82B2">
      <w:pPr>
        <w:spacing w:line="440" w:lineRule="exact"/>
        <w:ind w:firstLine="420" w:firstLineChars="200"/>
        <w:rPr>
          <w:color w:val="auto"/>
          <w:highlight w:val="none"/>
        </w:rPr>
      </w:pPr>
      <w:r>
        <w:rPr>
          <w:rFonts w:hint="eastAsia" w:cs="Arial"/>
          <w:bCs/>
          <w:color w:val="auto"/>
          <w:highlight w:val="none"/>
        </w:rPr>
        <w:t>4.3 乙方通过远程登录</w:t>
      </w:r>
      <w:r>
        <w:rPr>
          <w:rFonts w:hint="eastAsia"/>
          <w:color w:val="auto"/>
          <w:highlight w:val="none"/>
        </w:rPr>
        <w:t>Interlib图书馆集成管理系统进行图书验收，必须通过图书验收管理模块中的“预订验收处理”进行验收，如通过“直接验收处理”验收造成的后果及损失由乙方自行承担。</w:t>
      </w:r>
    </w:p>
    <w:p w14:paraId="1889ED90">
      <w:pPr>
        <w:spacing w:line="440" w:lineRule="exact"/>
        <w:ind w:firstLine="420" w:firstLineChars="200"/>
        <w:rPr>
          <w:rFonts w:cs="宋体"/>
          <w:color w:val="auto"/>
          <w:highlight w:val="none"/>
        </w:rPr>
      </w:pPr>
      <w:r>
        <w:rPr>
          <w:rFonts w:hint="eastAsia"/>
          <w:color w:val="auto"/>
          <w:highlight w:val="none"/>
        </w:rPr>
        <w:t>4.4 图书订购的品种、复本均由甲方决定，乙方不得自行搭配。如验收发现与订单不符，乙方需无条件接受退货；</w:t>
      </w:r>
      <w:r>
        <w:rPr>
          <w:rFonts w:hint="eastAsia" w:cs="宋体"/>
          <w:color w:val="auto"/>
          <w:highlight w:val="none"/>
        </w:rPr>
        <w:t>对不适合甲方入藏的图书，确因书目识别困难而造成误订的，乙方需无条件接受退货。若甲方要求乙方补发的，</w:t>
      </w:r>
      <w:r>
        <w:rPr>
          <w:rFonts w:hint="eastAsia"/>
          <w:color w:val="auto"/>
          <w:highlight w:val="none"/>
        </w:rPr>
        <w:t>乙方需在甲方通知后5个工作日内补发到货。</w:t>
      </w:r>
    </w:p>
    <w:p w14:paraId="018CC556">
      <w:pPr>
        <w:spacing w:line="440" w:lineRule="exact"/>
        <w:ind w:firstLine="420" w:firstLineChars="200"/>
        <w:rPr>
          <w:rFonts w:cs="宋体"/>
          <w:color w:val="auto"/>
          <w:highlight w:val="none"/>
        </w:rPr>
      </w:pPr>
      <w:r>
        <w:rPr>
          <w:rFonts w:hint="eastAsia" w:cs="宋体"/>
          <w:color w:val="auto"/>
          <w:highlight w:val="none"/>
        </w:rPr>
        <w:t xml:space="preserve">4.5 </w:t>
      </w:r>
      <w:r>
        <w:rPr>
          <w:rFonts w:hint="eastAsia"/>
          <w:color w:val="auto"/>
          <w:highlight w:val="none"/>
        </w:rPr>
        <w:t>凡是印刷图文不清、污损、缺页、倒页、脱页、缺附件、光盘破损等质量不合格的图书，无论乙方是否已完成加工，一律予以退货，由此造成的损失及费用全部由乙方承担。</w:t>
      </w:r>
      <w:r>
        <w:rPr>
          <w:rFonts w:hint="eastAsia" w:cs="宋体"/>
          <w:color w:val="auto"/>
          <w:highlight w:val="none"/>
        </w:rPr>
        <w:t>若甲方要求乙方补发的，</w:t>
      </w:r>
      <w:r>
        <w:rPr>
          <w:rFonts w:hint="eastAsia"/>
          <w:color w:val="auto"/>
          <w:highlight w:val="none"/>
        </w:rPr>
        <w:t>乙方需在甲方通知后5个工作日内补发到货。</w:t>
      </w:r>
    </w:p>
    <w:p w14:paraId="3C81D512">
      <w:pPr>
        <w:spacing w:line="440" w:lineRule="exact"/>
        <w:ind w:firstLine="420" w:firstLineChars="200"/>
        <w:rPr>
          <w:rFonts w:ascii="宋体" w:cs="宋体"/>
          <w:color w:val="auto"/>
          <w:szCs w:val="21"/>
          <w:highlight w:val="none"/>
        </w:rPr>
      </w:pPr>
      <w:r>
        <w:rPr>
          <w:rFonts w:hint="eastAsia" w:ascii="宋体" w:cs="宋体"/>
          <w:color w:val="auto"/>
          <w:szCs w:val="21"/>
          <w:highlight w:val="none"/>
        </w:rPr>
        <w:t>4.6 甲方</w:t>
      </w:r>
      <w:r>
        <w:rPr>
          <w:rFonts w:hint="eastAsia"/>
          <w:color w:val="auto"/>
          <w:highlight w:val="none"/>
        </w:rPr>
        <w:t>验收发现图书与发货单不相符时应及时通知乙方到验收地核实。乙方接到通知之日起2个工作日内核对，如不能</w:t>
      </w:r>
      <w:r>
        <w:rPr>
          <w:rFonts w:hint="eastAsia" w:ascii="宋体" w:cs="宋体"/>
          <w:color w:val="auto"/>
          <w:szCs w:val="21"/>
          <w:highlight w:val="none"/>
        </w:rPr>
        <w:t>在此期间确认核算的，以甲方验收的实际数额计算书款金额。</w:t>
      </w:r>
    </w:p>
    <w:p w14:paraId="32392B81">
      <w:pPr>
        <w:spacing w:line="440" w:lineRule="exact"/>
        <w:ind w:firstLine="420" w:firstLineChars="200"/>
        <w:rPr>
          <w:color w:val="auto"/>
          <w:highlight w:val="none"/>
        </w:rPr>
      </w:pPr>
      <w:r>
        <w:rPr>
          <w:rFonts w:hint="eastAsia"/>
          <w:color w:val="auto"/>
          <w:highlight w:val="none"/>
        </w:rPr>
        <w:t>4.7乙方须采取切实有效的图书供应保障措施，确保每年度供应的</w:t>
      </w:r>
      <w:r>
        <w:rPr>
          <w:rFonts w:hint="eastAsia" w:ascii="Calibri" w:cs="Courier New"/>
          <w:color w:val="auto"/>
          <w:szCs w:val="22"/>
          <w:highlight w:val="none"/>
        </w:rPr>
        <w:t>生物科学、医药卫生类专业图书的</w:t>
      </w:r>
      <w:r>
        <w:rPr>
          <w:rFonts w:hint="eastAsia"/>
          <w:color w:val="auto"/>
          <w:highlight w:val="none"/>
        </w:rPr>
        <w:t>数量（按货款金额计算）不低于采购需求中“</w:t>
      </w:r>
      <w:r>
        <w:rPr>
          <w:rFonts w:hint="eastAsia" w:ascii="Calibri" w:hAnsi="Calibri"/>
          <w:b/>
          <w:color w:val="auto"/>
          <w:szCs w:val="22"/>
          <w:highlight w:val="none"/>
        </w:rPr>
        <w:t>技术参数及性能（配置）要求”所列的</w:t>
      </w:r>
      <w:r>
        <w:rPr>
          <w:rFonts w:hint="eastAsia" w:ascii="Calibri" w:cs="Courier New"/>
          <w:color w:val="auto"/>
          <w:szCs w:val="22"/>
          <w:highlight w:val="none"/>
        </w:rPr>
        <w:t>比例，且不得以任何理由要求降低该比例</w:t>
      </w:r>
      <w:r>
        <w:rPr>
          <w:rFonts w:hint="eastAsia"/>
          <w:color w:val="auto"/>
          <w:highlight w:val="none"/>
        </w:rPr>
        <w:t>。</w:t>
      </w:r>
    </w:p>
    <w:p w14:paraId="3A6885B5">
      <w:pPr>
        <w:pStyle w:val="26"/>
        <w:spacing w:line="440" w:lineRule="exact"/>
        <w:ind w:firstLine="420" w:firstLineChars="200"/>
        <w:rPr>
          <w:b/>
          <w:color w:val="auto"/>
          <w:highlight w:val="none"/>
        </w:rPr>
      </w:pPr>
      <w:r>
        <w:rPr>
          <w:rFonts w:hint="eastAsia" w:cs="Arial"/>
          <w:color w:val="auto"/>
          <w:highlight w:val="none"/>
        </w:rPr>
        <w:t>5.图书</w:t>
      </w:r>
      <w:r>
        <w:rPr>
          <w:rFonts w:hint="eastAsia"/>
          <w:color w:val="auto"/>
          <w:highlight w:val="none"/>
        </w:rPr>
        <w:t>加工要求：</w:t>
      </w:r>
    </w:p>
    <w:p w14:paraId="7FF91835">
      <w:pPr>
        <w:spacing w:line="440" w:lineRule="exact"/>
        <w:ind w:firstLine="420" w:firstLineChars="200"/>
        <w:rPr>
          <w:color w:val="auto"/>
          <w:highlight w:val="none"/>
        </w:rPr>
      </w:pPr>
      <w:r>
        <w:rPr>
          <w:rFonts w:hint="eastAsia"/>
          <w:color w:val="auto"/>
          <w:highlight w:val="none"/>
        </w:rPr>
        <w:t>乙方在递交每一批图书时，应按甲方要求免费进行图书加工。</w:t>
      </w:r>
    </w:p>
    <w:p w14:paraId="0C799F87">
      <w:pPr>
        <w:spacing w:line="440" w:lineRule="exact"/>
        <w:ind w:firstLine="420" w:firstLineChars="200"/>
        <w:rPr>
          <w:color w:val="auto"/>
          <w:highlight w:val="none"/>
        </w:rPr>
      </w:pPr>
      <w:r>
        <w:rPr>
          <w:rFonts w:hint="eastAsia"/>
          <w:color w:val="auto"/>
          <w:highlight w:val="none"/>
        </w:rPr>
        <w:t>5.1 图书加工前，应将配送的书目（按订单顺序列好）发给甲方审核，无误后方可按甲方要求加工。装帧怪异的图书，需通过电话、电子邮件或</w:t>
      </w:r>
      <w:r>
        <w:rPr>
          <w:color w:val="auto"/>
          <w:highlight w:val="none"/>
        </w:rPr>
        <w:t>QQ经采访人员确认后才能加工。</w:t>
      </w:r>
    </w:p>
    <w:p w14:paraId="6DE03F3E">
      <w:pPr>
        <w:spacing w:line="440" w:lineRule="exact"/>
        <w:ind w:firstLine="420" w:firstLineChars="200"/>
        <w:rPr>
          <w:color w:val="auto"/>
          <w:highlight w:val="none"/>
        </w:rPr>
      </w:pPr>
      <w:r>
        <w:rPr>
          <w:rFonts w:hint="eastAsia"/>
          <w:color w:val="auto"/>
          <w:highlight w:val="none"/>
        </w:rPr>
        <w:t>5.2 盖馆藏章：每册书盖</w:t>
      </w:r>
      <w:r>
        <w:rPr>
          <w:color w:val="auto"/>
          <w:highlight w:val="none"/>
        </w:rPr>
        <w:t>2个章，一处在书名页（居中，不要挡文字），另一处在书口中间（居中，字体朝向封面）。</w:t>
      </w:r>
    </w:p>
    <w:p w14:paraId="5FF465CF">
      <w:pPr>
        <w:spacing w:line="440" w:lineRule="exact"/>
        <w:ind w:firstLine="420" w:firstLineChars="200"/>
        <w:rPr>
          <w:color w:val="auto"/>
          <w:highlight w:val="none"/>
        </w:rPr>
      </w:pPr>
      <w:r>
        <w:rPr>
          <w:rFonts w:hint="eastAsia"/>
          <w:color w:val="auto"/>
          <w:highlight w:val="none"/>
        </w:rPr>
        <w:t>5.3 贴条形码：每册书贴</w:t>
      </w:r>
      <w:r>
        <w:rPr>
          <w:color w:val="auto"/>
          <w:highlight w:val="none"/>
        </w:rPr>
        <w:t>4cm×2cm材质为PET纸张，碳带为全树脂打印的同一号条形码2张（白色，撕不烂）。1张贴在书名页，另1张贴在最后一页。同一批书条形码必须连续。条形码需印制清晰，背胶粘性强，使用中不易脱落。</w:t>
      </w:r>
    </w:p>
    <w:p w14:paraId="55BD1604">
      <w:pPr>
        <w:spacing w:line="440" w:lineRule="exact"/>
        <w:ind w:firstLine="420" w:firstLineChars="200"/>
        <w:rPr>
          <w:color w:val="auto"/>
          <w:highlight w:val="none"/>
        </w:rPr>
      </w:pPr>
      <w:r>
        <w:rPr>
          <w:rFonts w:hint="eastAsia"/>
          <w:color w:val="auto"/>
          <w:highlight w:val="none"/>
        </w:rPr>
        <w:t>5.4 贴书标并覆膜。书标贴在封底右上角，书标需印制清晰，背胶粘性强，使用中不易脱落。</w:t>
      </w:r>
    </w:p>
    <w:p w14:paraId="01E7AA27">
      <w:pPr>
        <w:spacing w:line="440" w:lineRule="exact"/>
        <w:ind w:firstLine="420" w:firstLineChars="200"/>
        <w:rPr>
          <w:color w:val="auto"/>
          <w:highlight w:val="none"/>
        </w:rPr>
      </w:pPr>
      <w:r>
        <w:rPr>
          <w:rFonts w:hint="eastAsia"/>
          <w:color w:val="auto"/>
          <w:highlight w:val="none"/>
        </w:rPr>
        <w:t>5.5 每册书贴符合图书馆</w:t>
      </w:r>
      <w:r>
        <w:rPr>
          <w:color w:val="auto"/>
          <w:highlight w:val="none"/>
        </w:rPr>
        <w:t>RFID设备使用的RFID高频图书标签（尺寸为50*50mm，需加广西医科大学的LOGO，参考参数见附录二）一片，相邻图书应错位粘贴。</w:t>
      </w:r>
      <w:r>
        <w:rPr>
          <w:rFonts w:hint="eastAsia" w:cs="宋体"/>
          <w:color w:val="auto"/>
          <w:highlight w:val="none"/>
        </w:rPr>
        <w:t>乙方需额外配送</w:t>
      </w:r>
      <w:r>
        <w:rPr>
          <w:rFonts w:cs="宋体"/>
          <w:color w:val="auto"/>
          <w:highlight w:val="none"/>
        </w:rPr>
        <w:t>2%的RFID高频图书标签耗材。RFID高频</w:t>
      </w:r>
      <w:r>
        <w:rPr>
          <w:rFonts w:hint="eastAsia"/>
          <w:color w:val="auto"/>
          <w:highlight w:val="none"/>
        </w:rPr>
        <w:t>图书标签样本如图：</w:t>
      </w:r>
    </w:p>
    <w:p w14:paraId="5B0C972F">
      <w:pPr>
        <w:spacing w:line="440" w:lineRule="exact"/>
        <w:ind w:firstLine="420" w:firstLineChars="200"/>
        <w:rPr>
          <w:rFonts w:ascii="宋体" w:hAnsi="宋体"/>
          <w:color w:val="auto"/>
          <w:szCs w:val="21"/>
          <w:highlight w:val="none"/>
        </w:rPr>
      </w:pPr>
      <w:r>
        <w:rPr>
          <w:color w:val="auto"/>
          <w:highlight w:val="none"/>
        </w:rPr>
        <w:drawing>
          <wp:anchor distT="0" distB="0" distL="114300" distR="114300" simplePos="0" relativeHeight="251661312" behindDoc="1" locked="0" layoutInCell="1" allowOverlap="1">
            <wp:simplePos x="0" y="0"/>
            <wp:positionH relativeFrom="column">
              <wp:posOffset>1955800</wp:posOffset>
            </wp:positionH>
            <wp:positionV relativeFrom="paragraph">
              <wp:posOffset>49530</wp:posOffset>
            </wp:positionV>
            <wp:extent cx="2298700" cy="2146300"/>
            <wp:effectExtent l="0" t="0" r="6350" b="6350"/>
            <wp:wrapNone/>
            <wp:docPr id="1560281226" name="图片 5" descr="QQ截图2018030710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281226" name="图片 5" descr="QQ截图20180307104218"/>
                    <pic:cNvPicPr>
                      <a:picLocks noChangeAspect="1"/>
                    </pic:cNvPicPr>
                  </pic:nvPicPr>
                  <pic:blipFill>
                    <a:blip r:embed="rId9" cstate="print"/>
                    <a:stretch>
                      <a:fillRect/>
                    </a:stretch>
                  </pic:blipFill>
                  <pic:spPr>
                    <a:xfrm>
                      <a:off x="0" y="0"/>
                      <a:ext cx="2298700" cy="2146300"/>
                    </a:xfrm>
                    <a:prstGeom prst="rect">
                      <a:avLst/>
                    </a:prstGeom>
                    <a:noFill/>
                    <a:ln>
                      <a:noFill/>
                    </a:ln>
                  </pic:spPr>
                </pic:pic>
              </a:graphicData>
            </a:graphic>
          </wp:anchor>
        </w:drawing>
      </w:r>
    </w:p>
    <w:p w14:paraId="2AD96A79">
      <w:pPr>
        <w:spacing w:line="440" w:lineRule="exact"/>
        <w:ind w:firstLine="420" w:firstLineChars="200"/>
        <w:rPr>
          <w:color w:val="auto"/>
          <w:highlight w:val="none"/>
        </w:rPr>
      </w:pPr>
    </w:p>
    <w:p w14:paraId="60CD40B7">
      <w:pPr>
        <w:spacing w:line="440" w:lineRule="exact"/>
        <w:ind w:firstLine="420" w:firstLineChars="200"/>
        <w:rPr>
          <w:color w:val="auto"/>
          <w:highlight w:val="none"/>
        </w:rPr>
      </w:pPr>
    </w:p>
    <w:p w14:paraId="3AAAD6AF">
      <w:pPr>
        <w:spacing w:line="440" w:lineRule="exact"/>
        <w:ind w:firstLine="420" w:firstLineChars="200"/>
        <w:rPr>
          <w:color w:val="auto"/>
          <w:highlight w:val="none"/>
        </w:rPr>
      </w:pPr>
    </w:p>
    <w:p w14:paraId="705FBE4C">
      <w:pPr>
        <w:spacing w:line="440" w:lineRule="exact"/>
        <w:ind w:firstLine="420" w:firstLineChars="200"/>
        <w:rPr>
          <w:color w:val="auto"/>
          <w:highlight w:val="none"/>
        </w:rPr>
      </w:pPr>
    </w:p>
    <w:p w14:paraId="573C3BD8">
      <w:pPr>
        <w:spacing w:line="440" w:lineRule="exact"/>
        <w:ind w:firstLine="420" w:firstLineChars="200"/>
        <w:rPr>
          <w:color w:val="auto"/>
          <w:highlight w:val="none"/>
        </w:rPr>
      </w:pPr>
    </w:p>
    <w:p w14:paraId="374AAFC9">
      <w:pPr>
        <w:spacing w:line="440" w:lineRule="exact"/>
        <w:ind w:firstLine="420" w:firstLineChars="200"/>
        <w:rPr>
          <w:color w:val="auto"/>
          <w:highlight w:val="none"/>
        </w:rPr>
      </w:pPr>
    </w:p>
    <w:p w14:paraId="00895C89">
      <w:pPr>
        <w:spacing w:line="440" w:lineRule="exact"/>
        <w:ind w:firstLine="420" w:firstLineChars="200"/>
        <w:rPr>
          <w:color w:val="auto"/>
          <w:highlight w:val="none"/>
        </w:rPr>
      </w:pPr>
    </w:p>
    <w:p w14:paraId="67D19630">
      <w:pPr>
        <w:spacing w:line="440" w:lineRule="exact"/>
        <w:ind w:firstLine="420" w:firstLineChars="200"/>
        <w:rPr>
          <w:color w:val="auto"/>
          <w:highlight w:val="none"/>
        </w:rPr>
      </w:pPr>
      <w:r>
        <w:rPr>
          <w:rFonts w:hint="eastAsia"/>
          <w:color w:val="auto"/>
          <w:highlight w:val="none"/>
        </w:rPr>
        <w:t>5.6 影印版或内地出版的外文书，按CALIS著录标准处理，若不能确定可电话或QQ咨询图书馆采编人员。若作为西文图书处理，乙方应提供相应的USMARC编目数据（不做905字段）并加盖馆藏章，不用贴条形码（加工要求除不用贴条形码、索书号外，其余同中文图书）。此类图书需单独打包。</w:t>
      </w:r>
    </w:p>
    <w:p w14:paraId="7120D1BE">
      <w:pPr>
        <w:spacing w:line="440" w:lineRule="exact"/>
        <w:ind w:firstLine="420" w:firstLineChars="200"/>
        <w:rPr>
          <w:rFonts w:cs="Arial"/>
          <w:bCs/>
          <w:color w:val="auto"/>
          <w:highlight w:val="none"/>
        </w:rPr>
      </w:pPr>
      <w:r>
        <w:rPr>
          <w:rFonts w:hint="eastAsia"/>
          <w:color w:val="auto"/>
          <w:highlight w:val="none"/>
        </w:rPr>
        <w:t>5.7 图书打包须按图书条形码号顺序从下至上、从左到右摆放，以便验收。</w:t>
      </w:r>
    </w:p>
    <w:p w14:paraId="5547D3EA">
      <w:pPr>
        <w:spacing w:line="440" w:lineRule="exact"/>
        <w:ind w:firstLine="420" w:firstLineChars="200"/>
        <w:rPr>
          <w:color w:val="auto"/>
          <w:highlight w:val="none"/>
        </w:rPr>
      </w:pPr>
      <w:r>
        <w:rPr>
          <w:rFonts w:hint="eastAsia"/>
          <w:color w:val="auto"/>
          <w:highlight w:val="none"/>
        </w:rPr>
        <w:t>6. 图书编目数据要求</w:t>
      </w:r>
    </w:p>
    <w:p w14:paraId="27B358BD">
      <w:pPr>
        <w:spacing w:line="440" w:lineRule="exact"/>
        <w:ind w:firstLine="420" w:firstLineChars="200"/>
        <w:rPr>
          <w:rFonts w:ascii="宋体" w:cs="Arial"/>
          <w:bCs/>
          <w:color w:val="auto"/>
          <w:highlight w:val="none"/>
        </w:rPr>
      </w:pPr>
      <w:r>
        <w:rPr>
          <w:rFonts w:hint="eastAsia" w:ascii="宋体"/>
          <w:color w:val="auto"/>
          <w:highlight w:val="none"/>
        </w:rPr>
        <w:t>乙方应具备合规获取权威书目数据、标准化编目作业的能力，确保编目数据的准确性，保障图书馆管理系统的正常使用及图书借阅、检索效率。乙方</w:t>
      </w:r>
      <w:r>
        <w:rPr>
          <w:rFonts w:hint="eastAsia"/>
          <w:color w:val="auto"/>
          <w:highlight w:val="none"/>
        </w:rPr>
        <w:t>随书免费提供图书机读编目数据，配送率达100%，与图书同时配送到馆(</w:t>
      </w:r>
      <w:r>
        <w:rPr>
          <w:rFonts w:hint="eastAsia"/>
          <w:b/>
          <w:color w:val="auto"/>
          <w:highlight w:val="none"/>
        </w:rPr>
        <w:t>具体要求见附录三图书分编细则</w:t>
      </w:r>
      <w:r>
        <w:rPr>
          <w:rFonts w:hint="eastAsia"/>
          <w:color w:val="auto"/>
          <w:highlight w:val="none"/>
        </w:rPr>
        <w:t>)。标引的同时要给索书号，索书号依据著者姓名四角号码取号，如作者姓名为三个字，第一个字取左右两个角号码，第二、三个字取左上角号码；作者姓名为两个字，每个字各取左右两个角号码。</w:t>
      </w:r>
      <w:r>
        <w:rPr>
          <w:rFonts w:hint="eastAsia" w:ascii="宋体" w:cs="宋体"/>
          <w:color w:val="auto"/>
          <w:highlight w:val="none"/>
        </w:rPr>
        <w:t>分类标引和主题标引要准确，差错率不能高于1%。</w:t>
      </w:r>
    </w:p>
    <w:p w14:paraId="148B90F0">
      <w:pPr>
        <w:snapToGrid/>
        <w:spacing w:line="440" w:lineRule="exact"/>
        <w:ind w:firstLine="436" w:firstLineChars="200"/>
        <w:rPr>
          <w:color w:val="auto"/>
          <w:highlight w:val="none"/>
        </w:rPr>
      </w:pPr>
      <w:r>
        <w:rPr>
          <w:rFonts w:hint="eastAsia" w:ascii="宋体" w:hAnsi="宋体"/>
          <w:color w:val="auto"/>
          <w:spacing w:val="4"/>
          <w:highlight w:val="none"/>
        </w:rPr>
        <w:t>7</w:t>
      </w:r>
      <w:r>
        <w:rPr>
          <w:rFonts w:hint="eastAsia" w:cs="宋体"/>
          <w:color w:val="auto"/>
          <w:highlight w:val="none"/>
        </w:rPr>
        <w:t>.</w:t>
      </w:r>
      <w:r>
        <w:rPr>
          <w:rFonts w:hint="eastAsia"/>
          <w:color w:val="auto"/>
          <w:highlight w:val="none"/>
        </w:rPr>
        <w:t>图书装卸、搬运、上架期间乙方应严格做好安全防护措施，设置安全警示标识，及时消除安全隐患，确保师生人身安全，并承担由此产生的全部费用。由此造成甲方、乙方人员或者第三方损失的，乙方予以赔偿。</w:t>
      </w:r>
    </w:p>
    <w:p w14:paraId="1F6A8012">
      <w:pPr>
        <w:snapToGrid w:val="0"/>
        <w:spacing w:line="440" w:lineRule="exact"/>
        <w:ind w:firstLine="420" w:firstLineChars="200"/>
        <w:rPr>
          <w:color w:val="auto"/>
          <w:highlight w:val="none"/>
        </w:rPr>
      </w:pPr>
      <w:r>
        <w:rPr>
          <w:rFonts w:hint="eastAsia"/>
          <w:color w:val="auto"/>
          <w:highlight w:val="none"/>
        </w:rPr>
        <w:t>8.甲方应当在全部图书完成到馆分编、加工图书后</w:t>
      </w:r>
      <w:r>
        <w:rPr>
          <w:rFonts w:hint="eastAsia"/>
          <w:color w:val="auto"/>
          <w:highlight w:val="none"/>
          <w:lang w:val="en-US" w:eastAsia="zh-CN"/>
        </w:rPr>
        <w:t>十</w:t>
      </w:r>
      <w:r>
        <w:rPr>
          <w:rFonts w:hint="eastAsia"/>
          <w:color w:val="auto"/>
          <w:highlight w:val="none"/>
        </w:rPr>
        <w:t>个工作日内组织验收。如因甲方原因暂时不能验收的，可延期组织验收。甲方因自身原因逾期超过</w:t>
      </w:r>
      <w:r>
        <w:rPr>
          <w:color w:val="auto"/>
          <w:highlight w:val="none"/>
        </w:rPr>
        <w:t>30</w:t>
      </w:r>
      <w:r>
        <w:rPr>
          <w:rFonts w:hint="eastAsia"/>
          <w:color w:val="auto"/>
          <w:highlight w:val="none"/>
        </w:rPr>
        <w:t>个工作日未组织验收，应当向乙方出具书面说明情况，经双方签字确认后可延期组织验收。验收合格后由甲、乙双方签署货物验收合格单（加盖甲方公章方为有效）。</w:t>
      </w:r>
      <w:r>
        <w:rPr>
          <w:rFonts w:hint="eastAsia" w:ascii="宋体" w:hAnsi="宋体" w:cs="宋体"/>
          <w:color w:val="auto"/>
          <w:szCs w:val="21"/>
          <w:highlight w:val="none"/>
          <w:lang w:eastAsia="zh-CN"/>
        </w:rPr>
        <w:t>若因乙方原因导致连续两次验收不合格，或累计三个批次验收不合格，甲方有权单方解除合同，乙方应退还已收取的全部款项并按</w:t>
      </w:r>
      <w:r>
        <w:rPr>
          <w:rFonts w:hint="eastAsia"/>
          <w:color w:val="auto"/>
          <w:highlight w:val="none"/>
        </w:rPr>
        <w:t>采购预算金额</w:t>
      </w:r>
      <w:r>
        <w:rPr>
          <w:rFonts w:hint="eastAsia" w:ascii="宋体" w:hAnsi="宋体" w:cs="宋体"/>
          <w:color w:val="auto"/>
          <w:szCs w:val="21"/>
          <w:highlight w:val="none"/>
          <w:lang w:eastAsia="zh-CN"/>
        </w:rPr>
        <w:t>的20%支付违约金。</w:t>
      </w:r>
    </w:p>
    <w:p w14:paraId="7764907C">
      <w:pPr>
        <w:snapToGrid/>
        <w:spacing w:line="440" w:lineRule="exact"/>
        <w:ind w:firstLine="420" w:firstLineChars="200"/>
        <w:rPr>
          <w:color w:val="auto"/>
          <w:highlight w:val="none"/>
        </w:rPr>
      </w:pPr>
      <w:r>
        <w:rPr>
          <w:rFonts w:hint="eastAsia"/>
          <w:color w:val="auto"/>
          <w:highlight w:val="none"/>
        </w:rPr>
        <w:t>9.甲方委托第三方组织的验收项目，其验收时间以该项目验收方案确定的验收时间为准，验收结果以该项目验收报告结论为准。</w:t>
      </w:r>
      <w:r>
        <w:rPr>
          <w:color w:val="auto"/>
          <w:highlight w:val="none"/>
        </w:rPr>
        <w:t>在验收过程中发现乙方有违约</w:t>
      </w:r>
      <w:r>
        <w:rPr>
          <w:rFonts w:hint="eastAsia"/>
          <w:color w:val="auto"/>
          <w:highlight w:val="none"/>
        </w:rPr>
        <w:t>情形的</w:t>
      </w:r>
      <w:r>
        <w:rPr>
          <w:color w:val="auto"/>
          <w:highlight w:val="none"/>
        </w:rPr>
        <w:t>，</w:t>
      </w:r>
      <w:r>
        <w:rPr>
          <w:rFonts w:hint="eastAsia"/>
          <w:color w:val="auto"/>
          <w:highlight w:val="none"/>
        </w:rPr>
        <w:t>甲方有权暂不支付已达到支付条件的货款</w:t>
      </w:r>
      <w:r>
        <w:rPr>
          <w:color w:val="auto"/>
          <w:highlight w:val="none"/>
        </w:rPr>
        <w:t>，待</w:t>
      </w:r>
      <w:r>
        <w:rPr>
          <w:rFonts w:hint="eastAsia"/>
          <w:color w:val="auto"/>
          <w:highlight w:val="none"/>
        </w:rPr>
        <w:t>乙方</w:t>
      </w:r>
      <w:r>
        <w:rPr>
          <w:color w:val="auto"/>
          <w:highlight w:val="none"/>
        </w:rPr>
        <w:t>违约问题解决后</w:t>
      </w:r>
      <w:r>
        <w:rPr>
          <w:rFonts w:hint="eastAsia"/>
          <w:color w:val="auto"/>
          <w:highlight w:val="none"/>
        </w:rPr>
        <w:t>再行</w:t>
      </w:r>
      <w:r>
        <w:rPr>
          <w:color w:val="auto"/>
          <w:highlight w:val="none"/>
        </w:rPr>
        <w:t>办理</w:t>
      </w:r>
      <w:r>
        <w:rPr>
          <w:rFonts w:hint="eastAsia"/>
          <w:color w:val="auto"/>
          <w:highlight w:val="none"/>
        </w:rPr>
        <w:t>货款</w:t>
      </w:r>
      <w:r>
        <w:rPr>
          <w:color w:val="auto"/>
          <w:highlight w:val="none"/>
        </w:rPr>
        <w:t>结算</w:t>
      </w:r>
      <w:r>
        <w:rPr>
          <w:rFonts w:hint="eastAsia"/>
          <w:color w:val="auto"/>
          <w:highlight w:val="none"/>
        </w:rPr>
        <w:t>。</w:t>
      </w:r>
    </w:p>
    <w:p w14:paraId="20932568">
      <w:pPr>
        <w:snapToGrid/>
        <w:spacing w:line="440" w:lineRule="exact"/>
        <w:ind w:firstLine="420" w:firstLineChars="200"/>
        <w:rPr>
          <w:color w:val="auto"/>
          <w:highlight w:val="none"/>
        </w:rPr>
      </w:pPr>
      <w:r>
        <w:rPr>
          <w:rFonts w:hint="eastAsia"/>
          <w:color w:val="auto"/>
          <w:highlight w:val="none"/>
        </w:rPr>
        <w:t>10.甲方对验收报告结论有异议的，在收到报告之日起五个工作日内以书面形式向乙方提出，乙方应自收到甲方书面异议后</w:t>
      </w:r>
      <w:r>
        <w:rPr>
          <w:rFonts w:hint="eastAsia"/>
          <w:color w:val="auto"/>
          <w:highlight w:val="none"/>
          <w:u w:val="single"/>
        </w:rPr>
        <w:t>七个工作日</w:t>
      </w:r>
      <w:r>
        <w:rPr>
          <w:rFonts w:hint="eastAsia"/>
          <w:color w:val="auto"/>
          <w:highlight w:val="none"/>
        </w:rPr>
        <w:t>内及时予以解决。</w:t>
      </w:r>
    </w:p>
    <w:p w14:paraId="50BA729F">
      <w:pPr>
        <w:snapToGrid/>
        <w:spacing w:line="440" w:lineRule="exact"/>
        <w:ind w:firstLine="420" w:firstLineChars="200"/>
        <w:outlineLvl w:val="9"/>
        <w:rPr>
          <w:rFonts w:hint="eastAsia"/>
          <w:b/>
          <w:bCs/>
          <w:color w:val="auto"/>
          <w:highlight w:val="none"/>
        </w:rPr>
      </w:pPr>
      <w:r>
        <w:rPr>
          <w:rFonts w:hint="eastAsia"/>
          <w:b/>
          <w:bCs/>
          <w:color w:val="auto"/>
          <w:highlight w:val="none"/>
        </w:rPr>
        <w:t>第六条　供货和培训</w:t>
      </w:r>
    </w:p>
    <w:p w14:paraId="0F2CE0E4">
      <w:pPr>
        <w:snapToGrid/>
        <w:spacing w:line="440" w:lineRule="exact"/>
        <w:ind w:firstLine="420" w:firstLineChars="200"/>
        <w:rPr>
          <w:color w:val="auto"/>
          <w:highlight w:val="none"/>
        </w:rPr>
      </w:pPr>
      <w:r>
        <w:rPr>
          <w:color w:val="auto"/>
          <w:highlight w:val="none"/>
        </w:rPr>
        <w:t>1</w:t>
      </w:r>
      <w:r>
        <w:rPr>
          <w:rFonts w:hint="eastAsia"/>
          <w:color w:val="auto"/>
          <w:highlight w:val="none"/>
        </w:rPr>
        <w:t>.甲方应提供必要供货条件（如场地、电源、水源等）。甲方应提前预留图书收货、清点所需的常规场地，保障乙方顺利完成图书卸货、现场堆放及交接清点工作。</w:t>
      </w:r>
    </w:p>
    <w:p w14:paraId="4C6548E2">
      <w:pPr>
        <w:snapToGrid/>
        <w:spacing w:line="440" w:lineRule="exact"/>
        <w:ind w:firstLine="420" w:firstLineChars="200"/>
        <w:rPr>
          <w:color w:val="auto"/>
          <w:highlight w:val="none"/>
        </w:rPr>
      </w:pPr>
      <w:r>
        <w:rPr>
          <w:rFonts w:hint="eastAsia"/>
          <w:color w:val="auto"/>
          <w:highlight w:val="none"/>
        </w:rPr>
        <w:t>2.</w:t>
      </w:r>
      <w:r>
        <w:rPr>
          <w:color w:val="auto"/>
          <w:highlight w:val="none"/>
        </w:rPr>
        <w:t>乙方负责全程统筹图书运输、卸货、分类码放工作，安排专人到场配合甲方完成逐册清点、核对交接，全程做好图书防护，避免图书出现折损、污损、丢失等情况，所有现场交接产生的人工、搬运费用均已包含在合同总价款内，甲方无需额外支付。</w:t>
      </w:r>
    </w:p>
    <w:p w14:paraId="2ACB8F21">
      <w:pPr>
        <w:snapToGrid/>
        <w:spacing w:line="440" w:lineRule="exact"/>
        <w:ind w:firstLine="420" w:firstLineChars="200"/>
        <w:rPr>
          <w:color w:val="auto"/>
          <w:highlight w:val="none"/>
          <w:u w:val="single"/>
        </w:rPr>
      </w:pPr>
      <w:r>
        <w:rPr>
          <w:rFonts w:hint="eastAsia"/>
          <w:color w:val="auto"/>
          <w:highlight w:val="none"/>
        </w:rPr>
        <w:t>3.乙方负责甲方有关人员的培训。培训时间、地点：</w:t>
      </w:r>
      <w:r>
        <w:rPr>
          <w:color w:val="auto"/>
          <w:highlight w:val="none"/>
        </w:rPr>
        <w:t xml:space="preserve"> </w:t>
      </w:r>
      <w:r>
        <w:rPr>
          <w:rFonts w:hint="eastAsia"/>
          <w:color w:val="auto"/>
          <w:highlight w:val="none"/>
        </w:rPr>
        <w:t>由甲方决定。</w:t>
      </w:r>
    </w:p>
    <w:p w14:paraId="09F66DBA">
      <w:pPr>
        <w:snapToGrid/>
        <w:spacing w:line="440" w:lineRule="exact"/>
        <w:ind w:firstLine="420" w:firstLineChars="200"/>
        <w:outlineLvl w:val="9"/>
        <w:rPr>
          <w:rFonts w:hint="eastAsia"/>
          <w:b/>
          <w:bCs/>
          <w:color w:val="auto"/>
          <w:highlight w:val="none"/>
        </w:rPr>
      </w:pPr>
      <w:r>
        <w:rPr>
          <w:rFonts w:hint="eastAsia"/>
          <w:b/>
          <w:bCs/>
          <w:color w:val="auto"/>
          <w:highlight w:val="none"/>
        </w:rPr>
        <w:t>第七条  售后服务、质量保证期</w:t>
      </w:r>
    </w:p>
    <w:p w14:paraId="63019AD6">
      <w:pPr>
        <w:snapToGrid/>
        <w:spacing w:line="440" w:lineRule="exact"/>
        <w:ind w:firstLine="420" w:firstLineChars="200"/>
        <w:rPr>
          <w:color w:val="auto"/>
          <w:highlight w:val="none"/>
        </w:rPr>
      </w:pPr>
      <w:r>
        <w:rPr>
          <w:rFonts w:hint="eastAsia"/>
          <w:color w:val="auto"/>
          <w:highlight w:val="none"/>
        </w:rPr>
        <w:t>1.乙方应按照国家有关法律法规和“三包”规定以及采购文件及投标文件和本合同附件，为甲方提供售后服务。</w:t>
      </w:r>
    </w:p>
    <w:p w14:paraId="6E6A36DA">
      <w:pPr>
        <w:spacing w:line="440" w:lineRule="exact"/>
        <w:ind w:firstLine="420" w:firstLineChars="200"/>
        <w:rPr>
          <w:color w:val="auto"/>
          <w:highlight w:val="none"/>
        </w:rPr>
      </w:pPr>
      <w:r>
        <w:rPr>
          <w:rFonts w:hint="eastAsia" w:ascii="宋体" w:hAnsi="宋体" w:cs="宋体"/>
          <w:color w:val="auto"/>
          <w:highlight w:val="none"/>
        </w:rPr>
        <w:t>2.质保期：</w:t>
      </w:r>
      <w:r>
        <w:rPr>
          <w:rFonts w:hint="eastAsia"/>
          <w:color w:val="auto"/>
          <w:highlight w:val="none"/>
        </w:rPr>
        <w:t>图书质保期为入馆之日起一年。质保期内图书如出现破损、脱页等装帧质量问题的，乙方负责及时补书或换书。合同因解除或到期而终止的，对于质保期于合同终止之后届满的图书，乙方仍应承担</w:t>
      </w:r>
      <w:r>
        <w:rPr>
          <w:rFonts w:hint="eastAsia"/>
          <w:bCs/>
          <w:color w:val="auto"/>
          <w:highlight w:val="none"/>
        </w:rPr>
        <w:t>质保</w:t>
      </w:r>
      <w:r>
        <w:rPr>
          <w:rFonts w:hint="eastAsia"/>
          <w:color w:val="auto"/>
          <w:highlight w:val="none"/>
        </w:rPr>
        <w:t>责任直至其质保期届满。</w:t>
      </w:r>
    </w:p>
    <w:p w14:paraId="02DC07E7">
      <w:pPr>
        <w:snapToGrid/>
        <w:spacing w:line="440" w:lineRule="exact"/>
        <w:ind w:firstLine="420" w:firstLineChars="200"/>
        <w:rPr>
          <w:color w:val="auto"/>
          <w:highlight w:val="none"/>
          <w:u w:val="single"/>
        </w:rPr>
      </w:pPr>
      <w:r>
        <w:rPr>
          <w:rFonts w:hint="eastAsia"/>
          <w:color w:val="auto"/>
          <w:highlight w:val="none"/>
        </w:rPr>
        <w:t>3.乙方提供的服务承诺和售后服务及质量保证期责任等其它具体约定事项。（见合同附件）</w:t>
      </w:r>
    </w:p>
    <w:p w14:paraId="32865796">
      <w:pPr>
        <w:snapToGrid/>
        <w:spacing w:line="440" w:lineRule="exact"/>
        <w:ind w:firstLine="420" w:firstLineChars="200"/>
        <w:rPr>
          <w:rFonts w:hint="eastAsia"/>
          <w:b/>
          <w:bCs/>
          <w:color w:val="auto"/>
          <w:highlight w:val="none"/>
        </w:rPr>
      </w:pPr>
      <w:r>
        <w:rPr>
          <w:rFonts w:hint="eastAsia"/>
          <w:b/>
          <w:bCs/>
          <w:color w:val="auto"/>
          <w:highlight w:val="none"/>
        </w:rPr>
        <w:t>第八条　付款方式</w:t>
      </w:r>
    </w:p>
    <w:p w14:paraId="26FB5082">
      <w:pPr>
        <w:snapToGrid/>
        <w:spacing w:line="440" w:lineRule="exact"/>
        <w:ind w:firstLine="420" w:firstLineChars="200"/>
        <w:rPr>
          <w:color w:val="auto"/>
          <w:highlight w:val="none"/>
        </w:rPr>
      </w:pPr>
      <w:r>
        <w:rPr>
          <w:rFonts w:hint="eastAsia"/>
          <w:bCs/>
          <w:color w:val="auto"/>
          <w:highlight w:val="none"/>
        </w:rPr>
        <w:t>1.</w:t>
      </w:r>
      <w:r>
        <w:rPr>
          <w:rFonts w:hint="eastAsia"/>
          <w:color w:val="auto"/>
          <w:highlight w:val="none"/>
        </w:rPr>
        <w:t>当采购数量与实际使用数量不一致时，乙方应根据实际使用量供货，合同的最终结算金额按实际使用量乘以成交单价进行计算，但是增加的金额不能超过原合同金额的10%。</w:t>
      </w:r>
    </w:p>
    <w:p w14:paraId="64311CD3">
      <w:pPr>
        <w:snapToGrid/>
        <w:spacing w:line="440" w:lineRule="exact"/>
        <w:ind w:firstLine="420" w:firstLineChars="200"/>
        <w:rPr>
          <w:color w:val="auto"/>
          <w:highlight w:val="none"/>
        </w:rPr>
      </w:pPr>
      <w:r>
        <w:rPr>
          <w:rFonts w:hint="eastAsia"/>
          <w:color w:val="auto"/>
          <w:highlight w:val="none"/>
        </w:rPr>
        <w:t>2.资金性质：              。</w:t>
      </w:r>
    </w:p>
    <w:p w14:paraId="20FCBBDD">
      <w:pPr>
        <w:snapToGrid/>
        <w:spacing w:line="440" w:lineRule="exact"/>
        <w:ind w:firstLine="420" w:firstLineChars="200"/>
        <w:rPr>
          <w:rFonts w:ascii="宋体" w:hAnsi="宋体" w:cs="宋体"/>
          <w:color w:val="auto"/>
          <w:szCs w:val="21"/>
          <w:highlight w:val="none"/>
        </w:rPr>
      </w:pPr>
      <w:r>
        <w:rPr>
          <w:rFonts w:hint="eastAsia" w:ascii="宋体" w:hAnsi="宋体"/>
          <w:color w:val="auto"/>
          <w:szCs w:val="21"/>
          <w:highlight w:val="none"/>
        </w:rPr>
        <w:t>3.付款方式：</w:t>
      </w:r>
      <w:r>
        <w:rPr>
          <w:color w:val="auto"/>
          <w:highlight w:val="none"/>
        </w:rPr>
        <w:t>按项目实施进度</w:t>
      </w:r>
      <w:r>
        <w:rPr>
          <w:rFonts w:hint="eastAsia"/>
          <w:color w:val="auto"/>
          <w:highlight w:val="none"/>
        </w:rPr>
        <w:t>一年分两次</w:t>
      </w:r>
      <w:r>
        <w:rPr>
          <w:color w:val="auto"/>
          <w:highlight w:val="none"/>
        </w:rPr>
        <w:t>付款，</w:t>
      </w:r>
      <w:r>
        <w:rPr>
          <w:rFonts w:hint="eastAsia"/>
          <w:color w:val="auto"/>
          <w:highlight w:val="none"/>
        </w:rPr>
        <w:t>一次为9月，一次为12月中旬以前，根据到馆图书验收合格后的实洋结算。</w:t>
      </w:r>
      <w:r>
        <w:rPr>
          <w:color w:val="auto"/>
          <w:highlight w:val="none"/>
        </w:rPr>
        <w:t>乙方按图书实洋款开具</w:t>
      </w:r>
      <w:r>
        <w:rPr>
          <w:rFonts w:hint="eastAsia"/>
          <w:color w:val="auto"/>
          <w:highlight w:val="none"/>
        </w:rPr>
        <w:t>真实、合法、有效的</w:t>
      </w:r>
      <w:r>
        <w:rPr>
          <w:color w:val="auto"/>
          <w:highlight w:val="none"/>
        </w:rPr>
        <w:t>发票</w:t>
      </w:r>
      <w:r>
        <w:rPr>
          <w:rFonts w:hint="eastAsia"/>
          <w:color w:val="auto"/>
          <w:highlight w:val="none"/>
        </w:rPr>
        <w:t>及税控清单</w:t>
      </w:r>
      <w:r>
        <w:rPr>
          <w:color w:val="auto"/>
          <w:highlight w:val="none"/>
        </w:rPr>
        <w:t>给甲方，甲方收到发票</w:t>
      </w:r>
      <w:r>
        <w:rPr>
          <w:rFonts w:hint="eastAsia"/>
          <w:color w:val="auto"/>
          <w:highlight w:val="none"/>
        </w:rPr>
        <w:t>及税控清单</w:t>
      </w:r>
      <w:r>
        <w:rPr>
          <w:color w:val="auto"/>
          <w:highlight w:val="none"/>
        </w:rPr>
        <w:t>后</w:t>
      </w:r>
      <w:r>
        <w:rPr>
          <w:rFonts w:hint="eastAsia"/>
          <w:color w:val="auto"/>
          <w:highlight w:val="none"/>
        </w:rPr>
        <w:t>10个工作日内</w:t>
      </w:r>
      <w:r>
        <w:rPr>
          <w:color w:val="auto"/>
          <w:highlight w:val="none"/>
        </w:rPr>
        <w:t>付款。</w:t>
      </w:r>
    </w:p>
    <w:p w14:paraId="00DE07AA">
      <w:pPr>
        <w:snapToGrid/>
        <w:spacing w:line="440" w:lineRule="exact"/>
        <w:ind w:firstLine="420" w:firstLineChars="200"/>
        <w:rPr>
          <w:color w:val="auto"/>
          <w:highlight w:val="none"/>
        </w:rPr>
      </w:pPr>
      <w:r>
        <w:rPr>
          <w:rFonts w:hint="eastAsia"/>
          <w:b/>
          <w:bCs/>
          <w:color w:val="auto"/>
          <w:highlight w:val="none"/>
        </w:rPr>
        <w:t>第九条　履约保证金：</w:t>
      </w:r>
      <w:r>
        <w:rPr>
          <w:rFonts w:hint="eastAsia" w:asciiTheme="minorHAnsi" w:hAnsiTheme="minorHAnsi"/>
          <w:b/>
          <w:bCs/>
          <w:color w:val="auto"/>
          <w:highlight w:val="none"/>
        </w:rPr>
        <w:t xml:space="preserve"> </w:t>
      </w:r>
      <w:r>
        <w:rPr>
          <w:rFonts w:ascii="Arial" w:hAnsi="Arial"/>
          <w:bCs/>
          <w:color w:val="auto"/>
          <w:highlight w:val="none"/>
        </w:rPr>
        <w:t xml:space="preserve"> </w:t>
      </w:r>
      <w:r>
        <w:rPr>
          <w:rFonts w:hint="eastAsia" w:ascii="Arial" w:hAnsi="Arial"/>
          <w:bCs/>
          <w:color w:val="auto"/>
          <w:highlight w:val="none"/>
        </w:rPr>
        <w:t>各分标预算</w:t>
      </w:r>
      <w:r>
        <w:rPr>
          <w:rFonts w:hint="eastAsia"/>
          <w:color w:val="auto"/>
          <w:highlight w:val="none"/>
        </w:rPr>
        <w:t>金额的</w:t>
      </w:r>
      <w:r>
        <w:rPr>
          <w:color w:val="auto"/>
          <w:highlight w:val="none"/>
        </w:rPr>
        <w:t xml:space="preserve">2% </w:t>
      </w:r>
      <w:r>
        <w:rPr>
          <w:rFonts w:hint="eastAsia"/>
          <w:color w:val="auto"/>
          <w:highlight w:val="none"/>
        </w:rPr>
        <w:t>收取。</w:t>
      </w:r>
    </w:p>
    <w:p w14:paraId="55E21369">
      <w:pPr>
        <w:snapToGrid/>
        <w:spacing w:line="440" w:lineRule="exact"/>
        <w:ind w:firstLine="420" w:firstLineChars="200"/>
        <w:rPr>
          <w:color w:val="auto"/>
          <w:highlight w:val="none"/>
        </w:rPr>
      </w:pPr>
      <w:r>
        <w:rPr>
          <w:rFonts w:hint="eastAsia"/>
          <w:color w:val="auto"/>
          <w:highlight w:val="none"/>
        </w:rPr>
        <w:t>1．</w:t>
      </w:r>
      <w:r>
        <w:rPr>
          <w:rFonts w:hint="eastAsia" w:cs="宋体"/>
          <w:color w:val="auto"/>
          <w:highlight w:val="none"/>
        </w:rPr>
        <w:t>在签订合同前乙方向甲方缴纳履约保证金，</w:t>
      </w:r>
      <w:r>
        <w:rPr>
          <w:rFonts w:hint="eastAsia"/>
          <w:color w:val="auto"/>
          <w:highlight w:val="none"/>
        </w:rPr>
        <w:t>履约保证金金额：</w:t>
      </w:r>
      <w:r>
        <w:rPr>
          <w:rFonts w:hint="eastAsia"/>
          <w:color w:val="auto"/>
          <w:highlight w:val="none"/>
          <w:u w:val="single"/>
        </w:rPr>
        <w:t xml:space="preserve">        </w:t>
      </w:r>
      <w:r>
        <w:rPr>
          <w:rFonts w:hint="eastAsia"/>
          <w:color w:val="auto"/>
          <w:highlight w:val="none"/>
        </w:rPr>
        <w:t xml:space="preserve"> 。</w:t>
      </w:r>
    </w:p>
    <w:p w14:paraId="01BD8D87">
      <w:pPr>
        <w:spacing w:line="440" w:lineRule="exact"/>
        <w:ind w:firstLine="420" w:firstLineChars="200"/>
        <w:rPr>
          <w:color w:val="auto"/>
          <w:highlight w:val="none"/>
        </w:rPr>
      </w:pPr>
      <w:r>
        <w:rPr>
          <w:rFonts w:hint="eastAsia"/>
          <w:color w:val="auto"/>
          <w:highlight w:val="none"/>
        </w:rPr>
        <w:t>2．履约保证金提交方式：银行转账、支票、汇票、本票或者银行、保险机构出具的保函等非现金方式。</w:t>
      </w:r>
    </w:p>
    <w:p w14:paraId="60E15D3A">
      <w:pPr>
        <w:autoSpaceDE/>
        <w:autoSpaceDN/>
        <w:snapToGrid/>
        <w:spacing w:line="440" w:lineRule="exact"/>
        <w:ind w:firstLine="420" w:firstLineChars="200"/>
        <w:textAlignment w:val="auto"/>
        <w:rPr>
          <w:color w:val="auto"/>
          <w:highlight w:val="none"/>
          <w:u w:val="single"/>
        </w:rPr>
      </w:pPr>
      <w:r>
        <w:rPr>
          <w:rFonts w:hint="eastAsia" w:hAnsi="宋体" w:cs="Arial"/>
          <w:color w:val="auto"/>
          <w:highlight w:val="none"/>
        </w:rPr>
        <w:t>3．</w:t>
      </w:r>
      <w:r>
        <w:rPr>
          <w:rFonts w:hint="eastAsia"/>
          <w:color w:val="auto"/>
          <w:highlight w:val="none"/>
        </w:rPr>
        <w:t>项目验收合格后，乙方提供《政府采购项目履约保证金退付意见书》及《政府采购项目合同验收报告》，向甲方提出书面申请退还，甲方自收到乙方合格的申请材料后5个工作日内办理履约保证金退还手续(不计利息)。</w:t>
      </w:r>
    </w:p>
    <w:p w14:paraId="692E9654">
      <w:pPr>
        <w:spacing w:line="440" w:lineRule="exact"/>
        <w:ind w:firstLine="420" w:firstLineChars="200"/>
        <w:rPr>
          <w:color w:val="auto"/>
          <w:highlight w:val="none"/>
        </w:rPr>
      </w:pPr>
      <w:r>
        <w:rPr>
          <w:rFonts w:hint="eastAsia"/>
          <w:color w:val="auto"/>
          <w:highlight w:val="none"/>
        </w:rPr>
        <w:t>4．履约保证金指定账户：</w:t>
      </w:r>
    </w:p>
    <w:p w14:paraId="26FD608D">
      <w:pPr>
        <w:spacing w:line="440" w:lineRule="exact"/>
        <w:ind w:firstLine="420" w:firstLineChars="200"/>
        <w:rPr>
          <w:color w:val="auto"/>
          <w:highlight w:val="none"/>
        </w:rPr>
      </w:pPr>
      <w:r>
        <w:rPr>
          <w:rFonts w:hint="eastAsia"/>
          <w:color w:val="auto"/>
          <w:highlight w:val="none"/>
        </w:rPr>
        <w:t>户名：广西医科大学</w:t>
      </w:r>
    </w:p>
    <w:p w14:paraId="43879508">
      <w:pPr>
        <w:spacing w:line="440" w:lineRule="exact"/>
        <w:ind w:firstLine="420" w:firstLineChars="200"/>
        <w:rPr>
          <w:color w:val="auto"/>
          <w:highlight w:val="none"/>
        </w:rPr>
      </w:pPr>
      <w:r>
        <w:rPr>
          <w:rFonts w:hint="eastAsia"/>
          <w:color w:val="auto"/>
          <w:highlight w:val="none"/>
        </w:rPr>
        <w:t>账号：622357485287</w:t>
      </w:r>
    </w:p>
    <w:p w14:paraId="12B41E85">
      <w:pPr>
        <w:spacing w:line="440" w:lineRule="exact"/>
        <w:ind w:firstLine="420" w:firstLineChars="200"/>
        <w:rPr>
          <w:color w:val="auto"/>
          <w:highlight w:val="none"/>
        </w:rPr>
      </w:pPr>
      <w:r>
        <w:rPr>
          <w:rFonts w:hint="eastAsia"/>
          <w:color w:val="auto"/>
          <w:highlight w:val="none"/>
        </w:rPr>
        <w:t>开户银行：中行南宁市医科大支行（上级支行：中行南宁市青秀支行）</w:t>
      </w:r>
    </w:p>
    <w:p w14:paraId="33C9F1E6">
      <w:pPr>
        <w:spacing w:line="440" w:lineRule="exact"/>
        <w:ind w:firstLine="420" w:firstLineChars="200"/>
        <w:rPr>
          <w:rFonts w:cs="Arial"/>
          <w:color w:val="auto"/>
          <w:highlight w:val="none"/>
        </w:rPr>
      </w:pPr>
      <w:r>
        <w:rPr>
          <w:rFonts w:hint="eastAsia"/>
          <w:color w:val="auto"/>
          <w:highlight w:val="none"/>
        </w:rPr>
        <w:t>联行号：104611010332</w:t>
      </w:r>
      <w:r>
        <w:rPr>
          <w:rFonts w:hint="eastAsia" w:cs="Arial"/>
          <w:color w:val="auto"/>
          <w:highlight w:val="none"/>
        </w:rPr>
        <w:t xml:space="preserve">  </w:t>
      </w:r>
    </w:p>
    <w:p w14:paraId="4611D235">
      <w:pPr>
        <w:spacing w:line="440" w:lineRule="exact"/>
        <w:ind w:firstLine="420" w:firstLineChars="200"/>
        <w:rPr>
          <w:color w:val="auto"/>
          <w:highlight w:val="none"/>
        </w:rPr>
      </w:pPr>
      <w:r>
        <w:rPr>
          <w:color w:val="auto"/>
          <w:highlight w:val="none"/>
        </w:rPr>
        <w:t>5</w:t>
      </w:r>
      <w:r>
        <w:rPr>
          <w:rFonts w:hint="eastAsia"/>
          <w:color w:val="auto"/>
          <w:highlight w:val="none"/>
        </w:rPr>
        <w:t>．在履约保证金退还日期前，若乙</w:t>
      </w:r>
      <w:r>
        <w:rPr>
          <w:color w:val="auto"/>
          <w:highlight w:val="none"/>
        </w:rPr>
        <w:t>方</w:t>
      </w:r>
      <w:r>
        <w:rPr>
          <w:rFonts w:hint="eastAsia"/>
          <w:color w:val="auto"/>
          <w:highlight w:val="none"/>
        </w:rPr>
        <w:t>的开户名称、开户银行、账号有变动的，请以书面形式通知甲</w:t>
      </w:r>
      <w:r>
        <w:rPr>
          <w:color w:val="auto"/>
          <w:highlight w:val="none"/>
        </w:rPr>
        <w:t>方</w:t>
      </w:r>
      <w:r>
        <w:rPr>
          <w:rFonts w:hint="eastAsia"/>
          <w:color w:val="auto"/>
          <w:highlight w:val="none"/>
        </w:rPr>
        <w:t>，否则由此产生的后果由乙</w:t>
      </w:r>
      <w:r>
        <w:rPr>
          <w:color w:val="auto"/>
          <w:highlight w:val="none"/>
        </w:rPr>
        <w:t>方</w:t>
      </w:r>
      <w:r>
        <w:rPr>
          <w:rFonts w:hint="eastAsia"/>
          <w:color w:val="auto"/>
          <w:highlight w:val="none"/>
        </w:rPr>
        <w:t>自行承担。</w:t>
      </w:r>
    </w:p>
    <w:p w14:paraId="798E2B2D">
      <w:pPr>
        <w:snapToGrid/>
        <w:spacing w:line="440" w:lineRule="exact"/>
        <w:ind w:firstLine="420" w:firstLineChars="200"/>
        <w:outlineLvl w:val="9"/>
        <w:rPr>
          <w:color w:val="auto"/>
          <w:highlight w:val="none"/>
        </w:rPr>
      </w:pPr>
      <w:r>
        <w:rPr>
          <w:rFonts w:hint="eastAsia"/>
          <w:color w:val="auto"/>
          <w:highlight w:val="none"/>
        </w:rPr>
        <w:t>第十条　税费</w:t>
      </w:r>
    </w:p>
    <w:p w14:paraId="44CD4AA3">
      <w:pPr>
        <w:snapToGrid/>
        <w:spacing w:line="440" w:lineRule="exact"/>
        <w:ind w:firstLine="420" w:firstLineChars="200"/>
        <w:rPr>
          <w:color w:val="auto"/>
          <w:highlight w:val="none"/>
        </w:rPr>
      </w:pPr>
      <w:r>
        <w:rPr>
          <w:rFonts w:hint="eastAsia"/>
          <w:color w:val="auto"/>
          <w:highlight w:val="none"/>
        </w:rPr>
        <w:t>本合同执行中相关的一切税费均由乙方负担，合同另有约定的除外。</w:t>
      </w:r>
    </w:p>
    <w:p w14:paraId="432018D9">
      <w:pPr>
        <w:snapToGrid/>
        <w:spacing w:line="440" w:lineRule="exact"/>
        <w:ind w:firstLine="420" w:firstLineChars="200"/>
        <w:outlineLvl w:val="9"/>
        <w:rPr>
          <w:b/>
          <w:bCs/>
          <w:color w:val="auto"/>
          <w:highlight w:val="none"/>
        </w:rPr>
      </w:pPr>
      <w:r>
        <w:rPr>
          <w:rFonts w:hint="eastAsia"/>
          <w:b/>
          <w:bCs/>
          <w:color w:val="auto"/>
          <w:highlight w:val="none"/>
        </w:rPr>
        <w:t>第十一条　质量保证及售后服务</w:t>
      </w:r>
    </w:p>
    <w:p w14:paraId="49C21704">
      <w:pPr>
        <w:snapToGrid/>
        <w:spacing w:line="440" w:lineRule="exact"/>
        <w:ind w:firstLine="420" w:firstLineChars="200"/>
        <w:rPr>
          <w:color w:val="auto"/>
          <w:highlight w:val="none"/>
        </w:rPr>
      </w:pPr>
      <w:r>
        <w:rPr>
          <w:rFonts w:hint="eastAsia"/>
          <w:color w:val="auto"/>
          <w:highlight w:val="none"/>
        </w:rPr>
        <w:t>1.乙方应按采购文件规定的货物性能、技术要求、质量标准向甲方提供未经使用的全新图书。乙方提供货物的质量保证期按交货最终验收合格之日起计</w:t>
      </w:r>
      <w:r>
        <w:rPr>
          <w:rFonts w:hint="eastAsia"/>
          <w:color w:val="auto"/>
          <w:highlight w:val="none"/>
          <w:u w:val="single"/>
        </w:rPr>
        <w:t>不少于1年（部分货物有更长的质量保证期限的按照利于甲方的质量保证期限计算质保时间）</w:t>
      </w:r>
      <w:r>
        <w:rPr>
          <w:rFonts w:hint="eastAsia"/>
          <w:color w:val="auto"/>
          <w:highlight w:val="none"/>
        </w:rPr>
        <w:t>。若发现图书存在隐性质量问题（如内页缺漏、印刷错误、装订问题）、非人为导致的破损，或核实为盗版图书的，乙方需在接到甲方通知后5个工作日内无条件更换全新合格图书，承担往返运输、装卸等全部费用，同时赔偿甲方因此造成的实际损失。</w:t>
      </w:r>
    </w:p>
    <w:p w14:paraId="6DD0A4FB">
      <w:pPr>
        <w:snapToGrid/>
        <w:spacing w:before="0" w:after="0" w:line="440" w:lineRule="exact"/>
        <w:ind w:firstLine="420" w:firstLineChars="200"/>
        <w:rPr>
          <w:color w:val="auto"/>
          <w:highlight w:val="none"/>
        </w:rPr>
      </w:pPr>
      <w:r>
        <w:rPr>
          <w:rFonts w:hint="eastAsia"/>
          <w:color w:val="auto"/>
          <w:highlight w:val="none"/>
        </w:rPr>
        <w:t>2.如在使用过程中发生质量问题，乙方在接到甲方通知后</w:t>
      </w:r>
      <w:r>
        <w:rPr>
          <w:rFonts w:hint="eastAsia"/>
          <w:color w:val="auto"/>
          <w:highlight w:val="none"/>
          <w:u w:val="single"/>
        </w:rPr>
        <w:t xml:space="preserve">    小时内</w:t>
      </w:r>
      <w:r>
        <w:rPr>
          <w:rFonts w:hint="eastAsia"/>
          <w:color w:val="auto"/>
          <w:highlight w:val="none"/>
        </w:rPr>
        <w:t>作出响应，</w:t>
      </w:r>
      <w:r>
        <w:rPr>
          <w:rFonts w:hint="eastAsia"/>
          <w:color w:val="auto"/>
          <w:highlight w:val="none"/>
          <w:u w:val="single"/>
        </w:rPr>
        <w:t xml:space="preserve">   小时内</w:t>
      </w:r>
      <w:r>
        <w:rPr>
          <w:rFonts w:hint="eastAsia"/>
          <w:color w:val="auto"/>
          <w:highlight w:val="none"/>
        </w:rPr>
        <w:t>到达现场进行处理。（按乙方投标响应时间执行）</w:t>
      </w:r>
    </w:p>
    <w:p w14:paraId="1F384E45">
      <w:pPr>
        <w:snapToGrid/>
        <w:spacing w:before="0" w:after="0" w:line="440" w:lineRule="exact"/>
        <w:ind w:firstLine="420" w:firstLineChars="200"/>
        <w:rPr>
          <w:color w:val="auto"/>
          <w:highlight w:val="none"/>
        </w:rPr>
      </w:pPr>
      <w:r>
        <w:rPr>
          <w:rFonts w:hint="eastAsia"/>
          <w:color w:val="auto"/>
          <w:highlight w:val="none"/>
        </w:rPr>
        <w:t>3.在质量保证期内，乙方应对图书出现的质量及安全问题负责处理解决并承担一切费用。</w:t>
      </w:r>
    </w:p>
    <w:p w14:paraId="3B97C2DC">
      <w:pPr>
        <w:snapToGrid/>
        <w:spacing w:line="440" w:lineRule="exact"/>
        <w:ind w:firstLine="420" w:firstLineChars="200"/>
        <w:outlineLvl w:val="9"/>
        <w:rPr>
          <w:b/>
          <w:bCs/>
          <w:color w:val="auto"/>
          <w:highlight w:val="none"/>
        </w:rPr>
      </w:pPr>
      <w:r>
        <w:rPr>
          <w:rFonts w:hint="eastAsia"/>
          <w:b/>
          <w:bCs/>
          <w:color w:val="auto"/>
          <w:highlight w:val="none"/>
        </w:rPr>
        <w:t>第十二条　货物包装、发运及运输</w:t>
      </w:r>
    </w:p>
    <w:p w14:paraId="27EA03A3">
      <w:pPr>
        <w:spacing w:line="440" w:lineRule="exact"/>
        <w:ind w:firstLine="420" w:firstLineChars="200"/>
        <w:rPr>
          <w:color w:val="auto"/>
          <w:highlight w:val="none"/>
        </w:rPr>
      </w:pPr>
      <w:r>
        <w:rPr>
          <w:rFonts w:hint="eastAsia"/>
          <w:color w:val="auto"/>
          <w:highlight w:val="none"/>
        </w:rPr>
        <w:t>1.乙方在图书发货前对其进行满足于运输距离、防潮、防霉、防破损装卸要求以及按甲方要求包装，以保证图书安全快捷到达甲方指定地点，现场签收。</w:t>
      </w:r>
    </w:p>
    <w:p w14:paraId="3660D8BE">
      <w:pPr>
        <w:spacing w:line="440" w:lineRule="exact"/>
        <w:ind w:firstLine="420" w:firstLineChars="200"/>
        <w:rPr>
          <w:color w:val="auto"/>
          <w:highlight w:val="none"/>
        </w:rPr>
      </w:pPr>
      <w:r>
        <w:rPr>
          <w:rFonts w:hint="eastAsia"/>
          <w:color w:val="auto"/>
          <w:highlight w:val="none"/>
        </w:rPr>
        <w:t>2.乙方按照要求将图书包装整齐（每包书外包装上写明批次，总包数，分包数，学校名称）送到甲方指定地点并按要求摆放。每批图书提供包内清单一份、总清单两份（总清单需加盖乙方公章；除按包号列清图书基本信息外，还需注明批次、包数、总码洋、总册数、总实洋、条码段），同时提供电子版发货清单。全部费用由乙方承担。</w:t>
      </w:r>
    </w:p>
    <w:p w14:paraId="1619EEA5">
      <w:pPr>
        <w:spacing w:line="440" w:lineRule="exact"/>
        <w:ind w:firstLine="420" w:firstLineChars="200"/>
        <w:rPr>
          <w:color w:val="auto"/>
          <w:highlight w:val="none"/>
        </w:rPr>
      </w:pPr>
      <w:r>
        <w:rPr>
          <w:rFonts w:hint="eastAsia" w:cs="Arial"/>
          <w:bCs/>
          <w:color w:val="auto"/>
          <w:highlight w:val="none"/>
        </w:rPr>
        <w:t>3.</w:t>
      </w:r>
      <w:r>
        <w:rPr>
          <w:rFonts w:hint="eastAsia"/>
          <w:color w:val="auto"/>
          <w:highlight w:val="none"/>
        </w:rPr>
        <w:t>乙方负责将甲方验收和典藏好的图书打包运送到甲方指定的地点和书库（包括广西医科大学武鸣校区图书馆、五象校区图书馆），所需费用由乙方承担。</w:t>
      </w:r>
    </w:p>
    <w:p w14:paraId="662284E6">
      <w:pPr>
        <w:snapToGrid/>
        <w:spacing w:line="440" w:lineRule="exact"/>
        <w:ind w:firstLine="420" w:firstLineChars="200"/>
        <w:outlineLvl w:val="9"/>
        <w:rPr>
          <w:b/>
          <w:bCs/>
          <w:color w:val="auto"/>
          <w:highlight w:val="none"/>
        </w:rPr>
      </w:pPr>
      <w:r>
        <w:rPr>
          <w:rFonts w:hint="eastAsia"/>
          <w:b/>
          <w:bCs/>
          <w:color w:val="auto"/>
          <w:highlight w:val="none"/>
        </w:rPr>
        <w:t>第十三条　交货及验收要求</w:t>
      </w:r>
    </w:p>
    <w:p w14:paraId="37ED9E90">
      <w:pPr>
        <w:snapToGrid/>
        <w:spacing w:before="0" w:after="0" w:line="440" w:lineRule="exact"/>
        <w:ind w:firstLine="420" w:firstLineChars="200"/>
        <w:jc w:val="both"/>
        <w:rPr>
          <w:color w:val="auto"/>
          <w:highlight w:val="none"/>
        </w:rPr>
      </w:pPr>
      <w:r>
        <w:rPr>
          <w:rFonts w:hint="eastAsia"/>
          <w:color w:val="auto"/>
          <w:highlight w:val="none"/>
        </w:rPr>
        <w:t>1.甲方的使用部门对乙方提交的货物依据采购文件上的技术规格要求和国家有关质量标准对货物进行验货、核对，从外观、说明书等符合采购文件技术要求的现场初步验收，给予签收，初步验收不合格的不予签收。初步验收合格后，甲方应当在</w:t>
      </w:r>
      <w:r>
        <w:rPr>
          <w:rFonts w:hint="eastAsia"/>
          <w:color w:val="auto"/>
          <w:szCs w:val="21"/>
          <w:highlight w:val="none"/>
        </w:rPr>
        <w:t>图书完成到馆分编、加工图书后</w:t>
      </w:r>
      <w:r>
        <w:rPr>
          <w:rFonts w:hint="eastAsia"/>
          <w:color w:val="auto"/>
          <w:highlight w:val="none"/>
          <w:lang w:val="en-US" w:eastAsia="zh-CN"/>
        </w:rPr>
        <w:t>十</w:t>
      </w:r>
      <w:r>
        <w:rPr>
          <w:rFonts w:hint="eastAsia"/>
          <w:color w:val="auto"/>
          <w:highlight w:val="none"/>
        </w:rPr>
        <w:t>个工作日内进行最终验收，甲方无故不进行最终验收工作并已使用货物的，视同最终验收合格。</w:t>
      </w:r>
    </w:p>
    <w:p w14:paraId="75A80994">
      <w:pPr>
        <w:snapToGrid/>
        <w:spacing w:before="0" w:after="0" w:line="440" w:lineRule="exact"/>
        <w:ind w:firstLine="420" w:firstLineChars="200"/>
        <w:rPr>
          <w:color w:val="auto"/>
          <w:highlight w:val="none"/>
        </w:rPr>
      </w:pPr>
      <w:r>
        <w:rPr>
          <w:rFonts w:hint="eastAsia"/>
          <w:color w:val="auto"/>
          <w:highlight w:val="none"/>
        </w:rPr>
        <w:t>2.乙方交货前应对产品作出全面检查和对验收文件进行整理，并列出清单，作为甲方收货验收和使用的技术条件依据，检验的结果应随货物交甲方。乙方不能完整交付货物及本款规定的单证和工具的，必须负责补齐，否则视为未按合同约定交货并按照合同约定承担违约责任。</w:t>
      </w:r>
    </w:p>
    <w:p w14:paraId="195A9EE0">
      <w:pPr>
        <w:snapToGrid/>
        <w:spacing w:before="0" w:after="0" w:line="440" w:lineRule="exact"/>
        <w:ind w:firstLine="420" w:firstLineChars="200"/>
        <w:rPr>
          <w:color w:val="auto"/>
          <w:highlight w:val="none"/>
        </w:rPr>
      </w:pPr>
      <w:r>
        <w:rPr>
          <w:rFonts w:hint="eastAsia"/>
          <w:color w:val="auto"/>
          <w:highlight w:val="none"/>
        </w:rPr>
        <w:t>3.乙方需负责培训甲方的使用操作人员（如电子编目数据的使用或相关图书管理操作系统等），直到符合甲方实际使用需求，甲方才做最终验收，乙方对甲方人员的培训不再另行收费，甲方不支付乙方培训甲方的任何费用。</w:t>
      </w:r>
    </w:p>
    <w:p w14:paraId="31E64B92">
      <w:pPr>
        <w:snapToGrid/>
        <w:spacing w:before="0" w:after="0" w:line="440" w:lineRule="exact"/>
        <w:ind w:firstLine="420" w:firstLineChars="200"/>
        <w:rPr>
          <w:color w:val="auto"/>
          <w:highlight w:val="none"/>
        </w:rPr>
      </w:pPr>
      <w:r>
        <w:rPr>
          <w:rFonts w:hint="eastAsia"/>
          <w:color w:val="auto"/>
          <w:highlight w:val="none"/>
        </w:rPr>
        <w:t>4.对技术复杂的货物，甲方应请国家认可的专业检测机构参与初步验收及最终验收，并由其出具质量检测报告。</w:t>
      </w:r>
    </w:p>
    <w:p w14:paraId="606A8E2B">
      <w:pPr>
        <w:snapToGrid/>
        <w:spacing w:before="0" w:after="0" w:line="440" w:lineRule="exact"/>
        <w:ind w:firstLine="420" w:firstLineChars="200"/>
        <w:rPr>
          <w:color w:val="auto"/>
          <w:highlight w:val="none"/>
        </w:rPr>
      </w:pPr>
      <w:r>
        <w:rPr>
          <w:rFonts w:hint="eastAsia"/>
          <w:color w:val="auto"/>
          <w:highlight w:val="none"/>
        </w:rPr>
        <w:t xml:space="preserve">5.最终验收时乙方必须在现场，验收完毕后作出验收结果报告（验收书）。 </w:t>
      </w:r>
    </w:p>
    <w:p w14:paraId="2129CA66">
      <w:pPr>
        <w:snapToGrid/>
        <w:spacing w:before="0" w:after="0" w:line="440" w:lineRule="exact"/>
        <w:ind w:firstLine="420" w:firstLineChars="200"/>
        <w:jc w:val="both"/>
        <w:rPr>
          <w:color w:val="auto"/>
          <w:highlight w:val="none"/>
        </w:rPr>
      </w:pPr>
      <w:r>
        <w:rPr>
          <w:rFonts w:hint="eastAsia"/>
          <w:color w:val="auto"/>
          <w:highlight w:val="none"/>
        </w:rPr>
        <w:t>6.其他未尽事宜应严格按照《关于印发广西壮族自治区政府采购项目履约验收管理办法的通知》[桂财采〔2015〕22号]以及《财政部关于进一步加强政府采购需求和履约验收管理的指导意见》[财库〔2016〕205号]规定执行。</w:t>
      </w:r>
    </w:p>
    <w:p w14:paraId="678B406B">
      <w:pPr>
        <w:snapToGrid/>
        <w:spacing w:line="440" w:lineRule="exact"/>
        <w:ind w:firstLine="420" w:firstLineChars="200"/>
        <w:outlineLvl w:val="9"/>
        <w:rPr>
          <w:b/>
          <w:bCs/>
          <w:color w:val="auto"/>
          <w:highlight w:val="none"/>
        </w:rPr>
      </w:pPr>
      <w:r>
        <w:rPr>
          <w:rFonts w:hint="eastAsia"/>
          <w:b/>
          <w:bCs/>
          <w:color w:val="auto"/>
          <w:highlight w:val="none"/>
        </w:rPr>
        <w:t>第十四条　违约责任</w:t>
      </w:r>
    </w:p>
    <w:p w14:paraId="4F1DA061">
      <w:pPr>
        <w:snapToGrid/>
        <w:spacing w:line="440" w:lineRule="exact"/>
        <w:ind w:firstLine="420" w:firstLineChars="200"/>
        <w:rPr>
          <w:color w:val="auto"/>
          <w:highlight w:val="none"/>
        </w:rPr>
      </w:pPr>
      <w:r>
        <w:rPr>
          <w:rFonts w:hint="eastAsia"/>
          <w:color w:val="auto"/>
          <w:highlight w:val="none"/>
        </w:rPr>
        <w:t>1.乙方所提供的图书规格、技术标准、材料等质量不合格的，且更换不及时的按逾期交货处罚；因质量问题甲方不同意接收的或特殊情况甲方同意接收的，乙方应向甲方支付违约货款额 5%违约金并赔偿甲方经济损失。</w:t>
      </w:r>
    </w:p>
    <w:p w14:paraId="0BF59C14">
      <w:pPr>
        <w:snapToGrid/>
        <w:spacing w:line="440" w:lineRule="exact"/>
        <w:ind w:firstLine="420" w:firstLineChars="200"/>
        <w:rPr>
          <w:color w:val="auto"/>
          <w:highlight w:val="none"/>
        </w:rPr>
      </w:pPr>
      <w:r>
        <w:rPr>
          <w:rFonts w:hint="eastAsia"/>
          <w:color w:val="auto"/>
          <w:highlight w:val="none"/>
        </w:rPr>
        <w:t>2.乙方提供的图书如侵犯了第三方合法权益而引发的任何纠纷或诉讼，均由乙方负责交涉并承担全部责任，如甲方因此向第三方承担了相关责任有权向乙方追偿全部损失。若因此导致甲方经济损失的，乙方应当予以赔偿，赔偿范围包括但不限于实际发生的经济损失以及甲方为解决纠纷、维护自身合法权益而产生的律师费、诉讼费、保全费、财产保全保函费、差旅费等。</w:t>
      </w:r>
    </w:p>
    <w:p w14:paraId="0EA893D6">
      <w:pPr>
        <w:snapToGrid/>
        <w:spacing w:line="440" w:lineRule="exact"/>
        <w:ind w:firstLine="420" w:firstLineChars="200"/>
        <w:rPr>
          <w:color w:val="auto"/>
          <w:highlight w:val="none"/>
        </w:rPr>
      </w:pPr>
      <w:r>
        <w:rPr>
          <w:rFonts w:hint="eastAsia"/>
          <w:color w:val="auto"/>
          <w:highlight w:val="none"/>
        </w:rPr>
        <w:t>3.因包装、运输引起的图书损坏，按质量不合格处罚，甲方有权要求乙方支重新交付合格的图书并要求乙方向甲方支付违约货款额 5%违约金并赔偿甲方经济损失。</w:t>
      </w:r>
    </w:p>
    <w:p w14:paraId="7EA2D7AF">
      <w:pPr>
        <w:snapToGrid/>
        <w:spacing w:line="440" w:lineRule="exact"/>
        <w:ind w:firstLine="420" w:firstLineChars="200"/>
        <w:rPr>
          <w:color w:val="auto"/>
          <w:highlight w:val="none"/>
        </w:rPr>
      </w:pPr>
      <w:r>
        <w:rPr>
          <w:rFonts w:hint="eastAsia"/>
          <w:color w:val="auto"/>
          <w:highlight w:val="none"/>
        </w:rPr>
        <w:t>4.甲方无故延期接收图书、乙方逾期交货的，每天向对方偿付违约货款额3‰的逾期违约金。甲方延期付书款的，每天向乙方偿付延期书款额的3‰违约金，甲方违约金支付总额不超过延期书款额5%。</w:t>
      </w:r>
    </w:p>
    <w:p w14:paraId="02015012">
      <w:pPr>
        <w:snapToGrid/>
        <w:spacing w:line="440" w:lineRule="exact"/>
        <w:ind w:firstLine="420" w:firstLineChars="200"/>
        <w:rPr>
          <w:color w:val="auto"/>
          <w:highlight w:val="none"/>
        </w:rPr>
      </w:pPr>
      <w:r>
        <w:rPr>
          <w:rFonts w:hint="eastAsia"/>
          <w:color w:val="auto"/>
          <w:highlight w:val="none"/>
        </w:rPr>
        <w:t>一方应向对方支付的逾期违约金累计不得超过违约书款额5%。若逾期超过 15天的，对方有权解除合同。若因为乙方违约造成甲方解除合同的，乙方应在合同解除之日起五日内全额无息退还甲方已付款项；若因为甲方违约造成乙方解除合同的，乙方有权收回已交付的货物，应在合同解除之日起五日内全额无息退还甲方已付款项。</w:t>
      </w:r>
    </w:p>
    <w:p w14:paraId="108C1BF6">
      <w:pPr>
        <w:snapToGrid/>
        <w:spacing w:line="440" w:lineRule="exact"/>
        <w:ind w:firstLine="420" w:firstLineChars="200"/>
        <w:rPr>
          <w:color w:val="auto"/>
          <w:highlight w:val="none"/>
        </w:rPr>
      </w:pPr>
      <w:r>
        <w:rPr>
          <w:rFonts w:hint="eastAsia"/>
          <w:color w:val="auto"/>
          <w:highlight w:val="none"/>
        </w:rPr>
        <w:t xml:space="preserve">5. 乙方未按本合同和投标文件中规定的服务承诺提供售后服务的，乙方应按本合同合计金额的5%向甲方支付违约金。 </w:t>
      </w:r>
    </w:p>
    <w:p w14:paraId="10A32218">
      <w:pPr>
        <w:snapToGrid/>
        <w:spacing w:line="440" w:lineRule="exact"/>
        <w:ind w:firstLine="420" w:firstLineChars="200"/>
        <w:rPr>
          <w:color w:val="auto"/>
          <w:highlight w:val="none"/>
        </w:rPr>
      </w:pPr>
      <w:r>
        <w:rPr>
          <w:rFonts w:hint="eastAsia"/>
          <w:color w:val="auto"/>
          <w:highlight w:val="none"/>
        </w:rPr>
        <w:t>6. 乙方提供的图书在质保期内，因设计、工艺或材料的缺陷和其它质量原因造成的问题，由乙方负责修复，如无法修复的乙方负责更换全新图书，或者按合同价向甲方赔偿经济损失，乙方维修的费用及更换全新图书的费用由乙方自行承担，甲方不支付任何费用。</w:t>
      </w:r>
    </w:p>
    <w:p w14:paraId="2052136D">
      <w:pPr>
        <w:spacing w:line="440" w:lineRule="exact"/>
        <w:ind w:firstLine="420" w:firstLineChars="200"/>
        <w:rPr>
          <w:color w:val="auto"/>
          <w:highlight w:val="none"/>
        </w:rPr>
      </w:pPr>
      <w:r>
        <w:rPr>
          <w:rFonts w:hint="eastAsia"/>
          <w:color w:val="auto"/>
          <w:highlight w:val="none"/>
        </w:rPr>
        <w:t>7. 乙方未经甲方同意更换项目人员的，每更换一名应赔偿甲方500元违约金。</w:t>
      </w:r>
    </w:p>
    <w:p w14:paraId="5C47275C">
      <w:pPr>
        <w:snapToGrid/>
        <w:spacing w:line="440" w:lineRule="exact"/>
        <w:ind w:firstLine="420" w:firstLineChars="200"/>
        <w:rPr>
          <w:color w:val="auto"/>
          <w:highlight w:val="none"/>
        </w:rPr>
      </w:pPr>
      <w:r>
        <w:rPr>
          <w:rFonts w:hint="eastAsia"/>
          <w:color w:val="auto"/>
          <w:highlight w:val="none"/>
        </w:rPr>
        <w:t>8.其它违约行为按违约书款额5%收取违约金并赔偿经济损失。</w:t>
      </w:r>
    </w:p>
    <w:p w14:paraId="35BD1093">
      <w:pPr>
        <w:spacing w:line="440" w:lineRule="exact"/>
        <w:ind w:firstLine="420" w:firstLineChars="200"/>
        <w:rPr>
          <w:rFonts w:cs="宋体"/>
          <w:color w:val="auto"/>
          <w:kern w:val="0"/>
          <w:highlight w:val="none"/>
        </w:rPr>
      </w:pPr>
      <w:r>
        <w:rPr>
          <w:rFonts w:hint="eastAsia"/>
          <w:color w:val="auto"/>
          <w:highlight w:val="none"/>
        </w:rPr>
        <w:t>9.非因出版社或著者原因，</w:t>
      </w:r>
      <w:r>
        <w:rPr>
          <w:rFonts w:hint="eastAsia" w:cs="宋体"/>
          <w:color w:val="auto"/>
          <w:highlight w:val="none"/>
        </w:rPr>
        <w:t>乙方有以下情形之一的，</w:t>
      </w:r>
      <w:r>
        <w:rPr>
          <w:rFonts w:hint="eastAsia" w:cs="宋体"/>
          <w:color w:val="auto"/>
          <w:kern w:val="0"/>
          <w:highlight w:val="none"/>
        </w:rPr>
        <w:t>甲方有权终止</w:t>
      </w:r>
      <w:r>
        <w:rPr>
          <w:rFonts w:hint="eastAsia"/>
          <w:color w:val="auto"/>
          <w:highlight w:val="none"/>
        </w:rPr>
        <w:t>乙方</w:t>
      </w:r>
      <w:r>
        <w:rPr>
          <w:rFonts w:hint="eastAsia" w:cs="宋体"/>
          <w:color w:val="auto"/>
          <w:kern w:val="0"/>
          <w:highlight w:val="none"/>
        </w:rPr>
        <w:t>的供货资格并解除合同，</w:t>
      </w:r>
      <w:r>
        <w:rPr>
          <w:rFonts w:hint="eastAsia"/>
          <w:color w:val="auto"/>
          <w:highlight w:val="none"/>
        </w:rPr>
        <w:t>乙方应向甲方支付相应分标采购预算金额</w:t>
      </w:r>
      <w:r>
        <w:rPr>
          <w:color w:val="auto"/>
          <w:highlight w:val="none"/>
        </w:rPr>
        <w:t>20%</w:t>
      </w:r>
      <w:r>
        <w:rPr>
          <w:rFonts w:hint="eastAsia"/>
          <w:color w:val="auto"/>
          <w:highlight w:val="none"/>
        </w:rPr>
        <w:t>的违约金</w:t>
      </w:r>
      <w:r>
        <w:rPr>
          <w:rFonts w:hint="eastAsia" w:cs="宋体"/>
          <w:color w:val="auto"/>
          <w:kern w:val="0"/>
          <w:highlight w:val="none"/>
        </w:rPr>
        <w:t>：</w:t>
      </w:r>
    </w:p>
    <w:p w14:paraId="467BA92A">
      <w:pPr>
        <w:spacing w:line="440" w:lineRule="exact"/>
        <w:ind w:firstLine="420" w:firstLineChars="200"/>
        <w:rPr>
          <w:rFonts w:cs="宋体"/>
          <w:color w:val="auto"/>
          <w:kern w:val="0"/>
          <w:highlight w:val="none"/>
        </w:rPr>
      </w:pPr>
      <w:r>
        <w:rPr>
          <w:rFonts w:hint="eastAsia" w:cs="宋体"/>
          <w:color w:val="auto"/>
          <w:kern w:val="0"/>
          <w:highlight w:val="none"/>
        </w:rPr>
        <w:t>（</w:t>
      </w:r>
      <w:r>
        <w:rPr>
          <w:rFonts w:cs="宋体"/>
          <w:color w:val="auto"/>
          <w:kern w:val="0"/>
          <w:highlight w:val="none"/>
        </w:rPr>
        <w:t>1</w:t>
      </w:r>
      <w:r>
        <w:rPr>
          <w:rFonts w:hint="eastAsia" w:cs="宋体"/>
          <w:color w:val="auto"/>
          <w:kern w:val="0"/>
          <w:highlight w:val="none"/>
        </w:rPr>
        <w:t>）</w:t>
      </w:r>
      <w:r>
        <w:rPr>
          <w:rFonts w:hint="eastAsia"/>
          <w:color w:val="auto"/>
          <w:highlight w:val="none"/>
        </w:rPr>
        <w:t>第一年或第二年的到书率未达到</w:t>
      </w:r>
      <w:r>
        <w:rPr>
          <w:color w:val="auto"/>
          <w:highlight w:val="none"/>
        </w:rPr>
        <w:t>95%</w:t>
      </w:r>
      <w:r>
        <w:rPr>
          <w:rFonts w:hint="eastAsia"/>
          <w:color w:val="auto"/>
          <w:highlight w:val="none"/>
        </w:rPr>
        <w:t>的</w:t>
      </w:r>
      <w:r>
        <w:rPr>
          <w:rFonts w:hint="eastAsia" w:cs="宋体"/>
          <w:color w:val="auto"/>
          <w:kern w:val="0"/>
          <w:highlight w:val="none"/>
        </w:rPr>
        <w:t>；</w:t>
      </w:r>
    </w:p>
    <w:p w14:paraId="37CF57B9">
      <w:pPr>
        <w:spacing w:line="440" w:lineRule="exact"/>
        <w:ind w:firstLine="420" w:firstLineChars="200"/>
        <w:rPr>
          <w:color w:val="auto"/>
          <w:highlight w:val="none"/>
        </w:rPr>
      </w:pPr>
      <w:r>
        <w:rPr>
          <w:rFonts w:hint="eastAsia" w:cs="宋体"/>
          <w:color w:val="auto"/>
          <w:kern w:val="0"/>
          <w:highlight w:val="none"/>
        </w:rPr>
        <w:t>（</w:t>
      </w:r>
      <w:r>
        <w:rPr>
          <w:rFonts w:cs="宋体"/>
          <w:color w:val="auto"/>
          <w:kern w:val="0"/>
          <w:highlight w:val="none"/>
        </w:rPr>
        <w:t>2</w:t>
      </w:r>
      <w:r>
        <w:rPr>
          <w:rFonts w:hint="eastAsia" w:cs="宋体"/>
          <w:color w:val="auto"/>
          <w:kern w:val="0"/>
          <w:highlight w:val="none"/>
        </w:rPr>
        <w:t>）</w:t>
      </w:r>
      <w:r>
        <w:rPr>
          <w:rFonts w:hint="eastAsia"/>
          <w:color w:val="auto"/>
          <w:highlight w:val="none"/>
        </w:rPr>
        <w:t>第一年或第二年</w:t>
      </w:r>
      <w:r>
        <w:rPr>
          <w:rFonts w:hint="eastAsia" w:cs="宋体"/>
          <w:color w:val="auto"/>
          <w:kern w:val="0"/>
          <w:highlight w:val="none"/>
        </w:rPr>
        <w:t>供货周期内所交付的</w:t>
      </w:r>
      <w:r>
        <w:rPr>
          <w:rFonts w:hint="eastAsia" w:ascii="Calibri" w:cs="Courier New"/>
          <w:color w:val="auto"/>
          <w:szCs w:val="22"/>
          <w:highlight w:val="none"/>
        </w:rPr>
        <w:t>生物科学、医药卫生类专业图书</w:t>
      </w:r>
      <w:r>
        <w:rPr>
          <w:rFonts w:hint="eastAsia"/>
          <w:color w:val="auto"/>
          <w:highlight w:val="none"/>
        </w:rPr>
        <w:t>货款金额所占当年度供货总金额的比例低于</w:t>
      </w:r>
      <w:r>
        <w:rPr>
          <w:color w:val="auto"/>
          <w:highlight w:val="none"/>
        </w:rPr>
        <w:t>50%</w:t>
      </w:r>
      <w:r>
        <w:rPr>
          <w:rFonts w:hint="eastAsia"/>
          <w:color w:val="auto"/>
          <w:highlight w:val="none"/>
        </w:rPr>
        <w:t>的；</w:t>
      </w:r>
    </w:p>
    <w:p w14:paraId="126ACC29">
      <w:pPr>
        <w:spacing w:line="440" w:lineRule="exact"/>
        <w:ind w:firstLine="420" w:firstLineChars="200"/>
        <w:rPr>
          <w:rFonts w:cs="宋体"/>
          <w:color w:val="auto"/>
          <w:highlight w:val="none"/>
        </w:rPr>
      </w:pPr>
      <w:r>
        <w:rPr>
          <w:rFonts w:hint="eastAsia"/>
          <w:color w:val="auto"/>
          <w:highlight w:val="none"/>
        </w:rPr>
        <w:t>（</w:t>
      </w:r>
      <w:r>
        <w:rPr>
          <w:color w:val="auto"/>
          <w:highlight w:val="none"/>
        </w:rPr>
        <w:t>3</w:t>
      </w:r>
      <w:r>
        <w:rPr>
          <w:rFonts w:hint="eastAsia"/>
          <w:color w:val="auto"/>
          <w:highlight w:val="none"/>
        </w:rPr>
        <w:t>）合同期内累计</w:t>
      </w:r>
      <w:r>
        <w:rPr>
          <w:color w:val="auto"/>
          <w:highlight w:val="none"/>
        </w:rPr>
        <w:t>3</w:t>
      </w:r>
      <w:r>
        <w:rPr>
          <w:rFonts w:hint="eastAsia"/>
          <w:color w:val="auto"/>
          <w:highlight w:val="none"/>
        </w:rPr>
        <w:t>次未按甲方要求完成图书加工及</w:t>
      </w:r>
      <w:r>
        <w:rPr>
          <w:color w:val="auto"/>
          <w:highlight w:val="none"/>
        </w:rPr>
        <w:t>/</w:t>
      </w:r>
      <w:r>
        <w:rPr>
          <w:rFonts w:hint="eastAsia"/>
          <w:color w:val="auto"/>
          <w:highlight w:val="none"/>
        </w:rPr>
        <w:t>或图书编目工作的；</w:t>
      </w:r>
    </w:p>
    <w:p w14:paraId="2E2A1BC8">
      <w:pPr>
        <w:spacing w:line="440" w:lineRule="exact"/>
        <w:ind w:firstLine="420" w:firstLineChars="200"/>
        <w:rPr>
          <w:color w:val="auto"/>
          <w:highlight w:val="none"/>
        </w:rPr>
      </w:pPr>
      <w:r>
        <w:rPr>
          <w:rFonts w:hint="eastAsia"/>
          <w:color w:val="auto"/>
          <w:highlight w:val="none"/>
        </w:rPr>
        <w:t>（</w:t>
      </w:r>
      <w:r>
        <w:rPr>
          <w:color w:val="auto"/>
          <w:highlight w:val="none"/>
        </w:rPr>
        <w:t>4</w:t>
      </w:r>
      <w:r>
        <w:rPr>
          <w:rFonts w:hint="eastAsia"/>
          <w:color w:val="auto"/>
          <w:highlight w:val="none"/>
        </w:rPr>
        <w:t>）甲方经核查后认定乙方关于未到书目原因的说明为虚假的；</w:t>
      </w:r>
    </w:p>
    <w:p w14:paraId="3A2BAA60">
      <w:pPr>
        <w:spacing w:line="440" w:lineRule="exact"/>
        <w:ind w:firstLine="420" w:firstLineChars="200"/>
        <w:rPr>
          <w:color w:val="auto"/>
          <w:highlight w:val="none"/>
        </w:rPr>
      </w:pPr>
      <w:r>
        <w:rPr>
          <w:rFonts w:hint="eastAsia"/>
          <w:color w:val="auto"/>
          <w:highlight w:val="none"/>
        </w:rPr>
        <w:t>（5）擅自将合同义务转给第三方履行的；</w:t>
      </w:r>
    </w:p>
    <w:p w14:paraId="0BED5A91">
      <w:pPr>
        <w:snapToGrid/>
        <w:spacing w:line="440" w:lineRule="exact"/>
        <w:ind w:firstLine="420" w:firstLineChars="200"/>
        <w:rPr>
          <w:color w:val="auto"/>
          <w:highlight w:val="none"/>
        </w:rPr>
      </w:pPr>
      <w:r>
        <w:rPr>
          <w:rFonts w:hint="eastAsia"/>
          <w:color w:val="auto"/>
          <w:highlight w:val="none"/>
        </w:rPr>
        <w:t>（6）未经甲方同意更换项目人员超过半数的。</w:t>
      </w:r>
    </w:p>
    <w:p w14:paraId="5E08234F">
      <w:pPr>
        <w:snapToGrid/>
        <w:spacing w:line="440" w:lineRule="exact"/>
        <w:ind w:firstLine="420" w:firstLineChars="200"/>
        <w:rPr>
          <w:color w:val="auto"/>
          <w:highlight w:val="none"/>
        </w:rPr>
      </w:pPr>
      <w:r>
        <w:rPr>
          <w:rFonts w:hint="eastAsia"/>
          <w:color w:val="auto"/>
          <w:highlight w:val="none"/>
        </w:rPr>
        <w:t>10.本合同约定的违约责任或经济损失包括但不限于实际造成的经济损失、因维权所产生的律师费、诉讼费、保全费、保全保函费、执行费、鉴定费、公证费、评估费等。</w:t>
      </w:r>
    </w:p>
    <w:p w14:paraId="6CB53244">
      <w:pPr>
        <w:snapToGrid w:val="0"/>
        <w:spacing w:line="440" w:lineRule="exact"/>
        <w:ind w:firstLine="420" w:firstLineChars="200"/>
        <w:outlineLvl w:val="0"/>
        <w:rPr>
          <w:rFonts w:ascii="宋体" w:hAnsi="宋体"/>
          <w:b/>
          <w:bCs/>
          <w:color w:val="auto"/>
          <w:szCs w:val="20"/>
          <w:highlight w:val="none"/>
        </w:rPr>
      </w:pPr>
      <w:r>
        <w:rPr>
          <w:rFonts w:hint="eastAsia" w:ascii="宋体" w:hAnsi="宋体"/>
          <w:b/>
          <w:bCs/>
          <w:color w:val="auto"/>
          <w:szCs w:val="20"/>
          <w:highlight w:val="none"/>
        </w:rPr>
        <w:t>第十五条</w:t>
      </w:r>
      <w:r>
        <w:rPr>
          <w:rFonts w:hint="eastAsia" w:ascii="宋体" w:hAnsi="宋体"/>
          <w:b/>
          <w:color w:val="auto"/>
          <w:szCs w:val="20"/>
          <w:highlight w:val="none"/>
        </w:rPr>
        <w:t>　</w:t>
      </w:r>
      <w:r>
        <w:rPr>
          <w:rFonts w:hint="eastAsia" w:ascii="宋体" w:hAnsi="宋体"/>
          <w:b/>
          <w:bCs/>
          <w:color w:val="auto"/>
          <w:szCs w:val="20"/>
          <w:highlight w:val="none"/>
        </w:rPr>
        <w:t>不可抗力事件处理</w:t>
      </w:r>
    </w:p>
    <w:p w14:paraId="59084F5F">
      <w:pPr>
        <w:snapToGrid w:val="0"/>
        <w:spacing w:line="440" w:lineRule="exact"/>
        <w:ind w:firstLine="420" w:firstLineChars="200"/>
        <w:rPr>
          <w:rFonts w:ascii="宋体" w:hAnsi="宋体"/>
          <w:color w:val="auto"/>
          <w:szCs w:val="20"/>
          <w:highlight w:val="none"/>
        </w:rPr>
      </w:pPr>
      <w:r>
        <w:rPr>
          <w:rFonts w:ascii="宋体" w:hAnsi="宋体"/>
          <w:color w:val="auto"/>
          <w:szCs w:val="20"/>
          <w:highlight w:val="none"/>
        </w:rPr>
        <w:t xml:space="preserve">1. </w:t>
      </w:r>
      <w:r>
        <w:rPr>
          <w:rFonts w:hint="eastAsia" w:ascii="宋体" w:hAnsi="宋体"/>
          <w:color w:val="auto"/>
          <w:szCs w:val="20"/>
          <w:highlight w:val="none"/>
        </w:rPr>
        <w:t>在合同有效期内，任何一方因不可抗力事件导致不能履行合同，则合同履行期可延长，其延长期与不可抗力影响期相同。</w:t>
      </w:r>
    </w:p>
    <w:p w14:paraId="783D379A">
      <w:pPr>
        <w:snapToGrid w:val="0"/>
        <w:spacing w:line="440" w:lineRule="exact"/>
        <w:ind w:firstLine="420" w:firstLineChars="200"/>
        <w:rPr>
          <w:rFonts w:ascii="宋体" w:hAnsi="宋体"/>
          <w:color w:val="auto"/>
          <w:szCs w:val="20"/>
          <w:highlight w:val="none"/>
        </w:rPr>
      </w:pPr>
      <w:r>
        <w:rPr>
          <w:rFonts w:ascii="宋体" w:hAnsi="宋体"/>
          <w:color w:val="auto"/>
          <w:szCs w:val="20"/>
          <w:highlight w:val="none"/>
        </w:rPr>
        <w:t xml:space="preserve">2. </w:t>
      </w:r>
      <w:r>
        <w:rPr>
          <w:rFonts w:hint="eastAsia" w:ascii="宋体" w:hAnsi="宋体"/>
          <w:color w:val="auto"/>
          <w:szCs w:val="20"/>
          <w:highlight w:val="none"/>
        </w:rPr>
        <w:t>不可抗力事件发生后，应立即通知对方，并寄送有关权威机构出具的证明。</w:t>
      </w:r>
    </w:p>
    <w:p w14:paraId="6562F429">
      <w:pPr>
        <w:snapToGrid w:val="0"/>
        <w:spacing w:line="440" w:lineRule="exact"/>
        <w:ind w:firstLine="420" w:firstLineChars="200"/>
        <w:rPr>
          <w:rFonts w:ascii="宋体" w:hAnsi="宋体"/>
          <w:color w:val="auto"/>
          <w:szCs w:val="20"/>
          <w:highlight w:val="none"/>
        </w:rPr>
      </w:pPr>
      <w:r>
        <w:rPr>
          <w:rFonts w:ascii="宋体" w:hAnsi="宋体"/>
          <w:color w:val="auto"/>
          <w:szCs w:val="20"/>
          <w:highlight w:val="none"/>
        </w:rPr>
        <w:t xml:space="preserve">3. </w:t>
      </w:r>
      <w:r>
        <w:rPr>
          <w:rFonts w:hint="eastAsia" w:ascii="宋体" w:hAnsi="宋体"/>
          <w:color w:val="auto"/>
          <w:szCs w:val="20"/>
          <w:highlight w:val="none"/>
        </w:rPr>
        <w:t>不可抗力事件延续一百二十天以上，双方应通过友好协商，确定是否继续履行合同。</w:t>
      </w:r>
    </w:p>
    <w:p w14:paraId="74C90C8C">
      <w:pPr>
        <w:snapToGrid w:val="0"/>
        <w:spacing w:line="440" w:lineRule="exact"/>
        <w:ind w:firstLine="420" w:firstLineChars="200"/>
        <w:outlineLvl w:val="0"/>
        <w:rPr>
          <w:rFonts w:ascii="宋体"/>
          <w:color w:val="auto"/>
          <w:szCs w:val="21"/>
          <w:highlight w:val="none"/>
        </w:rPr>
      </w:pPr>
      <w:r>
        <w:rPr>
          <w:rFonts w:hint="eastAsia" w:ascii="宋体" w:hAnsi="宋体" w:cs="宋体"/>
          <w:b/>
          <w:bCs/>
          <w:color w:val="auto"/>
          <w:szCs w:val="21"/>
          <w:highlight w:val="none"/>
        </w:rPr>
        <w:t>第十六条</w:t>
      </w:r>
      <w:r>
        <w:rPr>
          <w:rFonts w:hint="eastAsia" w:ascii="宋体" w:hAnsi="宋体"/>
          <w:b/>
          <w:color w:val="auto"/>
          <w:szCs w:val="21"/>
          <w:highlight w:val="none"/>
        </w:rPr>
        <w:t>　</w:t>
      </w:r>
      <w:r>
        <w:rPr>
          <w:rFonts w:hint="eastAsia" w:ascii="宋体" w:hAnsi="宋体" w:cs="宋体"/>
          <w:b/>
          <w:bCs/>
          <w:color w:val="auto"/>
          <w:szCs w:val="21"/>
          <w:highlight w:val="none"/>
        </w:rPr>
        <w:t>合同争议解决</w:t>
      </w:r>
    </w:p>
    <w:p w14:paraId="5276EB3B">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1.因货物质量问题发生争议的，应邀请国家认可的质量检测机构按照国家标准对货物质量进行验收。货物符合国家标准的，鉴定费由甲方承担；货物不符合国家标准的，鉴定费由乙方承担。</w:t>
      </w:r>
    </w:p>
    <w:p w14:paraId="050ED115">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2.因履行本合同引起的或与本合同有关的争议，甲乙双方应首先通过友好协商解决，如果协商不能解决，可向甲方</w:t>
      </w:r>
      <w:r>
        <w:rPr>
          <w:rFonts w:hint="eastAsia"/>
          <w:color w:val="auto"/>
          <w:highlight w:val="none"/>
        </w:rPr>
        <w:t>住所地</w:t>
      </w:r>
      <w:r>
        <w:rPr>
          <w:rFonts w:hint="eastAsia" w:ascii="宋体" w:hAnsi="宋体" w:cs="宋体"/>
          <w:color w:val="auto"/>
          <w:szCs w:val="21"/>
          <w:highlight w:val="none"/>
        </w:rPr>
        <w:t>有管辖权的人民法院提起诉讼。</w:t>
      </w:r>
    </w:p>
    <w:p w14:paraId="107B7BF3">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3.诉讼期间，甲方为保障正常的运营，可选择由乙方继续提供服务（如售后服务）、甲方按照服务时间结算费用或者另行委托第三方提供服务、公开招标等方式，不视为甲方违约。</w:t>
      </w:r>
    </w:p>
    <w:p w14:paraId="6D4AF62C">
      <w:pPr>
        <w:snapToGrid w:val="0"/>
        <w:spacing w:line="440" w:lineRule="exact"/>
        <w:ind w:firstLine="420" w:firstLineChars="200"/>
        <w:outlineLvl w:val="0"/>
        <w:rPr>
          <w:rFonts w:ascii="宋体" w:hAnsi="宋体"/>
          <w:b/>
          <w:bCs/>
          <w:color w:val="auto"/>
          <w:szCs w:val="20"/>
          <w:highlight w:val="none"/>
        </w:rPr>
      </w:pPr>
      <w:r>
        <w:rPr>
          <w:rFonts w:hint="eastAsia" w:ascii="宋体" w:hAnsi="宋体"/>
          <w:b/>
          <w:bCs/>
          <w:color w:val="auto"/>
          <w:szCs w:val="20"/>
          <w:highlight w:val="none"/>
        </w:rPr>
        <w:t>第十七条</w:t>
      </w:r>
      <w:r>
        <w:rPr>
          <w:rFonts w:hint="eastAsia" w:ascii="宋体" w:hAnsi="宋体"/>
          <w:b/>
          <w:color w:val="auto"/>
          <w:szCs w:val="20"/>
          <w:highlight w:val="none"/>
        </w:rPr>
        <w:t>　</w:t>
      </w:r>
      <w:r>
        <w:rPr>
          <w:rFonts w:hint="eastAsia" w:ascii="宋体" w:hAnsi="宋体"/>
          <w:b/>
          <w:bCs/>
          <w:color w:val="auto"/>
          <w:szCs w:val="20"/>
          <w:highlight w:val="none"/>
        </w:rPr>
        <w:t>合同生效及其它</w:t>
      </w:r>
    </w:p>
    <w:p w14:paraId="522AE470">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1．合同经双方法定代表人或授权代表人</w:t>
      </w:r>
      <w:r>
        <w:rPr>
          <w:rFonts w:hint="eastAsia" w:hAnsi="宋体"/>
          <w:bCs/>
          <w:color w:val="auto"/>
          <w:szCs w:val="21"/>
          <w:highlight w:val="none"/>
        </w:rPr>
        <w:t>（委托代理人）</w:t>
      </w:r>
      <w:r>
        <w:rPr>
          <w:rFonts w:hint="eastAsia" w:ascii="宋体" w:hAnsi="宋体" w:cs="宋体"/>
          <w:color w:val="auto"/>
          <w:szCs w:val="21"/>
          <w:highlight w:val="none"/>
        </w:rPr>
        <w:t>签字并加盖单位公章后生效</w:t>
      </w:r>
      <w:r>
        <w:rPr>
          <w:rFonts w:hint="eastAsia" w:ascii="宋体" w:hAnsi="宋体" w:cs="宋体"/>
          <w:bCs/>
          <w:color w:val="auto"/>
          <w:szCs w:val="21"/>
          <w:highlight w:val="none"/>
        </w:rPr>
        <w:t>（委托代理人签字的需后附法定代表人授权委托书，格式自拟）</w:t>
      </w:r>
      <w:r>
        <w:rPr>
          <w:rFonts w:hint="eastAsia" w:ascii="宋体" w:hAnsi="宋体" w:cs="宋体"/>
          <w:color w:val="auto"/>
          <w:szCs w:val="21"/>
          <w:highlight w:val="none"/>
        </w:rPr>
        <w:t>。</w:t>
      </w:r>
    </w:p>
    <w:p w14:paraId="6971581B">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2．合同执行中涉及采购资金和采购内容修改或补充的，须经财政部门审批，并签订书面补充协议报财政部门备案，方可作为主合同不可分割的一部分。</w:t>
      </w:r>
    </w:p>
    <w:p w14:paraId="4F8A736C">
      <w:pPr>
        <w:snapToGrid w:val="0"/>
        <w:spacing w:line="440" w:lineRule="exact"/>
        <w:ind w:firstLine="420" w:firstLineChars="200"/>
        <w:rPr>
          <w:color w:val="auto"/>
          <w:szCs w:val="21"/>
          <w:highlight w:val="none"/>
        </w:rPr>
      </w:pPr>
      <w:r>
        <w:rPr>
          <w:rFonts w:hint="eastAsia" w:ascii="宋体" w:hAnsi="宋体" w:cs="宋体"/>
          <w:color w:val="auto"/>
          <w:szCs w:val="21"/>
          <w:highlight w:val="none"/>
        </w:rPr>
        <w:t>3．本合同未尽事宜，遵照《中华人民共和国民法典》有关条文执行。</w:t>
      </w:r>
    </w:p>
    <w:p w14:paraId="75791132">
      <w:pPr>
        <w:snapToGrid w:val="0"/>
        <w:spacing w:line="440" w:lineRule="exact"/>
        <w:ind w:firstLine="420" w:firstLineChars="200"/>
        <w:outlineLvl w:val="0"/>
        <w:rPr>
          <w:rFonts w:ascii="宋体"/>
          <w:b/>
          <w:bCs/>
          <w:color w:val="auto"/>
          <w:szCs w:val="21"/>
          <w:highlight w:val="none"/>
        </w:rPr>
      </w:pPr>
      <w:r>
        <w:rPr>
          <w:rFonts w:hint="eastAsia" w:ascii="宋体" w:hAnsi="宋体" w:cs="宋体"/>
          <w:b/>
          <w:bCs/>
          <w:color w:val="auto"/>
          <w:szCs w:val="21"/>
          <w:highlight w:val="none"/>
        </w:rPr>
        <w:t>第十八条　合同的变更、终止与转让</w:t>
      </w:r>
    </w:p>
    <w:p w14:paraId="651F9465">
      <w:pPr>
        <w:snapToGrid w:val="0"/>
        <w:spacing w:line="440" w:lineRule="exact"/>
        <w:ind w:firstLine="420" w:firstLineChars="200"/>
        <w:rPr>
          <w:rFonts w:ascii="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．除《中华人民共和国政府采购法》第五十条规定的情形外，本合同一经签订，甲乙双方不得擅自变更、中止或终止。</w:t>
      </w:r>
    </w:p>
    <w:p w14:paraId="01AD77BE">
      <w:pPr>
        <w:snapToGrid w:val="0"/>
        <w:spacing w:line="440" w:lineRule="exact"/>
        <w:ind w:firstLine="420" w:firstLineChars="200"/>
        <w:rPr>
          <w:rFonts w:hAnsi="宋体"/>
          <w:b/>
          <w:bCs/>
          <w:color w:val="auto"/>
          <w:szCs w:val="21"/>
          <w:highlight w:val="none"/>
        </w:rPr>
      </w:pPr>
      <w:r>
        <w:rPr>
          <w:rFonts w:hAnsi="宋体"/>
          <w:color w:val="auto"/>
          <w:szCs w:val="21"/>
          <w:highlight w:val="none"/>
        </w:rPr>
        <w:t>2</w:t>
      </w:r>
      <w:r>
        <w:rPr>
          <w:rFonts w:hint="eastAsia" w:hAnsi="宋体"/>
          <w:color w:val="auto"/>
          <w:szCs w:val="21"/>
          <w:highlight w:val="none"/>
        </w:rPr>
        <w:t>．</w:t>
      </w:r>
      <w:r>
        <w:rPr>
          <w:rFonts w:hint="eastAsia" w:ascii="宋体" w:hAnsi="宋体" w:cs="宋体"/>
          <w:color w:val="auto"/>
          <w:szCs w:val="21"/>
          <w:highlight w:val="none"/>
        </w:rPr>
        <w:t>未经甲方书面同意，乙方不得擅自转让（无进口资格的乙方委托进口货物除外）其应履行的合同义务，乙方违反此约定擅自转让的，甲方可视情况解除合同并有权要求乙方支付合同总价款20%的违约金，乙方还应当赔偿甲方因此造成的损失。</w:t>
      </w:r>
    </w:p>
    <w:p w14:paraId="41815F2C">
      <w:pPr>
        <w:snapToGrid w:val="0"/>
        <w:spacing w:line="440" w:lineRule="exact"/>
        <w:ind w:firstLine="436" w:firstLineChars="200"/>
        <w:rPr>
          <w:rFonts w:ascii="宋体" w:hAnsi="宋体"/>
          <w:b/>
          <w:color w:val="auto"/>
          <w:spacing w:val="4"/>
          <w:szCs w:val="21"/>
          <w:highlight w:val="none"/>
        </w:rPr>
      </w:pPr>
      <w:r>
        <w:rPr>
          <w:rFonts w:hint="eastAsia" w:ascii="宋体" w:hAnsi="宋体"/>
          <w:b/>
          <w:color w:val="auto"/>
          <w:spacing w:val="4"/>
          <w:szCs w:val="21"/>
          <w:highlight w:val="none"/>
        </w:rPr>
        <w:t>第十九条  签订本合同依据</w:t>
      </w:r>
    </w:p>
    <w:p w14:paraId="2511C6CE">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1.采购需求；</w:t>
      </w:r>
    </w:p>
    <w:p w14:paraId="724CB08F">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2.投标函；</w:t>
      </w:r>
    </w:p>
    <w:p w14:paraId="73462F99">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3.开标一览表；</w:t>
      </w:r>
    </w:p>
    <w:p w14:paraId="4C2E07F9">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4.技术要求偏离表；</w:t>
      </w:r>
    </w:p>
    <w:p w14:paraId="244C91CE">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5.商务要求偏离表；</w:t>
      </w:r>
    </w:p>
    <w:p w14:paraId="50870629">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6.售后服务承诺；</w:t>
      </w:r>
    </w:p>
    <w:p w14:paraId="5EB64D38">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7.中标通知书；</w:t>
      </w:r>
    </w:p>
    <w:p w14:paraId="4FA736E4">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8.其他合同文件（招标文件、乙方提供的投标文件等）。</w:t>
      </w:r>
    </w:p>
    <w:p w14:paraId="7C84CC95">
      <w:pPr>
        <w:snapToGrid w:val="0"/>
        <w:spacing w:line="440" w:lineRule="exact"/>
        <w:ind w:firstLine="420" w:firstLineChars="200"/>
        <w:rPr>
          <w:rFonts w:ascii="宋体" w:hAnsi="宋体"/>
          <w:color w:val="auto"/>
          <w:szCs w:val="21"/>
          <w:highlight w:val="none"/>
        </w:rPr>
      </w:pPr>
      <w:r>
        <w:rPr>
          <w:rFonts w:hint="eastAsia" w:ascii="宋体" w:hAnsi="宋体" w:cs="宋体"/>
          <w:color w:val="auto"/>
          <w:szCs w:val="21"/>
          <w:highlight w:val="none"/>
        </w:rPr>
        <w:t>9.上述合同文件互相补充和解释。如果合同文件之间存在矛盾或者不一致之处，以上述文件的排列顺序在先者为准，同一个文件存在矛盾或者不一致之处，以对产品及服务有更高要求或对甲方更有利为准。</w:t>
      </w:r>
    </w:p>
    <w:p w14:paraId="443A6629">
      <w:pPr>
        <w:snapToGrid w:val="0"/>
        <w:spacing w:line="440" w:lineRule="exact"/>
        <w:ind w:firstLine="420" w:firstLineChars="200"/>
        <w:outlineLvl w:val="0"/>
        <w:rPr>
          <w:rFonts w:ascii="宋体" w:hAnsi="宋体" w:cs="宋体"/>
          <w:color w:val="auto"/>
          <w:szCs w:val="21"/>
          <w:highlight w:val="none"/>
        </w:rPr>
      </w:pPr>
      <w:r>
        <w:rPr>
          <w:rFonts w:hint="eastAsia" w:ascii="宋体" w:hAnsi="宋体" w:cs="宋体"/>
          <w:b/>
          <w:bCs/>
          <w:color w:val="auto"/>
          <w:szCs w:val="21"/>
          <w:highlight w:val="none"/>
        </w:rPr>
        <w:t>第二十条　</w:t>
      </w:r>
      <w:r>
        <w:rPr>
          <w:rFonts w:hint="eastAsia" w:ascii="宋体" w:hAnsi="宋体" w:cs="宋体"/>
          <w:color w:val="auto"/>
          <w:szCs w:val="21"/>
          <w:highlight w:val="none"/>
        </w:rPr>
        <w:t>本合同一式</w:t>
      </w:r>
      <w:r>
        <w:rPr>
          <w:rFonts w:hint="eastAsia" w:ascii="宋体" w:hAnsi="宋体" w:cs="宋体"/>
          <w:color w:val="auto"/>
          <w:szCs w:val="21"/>
          <w:highlight w:val="none"/>
          <w:u w:val="single"/>
        </w:rPr>
        <w:t>伍</w:t>
      </w:r>
      <w:r>
        <w:rPr>
          <w:rFonts w:hint="eastAsia" w:ascii="宋体" w:hAnsi="宋体" w:cs="宋体"/>
          <w:color w:val="auto"/>
          <w:szCs w:val="21"/>
          <w:highlight w:val="none"/>
        </w:rPr>
        <w:t>份，具有同等法律效力，采购代理机构存档</w:t>
      </w:r>
      <w:r>
        <w:rPr>
          <w:rFonts w:hint="eastAsia" w:ascii="宋体" w:hAnsi="宋体" w:cs="宋体"/>
          <w:color w:val="auto"/>
          <w:szCs w:val="21"/>
          <w:highlight w:val="none"/>
          <w:u w:val="single"/>
        </w:rPr>
        <w:t>壹</w:t>
      </w:r>
      <w:r>
        <w:rPr>
          <w:rFonts w:hint="eastAsia" w:ascii="宋体" w:hAnsi="宋体" w:cs="宋体"/>
          <w:color w:val="auto"/>
          <w:szCs w:val="21"/>
          <w:highlight w:val="none"/>
        </w:rPr>
        <w:t>份，甲方执</w:t>
      </w:r>
      <w:r>
        <w:rPr>
          <w:rFonts w:hint="eastAsia" w:ascii="宋体" w:hAnsi="宋体" w:cs="宋体"/>
          <w:color w:val="auto"/>
          <w:szCs w:val="21"/>
          <w:highlight w:val="none"/>
          <w:u w:val="single"/>
        </w:rPr>
        <w:t>叁</w:t>
      </w:r>
      <w:r>
        <w:rPr>
          <w:rFonts w:hint="eastAsia" w:ascii="宋体" w:hAnsi="宋体" w:cs="宋体"/>
          <w:color w:val="auto"/>
          <w:szCs w:val="21"/>
          <w:highlight w:val="none"/>
        </w:rPr>
        <w:t>份，乙方执</w:t>
      </w:r>
      <w:r>
        <w:rPr>
          <w:rFonts w:hint="eastAsia" w:ascii="宋体" w:hAnsi="宋体" w:cs="宋体"/>
          <w:color w:val="auto"/>
          <w:szCs w:val="21"/>
          <w:highlight w:val="none"/>
          <w:u w:val="single"/>
        </w:rPr>
        <w:t>壹</w:t>
      </w:r>
      <w:r>
        <w:rPr>
          <w:rFonts w:hint="eastAsia" w:ascii="宋体" w:hAnsi="宋体" w:cs="宋体"/>
          <w:color w:val="auto"/>
          <w:szCs w:val="21"/>
          <w:highlight w:val="none"/>
        </w:rPr>
        <w:t>份。（可根据需要另增加）。</w:t>
      </w:r>
    </w:p>
    <w:p w14:paraId="1D570E9A">
      <w:pPr>
        <w:snapToGrid w:val="0"/>
        <w:jc w:val="center"/>
        <w:rPr>
          <w:rFonts w:ascii="宋体" w:hAnsi="宋体"/>
          <w:b/>
          <w:szCs w:val="21"/>
        </w:rPr>
      </w:pPr>
    </w:p>
    <w:tbl>
      <w:tblPr>
        <w:tblStyle w:val="50"/>
        <w:tblpPr w:leftFromText="180" w:rightFromText="180" w:vertAnchor="text" w:horzAnchor="page" w:tblpX="1205" w:tblpY="46"/>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7"/>
        <w:gridCol w:w="4927"/>
      </w:tblGrid>
      <w:tr w14:paraId="5FCDA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14:paraId="2B6C7EA4">
            <w:pPr>
              <w:rPr>
                <w:rFonts w:ascii="宋体" w:hAnsi="宋体" w:cs="宋体"/>
                <w:szCs w:val="21"/>
              </w:rPr>
            </w:pPr>
            <w:r>
              <w:rPr>
                <w:rFonts w:hint="eastAsia" w:ascii="宋体" w:hAnsi="宋体" w:cs="宋体"/>
                <w:szCs w:val="21"/>
              </w:rPr>
              <w:br w:type="page"/>
            </w:r>
            <w:r>
              <w:rPr>
                <w:rFonts w:hint="eastAsia" w:ascii="宋体" w:hAnsi="宋体" w:cs="宋体"/>
                <w:szCs w:val="21"/>
              </w:rPr>
              <w:t xml:space="preserve">甲方（章） </w:t>
            </w:r>
            <w:r>
              <w:rPr>
                <w:rFonts w:hint="eastAsia" w:ascii="宋体" w:hAnsi="宋体"/>
                <w:szCs w:val="21"/>
              </w:rPr>
              <w:t>广西医科大学</w:t>
            </w:r>
            <w:r>
              <w:rPr>
                <w:rFonts w:hint="eastAsia" w:ascii="宋体" w:hAnsi="宋体" w:cs="宋体"/>
                <w:szCs w:val="21"/>
              </w:rPr>
              <w:t xml:space="preserve">          </w:t>
            </w:r>
          </w:p>
          <w:p w14:paraId="6ABFE2BB">
            <w:pPr>
              <w:snapToGrid w:val="0"/>
              <w:spacing w:line="400" w:lineRule="exact"/>
              <w:rPr>
                <w:rFonts w:ascii="宋体" w:hAnsi="宋体" w:cs="宋体"/>
                <w:szCs w:val="21"/>
              </w:rPr>
            </w:pPr>
          </w:p>
          <w:p w14:paraId="33BE5B4C">
            <w:pPr>
              <w:ind w:firstLine="640" w:firstLineChars="200"/>
              <w:rPr>
                <w:rFonts w:ascii="仿宋_GB2312" w:eastAsia="仿宋_GB2312" w:cs="仿宋_GB2312"/>
                <w:sz w:val="32"/>
                <w:szCs w:val="32"/>
              </w:rPr>
            </w:pPr>
          </w:p>
          <w:p w14:paraId="47ADA8BA">
            <w:pPr>
              <w:snapToGrid w:val="0"/>
              <w:spacing w:line="400" w:lineRule="exact"/>
              <w:ind w:firstLine="945" w:firstLineChars="450"/>
              <w:jc w:val="right"/>
              <w:rPr>
                <w:rFonts w:ascii="宋体" w:hAnsi="宋体" w:cs="宋体"/>
                <w:szCs w:val="21"/>
              </w:rPr>
            </w:pPr>
            <w:r>
              <w:rPr>
                <w:rFonts w:hint="eastAsia" w:ascii="宋体" w:hAnsi="宋体" w:cs="宋体"/>
                <w:szCs w:val="21"/>
              </w:rPr>
              <w:t>年   月   日</w:t>
            </w:r>
          </w:p>
        </w:tc>
        <w:tc>
          <w:tcPr>
            <w:tcW w:w="2500" w:type="pct"/>
            <w:tcBorders>
              <w:top w:val="single" w:color="auto" w:sz="4" w:space="0"/>
              <w:left w:val="single" w:color="auto" w:sz="4" w:space="0"/>
              <w:bottom w:val="single" w:color="auto" w:sz="4" w:space="0"/>
              <w:right w:val="single" w:color="auto" w:sz="4" w:space="0"/>
            </w:tcBorders>
            <w:vAlign w:val="center"/>
          </w:tcPr>
          <w:p w14:paraId="3ACBCBBB">
            <w:pPr>
              <w:snapToGrid w:val="0"/>
              <w:spacing w:line="400" w:lineRule="exact"/>
              <w:rPr>
                <w:rFonts w:ascii="宋体" w:hAnsi="宋体" w:cs="宋体"/>
                <w:szCs w:val="21"/>
              </w:rPr>
            </w:pPr>
            <w:r>
              <w:rPr>
                <w:rFonts w:hint="eastAsia" w:ascii="宋体" w:hAnsi="宋体" w:cs="宋体"/>
                <w:szCs w:val="21"/>
              </w:rPr>
              <w:t xml:space="preserve">乙方（章）              </w:t>
            </w:r>
          </w:p>
          <w:p w14:paraId="2A314064">
            <w:pPr>
              <w:snapToGrid w:val="0"/>
              <w:spacing w:line="400" w:lineRule="exact"/>
              <w:rPr>
                <w:rFonts w:ascii="宋体" w:hAnsi="宋体" w:cs="宋体"/>
                <w:szCs w:val="21"/>
              </w:rPr>
            </w:pPr>
          </w:p>
          <w:p w14:paraId="11BC5398">
            <w:pPr>
              <w:ind w:firstLine="640" w:firstLineChars="200"/>
              <w:rPr>
                <w:rFonts w:ascii="仿宋_GB2312" w:eastAsia="仿宋_GB2312" w:cs="仿宋_GB2312"/>
                <w:sz w:val="32"/>
                <w:szCs w:val="32"/>
              </w:rPr>
            </w:pPr>
          </w:p>
          <w:p w14:paraId="797A5153">
            <w:pPr>
              <w:snapToGrid w:val="0"/>
              <w:spacing w:line="400" w:lineRule="exact"/>
              <w:jc w:val="right"/>
              <w:rPr>
                <w:rFonts w:ascii="宋体" w:hAnsi="宋体" w:cs="宋体"/>
                <w:szCs w:val="21"/>
              </w:rPr>
            </w:pPr>
            <w:r>
              <w:rPr>
                <w:rFonts w:hint="eastAsia" w:ascii="宋体" w:hAnsi="宋体" w:cs="宋体"/>
                <w:szCs w:val="21"/>
              </w:rPr>
              <w:t xml:space="preserve"> 年   月   日</w:t>
            </w:r>
          </w:p>
        </w:tc>
      </w:tr>
      <w:tr w14:paraId="33F71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14:paraId="6DD3983F">
            <w:pPr>
              <w:snapToGrid w:val="0"/>
              <w:spacing w:line="400" w:lineRule="exact"/>
              <w:rPr>
                <w:rFonts w:ascii="宋体" w:hAnsi="宋体" w:cs="宋体"/>
                <w:szCs w:val="21"/>
              </w:rPr>
            </w:pPr>
            <w:r>
              <w:rPr>
                <w:rFonts w:hint="eastAsia" w:ascii="宋体" w:hAnsi="宋体" w:cs="宋体"/>
                <w:szCs w:val="21"/>
              </w:rPr>
              <w:t>单位地址：广西南宁市双拥路22号</w:t>
            </w:r>
          </w:p>
        </w:tc>
        <w:tc>
          <w:tcPr>
            <w:tcW w:w="2500" w:type="pct"/>
            <w:tcBorders>
              <w:top w:val="single" w:color="auto" w:sz="4" w:space="0"/>
              <w:left w:val="single" w:color="auto" w:sz="4" w:space="0"/>
              <w:bottom w:val="single" w:color="auto" w:sz="4" w:space="0"/>
              <w:right w:val="single" w:color="auto" w:sz="4" w:space="0"/>
            </w:tcBorders>
            <w:vAlign w:val="center"/>
          </w:tcPr>
          <w:p w14:paraId="7AD5B475">
            <w:pPr>
              <w:snapToGrid w:val="0"/>
              <w:spacing w:line="400" w:lineRule="exact"/>
              <w:rPr>
                <w:rFonts w:ascii="宋体" w:hAnsi="宋体" w:cs="宋体"/>
                <w:szCs w:val="21"/>
              </w:rPr>
            </w:pPr>
            <w:r>
              <w:rPr>
                <w:rFonts w:hint="eastAsia" w:ascii="宋体" w:hAnsi="宋体" w:cs="宋体"/>
                <w:szCs w:val="21"/>
              </w:rPr>
              <w:t>单位地址：</w:t>
            </w:r>
          </w:p>
        </w:tc>
      </w:tr>
      <w:tr w14:paraId="1A958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14:paraId="74A4C220">
            <w:pPr>
              <w:snapToGrid w:val="0"/>
              <w:spacing w:line="400" w:lineRule="exact"/>
              <w:rPr>
                <w:rFonts w:ascii="宋体" w:hAnsi="宋体" w:cs="宋体"/>
                <w:szCs w:val="21"/>
              </w:rPr>
            </w:pPr>
            <w:r>
              <w:rPr>
                <w:rFonts w:hint="eastAsia" w:ascii="宋体" w:hAnsi="宋体" w:cs="宋体"/>
                <w:szCs w:val="21"/>
              </w:rPr>
              <w:t>法定代表人：</w:t>
            </w:r>
          </w:p>
        </w:tc>
        <w:tc>
          <w:tcPr>
            <w:tcW w:w="2500" w:type="pct"/>
            <w:tcBorders>
              <w:top w:val="single" w:color="auto" w:sz="4" w:space="0"/>
              <w:left w:val="single" w:color="auto" w:sz="4" w:space="0"/>
              <w:bottom w:val="single" w:color="auto" w:sz="4" w:space="0"/>
              <w:right w:val="single" w:color="auto" w:sz="4" w:space="0"/>
            </w:tcBorders>
            <w:vAlign w:val="center"/>
          </w:tcPr>
          <w:p w14:paraId="6060FAAC">
            <w:pPr>
              <w:snapToGrid w:val="0"/>
              <w:spacing w:line="400" w:lineRule="exact"/>
              <w:rPr>
                <w:rFonts w:ascii="宋体" w:hAnsi="宋体" w:cs="宋体"/>
                <w:szCs w:val="21"/>
              </w:rPr>
            </w:pPr>
            <w:r>
              <w:rPr>
                <w:rFonts w:hint="eastAsia" w:ascii="宋体" w:hAnsi="宋体" w:cs="宋体"/>
                <w:szCs w:val="21"/>
              </w:rPr>
              <w:t>法定代表人：</w:t>
            </w:r>
          </w:p>
        </w:tc>
      </w:tr>
      <w:tr w14:paraId="710D9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14:paraId="75268BEC">
            <w:pPr>
              <w:snapToGrid w:val="0"/>
              <w:spacing w:line="400" w:lineRule="exact"/>
              <w:rPr>
                <w:rFonts w:ascii="宋体" w:hAnsi="宋体" w:cs="宋体"/>
                <w:szCs w:val="21"/>
              </w:rPr>
            </w:pPr>
            <w:r>
              <w:rPr>
                <w:rFonts w:hint="eastAsia" w:ascii="宋体" w:hAnsi="宋体" w:cs="宋体"/>
                <w:szCs w:val="21"/>
              </w:rPr>
              <w:t>委托代理人：</w:t>
            </w:r>
          </w:p>
        </w:tc>
        <w:tc>
          <w:tcPr>
            <w:tcW w:w="2500" w:type="pct"/>
            <w:tcBorders>
              <w:top w:val="single" w:color="auto" w:sz="4" w:space="0"/>
              <w:left w:val="single" w:color="auto" w:sz="4" w:space="0"/>
              <w:bottom w:val="single" w:color="auto" w:sz="4" w:space="0"/>
              <w:right w:val="single" w:color="auto" w:sz="4" w:space="0"/>
            </w:tcBorders>
            <w:vAlign w:val="center"/>
          </w:tcPr>
          <w:p w14:paraId="202BB37B">
            <w:pPr>
              <w:snapToGrid w:val="0"/>
              <w:spacing w:line="400" w:lineRule="exact"/>
              <w:rPr>
                <w:rFonts w:ascii="宋体" w:hAnsi="宋体" w:cs="宋体"/>
                <w:szCs w:val="21"/>
              </w:rPr>
            </w:pPr>
            <w:r>
              <w:rPr>
                <w:rFonts w:hint="eastAsia" w:ascii="宋体" w:hAnsi="宋体" w:cs="宋体"/>
                <w:szCs w:val="21"/>
              </w:rPr>
              <w:t>委托代理人：</w:t>
            </w:r>
          </w:p>
        </w:tc>
      </w:tr>
      <w:tr w14:paraId="0D472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14:paraId="4D13C25C">
            <w:pPr>
              <w:snapToGrid w:val="0"/>
              <w:spacing w:line="400" w:lineRule="exact"/>
              <w:rPr>
                <w:rFonts w:ascii="宋体" w:hAnsi="宋体" w:cs="宋体"/>
                <w:szCs w:val="21"/>
              </w:rPr>
            </w:pPr>
            <w:r>
              <w:rPr>
                <w:rFonts w:hint="eastAsia" w:ascii="宋体" w:hAnsi="宋体" w:cs="宋体"/>
                <w:szCs w:val="21"/>
              </w:rPr>
              <w:t>电话：0771-5330611</w:t>
            </w:r>
          </w:p>
        </w:tc>
        <w:tc>
          <w:tcPr>
            <w:tcW w:w="2500" w:type="pct"/>
            <w:tcBorders>
              <w:top w:val="single" w:color="auto" w:sz="4" w:space="0"/>
              <w:left w:val="single" w:color="auto" w:sz="4" w:space="0"/>
              <w:bottom w:val="single" w:color="auto" w:sz="4" w:space="0"/>
              <w:right w:val="single" w:color="auto" w:sz="4" w:space="0"/>
            </w:tcBorders>
            <w:vAlign w:val="center"/>
          </w:tcPr>
          <w:p w14:paraId="20F23694">
            <w:pPr>
              <w:snapToGrid w:val="0"/>
              <w:spacing w:line="400" w:lineRule="exact"/>
              <w:rPr>
                <w:rFonts w:ascii="宋体" w:hAnsi="宋体" w:cs="宋体"/>
                <w:szCs w:val="21"/>
              </w:rPr>
            </w:pPr>
            <w:r>
              <w:rPr>
                <w:rFonts w:hint="eastAsia" w:ascii="宋体" w:hAnsi="宋体" w:cs="宋体"/>
                <w:szCs w:val="21"/>
              </w:rPr>
              <w:t>电话：</w:t>
            </w:r>
          </w:p>
        </w:tc>
      </w:tr>
      <w:tr w14:paraId="2062B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14:paraId="1186B326">
            <w:pPr>
              <w:snapToGrid w:val="0"/>
              <w:spacing w:line="400" w:lineRule="exact"/>
              <w:rPr>
                <w:rFonts w:ascii="宋体" w:hAnsi="宋体" w:cs="宋体"/>
                <w:szCs w:val="21"/>
              </w:rPr>
            </w:pPr>
            <w:r>
              <w:rPr>
                <w:rFonts w:hint="eastAsia" w:ascii="宋体" w:hAnsi="宋体" w:cs="宋体"/>
                <w:szCs w:val="21"/>
              </w:rPr>
              <w:t>电子邮箱：gxmugzc@163.com</w:t>
            </w:r>
          </w:p>
        </w:tc>
        <w:tc>
          <w:tcPr>
            <w:tcW w:w="2500" w:type="pct"/>
            <w:tcBorders>
              <w:top w:val="single" w:color="auto" w:sz="4" w:space="0"/>
              <w:left w:val="single" w:color="auto" w:sz="4" w:space="0"/>
              <w:bottom w:val="single" w:color="auto" w:sz="4" w:space="0"/>
              <w:right w:val="single" w:color="auto" w:sz="4" w:space="0"/>
            </w:tcBorders>
            <w:vAlign w:val="center"/>
          </w:tcPr>
          <w:p w14:paraId="115063FF">
            <w:pPr>
              <w:snapToGrid w:val="0"/>
              <w:spacing w:line="400" w:lineRule="exact"/>
              <w:rPr>
                <w:rFonts w:ascii="宋体" w:hAnsi="宋体" w:cs="宋体"/>
                <w:szCs w:val="21"/>
              </w:rPr>
            </w:pPr>
            <w:r>
              <w:rPr>
                <w:rFonts w:hint="eastAsia" w:ascii="宋体" w:hAnsi="宋体" w:cs="宋体"/>
                <w:szCs w:val="21"/>
              </w:rPr>
              <w:t>电子邮箱：</w:t>
            </w:r>
          </w:p>
        </w:tc>
      </w:tr>
      <w:tr w14:paraId="6D3B6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14:paraId="5F768381">
            <w:pPr>
              <w:snapToGrid w:val="0"/>
              <w:spacing w:line="400" w:lineRule="exact"/>
              <w:rPr>
                <w:rFonts w:ascii="宋体" w:hAnsi="宋体" w:cs="宋体"/>
                <w:szCs w:val="21"/>
              </w:rPr>
            </w:pPr>
            <w:r>
              <w:rPr>
                <w:rFonts w:hint="eastAsia" w:ascii="宋体" w:hAnsi="宋体" w:cs="宋体"/>
                <w:szCs w:val="21"/>
              </w:rPr>
              <w:t>开户银行：</w:t>
            </w:r>
            <w:r>
              <w:rPr>
                <w:rFonts w:ascii="宋体" w:hAnsi="宋体" w:cs="宋体"/>
                <w:szCs w:val="21"/>
              </w:rPr>
              <w:t>中行南宁市医科大支行</w:t>
            </w:r>
          </w:p>
        </w:tc>
        <w:tc>
          <w:tcPr>
            <w:tcW w:w="2500" w:type="pct"/>
            <w:tcBorders>
              <w:top w:val="single" w:color="auto" w:sz="4" w:space="0"/>
              <w:left w:val="single" w:color="auto" w:sz="4" w:space="0"/>
              <w:bottom w:val="single" w:color="auto" w:sz="4" w:space="0"/>
              <w:right w:val="single" w:color="auto" w:sz="4" w:space="0"/>
            </w:tcBorders>
            <w:vAlign w:val="center"/>
          </w:tcPr>
          <w:p w14:paraId="24CF565E">
            <w:pPr>
              <w:snapToGrid w:val="0"/>
              <w:spacing w:line="400" w:lineRule="exact"/>
              <w:rPr>
                <w:rFonts w:ascii="宋体" w:hAnsi="宋体" w:cs="宋体"/>
                <w:szCs w:val="21"/>
              </w:rPr>
            </w:pPr>
            <w:r>
              <w:rPr>
                <w:rFonts w:hint="eastAsia" w:ascii="宋体" w:hAnsi="宋体" w:cs="宋体"/>
                <w:szCs w:val="21"/>
              </w:rPr>
              <w:t>开户银行：</w:t>
            </w:r>
          </w:p>
        </w:tc>
      </w:tr>
      <w:tr w14:paraId="68E12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14:paraId="78503CC7">
            <w:pPr>
              <w:snapToGrid w:val="0"/>
              <w:spacing w:line="400" w:lineRule="exact"/>
              <w:rPr>
                <w:rFonts w:ascii="宋体" w:hAnsi="宋体" w:cs="宋体"/>
                <w:szCs w:val="21"/>
              </w:rPr>
            </w:pPr>
            <w:r>
              <w:rPr>
                <w:rFonts w:hint="eastAsia" w:ascii="宋体" w:hAnsi="宋体" w:cs="宋体"/>
                <w:szCs w:val="21"/>
              </w:rPr>
              <w:t>账号：622357485287</w:t>
            </w:r>
          </w:p>
        </w:tc>
        <w:tc>
          <w:tcPr>
            <w:tcW w:w="2500" w:type="pct"/>
            <w:tcBorders>
              <w:top w:val="single" w:color="auto" w:sz="4" w:space="0"/>
              <w:left w:val="single" w:color="auto" w:sz="4" w:space="0"/>
              <w:bottom w:val="single" w:color="auto" w:sz="4" w:space="0"/>
              <w:right w:val="single" w:color="auto" w:sz="4" w:space="0"/>
            </w:tcBorders>
            <w:vAlign w:val="center"/>
          </w:tcPr>
          <w:p w14:paraId="72EFA8AB">
            <w:pPr>
              <w:snapToGrid w:val="0"/>
              <w:spacing w:line="400" w:lineRule="exact"/>
              <w:rPr>
                <w:rFonts w:ascii="宋体" w:hAnsi="宋体" w:cs="宋体"/>
                <w:szCs w:val="21"/>
              </w:rPr>
            </w:pPr>
            <w:r>
              <w:rPr>
                <w:rFonts w:hint="eastAsia" w:ascii="宋体" w:hAnsi="宋体" w:cs="宋体"/>
                <w:szCs w:val="21"/>
              </w:rPr>
              <w:t>账号：</w:t>
            </w:r>
          </w:p>
        </w:tc>
      </w:tr>
      <w:tr w14:paraId="62613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14:paraId="5AF76E2A">
            <w:pPr>
              <w:snapToGrid w:val="0"/>
              <w:spacing w:line="240" w:lineRule="exact"/>
              <w:jc w:val="left"/>
              <w:rPr>
                <w:rFonts w:ascii="宋体" w:hAnsi="宋体" w:cs="宋体"/>
                <w:szCs w:val="21"/>
              </w:rPr>
            </w:pPr>
            <w:r>
              <w:rPr>
                <w:rFonts w:hint="eastAsia" w:ascii="宋体" w:hAnsi="宋体" w:cs="宋体"/>
                <w:szCs w:val="21"/>
              </w:rPr>
              <w:t>纳税人识别号或统一社会信用代码：</w:t>
            </w:r>
          </w:p>
          <w:p w14:paraId="58A05BC9">
            <w:pPr>
              <w:snapToGrid w:val="0"/>
              <w:spacing w:line="240" w:lineRule="exact"/>
              <w:jc w:val="left"/>
              <w:rPr>
                <w:rFonts w:ascii="宋体" w:hAnsi="宋体" w:cs="宋体"/>
                <w:szCs w:val="21"/>
              </w:rPr>
            </w:pPr>
          </w:p>
          <w:p w14:paraId="5489F4CD">
            <w:pPr>
              <w:snapToGrid w:val="0"/>
              <w:spacing w:line="240" w:lineRule="exact"/>
              <w:jc w:val="left"/>
              <w:rPr>
                <w:szCs w:val="21"/>
              </w:rPr>
            </w:pPr>
            <w:r>
              <w:rPr>
                <w:rFonts w:hint="eastAsia" w:ascii="宋体" w:hAnsi="宋体" w:cs="宋体"/>
                <w:szCs w:val="21"/>
              </w:rPr>
              <w:t>12450000498506243T</w:t>
            </w:r>
          </w:p>
        </w:tc>
        <w:tc>
          <w:tcPr>
            <w:tcW w:w="2500" w:type="pct"/>
            <w:tcBorders>
              <w:top w:val="single" w:color="auto" w:sz="4" w:space="0"/>
              <w:left w:val="single" w:color="auto" w:sz="4" w:space="0"/>
              <w:bottom w:val="single" w:color="auto" w:sz="4" w:space="0"/>
              <w:right w:val="single" w:color="auto" w:sz="4" w:space="0"/>
            </w:tcBorders>
            <w:vAlign w:val="center"/>
          </w:tcPr>
          <w:p w14:paraId="4D628C0A">
            <w:pPr>
              <w:snapToGrid w:val="0"/>
              <w:spacing w:line="240" w:lineRule="exact"/>
              <w:rPr>
                <w:rFonts w:ascii="宋体" w:hAnsi="宋体" w:cs="宋体"/>
                <w:szCs w:val="21"/>
              </w:rPr>
            </w:pPr>
          </w:p>
          <w:p w14:paraId="37814B23">
            <w:pPr>
              <w:snapToGrid w:val="0"/>
              <w:spacing w:line="240" w:lineRule="exact"/>
              <w:jc w:val="left"/>
              <w:rPr>
                <w:rFonts w:ascii="宋体" w:hAnsi="宋体" w:cs="宋体"/>
                <w:szCs w:val="21"/>
              </w:rPr>
            </w:pPr>
            <w:r>
              <w:rPr>
                <w:rFonts w:hint="eastAsia" w:ascii="宋体" w:hAnsi="宋体" w:cs="宋体"/>
                <w:szCs w:val="21"/>
              </w:rPr>
              <w:t>纳税人识别号或统一社会信用代码：</w:t>
            </w:r>
          </w:p>
          <w:p w14:paraId="798F0457">
            <w:pPr>
              <w:keepNext/>
              <w:keepLines/>
              <w:spacing w:before="260" w:after="260" w:line="240" w:lineRule="exact"/>
              <w:outlineLvl w:val="2"/>
              <w:rPr>
                <w:b/>
                <w:szCs w:val="21"/>
              </w:rPr>
            </w:pPr>
          </w:p>
        </w:tc>
      </w:tr>
      <w:tr w14:paraId="71E05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14:paraId="7630A9A1">
            <w:pPr>
              <w:snapToGrid w:val="0"/>
              <w:spacing w:line="400" w:lineRule="exact"/>
              <w:rPr>
                <w:rFonts w:ascii="宋体" w:hAnsi="宋体" w:cs="宋体"/>
                <w:szCs w:val="21"/>
              </w:rPr>
            </w:pPr>
            <w:r>
              <w:rPr>
                <w:rFonts w:hint="eastAsia" w:ascii="宋体" w:hAnsi="宋体" w:cs="宋体"/>
                <w:szCs w:val="21"/>
              </w:rPr>
              <w:t>邮政编码：530021</w:t>
            </w:r>
          </w:p>
        </w:tc>
        <w:tc>
          <w:tcPr>
            <w:tcW w:w="2500" w:type="pct"/>
            <w:tcBorders>
              <w:top w:val="single" w:color="auto" w:sz="4" w:space="0"/>
              <w:left w:val="single" w:color="auto" w:sz="4" w:space="0"/>
              <w:bottom w:val="single" w:color="auto" w:sz="4" w:space="0"/>
              <w:right w:val="single" w:color="auto" w:sz="4" w:space="0"/>
            </w:tcBorders>
            <w:vAlign w:val="center"/>
          </w:tcPr>
          <w:p w14:paraId="4E8AE5B4">
            <w:pPr>
              <w:snapToGrid w:val="0"/>
              <w:spacing w:line="400" w:lineRule="exact"/>
              <w:rPr>
                <w:rFonts w:ascii="宋体" w:hAnsi="宋体" w:cs="宋体"/>
                <w:szCs w:val="21"/>
              </w:rPr>
            </w:pPr>
            <w:r>
              <w:rPr>
                <w:rFonts w:hint="eastAsia" w:ascii="宋体" w:hAnsi="宋体" w:cs="宋体"/>
                <w:szCs w:val="21"/>
              </w:rPr>
              <w:t>邮政编码：</w:t>
            </w:r>
          </w:p>
        </w:tc>
      </w:tr>
      <w:tr w14:paraId="59A72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5000" w:type="pct"/>
            <w:gridSpan w:val="2"/>
            <w:tcBorders>
              <w:top w:val="single" w:color="auto" w:sz="4" w:space="0"/>
              <w:left w:val="single" w:color="auto" w:sz="4" w:space="0"/>
              <w:bottom w:val="single" w:color="auto" w:sz="4" w:space="0"/>
              <w:right w:val="single" w:color="auto" w:sz="4" w:space="0"/>
            </w:tcBorders>
          </w:tcPr>
          <w:p w14:paraId="2651E2F4">
            <w:pPr>
              <w:snapToGrid w:val="0"/>
              <w:spacing w:line="408" w:lineRule="auto"/>
              <w:rPr>
                <w:rFonts w:ascii="宋体" w:hAnsi="宋体"/>
                <w:szCs w:val="21"/>
              </w:rPr>
            </w:pPr>
            <w:r>
              <w:rPr>
                <w:rFonts w:hint="eastAsia" w:ascii="宋体" w:hAnsi="宋体"/>
                <w:szCs w:val="21"/>
              </w:rPr>
              <w:t>经办人：</w:t>
            </w:r>
          </w:p>
          <w:p w14:paraId="1991F1EE">
            <w:pPr>
              <w:ind w:firstLine="420" w:firstLineChars="200"/>
              <w:rPr>
                <w:rFonts w:ascii="仿宋_GB2312" w:eastAsia="仿宋_GB2312" w:cs="仿宋_GB2312"/>
                <w:szCs w:val="21"/>
              </w:rPr>
            </w:pPr>
          </w:p>
          <w:p w14:paraId="25908EEF">
            <w:pPr>
              <w:snapToGrid w:val="0"/>
              <w:spacing w:line="408" w:lineRule="auto"/>
              <w:ind w:firstLine="630" w:firstLineChars="300"/>
              <w:jc w:val="right"/>
              <w:rPr>
                <w:rFonts w:ascii="宋体" w:hAnsi="宋体" w:cs="宋体"/>
                <w:szCs w:val="21"/>
              </w:rPr>
            </w:pPr>
            <w:r>
              <w:rPr>
                <w:rFonts w:hint="eastAsia" w:ascii="宋体" w:hAnsi="宋体"/>
                <w:szCs w:val="21"/>
              </w:rPr>
              <w:t>年    月    日</w:t>
            </w:r>
          </w:p>
        </w:tc>
      </w:tr>
    </w:tbl>
    <w:p w14:paraId="4AEAD856">
      <w:pPr>
        <w:rPr>
          <w:szCs w:val="21"/>
        </w:rPr>
      </w:pPr>
    </w:p>
    <w:p w14:paraId="149231AE">
      <w:pPr>
        <w:spacing w:line="720" w:lineRule="auto"/>
        <w:jc w:val="center"/>
        <w:rPr>
          <w:b/>
          <w:sz w:val="28"/>
          <w:szCs w:val="28"/>
        </w:rPr>
      </w:pPr>
      <w:r>
        <w:br w:type="page"/>
      </w:r>
      <w:r>
        <w:rPr>
          <w:rFonts w:hint="eastAsia"/>
          <w:b/>
          <w:sz w:val="28"/>
          <w:szCs w:val="28"/>
        </w:rPr>
        <w:t>合 同 附 件</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8"/>
        <w:gridCol w:w="4680"/>
      </w:tblGrid>
      <w:tr w14:paraId="1A1BA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0" w:hRule="atLeast"/>
          <w:jc w:val="center"/>
        </w:trPr>
        <w:tc>
          <w:tcPr>
            <w:tcW w:w="9468" w:type="dxa"/>
            <w:gridSpan w:val="2"/>
            <w:tcBorders>
              <w:top w:val="single" w:color="auto" w:sz="4" w:space="0"/>
              <w:left w:val="single" w:color="auto" w:sz="4" w:space="0"/>
              <w:right w:val="single" w:color="auto" w:sz="4" w:space="0"/>
            </w:tcBorders>
          </w:tcPr>
          <w:p w14:paraId="4A52291A">
            <w:pPr>
              <w:snapToGrid w:val="0"/>
              <w:spacing w:line="360" w:lineRule="exact"/>
              <w:rPr>
                <w:szCs w:val="21"/>
              </w:rPr>
            </w:pPr>
            <w:r>
              <w:rPr>
                <w:rFonts w:hint="eastAsia"/>
                <w:szCs w:val="21"/>
              </w:rPr>
              <w:t>1、供应商承诺具体事项：详见</w:t>
            </w:r>
            <w:r>
              <w:rPr>
                <w:rFonts w:hint="eastAsia" w:ascii="宋体" w:hAnsi="宋体"/>
                <w:szCs w:val="21"/>
              </w:rPr>
              <w:t>投标文件。</w:t>
            </w:r>
          </w:p>
        </w:tc>
      </w:tr>
      <w:tr w14:paraId="344F4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5" w:hRule="atLeast"/>
          <w:jc w:val="center"/>
        </w:trPr>
        <w:tc>
          <w:tcPr>
            <w:tcW w:w="9468" w:type="dxa"/>
            <w:gridSpan w:val="2"/>
            <w:tcBorders>
              <w:top w:val="single" w:color="auto" w:sz="4" w:space="0"/>
              <w:left w:val="single" w:color="auto" w:sz="4" w:space="0"/>
              <w:right w:val="single" w:color="auto" w:sz="4" w:space="0"/>
            </w:tcBorders>
          </w:tcPr>
          <w:p w14:paraId="13BAD8B8">
            <w:pPr>
              <w:snapToGrid w:val="0"/>
              <w:spacing w:line="360" w:lineRule="exact"/>
              <w:rPr>
                <w:szCs w:val="21"/>
              </w:rPr>
            </w:pPr>
            <w:r>
              <w:rPr>
                <w:rFonts w:hint="eastAsia"/>
                <w:szCs w:val="21"/>
              </w:rPr>
              <w:t>2、售后服务具体事项：详见</w:t>
            </w:r>
            <w:r>
              <w:rPr>
                <w:rFonts w:hint="eastAsia" w:ascii="宋体" w:hAnsi="宋体"/>
                <w:szCs w:val="21"/>
              </w:rPr>
              <w:t>投标文件。</w:t>
            </w:r>
          </w:p>
        </w:tc>
      </w:tr>
      <w:tr w14:paraId="3FD3C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7" w:hRule="atLeast"/>
          <w:jc w:val="center"/>
        </w:trPr>
        <w:tc>
          <w:tcPr>
            <w:tcW w:w="9468" w:type="dxa"/>
            <w:gridSpan w:val="2"/>
            <w:tcBorders>
              <w:top w:val="single" w:color="auto" w:sz="4" w:space="0"/>
              <w:left w:val="single" w:color="auto" w:sz="4" w:space="0"/>
              <w:right w:val="single" w:color="auto" w:sz="4" w:space="0"/>
            </w:tcBorders>
          </w:tcPr>
          <w:p w14:paraId="2C5EA8CD">
            <w:pPr>
              <w:snapToGrid w:val="0"/>
              <w:spacing w:line="360" w:lineRule="exact"/>
              <w:rPr>
                <w:szCs w:val="21"/>
              </w:rPr>
            </w:pPr>
            <w:r>
              <w:rPr>
                <w:rFonts w:hint="eastAsia"/>
                <w:szCs w:val="21"/>
              </w:rPr>
              <w:t>3、保修期责任：详见</w:t>
            </w:r>
            <w:r>
              <w:rPr>
                <w:rFonts w:hint="eastAsia" w:ascii="宋体" w:hAnsi="宋体"/>
                <w:szCs w:val="21"/>
              </w:rPr>
              <w:t>投标文件。</w:t>
            </w:r>
          </w:p>
        </w:tc>
      </w:tr>
      <w:tr w14:paraId="101FE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2" w:hRule="atLeast"/>
          <w:jc w:val="center"/>
        </w:trPr>
        <w:tc>
          <w:tcPr>
            <w:tcW w:w="9468" w:type="dxa"/>
            <w:gridSpan w:val="2"/>
            <w:tcBorders>
              <w:top w:val="single" w:color="auto" w:sz="4" w:space="0"/>
              <w:left w:val="single" w:color="auto" w:sz="4" w:space="0"/>
              <w:right w:val="single" w:color="auto" w:sz="4" w:space="0"/>
            </w:tcBorders>
          </w:tcPr>
          <w:p w14:paraId="2EC49A38">
            <w:pPr>
              <w:snapToGrid w:val="0"/>
              <w:spacing w:line="360" w:lineRule="exact"/>
              <w:rPr>
                <w:szCs w:val="21"/>
              </w:rPr>
            </w:pPr>
            <w:r>
              <w:rPr>
                <w:rFonts w:hint="eastAsia"/>
                <w:szCs w:val="21"/>
              </w:rPr>
              <w:t>4、其他具体事项：详见</w:t>
            </w:r>
            <w:r>
              <w:rPr>
                <w:rFonts w:hint="eastAsia" w:ascii="宋体" w:hAnsi="宋体"/>
                <w:szCs w:val="21"/>
              </w:rPr>
              <w:t>投标文件。</w:t>
            </w:r>
          </w:p>
        </w:tc>
      </w:tr>
      <w:tr w14:paraId="1B6B3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7" w:hRule="atLeast"/>
          <w:jc w:val="center"/>
        </w:trPr>
        <w:tc>
          <w:tcPr>
            <w:tcW w:w="4788" w:type="dxa"/>
            <w:tcBorders>
              <w:top w:val="single" w:color="auto" w:sz="4" w:space="0"/>
              <w:left w:val="single" w:color="auto" w:sz="4" w:space="0"/>
              <w:bottom w:val="single" w:color="auto" w:sz="4" w:space="0"/>
              <w:right w:val="single" w:color="auto" w:sz="4" w:space="0"/>
            </w:tcBorders>
            <w:vAlign w:val="center"/>
          </w:tcPr>
          <w:p w14:paraId="08E8F694">
            <w:pPr>
              <w:snapToGrid w:val="0"/>
              <w:spacing w:line="360" w:lineRule="exact"/>
              <w:rPr>
                <w:szCs w:val="21"/>
              </w:rPr>
            </w:pPr>
            <w:r>
              <w:rPr>
                <w:rFonts w:hint="eastAsia"/>
                <w:szCs w:val="21"/>
              </w:rPr>
              <w:t>甲方（章）</w:t>
            </w:r>
          </w:p>
          <w:p w14:paraId="50BC30E6">
            <w:pPr>
              <w:snapToGrid w:val="0"/>
              <w:spacing w:line="360" w:lineRule="exact"/>
              <w:ind w:firstLine="422"/>
              <w:rPr>
                <w:szCs w:val="21"/>
              </w:rPr>
            </w:pPr>
          </w:p>
          <w:p w14:paraId="7A73C4D1">
            <w:pPr>
              <w:snapToGrid w:val="0"/>
              <w:spacing w:line="360" w:lineRule="exact"/>
              <w:ind w:firstLine="422"/>
              <w:rPr>
                <w:szCs w:val="21"/>
              </w:rPr>
            </w:pPr>
          </w:p>
          <w:p w14:paraId="74A4D0AC">
            <w:pPr>
              <w:snapToGrid w:val="0"/>
              <w:spacing w:line="360" w:lineRule="exact"/>
              <w:ind w:firstLine="422"/>
              <w:rPr>
                <w:szCs w:val="21"/>
              </w:rPr>
            </w:pPr>
          </w:p>
          <w:p w14:paraId="0005F64A">
            <w:pPr>
              <w:snapToGrid w:val="0"/>
              <w:spacing w:line="360" w:lineRule="exact"/>
              <w:ind w:firstLine="422"/>
              <w:rPr>
                <w:szCs w:val="21"/>
              </w:rPr>
            </w:pPr>
          </w:p>
          <w:p w14:paraId="29BB3BA4">
            <w:pPr>
              <w:snapToGrid w:val="0"/>
              <w:spacing w:line="360" w:lineRule="exact"/>
              <w:ind w:firstLine="422"/>
              <w:rPr>
                <w:szCs w:val="21"/>
              </w:rPr>
            </w:pPr>
          </w:p>
          <w:p w14:paraId="790DE7E3">
            <w:pPr>
              <w:snapToGrid w:val="0"/>
              <w:spacing w:line="360" w:lineRule="exact"/>
              <w:ind w:firstLine="422"/>
              <w:rPr>
                <w:szCs w:val="21"/>
              </w:rPr>
            </w:pPr>
          </w:p>
          <w:p w14:paraId="58A2B3D0">
            <w:pPr>
              <w:snapToGrid w:val="0"/>
              <w:spacing w:line="360" w:lineRule="exact"/>
              <w:ind w:firstLine="422"/>
              <w:rPr>
                <w:szCs w:val="21"/>
              </w:rPr>
            </w:pPr>
            <w:r>
              <w:rPr>
                <w:rFonts w:hint="eastAsia"/>
                <w:szCs w:val="21"/>
              </w:rPr>
              <w:t xml:space="preserve">                      年   月   日 </w:t>
            </w:r>
          </w:p>
        </w:tc>
        <w:tc>
          <w:tcPr>
            <w:tcW w:w="4680" w:type="dxa"/>
            <w:tcBorders>
              <w:top w:val="single" w:color="auto" w:sz="4" w:space="0"/>
              <w:left w:val="single" w:color="auto" w:sz="4" w:space="0"/>
              <w:bottom w:val="single" w:color="auto" w:sz="4" w:space="0"/>
              <w:right w:val="single" w:color="auto" w:sz="4" w:space="0"/>
            </w:tcBorders>
            <w:vAlign w:val="center"/>
          </w:tcPr>
          <w:p w14:paraId="30456299">
            <w:pPr>
              <w:snapToGrid w:val="0"/>
              <w:spacing w:line="360" w:lineRule="exact"/>
              <w:rPr>
                <w:szCs w:val="21"/>
              </w:rPr>
            </w:pPr>
            <w:r>
              <w:rPr>
                <w:rFonts w:hint="eastAsia"/>
                <w:szCs w:val="21"/>
              </w:rPr>
              <w:t>乙方（章）</w:t>
            </w:r>
          </w:p>
          <w:p w14:paraId="0D6C70CC">
            <w:pPr>
              <w:snapToGrid w:val="0"/>
              <w:spacing w:line="360" w:lineRule="exact"/>
              <w:ind w:firstLine="422"/>
              <w:rPr>
                <w:szCs w:val="21"/>
              </w:rPr>
            </w:pPr>
          </w:p>
          <w:p w14:paraId="01FD1372">
            <w:pPr>
              <w:snapToGrid w:val="0"/>
              <w:spacing w:line="360" w:lineRule="exact"/>
              <w:ind w:firstLine="422"/>
              <w:rPr>
                <w:szCs w:val="21"/>
              </w:rPr>
            </w:pPr>
          </w:p>
          <w:p w14:paraId="7A6E247F">
            <w:pPr>
              <w:snapToGrid w:val="0"/>
              <w:spacing w:line="360" w:lineRule="exact"/>
              <w:ind w:firstLine="422"/>
              <w:rPr>
                <w:szCs w:val="21"/>
              </w:rPr>
            </w:pPr>
          </w:p>
          <w:p w14:paraId="40996355">
            <w:pPr>
              <w:snapToGrid w:val="0"/>
              <w:spacing w:line="360" w:lineRule="exact"/>
              <w:ind w:firstLine="422"/>
              <w:rPr>
                <w:szCs w:val="21"/>
              </w:rPr>
            </w:pPr>
          </w:p>
          <w:p w14:paraId="737B1C9C">
            <w:pPr>
              <w:snapToGrid w:val="0"/>
              <w:spacing w:line="360" w:lineRule="exact"/>
              <w:ind w:firstLine="422"/>
              <w:rPr>
                <w:szCs w:val="21"/>
              </w:rPr>
            </w:pPr>
          </w:p>
          <w:p w14:paraId="4651713A">
            <w:pPr>
              <w:snapToGrid w:val="0"/>
              <w:spacing w:line="360" w:lineRule="exact"/>
              <w:ind w:firstLine="422"/>
              <w:rPr>
                <w:szCs w:val="21"/>
              </w:rPr>
            </w:pPr>
          </w:p>
          <w:p w14:paraId="0B7DC38D">
            <w:pPr>
              <w:snapToGrid w:val="0"/>
              <w:spacing w:line="360" w:lineRule="exact"/>
              <w:ind w:firstLine="422"/>
              <w:rPr>
                <w:szCs w:val="21"/>
              </w:rPr>
            </w:pPr>
            <w:r>
              <w:rPr>
                <w:rFonts w:hint="eastAsia"/>
                <w:szCs w:val="21"/>
              </w:rPr>
              <w:t xml:space="preserve">                       年   月   日</w:t>
            </w:r>
          </w:p>
        </w:tc>
      </w:tr>
    </w:tbl>
    <w:p w14:paraId="1BDCF467">
      <w:pPr>
        <w:snapToGrid w:val="0"/>
        <w:spacing w:line="360" w:lineRule="exact"/>
        <w:rPr>
          <w:rFonts w:ascii="宋体"/>
          <w:szCs w:val="21"/>
        </w:rPr>
      </w:pPr>
      <w:r>
        <w:rPr>
          <w:rFonts w:hint="eastAsia" w:ascii="宋体"/>
          <w:szCs w:val="21"/>
        </w:rPr>
        <w:t xml:space="preserve">  注：售后服务事项填不下时可另加附页。</w:t>
      </w:r>
    </w:p>
    <w:p w14:paraId="1E41E5ED">
      <w:pPr>
        <w:snapToGrid w:val="0"/>
        <w:spacing w:line="360" w:lineRule="exact"/>
        <w:jc w:val="center"/>
        <w:rPr>
          <w:rFonts w:ascii="宋体"/>
          <w:b/>
          <w:szCs w:val="21"/>
        </w:rPr>
      </w:pPr>
    </w:p>
    <w:p w14:paraId="3B8AAC96">
      <w:pPr>
        <w:snapToGrid w:val="0"/>
        <w:spacing w:line="360" w:lineRule="exact"/>
        <w:jc w:val="center"/>
        <w:rPr>
          <w:rFonts w:ascii="宋体"/>
          <w:b/>
          <w:szCs w:val="21"/>
        </w:rPr>
      </w:pPr>
    </w:p>
    <w:p w14:paraId="50B04E7E">
      <w:pPr>
        <w:snapToGrid w:val="0"/>
        <w:spacing w:line="360" w:lineRule="exact"/>
        <w:rPr>
          <w:rFonts w:ascii="宋体"/>
          <w:szCs w:val="21"/>
        </w:rPr>
      </w:pPr>
    </w:p>
    <w:p w14:paraId="25853135"/>
    <w:p w14:paraId="2543BDE0">
      <w:pPr>
        <w:spacing w:line="400" w:lineRule="exact"/>
        <w:jc w:val="center"/>
        <w:rPr>
          <w:rFonts w:ascii="宋体"/>
          <w:sz w:val="32"/>
          <w:szCs w:val="32"/>
        </w:rPr>
      </w:pPr>
      <w:r>
        <w:br w:type="page"/>
      </w:r>
    </w:p>
    <w:p w14:paraId="44549062">
      <w:pPr>
        <w:spacing w:line="400" w:lineRule="exact"/>
        <w:jc w:val="center"/>
        <w:rPr>
          <w:rFonts w:ascii="宋体"/>
          <w:sz w:val="32"/>
          <w:szCs w:val="32"/>
        </w:rPr>
      </w:pPr>
    </w:p>
    <w:p w14:paraId="27CB5978">
      <w:pPr>
        <w:spacing w:line="400" w:lineRule="exact"/>
        <w:jc w:val="center"/>
        <w:rPr>
          <w:rFonts w:ascii="宋体"/>
          <w:sz w:val="32"/>
          <w:szCs w:val="32"/>
        </w:rPr>
      </w:pPr>
    </w:p>
    <w:p w14:paraId="2A86BC14">
      <w:pPr>
        <w:spacing w:line="400" w:lineRule="exact"/>
        <w:jc w:val="center"/>
        <w:rPr>
          <w:rFonts w:ascii="宋体"/>
          <w:sz w:val="32"/>
          <w:szCs w:val="32"/>
        </w:rPr>
      </w:pPr>
    </w:p>
    <w:p w14:paraId="0396948B">
      <w:pPr>
        <w:spacing w:line="400" w:lineRule="exact"/>
        <w:jc w:val="center"/>
        <w:rPr>
          <w:rFonts w:ascii="宋体"/>
          <w:sz w:val="32"/>
          <w:szCs w:val="32"/>
        </w:rPr>
      </w:pPr>
    </w:p>
    <w:p w14:paraId="75F29E41">
      <w:pPr>
        <w:spacing w:line="400" w:lineRule="exact"/>
        <w:jc w:val="center"/>
        <w:rPr>
          <w:rFonts w:ascii="宋体"/>
          <w:sz w:val="32"/>
          <w:szCs w:val="32"/>
        </w:rPr>
      </w:pPr>
    </w:p>
    <w:p w14:paraId="75BF5F97">
      <w:pPr>
        <w:spacing w:line="400" w:lineRule="exact"/>
        <w:jc w:val="center"/>
        <w:rPr>
          <w:rFonts w:ascii="宋体"/>
          <w:sz w:val="32"/>
          <w:szCs w:val="32"/>
        </w:rPr>
      </w:pPr>
    </w:p>
    <w:p w14:paraId="66D835DE">
      <w:pPr>
        <w:spacing w:line="400" w:lineRule="exact"/>
        <w:jc w:val="center"/>
        <w:rPr>
          <w:rFonts w:ascii="宋体"/>
          <w:sz w:val="32"/>
          <w:szCs w:val="32"/>
        </w:rPr>
      </w:pPr>
    </w:p>
    <w:p w14:paraId="2E1B5192">
      <w:pPr>
        <w:spacing w:line="400" w:lineRule="exact"/>
        <w:jc w:val="center"/>
        <w:rPr>
          <w:rFonts w:ascii="宋体"/>
          <w:sz w:val="32"/>
          <w:szCs w:val="32"/>
        </w:rPr>
      </w:pPr>
    </w:p>
    <w:p w14:paraId="28F85161">
      <w:pPr>
        <w:spacing w:line="400" w:lineRule="exact"/>
        <w:jc w:val="center"/>
        <w:rPr>
          <w:rFonts w:ascii="宋体"/>
          <w:sz w:val="32"/>
          <w:szCs w:val="32"/>
        </w:rPr>
      </w:pPr>
    </w:p>
    <w:p w14:paraId="63869C83">
      <w:pPr>
        <w:spacing w:line="400" w:lineRule="exact"/>
        <w:jc w:val="center"/>
        <w:rPr>
          <w:rFonts w:ascii="宋体"/>
          <w:sz w:val="32"/>
          <w:szCs w:val="32"/>
        </w:rPr>
      </w:pPr>
    </w:p>
    <w:p w14:paraId="07FDF4D7">
      <w:pPr>
        <w:spacing w:line="400" w:lineRule="exact"/>
        <w:jc w:val="center"/>
        <w:rPr>
          <w:rFonts w:ascii="宋体"/>
          <w:sz w:val="32"/>
          <w:szCs w:val="32"/>
        </w:rPr>
      </w:pPr>
    </w:p>
    <w:p w14:paraId="30F791F1">
      <w:pPr>
        <w:spacing w:line="400" w:lineRule="exact"/>
        <w:rPr>
          <w:rFonts w:ascii="宋体"/>
          <w:sz w:val="32"/>
          <w:szCs w:val="32"/>
        </w:rPr>
      </w:pPr>
    </w:p>
    <w:p w14:paraId="07B80D3C">
      <w:pPr>
        <w:pStyle w:val="46"/>
        <w:rPr>
          <w:sz w:val="44"/>
          <w:szCs w:val="44"/>
        </w:rPr>
      </w:pPr>
      <w:bookmarkStart w:id="103" w:name="_Toc476436177"/>
      <w:bookmarkStart w:id="104" w:name="_Toc476436436"/>
      <w:r>
        <w:rPr>
          <w:rFonts w:hint="eastAsia"/>
          <w:sz w:val="44"/>
          <w:szCs w:val="44"/>
        </w:rPr>
        <w:t>第六章　投标文件格式</w:t>
      </w:r>
      <w:bookmarkEnd w:id="103"/>
      <w:bookmarkEnd w:id="104"/>
    </w:p>
    <w:p w14:paraId="0D078188"/>
    <w:p w14:paraId="07973292">
      <w:bookmarkStart w:id="105" w:name="_Toc254970556"/>
      <w:bookmarkStart w:id="106" w:name="_Toc254970697"/>
    </w:p>
    <w:p w14:paraId="71F1EA93"/>
    <w:p w14:paraId="0AED76CB"/>
    <w:p w14:paraId="0165EF3C"/>
    <w:p w14:paraId="0433D6B6"/>
    <w:p w14:paraId="67BEAE8B"/>
    <w:p w14:paraId="75689D06"/>
    <w:p w14:paraId="3801E872"/>
    <w:p w14:paraId="4144C016"/>
    <w:p w14:paraId="76D083D0"/>
    <w:p w14:paraId="0F922384"/>
    <w:bookmarkEnd w:id="105"/>
    <w:bookmarkEnd w:id="106"/>
    <w:p w14:paraId="4A518044">
      <w:pPr>
        <w:spacing w:line="720" w:lineRule="auto"/>
        <w:jc w:val="center"/>
        <w:rPr>
          <w:sz w:val="32"/>
          <w:szCs w:val="32"/>
        </w:rPr>
      </w:pPr>
      <w:r>
        <w:br w:type="page"/>
      </w:r>
      <w:r>
        <w:rPr>
          <w:rFonts w:hint="eastAsia"/>
          <w:sz w:val="32"/>
          <w:szCs w:val="32"/>
        </w:rPr>
        <w:t>投标文件格式</w:t>
      </w:r>
    </w:p>
    <w:p w14:paraId="61E68235">
      <w:pPr>
        <w:spacing w:line="480" w:lineRule="auto"/>
        <w:jc w:val="center"/>
        <w:rPr>
          <w:b/>
        </w:rPr>
      </w:pPr>
      <w:r>
        <w:rPr>
          <w:rFonts w:hint="eastAsia"/>
          <w:b/>
        </w:rPr>
        <w:t>一、投标文件封面格式</w:t>
      </w:r>
    </w:p>
    <w:p w14:paraId="0734B413">
      <w:pPr>
        <w:spacing w:line="360" w:lineRule="exact"/>
        <w:rPr>
          <w:b/>
        </w:rPr>
      </w:pPr>
    </w:p>
    <w:p w14:paraId="1408853C">
      <w:pPr>
        <w:snapToGrid w:val="0"/>
        <w:spacing w:beforeLines="50" w:after="50" w:line="360" w:lineRule="exact"/>
        <w:rPr>
          <w:rFonts w:ascii="宋体"/>
          <w:szCs w:val="21"/>
          <w:highlight w:val="yellow"/>
        </w:rPr>
      </w:pPr>
    </w:p>
    <w:p w14:paraId="68C58600">
      <w:pPr>
        <w:snapToGrid w:val="0"/>
        <w:spacing w:beforeLines="50" w:after="50" w:line="360" w:lineRule="exact"/>
        <w:rPr>
          <w:rFonts w:ascii="仿宋_GB2312" w:eastAsia="仿宋_GB2312"/>
          <w:bCs/>
          <w:sz w:val="24"/>
        </w:rPr>
      </w:pPr>
      <w:bookmarkStart w:id="107" w:name="_Toc254970698"/>
      <w:bookmarkStart w:id="108" w:name="_Toc254970557"/>
      <w:r>
        <w:rPr>
          <w:rFonts w:hint="eastAsia" w:ascii="仿宋_GB2312" w:eastAsia="仿宋_GB2312"/>
          <w:sz w:val="24"/>
        </w:rPr>
        <w:t xml:space="preserve">                   </w:t>
      </w:r>
    </w:p>
    <w:p w14:paraId="1A202F41">
      <w:pPr>
        <w:snapToGrid w:val="0"/>
        <w:spacing w:beforeLines="50" w:after="50" w:line="360" w:lineRule="exact"/>
        <w:jc w:val="center"/>
        <w:rPr>
          <w:rFonts w:ascii="宋体"/>
          <w:b/>
          <w:bCs/>
          <w:sz w:val="32"/>
          <w:szCs w:val="32"/>
        </w:rPr>
      </w:pPr>
      <w:r>
        <w:rPr>
          <w:rFonts w:hint="eastAsia" w:ascii="宋体"/>
          <w:b/>
          <w:bCs/>
          <w:sz w:val="32"/>
          <w:szCs w:val="32"/>
        </w:rPr>
        <w:t>投标文件</w:t>
      </w:r>
    </w:p>
    <w:p w14:paraId="6477B41D">
      <w:pPr>
        <w:snapToGrid w:val="0"/>
        <w:spacing w:beforeLines="50" w:after="50" w:line="360" w:lineRule="exact"/>
        <w:rPr>
          <w:rFonts w:ascii="仿宋_GB2312" w:eastAsia="仿宋_GB2312"/>
          <w:bCs/>
          <w:sz w:val="24"/>
        </w:rPr>
      </w:pPr>
    </w:p>
    <w:p w14:paraId="69E6D4CD">
      <w:pPr>
        <w:snapToGrid w:val="0"/>
        <w:spacing w:beforeLines="50" w:after="50" w:line="360" w:lineRule="exact"/>
        <w:ind w:firstLine="630" w:firstLineChars="300"/>
        <w:rPr>
          <w:rFonts w:ascii="宋体"/>
          <w:bCs/>
          <w:szCs w:val="21"/>
        </w:rPr>
      </w:pPr>
      <w:r>
        <w:rPr>
          <w:rFonts w:hint="eastAsia" w:ascii="宋体"/>
          <w:bCs/>
          <w:szCs w:val="21"/>
        </w:rPr>
        <w:t xml:space="preserve">采购项目名称： </w:t>
      </w:r>
    </w:p>
    <w:p w14:paraId="1E9C55E8">
      <w:pPr>
        <w:snapToGrid w:val="0"/>
        <w:spacing w:beforeLines="50" w:after="50" w:line="360" w:lineRule="exact"/>
        <w:ind w:firstLine="630" w:firstLineChars="300"/>
        <w:rPr>
          <w:rFonts w:ascii="宋体"/>
          <w:bCs/>
          <w:szCs w:val="21"/>
        </w:rPr>
      </w:pPr>
      <w:r>
        <w:rPr>
          <w:rFonts w:hint="eastAsia" w:ascii="宋体"/>
          <w:bCs/>
          <w:szCs w:val="21"/>
        </w:rPr>
        <w:t xml:space="preserve">采购项目编号： </w:t>
      </w:r>
    </w:p>
    <w:p w14:paraId="254A1FBC">
      <w:pPr>
        <w:snapToGrid w:val="0"/>
        <w:spacing w:beforeLines="50" w:after="50" w:line="360" w:lineRule="exact"/>
        <w:ind w:firstLine="630" w:firstLineChars="300"/>
        <w:rPr>
          <w:rFonts w:ascii="宋体"/>
          <w:bCs/>
          <w:szCs w:val="21"/>
        </w:rPr>
      </w:pPr>
      <w:r>
        <w:rPr>
          <w:rFonts w:hint="eastAsia" w:ascii="宋体"/>
          <w:bCs/>
          <w:szCs w:val="21"/>
        </w:rPr>
        <w:t>所投分标（如有）：</w:t>
      </w:r>
    </w:p>
    <w:p w14:paraId="060BD53F">
      <w:pPr>
        <w:snapToGrid w:val="0"/>
        <w:spacing w:beforeLines="50" w:after="50" w:line="360" w:lineRule="exact"/>
        <w:ind w:firstLine="630" w:firstLineChars="300"/>
        <w:rPr>
          <w:rFonts w:ascii="宋体"/>
          <w:bCs/>
          <w:szCs w:val="21"/>
        </w:rPr>
      </w:pPr>
      <w:r>
        <w:rPr>
          <w:rFonts w:hint="eastAsia" w:ascii="宋体"/>
          <w:bCs/>
          <w:szCs w:val="21"/>
        </w:rPr>
        <w:t>投标人名称：（盖章）</w:t>
      </w:r>
    </w:p>
    <w:p w14:paraId="73EE0427">
      <w:pPr>
        <w:snapToGrid w:val="0"/>
        <w:spacing w:beforeLines="50" w:after="50" w:line="360" w:lineRule="exact"/>
        <w:ind w:firstLine="630" w:firstLineChars="300"/>
        <w:rPr>
          <w:rFonts w:ascii="宋体"/>
          <w:bCs/>
          <w:szCs w:val="21"/>
        </w:rPr>
      </w:pPr>
      <w:r>
        <w:rPr>
          <w:rFonts w:hint="eastAsia" w:ascii="宋体"/>
          <w:bCs/>
          <w:szCs w:val="21"/>
        </w:rPr>
        <w:t>投标人地址：</w:t>
      </w:r>
    </w:p>
    <w:p w14:paraId="080195E3">
      <w:pPr>
        <w:spacing w:line="360" w:lineRule="exact"/>
      </w:pPr>
      <w:r>
        <w:rPr>
          <w:rFonts w:hint="eastAsia"/>
        </w:rPr>
        <w:t xml:space="preserve">                                                   年  月  日</w:t>
      </w:r>
    </w:p>
    <w:p w14:paraId="25B16A1A">
      <w:pPr>
        <w:spacing w:line="360" w:lineRule="exact"/>
      </w:pPr>
    </w:p>
    <w:p w14:paraId="7B7BF2FE">
      <w:pPr>
        <w:spacing w:line="360" w:lineRule="exact"/>
      </w:pPr>
      <w:r>
        <w:rPr>
          <w:rFonts w:hint="eastAsia" w:ascii="宋体" w:hAnsi="宋体"/>
          <w:bCs/>
          <w:szCs w:val="21"/>
        </w:rPr>
        <w:t>[注：</w:t>
      </w:r>
      <w:r>
        <w:rPr>
          <w:rFonts w:hint="eastAsia" w:ascii="宋体" w:hAnsi="宋体"/>
        </w:rPr>
        <w:t>投标文件由资格文件、商务技术文件、报价文件</w:t>
      </w:r>
      <w:r>
        <w:rPr>
          <w:rFonts w:hint="eastAsia" w:ascii="宋体"/>
          <w:b/>
          <w:szCs w:val="21"/>
        </w:rPr>
        <w:t>三部分</w:t>
      </w:r>
      <w:r>
        <w:rPr>
          <w:rFonts w:hint="eastAsia" w:ascii="宋体"/>
          <w:szCs w:val="21"/>
        </w:rPr>
        <w:t>组成</w:t>
      </w:r>
      <w:r>
        <w:rPr>
          <w:rFonts w:hint="eastAsia" w:ascii="宋体" w:hAnsi="宋体"/>
          <w:bCs/>
          <w:szCs w:val="21"/>
        </w:rPr>
        <w:t>]</w:t>
      </w:r>
    </w:p>
    <w:p w14:paraId="3B968BA8">
      <w:pPr>
        <w:spacing w:line="360" w:lineRule="exact"/>
        <w:rPr>
          <w:rFonts w:ascii="宋体" w:hAnsi="宋体"/>
          <w:bCs/>
          <w:color w:val="7030A0"/>
          <w:szCs w:val="21"/>
        </w:rPr>
      </w:pPr>
    </w:p>
    <w:p w14:paraId="6A59F907">
      <w:pPr>
        <w:spacing w:line="720" w:lineRule="auto"/>
        <w:jc w:val="center"/>
        <w:rPr>
          <w:b/>
        </w:rPr>
      </w:pPr>
      <w:r>
        <w:rPr>
          <w:b/>
        </w:rPr>
        <w:br w:type="page"/>
      </w:r>
      <w:r>
        <w:rPr>
          <w:rFonts w:hint="eastAsia"/>
          <w:b/>
        </w:rPr>
        <w:t>二、投标文件目录</w:t>
      </w:r>
    </w:p>
    <w:p w14:paraId="78E3743B">
      <w:pPr>
        <w:snapToGrid w:val="0"/>
        <w:spacing w:beforeLines="50" w:line="360" w:lineRule="exact"/>
        <w:ind w:firstLine="411" w:firstLineChars="196"/>
        <w:jc w:val="left"/>
        <w:rPr>
          <w:rFonts w:ascii="宋体" w:hAnsi="宋体"/>
          <w:b/>
          <w:szCs w:val="21"/>
        </w:rPr>
      </w:pPr>
      <w:r>
        <w:rPr>
          <w:rFonts w:hint="eastAsia" w:ascii="宋体" w:hAnsi="宋体"/>
          <w:b/>
          <w:szCs w:val="21"/>
        </w:rPr>
        <w:t>1.资格文件：</w:t>
      </w:r>
    </w:p>
    <w:p w14:paraId="4C3A18FE">
      <w:pPr>
        <w:snapToGrid w:val="0"/>
        <w:spacing w:line="360" w:lineRule="exact"/>
        <w:ind w:firstLine="411" w:firstLineChars="196"/>
        <w:jc w:val="left"/>
        <w:rPr>
          <w:rFonts w:ascii="宋体" w:hAnsi="宋体"/>
          <w:szCs w:val="21"/>
        </w:rPr>
      </w:pPr>
      <w:r>
        <w:rPr>
          <w:rFonts w:hint="eastAsia" w:ascii="宋体" w:hAnsi="宋体"/>
          <w:szCs w:val="21"/>
        </w:rPr>
        <w:t>（1）有效的主体资格证明文件；</w:t>
      </w:r>
    </w:p>
    <w:p w14:paraId="2CAAAE11">
      <w:pPr>
        <w:spacing w:line="370" w:lineRule="exact"/>
        <w:rPr>
          <w:b/>
        </w:rPr>
      </w:pPr>
      <w:r>
        <w:rPr>
          <w:rFonts w:hint="eastAsia"/>
          <w:b/>
        </w:rPr>
        <w:t xml:space="preserve">    </w:t>
      </w:r>
      <w:r>
        <w:rPr>
          <w:rFonts w:hint="eastAsia" w:ascii="宋体" w:hAnsi="宋体"/>
        </w:rPr>
        <w:t xml:space="preserve"> ①投标人有效的“主体资格证明文件”（如营业执照、事业单位法人证书、执业许可证、自然人身份证等）</w:t>
      </w:r>
      <w:r>
        <w:rPr>
          <w:rFonts w:hint="eastAsia" w:hAnsi="宋体"/>
        </w:rPr>
        <w:t>复印件</w:t>
      </w:r>
      <w:r>
        <w:rPr>
          <w:rFonts w:hint="eastAsia" w:ascii="宋体" w:hAnsi="宋体"/>
        </w:rPr>
        <w:t>，同时要加盖单位公章；</w:t>
      </w:r>
      <w:r>
        <w:rPr>
          <w:rFonts w:hint="eastAsia" w:ascii="宋体" w:hAnsi="宋体"/>
          <w:b/>
        </w:rPr>
        <w:t>（必须提供）</w:t>
      </w:r>
    </w:p>
    <w:p w14:paraId="195C9CC9">
      <w:pPr>
        <w:spacing w:line="370" w:lineRule="exact"/>
        <w:rPr>
          <w:b/>
        </w:rPr>
      </w:pPr>
      <w:r>
        <w:rPr>
          <w:rFonts w:hint="eastAsia"/>
          <w:b/>
        </w:rPr>
        <w:t xml:space="preserve">   </w:t>
      </w:r>
      <w:r>
        <w:rPr>
          <w:rFonts w:hint="eastAsia"/>
          <w:color w:val="FF0000"/>
        </w:rPr>
        <w:t xml:space="preserve"> </w:t>
      </w:r>
      <w:r>
        <w:rPr>
          <w:rFonts w:hint="eastAsia"/>
        </w:rPr>
        <w:t>②供应商须具备有效的《中华人民共和国出版物经营许可证》复印件，同时要加盖单位公章；</w:t>
      </w:r>
      <w:r>
        <w:rPr>
          <w:rFonts w:hint="eastAsia"/>
          <w:b/>
          <w:bCs/>
        </w:rPr>
        <w:t>（必须提供）</w:t>
      </w:r>
    </w:p>
    <w:p w14:paraId="626B8D84">
      <w:pPr>
        <w:snapToGrid w:val="0"/>
        <w:spacing w:line="360" w:lineRule="exact"/>
        <w:ind w:firstLine="411" w:firstLineChars="196"/>
        <w:jc w:val="left"/>
        <w:rPr>
          <w:rFonts w:ascii="宋体" w:hAnsi="宋体"/>
          <w:szCs w:val="21"/>
        </w:rPr>
      </w:pPr>
      <w:r>
        <w:rPr>
          <w:rFonts w:hint="eastAsia" w:ascii="宋体" w:hAnsi="宋体"/>
          <w:szCs w:val="21"/>
        </w:rPr>
        <w:t>（2）投标截止之日前一年内投标人连续三个月的依法缴纳税费或依法免缴税费的证明；无纳税记录的，应提供由投标人所在地的税务部门出具的《依法纳税或依法免税证明》。</w:t>
      </w:r>
      <w:r>
        <w:rPr>
          <w:rFonts w:hint="eastAsia" w:ascii="宋体" w:hAnsi="宋体"/>
          <w:b/>
          <w:szCs w:val="21"/>
        </w:rPr>
        <w:t>（必须提供，新成立单位按实际提供）</w:t>
      </w:r>
    </w:p>
    <w:p w14:paraId="00D1081B">
      <w:pPr>
        <w:snapToGrid w:val="0"/>
        <w:spacing w:line="360" w:lineRule="exact"/>
        <w:ind w:firstLine="411" w:firstLineChars="196"/>
        <w:jc w:val="left"/>
        <w:rPr>
          <w:rFonts w:ascii="宋体" w:hAnsi="宋体"/>
          <w:szCs w:val="21"/>
        </w:rPr>
      </w:pPr>
      <w:r>
        <w:rPr>
          <w:rFonts w:hint="eastAsia" w:ascii="宋体" w:hAnsi="宋体"/>
          <w:szCs w:val="21"/>
        </w:rPr>
        <w:t>（3）投标截止之日前一年内投标人连续三个月的依法缴纳社保费的缴费凭证；无缴费记录的，应提供由投标人所在地社保等相关部门出具的《依法缴纳或依法免缴社保费证明》。</w:t>
      </w:r>
      <w:r>
        <w:rPr>
          <w:rFonts w:hint="eastAsia" w:ascii="宋体" w:hAnsi="宋体"/>
          <w:b/>
          <w:szCs w:val="21"/>
        </w:rPr>
        <w:t>（必须提供，新成立单位按实际提供）</w:t>
      </w:r>
    </w:p>
    <w:p w14:paraId="5C499E5F">
      <w:pPr>
        <w:snapToGrid w:val="0"/>
        <w:spacing w:line="360" w:lineRule="exact"/>
        <w:jc w:val="left"/>
        <w:rPr>
          <w:rFonts w:ascii="宋体" w:hAnsi="宋体"/>
          <w:b/>
          <w:szCs w:val="21"/>
        </w:rPr>
      </w:pPr>
      <w:r>
        <w:rPr>
          <w:rFonts w:hint="eastAsia" w:ascii="宋体" w:hAnsi="宋体"/>
          <w:b/>
          <w:szCs w:val="21"/>
        </w:rPr>
        <w:t xml:space="preserve">    </w:t>
      </w:r>
      <w:r>
        <w:rPr>
          <w:rFonts w:hint="eastAsia" w:ascii="宋体" w:hAnsi="宋体"/>
          <w:szCs w:val="21"/>
        </w:rPr>
        <w:t>（4）</w:t>
      </w:r>
      <w:r>
        <w:rPr>
          <w:rFonts w:ascii="宋体" w:hAnsi="宋体"/>
          <w:szCs w:val="21"/>
        </w:rPr>
        <w:t>财务状况报告</w:t>
      </w:r>
      <w:r>
        <w:rPr>
          <w:rFonts w:hint="eastAsia" w:ascii="宋体" w:hAnsi="宋体"/>
          <w:szCs w:val="21"/>
        </w:rPr>
        <w:t>。</w:t>
      </w:r>
      <w:r>
        <w:rPr>
          <w:rFonts w:hint="eastAsia" w:ascii="宋体" w:hAnsi="宋体"/>
          <w:b/>
          <w:szCs w:val="21"/>
        </w:rPr>
        <w:t>（格式自拟，必须提供）</w:t>
      </w:r>
    </w:p>
    <w:p w14:paraId="7BA3981B">
      <w:pPr>
        <w:snapToGrid w:val="0"/>
        <w:spacing w:line="360" w:lineRule="exact"/>
        <w:ind w:firstLine="411" w:firstLineChars="196"/>
        <w:jc w:val="left"/>
        <w:rPr>
          <w:rFonts w:ascii="宋体" w:hAnsi="宋体" w:cs="宋体"/>
          <w:b/>
          <w:kern w:val="0"/>
          <w:szCs w:val="21"/>
        </w:rPr>
      </w:pPr>
      <w:r>
        <w:rPr>
          <w:rFonts w:hint="eastAsia" w:ascii="宋体" w:hAnsi="宋体" w:cs="宋体"/>
          <w:kern w:val="0"/>
          <w:szCs w:val="21"/>
        </w:rPr>
        <w:t>（5）</w:t>
      </w:r>
      <w:r>
        <w:rPr>
          <w:rFonts w:ascii="宋体" w:hAnsi="宋体"/>
          <w:szCs w:val="21"/>
        </w:rPr>
        <w:t>具备履行合同所必需的设备和专业技术能力的证明材料</w:t>
      </w:r>
      <w:r>
        <w:rPr>
          <w:rFonts w:hint="eastAsia" w:ascii="宋体" w:hAnsi="宋体" w:cs="宋体"/>
          <w:kern w:val="0"/>
          <w:szCs w:val="21"/>
        </w:rPr>
        <w:t>。</w:t>
      </w:r>
      <w:r>
        <w:rPr>
          <w:rFonts w:hint="eastAsia" w:ascii="宋体" w:hAnsi="宋体"/>
          <w:b/>
          <w:szCs w:val="21"/>
        </w:rPr>
        <w:t>（内容、格式自拟，必须提供）</w:t>
      </w:r>
    </w:p>
    <w:p w14:paraId="3FD741F1">
      <w:pPr>
        <w:snapToGrid w:val="0"/>
        <w:spacing w:line="360" w:lineRule="exact"/>
        <w:ind w:firstLine="411" w:firstLineChars="196"/>
        <w:jc w:val="left"/>
        <w:rPr>
          <w:rFonts w:ascii="宋体" w:hAnsi="宋体"/>
          <w:color w:val="000000"/>
          <w:szCs w:val="21"/>
        </w:rPr>
      </w:pPr>
      <w:r>
        <w:rPr>
          <w:rFonts w:hint="eastAsia" w:ascii="宋体" w:hAnsi="宋体" w:cs="宋体"/>
          <w:kern w:val="0"/>
          <w:szCs w:val="21"/>
        </w:rPr>
        <w:t>（6）</w:t>
      </w:r>
      <w:r>
        <w:rPr>
          <w:rFonts w:hint="eastAsia" w:ascii="宋体" w:hAnsi="宋体"/>
          <w:szCs w:val="21"/>
        </w:rPr>
        <w:t>参加政府</w:t>
      </w:r>
      <w:r>
        <w:rPr>
          <w:rFonts w:hint="eastAsia" w:ascii="宋体" w:hAnsi="宋体"/>
          <w:color w:val="000000"/>
          <w:szCs w:val="21"/>
        </w:rPr>
        <w:t>采购活动前三年内在经营活动中没有重大违法记录和不良信用记录的书面声明。（</w:t>
      </w:r>
      <w:r>
        <w:rPr>
          <w:rFonts w:hint="eastAsia" w:ascii="宋体" w:hAnsi="宋体"/>
          <w:b/>
          <w:color w:val="000000"/>
          <w:szCs w:val="21"/>
        </w:rPr>
        <w:t>格式自拟，必须提供</w:t>
      </w:r>
      <w:r>
        <w:rPr>
          <w:rFonts w:hint="eastAsia" w:ascii="宋体" w:hAnsi="宋体"/>
          <w:color w:val="000000"/>
          <w:szCs w:val="21"/>
        </w:rPr>
        <w:t>）</w:t>
      </w:r>
    </w:p>
    <w:p w14:paraId="26E71884">
      <w:pPr>
        <w:snapToGrid w:val="0"/>
        <w:spacing w:line="360" w:lineRule="exact"/>
        <w:ind w:firstLine="411" w:firstLineChars="196"/>
        <w:jc w:val="left"/>
        <w:rPr>
          <w:rFonts w:ascii="宋体" w:hAnsi="宋体"/>
          <w:b/>
          <w:szCs w:val="21"/>
        </w:rPr>
      </w:pPr>
      <w:r>
        <w:rPr>
          <w:rFonts w:hint="eastAsia" w:ascii="宋体" w:hAnsi="宋体"/>
          <w:b/>
          <w:szCs w:val="21"/>
        </w:rPr>
        <w:t>注：采购人或采购代理机构在资格审查结束前对供应商进行信用查询</w:t>
      </w:r>
    </w:p>
    <w:p w14:paraId="7F110188">
      <w:pPr>
        <w:snapToGrid w:val="0"/>
        <w:spacing w:line="360" w:lineRule="exact"/>
        <w:ind w:firstLine="411" w:firstLineChars="196"/>
        <w:jc w:val="left"/>
        <w:rPr>
          <w:rFonts w:ascii="宋体" w:hAnsi="宋体"/>
          <w:b/>
          <w:szCs w:val="21"/>
        </w:rPr>
      </w:pPr>
      <w:r>
        <w:rPr>
          <w:rFonts w:hint="eastAsia" w:ascii="宋体" w:hAnsi="宋体"/>
          <w:b/>
          <w:szCs w:val="21"/>
        </w:rPr>
        <w:t>查询渠道：“信用中国”网站(www.creditchina.gov.cn) 、中国政府采购网(www.ccgp.gov.cn)</w:t>
      </w:r>
    </w:p>
    <w:p w14:paraId="73E487AF">
      <w:pPr>
        <w:snapToGrid w:val="0"/>
        <w:spacing w:line="360" w:lineRule="exact"/>
        <w:ind w:firstLine="411" w:firstLineChars="196"/>
        <w:jc w:val="left"/>
        <w:rPr>
          <w:rFonts w:ascii="宋体" w:hAnsi="宋体"/>
          <w:b/>
          <w:szCs w:val="21"/>
        </w:rPr>
      </w:pPr>
      <w:r>
        <w:rPr>
          <w:rFonts w:hint="eastAsia" w:ascii="宋体" w:hAnsi="宋体"/>
          <w:b/>
          <w:szCs w:val="21"/>
        </w:rPr>
        <w:t>查询截止时间：资格审查结束前。</w:t>
      </w:r>
    </w:p>
    <w:p w14:paraId="58819F42">
      <w:pPr>
        <w:snapToGrid w:val="0"/>
        <w:spacing w:line="360" w:lineRule="exact"/>
        <w:ind w:firstLine="411" w:firstLineChars="196"/>
        <w:jc w:val="left"/>
        <w:rPr>
          <w:rFonts w:ascii="宋体" w:hAnsi="宋体"/>
          <w:b/>
          <w:szCs w:val="21"/>
        </w:rPr>
      </w:pPr>
      <w:r>
        <w:rPr>
          <w:rFonts w:hint="eastAsia" w:ascii="宋体" w:hAnsi="宋体"/>
          <w:b/>
          <w:szCs w:val="21"/>
        </w:rPr>
        <w:t>查询记录和证据留存方式：在查询网站中直接打印查询记录，打印材料作为评审资料保存。</w:t>
      </w:r>
    </w:p>
    <w:p w14:paraId="2D07117E">
      <w:pPr>
        <w:snapToGrid w:val="0"/>
        <w:spacing w:line="360" w:lineRule="exact"/>
        <w:ind w:firstLine="420" w:firstLineChars="200"/>
        <w:jc w:val="left"/>
        <w:rPr>
          <w:rFonts w:ascii="宋体" w:hAnsi="宋体"/>
          <w:b/>
          <w:szCs w:val="21"/>
        </w:rPr>
      </w:pPr>
      <w:r>
        <w:rPr>
          <w:rFonts w:hint="eastAsia" w:ascii="宋体" w:hAnsi="宋体"/>
          <w:b/>
          <w:szCs w:val="21"/>
        </w:rPr>
        <w:t>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将拒绝其参与政府采购活动。</w:t>
      </w:r>
    </w:p>
    <w:p w14:paraId="326383E6">
      <w:pPr>
        <w:pStyle w:val="26"/>
        <w:snapToGrid w:val="0"/>
        <w:spacing w:line="400" w:lineRule="exact"/>
        <w:ind w:firstLine="420" w:firstLineChars="200"/>
        <w:jc w:val="left"/>
        <w:rPr>
          <w:rFonts w:hAnsi="宋体" w:cs="宋体"/>
          <w:color w:val="000000"/>
        </w:rPr>
      </w:pPr>
      <w:r>
        <w:rPr>
          <w:rFonts w:hint="eastAsia" w:hAnsi="宋体" w:cs="宋体"/>
          <w:color w:val="000000"/>
        </w:rPr>
        <w:t>（7）投标人直接控股、管理关系信息表（格式后附）；（</w:t>
      </w:r>
      <w:r>
        <w:rPr>
          <w:rFonts w:hint="eastAsia" w:hAnsi="宋体" w:cs="宋体"/>
          <w:b/>
          <w:bCs/>
          <w:color w:val="000000"/>
        </w:rPr>
        <w:t>必须提供，否则作无效投标处理</w:t>
      </w:r>
      <w:r>
        <w:rPr>
          <w:rFonts w:hint="eastAsia" w:hAnsi="宋体" w:cs="宋体"/>
          <w:color w:val="000000"/>
        </w:rPr>
        <w:t>）</w:t>
      </w:r>
    </w:p>
    <w:p w14:paraId="7AE0363F">
      <w:pPr>
        <w:spacing w:line="400" w:lineRule="exact"/>
        <w:ind w:firstLine="420" w:firstLineChars="200"/>
        <w:rPr>
          <w:rFonts w:ascii="宋体" w:hAnsi="宋体" w:cs="宋体"/>
          <w:color w:val="FF0000"/>
          <w:szCs w:val="21"/>
          <w:highlight w:val="yellow"/>
        </w:rPr>
      </w:pPr>
      <w:r>
        <w:rPr>
          <w:rFonts w:hint="eastAsia" w:ascii="宋体" w:hAnsi="宋体" w:cs="宋体"/>
          <w:szCs w:val="21"/>
        </w:rPr>
        <w:t>（</w:t>
      </w:r>
      <w:r>
        <w:rPr>
          <w:rFonts w:ascii="宋体" w:hAnsi="宋体" w:cs="宋体"/>
          <w:szCs w:val="21"/>
        </w:rPr>
        <w:t>8)投标人参加本项目无围标串标行为的承诺；（</w:t>
      </w:r>
      <w:r>
        <w:rPr>
          <w:rFonts w:hint="eastAsia" w:ascii="宋体" w:hAnsi="宋体" w:cs="宋体"/>
          <w:b/>
          <w:bCs/>
          <w:color w:val="000000"/>
          <w:szCs w:val="21"/>
        </w:rPr>
        <w:t>必须提供，否则作无效投标处理</w:t>
      </w:r>
      <w:r>
        <w:rPr>
          <w:rFonts w:hint="eastAsia" w:ascii="宋体" w:hAnsi="宋体" w:cs="宋体"/>
          <w:color w:val="000000"/>
          <w:szCs w:val="21"/>
        </w:rPr>
        <w:t>）</w:t>
      </w:r>
    </w:p>
    <w:p w14:paraId="2A125C20">
      <w:pPr>
        <w:snapToGrid w:val="0"/>
        <w:spacing w:line="360" w:lineRule="exact"/>
        <w:ind w:firstLine="420" w:firstLineChars="200"/>
        <w:jc w:val="left"/>
        <w:rPr>
          <w:rFonts w:ascii="宋体" w:hAnsi="宋体"/>
          <w:b/>
          <w:szCs w:val="21"/>
        </w:rPr>
      </w:pPr>
    </w:p>
    <w:p w14:paraId="20BCAE92">
      <w:pPr>
        <w:pStyle w:val="26"/>
        <w:snapToGrid w:val="0"/>
        <w:spacing w:line="360" w:lineRule="exact"/>
        <w:ind w:firstLine="420" w:firstLineChars="200"/>
        <w:jc w:val="left"/>
        <w:rPr>
          <w:b/>
        </w:rPr>
      </w:pPr>
      <w:r>
        <w:rPr>
          <w:rFonts w:hint="eastAsia"/>
          <w:b/>
        </w:rPr>
        <w:t>2.商务技术文件：</w:t>
      </w:r>
    </w:p>
    <w:p w14:paraId="66D9296E">
      <w:pPr>
        <w:pStyle w:val="26"/>
        <w:snapToGrid w:val="0"/>
        <w:spacing w:line="360" w:lineRule="exact"/>
        <w:ind w:firstLine="420" w:firstLineChars="200"/>
        <w:jc w:val="left"/>
        <w:rPr>
          <w:b/>
        </w:rPr>
      </w:pPr>
      <w:r>
        <w:rPr>
          <w:rFonts w:hint="eastAsia"/>
          <w:b/>
        </w:rPr>
        <w:t>2.1商务文件：</w:t>
      </w:r>
    </w:p>
    <w:p w14:paraId="153F7399">
      <w:pPr>
        <w:snapToGrid w:val="0"/>
        <w:spacing w:line="360" w:lineRule="exact"/>
        <w:ind w:firstLine="420" w:firstLineChars="200"/>
        <w:jc w:val="left"/>
        <w:rPr>
          <w:rFonts w:ascii="宋体" w:hAnsi="宋体"/>
        </w:rPr>
      </w:pPr>
      <w:r>
        <w:rPr>
          <w:rFonts w:hint="eastAsia" w:ascii="宋体" w:hAnsi="宋体"/>
        </w:rPr>
        <w:t>（1）</w:t>
      </w:r>
      <w:r>
        <w:rPr>
          <w:rFonts w:hint="eastAsia" w:ascii="宋体" w:hAnsi="宋体"/>
          <w:color w:val="000000"/>
          <w:szCs w:val="21"/>
        </w:rPr>
        <w:t>投标保证金的提交凭证</w:t>
      </w:r>
      <w:r>
        <w:rPr>
          <w:rFonts w:hint="eastAsia" w:ascii="宋体" w:hAnsi="宋体"/>
        </w:rPr>
        <w:t>；</w:t>
      </w:r>
      <w:r>
        <w:rPr>
          <w:rFonts w:hint="eastAsia" w:ascii="宋体" w:hAnsi="宋体"/>
          <w:b/>
        </w:rPr>
        <w:t>（必须提供）</w:t>
      </w:r>
    </w:p>
    <w:p w14:paraId="5EF132B8">
      <w:pPr>
        <w:snapToGrid w:val="0"/>
        <w:spacing w:line="360" w:lineRule="exact"/>
        <w:ind w:firstLine="411" w:firstLineChars="196"/>
        <w:jc w:val="left"/>
        <w:rPr>
          <w:rFonts w:ascii="宋体"/>
          <w:szCs w:val="21"/>
        </w:rPr>
      </w:pPr>
      <w:r>
        <w:rPr>
          <w:rFonts w:hint="eastAsia" w:ascii="宋体"/>
          <w:szCs w:val="21"/>
        </w:rPr>
        <w:t>（2）投标声明书 (格式见第六章)；</w:t>
      </w:r>
      <w:r>
        <w:rPr>
          <w:rFonts w:hint="eastAsia" w:ascii="宋体"/>
          <w:b/>
          <w:color w:val="000000"/>
          <w:szCs w:val="21"/>
        </w:rPr>
        <w:t>（必须提供）</w:t>
      </w:r>
    </w:p>
    <w:p w14:paraId="5CEFD604">
      <w:pPr>
        <w:snapToGrid w:val="0"/>
        <w:spacing w:line="360" w:lineRule="exact"/>
        <w:ind w:firstLine="411" w:firstLineChars="196"/>
        <w:jc w:val="left"/>
        <w:rPr>
          <w:rFonts w:ascii="宋体"/>
          <w:szCs w:val="21"/>
        </w:rPr>
      </w:pPr>
      <w:r>
        <w:rPr>
          <w:rFonts w:hint="eastAsia" w:ascii="宋体"/>
          <w:szCs w:val="21"/>
        </w:rPr>
        <w:t>（3）法定代表人(负责人)授权委托书和委托代理人身份证正、反面复印件（格式见第六章)</w:t>
      </w:r>
      <w:r>
        <w:rPr>
          <w:rFonts w:hint="eastAsia" w:ascii="宋体"/>
          <w:b/>
          <w:szCs w:val="21"/>
        </w:rPr>
        <w:t>（委托时必须提供）</w:t>
      </w:r>
      <w:r>
        <w:rPr>
          <w:rFonts w:hint="eastAsia" w:ascii="宋体"/>
          <w:szCs w:val="21"/>
        </w:rPr>
        <w:t>；</w:t>
      </w:r>
    </w:p>
    <w:p w14:paraId="12CCD5D7">
      <w:pPr>
        <w:snapToGrid w:val="0"/>
        <w:spacing w:line="360" w:lineRule="exact"/>
        <w:ind w:firstLine="411" w:firstLineChars="196"/>
        <w:jc w:val="left"/>
        <w:rPr>
          <w:rFonts w:ascii="宋体"/>
          <w:szCs w:val="21"/>
        </w:rPr>
      </w:pPr>
      <w:r>
        <w:rPr>
          <w:rFonts w:hint="eastAsia" w:ascii="宋体"/>
          <w:szCs w:val="21"/>
        </w:rPr>
        <w:t>（4）法定代表人(负责人)身份证明书（格式见第六章)、法定代表人</w:t>
      </w:r>
      <w:r>
        <w:rPr>
          <w:rFonts w:hint="eastAsia" w:ascii="宋体" w:cs="Arial"/>
          <w:szCs w:val="21"/>
        </w:rPr>
        <w:t>（负责人）</w:t>
      </w:r>
      <w:r>
        <w:rPr>
          <w:rFonts w:hint="eastAsia" w:ascii="宋体"/>
          <w:szCs w:val="21"/>
        </w:rPr>
        <w:t>有效身份证正反面复印件</w:t>
      </w:r>
      <w:r>
        <w:rPr>
          <w:rFonts w:hint="eastAsia" w:ascii="宋体"/>
          <w:b/>
          <w:szCs w:val="21"/>
        </w:rPr>
        <w:t>（必须提供）</w:t>
      </w:r>
      <w:r>
        <w:rPr>
          <w:rFonts w:hint="eastAsia" w:ascii="宋体"/>
          <w:szCs w:val="21"/>
        </w:rPr>
        <w:t xml:space="preserve">； </w:t>
      </w:r>
    </w:p>
    <w:p w14:paraId="33A083E5">
      <w:pPr>
        <w:snapToGrid w:val="0"/>
        <w:spacing w:line="360" w:lineRule="exact"/>
        <w:ind w:firstLine="411" w:firstLineChars="196"/>
        <w:jc w:val="left"/>
        <w:rPr>
          <w:rFonts w:ascii="宋体"/>
          <w:szCs w:val="21"/>
        </w:rPr>
      </w:pPr>
      <w:r>
        <w:rPr>
          <w:rFonts w:hint="eastAsia" w:ascii="宋体"/>
          <w:szCs w:val="21"/>
        </w:rPr>
        <w:t>（5）产品销售许可证复印件；</w:t>
      </w:r>
    </w:p>
    <w:p w14:paraId="68AFB6FA">
      <w:pPr>
        <w:snapToGrid w:val="0"/>
        <w:spacing w:line="360" w:lineRule="exact"/>
        <w:ind w:firstLine="411" w:firstLineChars="196"/>
        <w:jc w:val="left"/>
        <w:rPr>
          <w:rFonts w:ascii="宋体"/>
          <w:szCs w:val="21"/>
        </w:rPr>
      </w:pPr>
      <w:r>
        <w:rPr>
          <w:rFonts w:hint="eastAsia" w:ascii="宋体"/>
          <w:szCs w:val="21"/>
        </w:rPr>
        <w:t>（6）安全生产许可证复印件、产品代理资格证明文件复印件；</w:t>
      </w:r>
    </w:p>
    <w:p w14:paraId="32021635">
      <w:pPr>
        <w:snapToGrid w:val="0"/>
        <w:spacing w:line="360" w:lineRule="exact"/>
        <w:ind w:firstLine="411" w:firstLineChars="196"/>
        <w:jc w:val="left"/>
        <w:rPr>
          <w:rFonts w:ascii="宋体"/>
          <w:b/>
          <w:color w:val="000000"/>
          <w:szCs w:val="21"/>
        </w:rPr>
      </w:pPr>
      <w:r>
        <w:rPr>
          <w:rFonts w:hint="eastAsia" w:ascii="宋体"/>
          <w:szCs w:val="21"/>
        </w:rPr>
        <w:t>（7）商务响应表（格式见第六章）；</w:t>
      </w:r>
      <w:r>
        <w:rPr>
          <w:rFonts w:hint="eastAsia" w:ascii="宋体"/>
          <w:b/>
          <w:color w:val="000000"/>
          <w:szCs w:val="21"/>
        </w:rPr>
        <w:t>（必须提供）</w:t>
      </w:r>
    </w:p>
    <w:p w14:paraId="53366B06">
      <w:pPr>
        <w:snapToGrid w:val="0"/>
        <w:spacing w:line="360" w:lineRule="exact"/>
        <w:ind w:firstLine="411" w:firstLineChars="196"/>
        <w:jc w:val="left"/>
        <w:rPr>
          <w:rFonts w:ascii="宋体"/>
          <w:b/>
          <w:szCs w:val="21"/>
        </w:rPr>
      </w:pPr>
      <w:r>
        <w:rPr>
          <w:rFonts w:hint="eastAsia" w:ascii="宋体"/>
          <w:szCs w:val="21"/>
        </w:rPr>
        <w:t>（8）招标项目采购需求中要求必须提供的材料等；</w:t>
      </w:r>
      <w:r>
        <w:rPr>
          <w:rFonts w:hint="eastAsia"/>
        </w:rPr>
        <w:t>（招标项目采购需求中要求必须提供的材料，据实提供）</w:t>
      </w:r>
    </w:p>
    <w:p w14:paraId="015B16B2">
      <w:pPr>
        <w:snapToGrid w:val="0"/>
        <w:spacing w:line="360" w:lineRule="exact"/>
        <w:ind w:firstLine="411" w:firstLineChars="196"/>
        <w:jc w:val="left"/>
        <w:rPr>
          <w:rFonts w:ascii="宋体"/>
          <w:b/>
          <w:szCs w:val="21"/>
        </w:rPr>
      </w:pPr>
      <w:r>
        <w:rPr>
          <w:rFonts w:hint="eastAsia" w:ascii="宋体"/>
          <w:szCs w:val="21"/>
        </w:rPr>
        <w:t>（9）具备法律、行政法规规定的其他条件的证明材料。</w:t>
      </w:r>
      <w:r>
        <w:rPr>
          <w:rFonts w:hint="eastAsia" w:ascii="宋体"/>
          <w:b/>
          <w:szCs w:val="21"/>
        </w:rPr>
        <w:t>(如有规定,则必须提供)</w:t>
      </w:r>
    </w:p>
    <w:p w14:paraId="0DB64058">
      <w:pPr>
        <w:snapToGrid w:val="0"/>
        <w:spacing w:line="360" w:lineRule="exact"/>
        <w:ind w:firstLine="411" w:firstLineChars="196"/>
        <w:jc w:val="left"/>
        <w:rPr>
          <w:rFonts w:ascii="宋体"/>
          <w:b/>
          <w:bCs/>
          <w:szCs w:val="21"/>
        </w:rPr>
      </w:pPr>
      <w:r>
        <w:rPr>
          <w:rFonts w:hint="eastAsia" w:ascii="宋体"/>
          <w:b/>
          <w:bCs/>
          <w:szCs w:val="21"/>
        </w:rPr>
        <w:t xml:space="preserve">可作为投标人资信评分的资质证明材料（可选）  </w:t>
      </w:r>
    </w:p>
    <w:p w14:paraId="2EFF4357">
      <w:pPr>
        <w:snapToGrid w:val="0"/>
        <w:spacing w:line="360" w:lineRule="exact"/>
        <w:ind w:firstLine="411" w:firstLineChars="196"/>
        <w:jc w:val="left"/>
        <w:rPr>
          <w:rFonts w:ascii="宋体"/>
          <w:szCs w:val="21"/>
        </w:rPr>
      </w:pPr>
      <w:r>
        <w:rPr>
          <w:rFonts w:hint="eastAsia" w:ascii="宋体"/>
          <w:szCs w:val="21"/>
        </w:rPr>
        <w:t>（10）类似成功案例的业绩（投标人同类项目实施情况一览表、合同扫描件等，格式可自行调整）；</w:t>
      </w:r>
    </w:p>
    <w:p w14:paraId="246E3FE4">
      <w:pPr>
        <w:snapToGrid w:val="0"/>
        <w:spacing w:line="360" w:lineRule="exact"/>
        <w:ind w:firstLine="411" w:firstLineChars="196"/>
        <w:jc w:val="left"/>
        <w:rPr>
          <w:rFonts w:ascii="宋体"/>
          <w:szCs w:val="21"/>
        </w:rPr>
      </w:pPr>
      <w:r>
        <w:rPr>
          <w:rFonts w:hint="eastAsia" w:ascii="宋体"/>
          <w:szCs w:val="21"/>
        </w:rPr>
        <w:t>（11）其他特殊资质证书；</w:t>
      </w:r>
    </w:p>
    <w:p w14:paraId="50CD3A87">
      <w:pPr>
        <w:snapToGrid w:val="0"/>
        <w:spacing w:line="360" w:lineRule="exact"/>
        <w:ind w:firstLine="411" w:firstLineChars="196"/>
        <w:jc w:val="left"/>
        <w:rPr>
          <w:rFonts w:ascii="宋体"/>
          <w:szCs w:val="21"/>
        </w:rPr>
      </w:pPr>
      <w:r>
        <w:rPr>
          <w:rFonts w:hint="eastAsia" w:ascii="宋体"/>
          <w:szCs w:val="21"/>
        </w:rPr>
        <w:t>（12）节能环保产品或政府强制采购节能产品认证证书；</w:t>
      </w:r>
    </w:p>
    <w:p w14:paraId="490CE567">
      <w:pPr>
        <w:snapToGrid w:val="0"/>
        <w:spacing w:line="360" w:lineRule="exact"/>
        <w:ind w:firstLine="411" w:firstLineChars="196"/>
        <w:jc w:val="left"/>
        <w:rPr>
          <w:rFonts w:ascii="宋体"/>
          <w:szCs w:val="21"/>
        </w:rPr>
      </w:pPr>
      <w:r>
        <w:rPr>
          <w:rFonts w:hint="eastAsia" w:ascii="宋体"/>
          <w:szCs w:val="21"/>
        </w:rPr>
        <w:t>（13）投标人质量管理和质量保证体系等方面的认证证书；</w:t>
      </w:r>
    </w:p>
    <w:p w14:paraId="7EFE81E8">
      <w:pPr>
        <w:snapToGrid w:val="0"/>
        <w:spacing w:line="360" w:lineRule="exact"/>
        <w:ind w:firstLine="411" w:firstLineChars="196"/>
        <w:jc w:val="left"/>
        <w:rPr>
          <w:rFonts w:ascii="宋体"/>
          <w:szCs w:val="21"/>
        </w:rPr>
      </w:pPr>
      <w:r>
        <w:rPr>
          <w:rFonts w:hint="eastAsia" w:ascii="宋体"/>
          <w:szCs w:val="21"/>
        </w:rPr>
        <w:t>（14）投标人认为可以证明其能力或业绩的其他材料；</w:t>
      </w:r>
    </w:p>
    <w:p w14:paraId="77BEF22A">
      <w:pPr>
        <w:snapToGrid w:val="0"/>
        <w:spacing w:line="360" w:lineRule="exact"/>
        <w:ind w:firstLine="411" w:firstLineChars="196"/>
        <w:jc w:val="left"/>
        <w:rPr>
          <w:rFonts w:ascii="宋体"/>
          <w:szCs w:val="21"/>
        </w:rPr>
      </w:pPr>
      <w:r>
        <w:rPr>
          <w:rFonts w:hint="eastAsia" w:ascii="宋体"/>
          <w:szCs w:val="21"/>
        </w:rPr>
        <w:t>（15）投标人关于产品生产时间、升级或者更新淘汰计划、配件供应以及本单位债务纠纷、违法违规记录等方面的情况（内容见投标声明书）；</w:t>
      </w:r>
    </w:p>
    <w:p w14:paraId="7E8B9A29">
      <w:pPr>
        <w:snapToGrid w:val="0"/>
        <w:spacing w:line="360" w:lineRule="exact"/>
        <w:ind w:firstLine="411" w:firstLineChars="196"/>
        <w:jc w:val="left"/>
        <w:rPr>
          <w:rFonts w:ascii="宋体"/>
          <w:szCs w:val="21"/>
        </w:rPr>
      </w:pPr>
      <w:r>
        <w:rPr>
          <w:rFonts w:hint="eastAsia" w:ascii="宋体"/>
          <w:szCs w:val="21"/>
        </w:rPr>
        <w:t>（16）投标人情况介绍；</w:t>
      </w:r>
    </w:p>
    <w:p w14:paraId="30E11FE1">
      <w:pPr>
        <w:snapToGrid w:val="0"/>
        <w:spacing w:line="360" w:lineRule="exact"/>
        <w:ind w:firstLine="411" w:firstLineChars="196"/>
        <w:jc w:val="left"/>
        <w:rPr>
          <w:rFonts w:ascii="宋体"/>
          <w:szCs w:val="21"/>
        </w:rPr>
      </w:pPr>
      <w:r>
        <w:rPr>
          <w:rFonts w:hint="eastAsia" w:ascii="宋体"/>
          <w:szCs w:val="21"/>
        </w:rPr>
        <w:t>（17）投标人认为需要提供的其他材料。</w:t>
      </w:r>
    </w:p>
    <w:p w14:paraId="4097482A">
      <w:pPr>
        <w:snapToGrid w:val="0"/>
        <w:spacing w:line="360" w:lineRule="exact"/>
        <w:ind w:firstLine="411" w:firstLineChars="196"/>
        <w:jc w:val="left"/>
        <w:rPr>
          <w:rFonts w:ascii="宋体"/>
          <w:b/>
          <w:szCs w:val="21"/>
        </w:rPr>
      </w:pPr>
      <w:r>
        <w:rPr>
          <w:rFonts w:hint="eastAsia" w:ascii="宋体"/>
          <w:szCs w:val="21"/>
        </w:rPr>
        <w:t>（18）中小企业声明函。</w:t>
      </w:r>
      <w:r>
        <w:rPr>
          <w:rFonts w:hint="eastAsia" w:ascii="宋体"/>
          <w:b/>
          <w:szCs w:val="21"/>
        </w:rPr>
        <w:t>（按最新相关政策执行，格式见第六章，如有请提供）</w:t>
      </w:r>
    </w:p>
    <w:p w14:paraId="2C05ACBD">
      <w:pPr>
        <w:snapToGrid w:val="0"/>
        <w:spacing w:line="380" w:lineRule="exact"/>
        <w:ind w:firstLine="420" w:firstLineChars="200"/>
        <w:jc w:val="left"/>
        <w:rPr>
          <w:rFonts w:ascii="宋体"/>
          <w:b/>
          <w:bCs/>
          <w:szCs w:val="21"/>
        </w:rPr>
      </w:pPr>
      <w:r>
        <w:rPr>
          <w:rFonts w:hint="eastAsia" w:ascii="宋体"/>
          <w:szCs w:val="21"/>
        </w:rPr>
        <w:t>（19）本国产品适用政府采购政策相关资料。</w:t>
      </w:r>
      <w:r>
        <w:rPr>
          <w:rFonts w:hint="eastAsia" w:ascii="宋体"/>
          <w:b/>
          <w:bCs/>
          <w:szCs w:val="21"/>
          <w:lang w:eastAsia="zh-CN"/>
        </w:rPr>
        <w:t>（</w:t>
      </w:r>
      <w:r>
        <w:rPr>
          <w:rFonts w:hint="eastAsia" w:ascii="宋体"/>
          <w:b/>
          <w:bCs/>
          <w:szCs w:val="21"/>
        </w:rPr>
        <w:t>本项目不属于本国产品标准的适用范围。</w:t>
      </w:r>
      <w:r>
        <w:rPr>
          <w:rFonts w:hint="eastAsia" w:ascii="宋体"/>
          <w:b/>
          <w:bCs/>
          <w:szCs w:val="21"/>
          <w:lang w:eastAsia="zh-CN"/>
        </w:rPr>
        <w:t>）</w:t>
      </w:r>
    </w:p>
    <w:p w14:paraId="58A5AE00">
      <w:pPr>
        <w:snapToGrid w:val="0"/>
        <w:spacing w:line="360" w:lineRule="exact"/>
        <w:ind w:firstLine="411" w:firstLineChars="196"/>
        <w:jc w:val="left"/>
        <w:rPr>
          <w:rFonts w:ascii="宋体"/>
          <w:b/>
          <w:szCs w:val="21"/>
        </w:rPr>
      </w:pPr>
    </w:p>
    <w:p w14:paraId="3C88CC32">
      <w:pPr>
        <w:snapToGrid w:val="0"/>
        <w:spacing w:line="360" w:lineRule="exact"/>
        <w:ind w:firstLine="411" w:firstLineChars="196"/>
        <w:jc w:val="left"/>
        <w:rPr>
          <w:rFonts w:ascii="宋体"/>
          <w:b/>
          <w:bCs/>
          <w:szCs w:val="21"/>
        </w:rPr>
      </w:pPr>
      <w:r>
        <w:rPr>
          <w:rFonts w:hint="eastAsia" w:ascii="宋体"/>
          <w:b/>
          <w:bCs/>
          <w:szCs w:val="21"/>
        </w:rPr>
        <w:t>2.2技术文件：</w:t>
      </w:r>
    </w:p>
    <w:p w14:paraId="2B205BD7">
      <w:pPr>
        <w:snapToGrid w:val="0"/>
        <w:spacing w:line="360" w:lineRule="exact"/>
        <w:ind w:firstLine="411" w:firstLineChars="196"/>
        <w:jc w:val="left"/>
        <w:rPr>
          <w:rFonts w:ascii="宋体"/>
          <w:szCs w:val="21"/>
        </w:rPr>
      </w:pPr>
      <w:r>
        <w:rPr>
          <w:rFonts w:hint="eastAsia" w:ascii="宋体"/>
          <w:szCs w:val="21"/>
        </w:rPr>
        <w:t>（1）技术响应表；</w:t>
      </w:r>
      <w:r>
        <w:rPr>
          <w:rFonts w:hint="eastAsia" w:ascii="宋体"/>
          <w:b/>
          <w:color w:val="000000"/>
          <w:szCs w:val="21"/>
        </w:rPr>
        <w:t>（必须提供）</w:t>
      </w:r>
    </w:p>
    <w:p w14:paraId="549A587B">
      <w:pPr>
        <w:snapToGrid w:val="0"/>
        <w:spacing w:line="360" w:lineRule="exact"/>
        <w:ind w:firstLine="411" w:firstLineChars="196"/>
        <w:jc w:val="left"/>
        <w:rPr>
          <w:rFonts w:ascii="宋体"/>
          <w:szCs w:val="21"/>
        </w:rPr>
      </w:pPr>
      <w:r>
        <w:rPr>
          <w:rFonts w:hint="eastAsia" w:ascii="宋体"/>
          <w:szCs w:val="21"/>
        </w:rPr>
        <w:t>（2）设备配置清单</w:t>
      </w:r>
      <w:r>
        <w:rPr>
          <w:rFonts w:hint="eastAsia" w:ascii="宋体"/>
          <w:b/>
          <w:szCs w:val="21"/>
        </w:rPr>
        <w:t>（均不含报价）</w:t>
      </w:r>
      <w:r>
        <w:rPr>
          <w:rFonts w:hint="eastAsia" w:ascii="宋体"/>
          <w:szCs w:val="21"/>
        </w:rPr>
        <w:t>；</w:t>
      </w:r>
    </w:p>
    <w:p w14:paraId="4D3ECBB0">
      <w:pPr>
        <w:snapToGrid w:val="0"/>
        <w:spacing w:line="360" w:lineRule="exact"/>
        <w:ind w:firstLine="420" w:firstLineChars="200"/>
        <w:jc w:val="left"/>
        <w:rPr>
          <w:rFonts w:ascii="宋体"/>
          <w:szCs w:val="21"/>
        </w:rPr>
      </w:pPr>
      <w:r>
        <w:rPr>
          <w:rFonts w:hint="eastAsia" w:ascii="宋体"/>
          <w:szCs w:val="21"/>
        </w:rPr>
        <w:t>（3）</w:t>
      </w:r>
      <w:r>
        <w:rPr>
          <w:rFonts w:hint="eastAsia"/>
        </w:rPr>
        <w:t>项目实施方案、售后服务承诺书</w:t>
      </w:r>
      <w:r>
        <w:rPr>
          <w:rFonts w:hint="eastAsia" w:ascii="宋体"/>
          <w:szCs w:val="21"/>
        </w:rPr>
        <w:t>；</w:t>
      </w:r>
      <w:r>
        <w:rPr>
          <w:rFonts w:hint="eastAsia" w:ascii="宋体" w:hAnsi="宋体"/>
          <w:b/>
          <w:szCs w:val="21"/>
        </w:rPr>
        <w:t>（格式自拟，</w:t>
      </w:r>
      <w:r>
        <w:rPr>
          <w:rFonts w:hint="eastAsia" w:ascii="宋体"/>
          <w:b/>
          <w:color w:val="000000"/>
          <w:szCs w:val="21"/>
        </w:rPr>
        <w:t>必须提供</w:t>
      </w:r>
      <w:r>
        <w:rPr>
          <w:rFonts w:hint="eastAsia" w:ascii="宋体" w:hAnsi="宋体"/>
          <w:b/>
          <w:szCs w:val="21"/>
        </w:rPr>
        <w:t>）</w:t>
      </w:r>
    </w:p>
    <w:p w14:paraId="4F30FAF0">
      <w:pPr>
        <w:snapToGrid w:val="0"/>
        <w:spacing w:line="360" w:lineRule="exact"/>
        <w:ind w:firstLine="420" w:firstLineChars="200"/>
        <w:jc w:val="left"/>
        <w:rPr>
          <w:rFonts w:ascii="宋体"/>
          <w:szCs w:val="21"/>
        </w:rPr>
      </w:pPr>
      <w:r>
        <w:rPr>
          <w:rFonts w:hint="eastAsia" w:ascii="宋体"/>
          <w:szCs w:val="21"/>
        </w:rPr>
        <w:t>（4）投标人拥有主要装备和检测设施的情况和现状（格式自拟）及项目实施人员一览表；</w:t>
      </w:r>
    </w:p>
    <w:p w14:paraId="225225DB">
      <w:pPr>
        <w:snapToGrid w:val="0"/>
        <w:spacing w:line="360" w:lineRule="exact"/>
        <w:ind w:firstLine="420" w:firstLineChars="200"/>
        <w:jc w:val="left"/>
        <w:rPr>
          <w:rFonts w:ascii="宋体"/>
          <w:szCs w:val="21"/>
        </w:rPr>
      </w:pPr>
      <w:r>
        <w:rPr>
          <w:rFonts w:hint="eastAsia" w:ascii="宋体"/>
          <w:szCs w:val="21"/>
        </w:rPr>
        <w:t>（5）优惠条件：投标人承诺给予招标人的各种优惠条件，包括备品备件、专用耗材、售后服务等方面的优惠；</w:t>
      </w:r>
    </w:p>
    <w:p w14:paraId="1B216543">
      <w:pPr>
        <w:snapToGrid w:val="0"/>
        <w:spacing w:line="360" w:lineRule="exact"/>
        <w:ind w:firstLine="420" w:firstLineChars="200"/>
        <w:jc w:val="left"/>
        <w:rPr>
          <w:rFonts w:ascii="宋体"/>
          <w:szCs w:val="21"/>
        </w:rPr>
      </w:pPr>
      <w:r>
        <w:rPr>
          <w:rFonts w:hint="eastAsia" w:ascii="宋体"/>
          <w:szCs w:val="21"/>
        </w:rPr>
        <w:t>（6）投标人对本项目的合理化建议和改进措施；</w:t>
      </w:r>
    </w:p>
    <w:p w14:paraId="0BFD5A43">
      <w:pPr>
        <w:snapToGrid w:val="0"/>
        <w:spacing w:line="360" w:lineRule="exact"/>
        <w:ind w:firstLine="420" w:firstLineChars="200"/>
        <w:jc w:val="left"/>
        <w:rPr>
          <w:rFonts w:ascii="宋体"/>
          <w:szCs w:val="21"/>
        </w:rPr>
      </w:pPr>
      <w:r>
        <w:rPr>
          <w:rFonts w:hint="eastAsia" w:ascii="宋体"/>
          <w:szCs w:val="21"/>
        </w:rPr>
        <w:t>（7）投标人认为需要提供的其他材料。</w:t>
      </w:r>
    </w:p>
    <w:p w14:paraId="5099E1BC">
      <w:pPr>
        <w:snapToGrid w:val="0"/>
        <w:spacing w:line="360" w:lineRule="exact"/>
        <w:ind w:firstLine="420" w:firstLineChars="200"/>
        <w:jc w:val="left"/>
        <w:rPr>
          <w:rFonts w:ascii="宋体"/>
          <w:szCs w:val="21"/>
        </w:rPr>
      </w:pPr>
      <w:r>
        <w:rPr>
          <w:rFonts w:hint="eastAsia" w:ascii="宋体"/>
          <w:szCs w:val="21"/>
        </w:rPr>
        <w:t>（8）招标项目采购需求中要求必须提供的材料。</w:t>
      </w:r>
      <w:r>
        <w:rPr>
          <w:rFonts w:hint="eastAsia"/>
        </w:rPr>
        <w:t>（招标项目采购需求中要求必须提供的材料，据实提供）</w:t>
      </w:r>
    </w:p>
    <w:p w14:paraId="1867BB65">
      <w:pPr>
        <w:snapToGrid w:val="0"/>
        <w:spacing w:line="360" w:lineRule="exact"/>
        <w:ind w:firstLine="420" w:firstLineChars="200"/>
        <w:jc w:val="left"/>
        <w:rPr>
          <w:rFonts w:ascii="宋体"/>
          <w:b/>
          <w:szCs w:val="21"/>
        </w:rPr>
      </w:pPr>
      <w:r>
        <w:rPr>
          <w:rFonts w:hint="eastAsia" w:ascii="宋体"/>
          <w:b/>
          <w:szCs w:val="21"/>
        </w:rPr>
        <w:t>3.报价文件：</w:t>
      </w:r>
    </w:p>
    <w:p w14:paraId="76988C19">
      <w:pPr>
        <w:snapToGrid w:val="0"/>
        <w:spacing w:line="360" w:lineRule="exact"/>
        <w:ind w:firstLine="420" w:firstLineChars="200"/>
        <w:jc w:val="left"/>
        <w:rPr>
          <w:rFonts w:ascii="宋体"/>
          <w:szCs w:val="21"/>
        </w:rPr>
      </w:pPr>
      <w:r>
        <w:rPr>
          <w:rFonts w:hint="eastAsia" w:ascii="宋体"/>
          <w:szCs w:val="21"/>
        </w:rPr>
        <w:t xml:space="preserve">（1）投标函（格式见第六章）； </w:t>
      </w:r>
    </w:p>
    <w:p w14:paraId="7789C943">
      <w:pPr>
        <w:snapToGrid w:val="0"/>
        <w:spacing w:line="360" w:lineRule="exact"/>
        <w:ind w:firstLine="420" w:firstLineChars="200"/>
        <w:jc w:val="left"/>
        <w:rPr>
          <w:rFonts w:ascii="宋体"/>
          <w:szCs w:val="21"/>
        </w:rPr>
      </w:pPr>
      <w:r>
        <w:rPr>
          <w:rFonts w:hint="eastAsia" w:ascii="宋体"/>
          <w:szCs w:val="21"/>
        </w:rPr>
        <w:t>（2）投标报价明细表（格式见第六章）；</w:t>
      </w:r>
    </w:p>
    <w:p w14:paraId="04683DFD">
      <w:pPr>
        <w:snapToGrid w:val="0"/>
        <w:spacing w:line="360" w:lineRule="exact"/>
        <w:ind w:firstLine="420" w:firstLineChars="200"/>
        <w:jc w:val="left"/>
        <w:rPr>
          <w:rFonts w:ascii="宋体"/>
          <w:szCs w:val="21"/>
        </w:rPr>
      </w:pPr>
      <w:r>
        <w:rPr>
          <w:rFonts w:hint="eastAsia" w:ascii="宋体"/>
          <w:szCs w:val="21"/>
        </w:rPr>
        <w:t>（3）投标人针对报价需要说明的其他文件和说明；（格式自拟）</w:t>
      </w:r>
    </w:p>
    <w:p w14:paraId="68C489D0">
      <w:pPr>
        <w:snapToGrid w:val="0"/>
        <w:spacing w:line="360" w:lineRule="exact"/>
        <w:ind w:firstLine="420" w:firstLineChars="200"/>
        <w:jc w:val="left"/>
        <w:rPr>
          <w:rFonts w:ascii="宋体"/>
          <w:szCs w:val="21"/>
        </w:rPr>
      </w:pPr>
      <w:r>
        <w:rPr>
          <w:rFonts w:hint="eastAsia" w:ascii="宋体"/>
          <w:szCs w:val="21"/>
        </w:rPr>
        <w:t>（4）开标一览表（格式见第六章）。</w:t>
      </w:r>
    </w:p>
    <w:p w14:paraId="23CB1EE7">
      <w:pPr>
        <w:tabs>
          <w:tab w:val="left" w:pos="3870"/>
          <w:tab w:val="left" w:pos="4085"/>
        </w:tabs>
        <w:snapToGrid w:val="0"/>
        <w:spacing w:line="360" w:lineRule="exact"/>
        <w:ind w:firstLine="420" w:firstLineChars="200"/>
        <w:jc w:val="left"/>
        <w:rPr>
          <w:rFonts w:ascii="宋体"/>
          <w:szCs w:val="21"/>
        </w:rPr>
      </w:pPr>
      <w:r>
        <w:rPr>
          <w:rFonts w:hint="eastAsia" w:ascii="宋体"/>
          <w:szCs w:val="21"/>
        </w:rPr>
        <w:t>▲</w:t>
      </w:r>
      <w:r>
        <w:rPr>
          <w:rFonts w:hint="eastAsia" w:ascii="宋体"/>
          <w:b/>
          <w:bCs/>
          <w:szCs w:val="21"/>
        </w:rPr>
        <w:t>注：法定代表人(负责人)授权委托书、投标声明书、投标函、开标一览表必须按照招标文件格式要求签署和加盖单位公章，否则作投标无效处理。</w:t>
      </w:r>
    </w:p>
    <w:p w14:paraId="5E62ABE5">
      <w:pPr>
        <w:snapToGrid w:val="0"/>
        <w:spacing w:before="50" w:afterLines="50" w:line="360" w:lineRule="exact"/>
        <w:jc w:val="left"/>
        <w:outlineLvl w:val="0"/>
        <w:rPr>
          <w:rFonts w:ascii="宋体" w:hAnsi="宋体"/>
          <w:b/>
          <w:color w:val="FF0000"/>
          <w:szCs w:val="21"/>
        </w:rPr>
      </w:pPr>
    </w:p>
    <w:p w14:paraId="59AC1364">
      <w:pPr>
        <w:snapToGrid w:val="0"/>
        <w:spacing w:before="50" w:afterLines="50" w:line="360" w:lineRule="exact"/>
        <w:jc w:val="center"/>
        <w:outlineLvl w:val="0"/>
        <w:rPr>
          <w:rFonts w:ascii="宋体" w:hAnsi="宋体"/>
          <w:b/>
          <w:szCs w:val="21"/>
        </w:rPr>
      </w:pPr>
      <w:r>
        <w:rPr>
          <w:rFonts w:ascii="宋体" w:hAnsi="宋体"/>
          <w:b/>
          <w:color w:val="FF0000"/>
          <w:szCs w:val="21"/>
        </w:rPr>
        <w:br w:type="page"/>
      </w:r>
      <w:r>
        <w:rPr>
          <w:rFonts w:hint="eastAsia" w:ascii="宋体" w:hAnsi="宋体"/>
          <w:b/>
          <w:szCs w:val="21"/>
        </w:rPr>
        <w:t>三、投标文件格式</w:t>
      </w:r>
    </w:p>
    <w:p w14:paraId="546B86F9">
      <w:pPr>
        <w:snapToGrid w:val="0"/>
        <w:spacing w:before="50" w:afterLines="50" w:line="360" w:lineRule="exact"/>
        <w:jc w:val="left"/>
        <w:outlineLvl w:val="0"/>
        <w:rPr>
          <w:rFonts w:ascii="宋体" w:hAnsi="宋体"/>
          <w:b/>
          <w:bCs/>
          <w:szCs w:val="21"/>
        </w:rPr>
      </w:pPr>
      <w:r>
        <w:rPr>
          <w:rFonts w:hint="eastAsia" w:ascii="宋体" w:hAnsi="宋体"/>
          <w:b/>
          <w:szCs w:val="21"/>
        </w:rPr>
        <w:t>一）</w:t>
      </w:r>
      <w:r>
        <w:rPr>
          <w:rFonts w:hint="eastAsia" w:ascii="宋体" w:hAnsi="宋体"/>
          <w:b/>
          <w:bCs/>
          <w:szCs w:val="21"/>
        </w:rPr>
        <w:t>资格文件部分（格式）</w:t>
      </w:r>
    </w:p>
    <w:p w14:paraId="027028F0">
      <w:pPr>
        <w:snapToGrid w:val="0"/>
        <w:spacing w:line="360" w:lineRule="exact"/>
        <w:ind w:firstLine="411" w:firstLineChars="196"/>
        <w:jc w:val="left"/>
        <w:rPr>
          <w:rFonts w:ascii="宋体" w:hAnsi="宋体"/>
          <w:b/>
          <w:color w:val="FF0000"/>
          <w:szCs w:val="21"/>
        </w:rPr>
      </w:pPr>
      <w:r>
        <w:rPr>
          <w:rFonts w:hint="eastAsia" w:ascii="宋体" w:hAnsi="宋体"/>
          <w:szCs w:val="21"/>
        </w:rPr>
        <w:t xml:space="preserve">    </w:t>
      </w:r>
    </w:p>
    <w:p w14:paraId="1FDCC151">
      <w:pPr>
        <w:snapToGrid w:val="0"/>
        <w:spacing w:line="360" w:lineRule="exact"/>
        <w:ind w:firstLine="210" w:firstLineChars="100"/>
        <w:jc w:val="left"/>
        <w:rPr>
          <w:rFonts w:ascii="宋体" w:hAnsi="宋体"/>
          <w:szCs w:val="21"/>
        </w:rPr>
      </w:pPr>
      <w:r>
        <w:rPr>
          <w:rFonts w:hint="eastAsia" w:ascii="宋体" w:hAnsi="宋体"/>
          <w:szCs w:val="21"/>
        </w:rPr>
        <w:t>（1）有效的主体资格证明文件；</w:t>
      </w:r>
    </w:p>
    <w:p w14:paraId="27CD13C2">
      <w:pPr>
        <w:snapToGrid w:val="0"/>
        <w:spacing w:line="360" w:lineRule="exact"/>
        <w:ind w:firstLine="210" w:firstLineChars="100"/>
        <w:jc w:val="left"/>
        <w:rPr>
          <w:rFonts w:ascii="宋体" w:hAnsi="宋体"/>
          <w:b/>
          <w:szCs w:val="21"/>
        </w:rPr>
      </w:pPr>
      <w:r>
        <w:rPr>
          <w:rFonts w:hint="eastAsia" w:ascii="宋体" w:hAnsi="宋体"/>
          <w:b/>
          <w:szCs w:val="21"/>
        </w:rPr>
        <w:t xml:space="preserve"> </w:t>
      </w:r>
      <w:r>
        <w:rPr>
          <w:rFonts w:hint="eastAsia" w:ascii="宋体" w:hAnsi="宋体"/>
          <w:szCs w:val="21"/>
        </w:rPr>
        <w:t>①投标人有效的“主体资格证明文件”（如营业执照、事业单位法人证书、执业许可证、自然人身份证等）复印件，同时要加盖单位公章；</w:t>
      </w:r>
      <w:r>
        <w:rPr>
          <w:rFonts w:hint="eastAsia" w:ascii="宋体" w:hAnsi="宋体"/>
          <w:b/>
          <w:szCs w:val="21"/>
        </w:rPr>
        <w:t>（必须提供）</w:t>
      </w:r>
    </w:p>
    <w:p w14:paraId="264B1505">
      <w:pPr>
        <w:spacing w:line="370" w:lineRule="exact"/>
        <w:rPr>
          <w:b/>
        </w:rPr>
      </w:pPr>
      <w:r>
        <w:rPr>
          <w:rFonts w:hint="eastAsia" w:ascii="宋体" w:hAnsi="宋体"/>
          <w:szCs w:val="21"/>
        </w:rPr>
        <w:t xml:space="preserve">   </w:t>
      </w:r>
      <w:r>
        <w:rPr>
          <w:rFonts w:hint="eastAsia"/>
        </w:rPr>
        <w:t>②供应商须具备有效的《中华人民共和国出版物经营许可证》复印件，同时要加盖单位公章；</w:t>
      </w:r>
      <w:r>
        <w:rPr>
          <w:rFonts w:hint="eastAsia"/>
          <w:b/>
          <w:bCs/>
        </w:rPr>
        <w:t>（必须提供）</w:t>
      </w:r>
    </w:p>
    <w:p w14:paraId="229594B6">
      <w:pPr>
        <w:snapToGrid w:val="0"/>
        <w:spacing w:line="360" w:lineRule="exact"/>
        <w:ind w:firstLine="210" w:firstLineChars="100"/>
        <w:jc w:val="left"/>
        <w:rPr>
          <w:rFonts w:ascii="宋体" w:hAnsi="宋体"/>
          <w:b/>
          <w:szCs w:val="21"/>
        </w:rPr>
      </w:pPr>
    </w:p>
    <w:p w14:paraId="468CD53D">
      <w:pPr>
        <w:snapToGrid w:val="0"/>
        <w:spacing w:line="360" w:lineRule="exact"/>
        <w:ind w:firstLine="210" w:firstLineChars="100"/>
        <w:jc w:val="left"/>
        <w:rPr>
          <w:rFonts w:ascii="宋体" w:hAnsi="宋体"/>
          <w:b/>
          <w:szCs w:val="21"/>
        </w:rPr>
      </w:pPr>
      <w:r>
        <w:rPr>
          <w:rFonts w:hint="eastAsia" w:ascii="宋体" w:hAnsi="宋体"/>
          <w:szCs w:val="21"/>
        </w:rPr>
        <w:t>（2）投标截止之日前一年内投标人连续三个月的依法缴纳税费或依法免缴税费的证明；无纳税记录的，应提供由投标人所在地的税务部门出具的《依法纳税或依法免税证明》。</w:t>
      </w:r>
      <w:r>
        <w:rPr>
          <w:rFonts w:hint="eastAsia" w:ascii="宋体" w:hAnsi="宋体"/>
          <w:b/>
          <w:szCs w:val="21"/>
        </w:rPr>
        <w:t>（必须提供，新成立单位按实际提供）</w:t>
      </w:r>
    </w:p>
    <w:p w14:paraId="67932F97">
      <w:pPr>
        <w:snapToGrid w:val="0"/>
        <w:spacing w:line="360" w:lineRule="exact"/>
        <w:ind w:firstLine="210" w:firstLineChars="100"/>
        <w:jc w:val="left"/>
        <w:rPr>
          <w:rFonts w:ascii="宋体" w:hAnsi="宋体"/>
          <w:szCs w:val="21"/>
        </w:rPr>
      </w:pPr>
    </w:p>
    <w:p w14:paraId="2A1B5FCA">
      <w:pPr>
        <w:snapToGrid w:val="0"/>
        <w:spacing w:line="360" w:lineRule="exact"/>
        <w:ind w:firstLine="210" w:firstLineChars="100"/>
        <w:jc w:val="left"/>
        <w:rPr>
          <w:rFonts w:ascii="宋体" w:hAnsi="宋体"/>
          <w:b/>
          <w:szCs w:val="21"/>
        </w:rPr>
      </w:pPr>
      <w:r>
        <w:rPr>
          <w:rFonts w:hint="eastAsia" w:ascii="宋体" w:hAnsi="宋体"/>
          <w:szCs w:val="21"/>
        </w:rPr>
        <w:t>（3）投标截止之日前一年内投标人连续三个月的依法缴纳社保费的缴费凭证；无缴费记录的，应提供由投标人所在地社保等相关部门出具的《依法缴纳或依法免缴社保费证明》。</w:t>
      </w:r>
      <w:r>
        <w:rPr>
          <w:rFonts w:hint="eastAsia" w:ascii="宋体" w:hAnsi="宋体"/>
          <w:b/>
          <w:szCs w:val="21"/>
        </w:rPr>
        <w:t>（必须提供，新成立单位按实际提供）</w:t>
      </w:r>
    </w:p>
    <w:p w14:paraId="1B72223F">
      <w:pPr>
        <w:snapToGrid w:val="0"/>
        <w:spacing w:line="360" w:lineRule="exact"/>
        <w:ind w:firstLine="210" w:firstLineChars="100"/>
        <w:jc w:val="left"/>
        <w:rPr>
          <w:rFonts w:ascii="宋体" w:hAnsi="宋体"/>
          <w:szCs w:val="21"/>
        </w:rPr>
      </w:pPr>
    </w:p>
    <w:p w14:paraId="21046DB5">
      <w:pPr>
        <w:snapToGrid w:val="0"/>
        <w:spacing w:line="360" w:lineRule="exact"/>
        <w:ind w:firstLine="210" w:firstLineChars="100"/>
        <w:jc w:val="left"/>
        <w:rPr>
          <w:rFonts w:ascii="宋体" w:hAnsi="宋体"/>
          <w:b/>
          <w:szCs w:val="21"/>
        </w:rPr>
      </w:pPr>
      <w:r>
        <w:rPr>
          <w:rFonts w:hint="eastAsia" w:ascii="宋体" w:hAnsi="宋体"/>
          <w:szCs w:val="21"/>
        </w:rPr>
        <w:t>（4）</w:t>
      </w:r>
      <w:r>
        <w:rPr>
          <w:rFonts w:ascii="宋体" w:hAnsi="宋体"/>
          <w:szCs w:val="21"/>
        </w:rPr>
        <w:t>财务状况报告</w:t>
      </w:r>
      <w:r>
        <w:rPr>
          <w:rFonts w:hint="eastAsia" w:ascii="宋体" w:hAnsi="宋体"/>
          <w:szCs w:val="21"/>
        </w:rPr>
        <w:t>。</w:t>
      </w:r>
      <w:r>
        <w:rPr>
          <w:rFonts w:hint="eastAsia" w:ascii="宋体" w:hAnsi="宋体"/>
          <w:b/>
          <w:szCs w:val="21"/>
        </w:rPr>
        <w:t>（格式自拟，必须提供）</w:t>
      </w:r>
    </w:p>
    <w:p w14:paraId="595132F5">
      <w:pPr>
        <w:snapToGrid w:val="0"/>
        <w:spacing w:line="360" w:lineRule="exact"/>
        <w:ind w:firstLine="210" w:firstLineChars="100"/>
        <w:jc w:val="left"/>
        <w:rPr>
          <w:rFonts w:ascii="宋体" w:hAnsi="宋体"/>
          <w:b/>
          <w:szCs w:val="21"/>
        </w:rPr>
      </w:pPr>
    </w:p>
    <w:p w14:paraId="16C70928">
      <w:pPr>
        <w:snapToGrid w:val="0"/>
        <w:spacing w:line="360" w:lineRule="exact"/>
        <w:ind w:firstLine="210" w:firstLineChars="100"/>
        <w:jc w:val="left"/>
        <w:rPr>
          <w:rFonts w:ascii="宋体" w:hAnsi="宋体"/>
          <w:b/>
          <w:szCs w:val="21"/>
        </w:rPr>
      </w:pPr>
      <w:r>
        <w:rPr>
          <w:rFonts w:hint="eastAsia" w:ascii="宋体" w:hAnsi="宋体"/>
          <w:szCs w:val="21"/>
        </w:rPr>
        <w:t>（5）</w:t>
      </w:r>
      <w:r>
        <w:rPr>
          <w:rFonts w:ascii="宋体" w:hAnsi="宋体"/>
          <w:szCs w:val="21"/>
        </w:rPr>
        <w:t>具备履行合同所必需的设备和专业技术能力的证明材料</w:t>
      </w:r>
      <w:r>
        <w:rPr>
          <w:rFonts w:hint="eastAsia" w:ascii="宋体" w:hAnsi="宋体"/>
          <w:szCs w:val="21"/>
        </w:rPr>
        <w:t>。</w:t>
      </w:r>
      <w:r>
        <w:rPr>
          <w:rFonts w:hint="eastAsia" w:ascii="宋体" w:hAnsi="宋体"/>
          <w:b/>
          <w:szCs w:val="21"/>
        </w:rPr>
        <w:t>（内容、格式自拟，必须提供）</w:t>
      </w:r>
    </w:p>
    <w:p w14:paraId="693AFC43">
      <w:pPr>
        <w:snapToGrid w:val="0"/>
        <w:spacing w:line="360" w:lineRule="exact"/>
        <w:ind w:firstLine="210" w:firstLineChars="100"/>
        <w:jc w:val="left"/>
        <w:rPr>
          <w:rFonts w:ascii="宋体" w:hAnsi="宋体"/>
          <w:b/>
          <w:szCs w:val="21"/>
        </w:rPr>
      </w:pPr>
    </w:p>
    <w:p w14:paraId="036EBEF0">
      <w:pPr>
        <w:snapToGrid w:val="0"/>
        <w:spacing w:line="360" w:lineRule="exact"/>
        <w:ind w:firstLine="210" w:firstLineChars="100"/>
        <w:jc w:val="left"/>
        <w:rPr>
          <w:rFonts w:ascii="宋体" w:hAnsi="宋体"/>
          <w:szCs w:val="21"/>
        </w:rPr>
      </w:pPr>
      <w:r>
        <w:rPr>
          <w:rFonts w:hint="eastAsia" w:ascii="宋体" w:hAnsi="宋体"/>
          <w:szCs w:val="21"/>
        </w:rPr>
        <w:t>（6）参加政府采购活动前三年内在经营活动中没有重大违法记录和不良信用记录的书面声明。（</w:t>
      </w:r>
      <w:r>
        <w:rPr>
          <w:rFonts w:hint="eastAsia" w:ascii="宋体" w:hAnsi="宋体"/>
          <w:b/>
          <w:szCs w:val="21"/>
        </w:rPr>
        <w:t>格式自拟，必须提供</w:t>
      </w:r>
      <w:r>
        <w:rPr>
          <w:rFonts w:hint="eastAsia" w:ascii="宋体" w:hAnsi="宋体"/>
          <w:szCs w:val="21"/>
        </w:rPr>
        <w:t>）</w:t>
      </w:r>
    </w:p>
    <w:p w14:paraId="05E9525A">
      <w:pPr>
        <w:snapToGrid w:val="0"/>
        <w:spacing w:line="360" w:lineRule="exact"/>
        <w:ind w:firstLine="210" w:firstLineChars="100"/>
        <w:jc w:val="left"/>
        <w:rPr>
          <w:rFonts w:ascii="宋体" w:hAnsi="宋体"/>
          <w:szCs w:val="21"/>
        </w:rPr>
      </w:pPr>
    </w:p>
    <w:p w14:paraId="1A80FB62">
      <w:pPr>
        <w:snapToGrid w:val="0"/>
        <w:spacing w:line="360" w:lineRule="exact"/>
        <w:ind w:firstLine="210" w:firstLineChars="100"/>
        <w:jc w:val="left"/>
        <w:rPr>
          <w:rFonts w:ascii="宋体" w:hAnsi="宋体"/>
          <w:b/>
          <w:szCs w:val="21"/>
        </w:rPr>
      </w:pPr>
      <w:r>
        <w:rPr>
          <w:rFonts w:hint="eastAsia" w:ascii="宋体" w:hAnsi="宋体"/>
          <w:b/>
          <w:szCs w:val="21"/>
        </w:rPr>
        <w:t>注：采购人或采购代理机构在资格审查结束前对供应商进行信用查询</w:t>
      </w:r>
    </w:p>
    <w:p w14:paraId="393E0192">
      <w:pPr>
        <w:snapToGrid w:val="0"/>
        <w:spacing w:line="360" w:lineRule="exact"/>
        <w:ind w:firstLine="210" w:firstLineChars="100"/>
        <w:jc w:val="left"/>
        <w:rPr>
          <w:rFonts w:ascii="宋体" w:hAnsi="宋体"/>
          <w:b/>
          <w:szCs w:val="21"/>
        </w:rPr>
      </w:pPr>
      <w:r>
        <w:rPr>
          <w:rFonts w:hint="eastAsia" w:ascii="宋体" w:hAnsi="宋体"/>
          <w:b/>
          <w:szCs w:val="21"/>
        </w:rPr>
        <w:t>查询渠道：“信用中国”网站(www.creditchina.gov.cn) 、中国政府采购网(www.ccgp.gov.cn)</w:t>
      </w:r>
    </w:p>
    <w:p w14:paraId="79E75837">
      <w:pPr>
        <w:snapToGrid w:val="0"/>
        <w:spacing w:line="360" w:lineRule="exact"/>
        <w:ind w:firstLine="210" w:firstLineChars="100"/>
        <w:jc w:val="left"/>
        <w:rPr>
          <w:rFonts w:ascii="宋体" w:hAnsi="宋体"/>
          <w:b/>
          <w:szCs w:val="21"/>
        </w:rPr>
      </w:pPr>
      <w:r>
        <w:rPr>
          <w:rFonts w:hint="eastAsia" w:ascii="宋体" w:hAnsi="宋体"/>
          <w:b/>
          <w:szCs w:val="21"/>
        </w:rPr>
        <w:t>查询截止时间：资格审查结束前。</w:t>
      </w:r>
    </w:p>
    <w:p w14:paraId="2E7EAB0E">
      <w:pPr>
        <w:snapToGrid w:val="0"/>
        <w:spacing w:line="360" w:lineRule="exact"/>
        <w:ind w:firstLine="210" w:firstLineChars="100"/>
        <w:jc w:val="left"/>
        <w:rPr>
          <w:rFonts w:ascii="宋体" w:hAnsi="宋体"/>
          <w:b/>
          <w:szCs w:val="21"/>
        </w:rPr>
      </w:pPr>
      <w:r>
        <w:rPr>
          <w:rFonts w:hint="eastAsia" w:ascii="宋体" w:hAnsi="宋体"/>
          <w:b/>
          <w:szCs w:val="21"/>
        </w:rPr>
        <w:t>查询记录和证据留存方式：在查询网站中直接打印查询记录，打印材料作为评审资料保存。</w:t>
      </w:r>
    </w:p>
    <w:p w14:paraId="4E240423">
      <w:pPr>
        <w:snapToGrid w:val="0"/>
        <w:spacing w:line="360" w:lineRule="exact"/>
        <w:ind w:firstLine="210" w:firstLineChars="100"/>
        <w:jc w:val="left"/>
        <w:rPr>
          <w:rFonts w:ascii="宋体" w:cs="宋体"/>
          <w:kern w:val="0"/>
          <w:szCs w:val="21"/>
        </w:rPr>
      </w:pPr>
      <w:r>
        <w:rPr>
          <w:rFonts w:hint="eastAsia" w:ascii="宋体" w:hAnsi="宋体"/>
          <w:b/>
          <w:szCs w:val="21"/>
        </w:rPr>
        <w:t>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将拒绝其参与政府采购活动。</w:t>
      </w:r>
    </w:p>
    <w:p w14:paraId="7C081BCD">
      <w:pPr>
        <w:snapToGrid w:val="0"/>
        <w:spacing w:line="360" w:lineRule="exact"/>
        <w:ind w:firstLine="210" w:firstLineChars="100"/>
        <w:jc w:val="left"/>
        <w:rPr>
          <w:rFonts w:ascii="宋体" w:cs="宋体"/>
          <w:kern w:val="0"/>
          <w:szCs w:val="21"/>
        </w:rPr>
      </w:pPr>
    </w:p>
    <w:p w14:paraId="53D18CC5">
      <w:pPr>
        <w:rPr>
          <w:b/>
        </w:rPr>
      </w:pPr>
      <w:r>
        <w:rPr>
          <w:b/>
        </w:rPr>
        <w:br w:type="page"/>
      </w:r>
    </w:p>
    <w:p w14:paraId="3224A027">
      <w:pPr>
        <w:pStyle w:val="26"/>
        <w:snapToGrid w:val="0"/>
        <w:spacing w:line="400" w:lineRule="exact"/>
        <w:jc w:val="left"/>
        <w:rPr>
          <w:rFonts w:hAnsi="宋体" w:cs="宋体"/>
          <w:color w:val="000000"/>
        </w:rPr>
      </w:pPr>
      <w:r>
        <w:rPr>
          <w:rFonts w:hint="eastAsia" w:hAnsi="宋体" w:cs="宋体"/>
          <w:color w:val="000000"/>
        </w:rPr>
        <w:t>（7）投标人直接控股、管理关系信息表（格式后附）；（</w:t>
      </w:r>
      <w:r>
        <w:rPr>
          <w:rFonts w:hint="eastAsia" w:hAnsi="宋体" w:cs="宋体"/>
          <w:b/>
          <w:bCs/>
          <w:color w:val="000000"/>
        </w:rPr>
        <w:t>必须提供，否则作无效投标处理</w:t>
      </w:r>
      <w:r>
        <w:rPr>
          <w:rFonts w:hint="eastAsia" w:hAnsi="宋体" w:cs="宋体"/>
          <w:color w:val="000000"/>
        </w:rPr>
        <w:t>）</w:t>
      </w:r>
    </w:p>
    <w:p w14:paraId="089A62E3">
      <w:pPr>
        <w:spacing w:line="400" w:lineRule="exact"/>
        <w:rPr>
          <w:rFonts w:ascii="宋体" w:hAnsi="宋体" w:cs="宋体"/>
          <w:color w:val="FF0000"/>
          <w:szCs w:val="21"/>
          <w:highlight w:val="yellow"/>
        </w:rPr>
      </w:pPr>
    </w:p>
    <w:p w14:paraId="7B9FD6B7">
      <w:pPr>
        <w:snapToGrid w:val="0"/>
        <w:spacing w:before="50" w:afterLines="50" w:line="360" w:lineRule="auto"/>
        <w:jc w:val="center"/>
        <w:rPr>
          <w:rFonts w:ascii="宋体" w:hAnsi="宋体" w:cs="宋体"/>
          <w:b/>
          <w:kern w:val="0"/>
          <w:sz w:val="28"/>
          <w:szCs w:val="28"/>
        </w:rPr>
      </w:pPr>
      <w:r>
        <w:rPr>
          <w:rFonts w:hint="eastAsia" w:ascii="宋体" w:hAnsi="宋体" w:cs="宋体"/>
          <w:b/>
          <w:kern w:val="0"/>
          <w:sz w:val="28"/>
          <w:szCs w:val="28"/>
        </w:rPr>
        <w:t>投标人直接控股股东信息表</w:t>
      </w:r>
    </w:p>
    <w:tbl>
      <w:tblPr>
        <w:tblStyle w:val="50"/>
        <w:tblW w:w="0" w:type="auto"/>
        <w:tblInd w:w="125"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170157A9">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1E42287">
            <w:pPr>
              <w:spacing w:line="360" w:lineRule="auto"/>
              <w:jc w:val="center"/>
              <w:rPr>
                <w:rFonts w:ascii="宋体" w:hAnsi="宋体" w:cs="宋体"/>
                <w:b/>
                <w:bCs/>
                <w:kern w:val="0"/>
                <w:szCs w:val="21"/>
              </w:rPr>
            </w:pPr>
            <w:r>
              <w:rPr>
                <w:rFonts w:hint="eastAsia" w:ascii="宋体" w:hAnsi="宋体" w:cs="宋体"/>
                <w:b/>
                <w:bCs/>
                <w:kern w:val="0"/>
                <w:szCs w:val="21"/>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BA0FBA3">
            <w:pPr>
              <w:spacing w:line="360" w:lineRule="auto"/>
              <w:jc w:val="center"/>
              <w:rPr>
                <w:rFonts w:ascii="宋体" w:hAnsi="宋体" w:cs="宋体"/>
                <w:b/>
                <w:bCs/>
                <w:kern w:val="0"/>
                <w:szCs w:val="21"/>
              </w:rPr>
            </w:pPr>
            <w:r>
              <w:rPr>
                <w:rFonts w:hint="eastAsia" w:ascii="宋体" w:hAnsi="宋体" w:cs="宋体"/>
                <w:b/>
                <w:bCs/>
                <w:kern w:val="0"/>
                <w:szCs w:val="21"/>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EDF9B01">
            <w:pPr>
              <w:spacing w:line="360" w:lineRule="auto"/>
              <w:jc w:val="center"/>
              <w:rPr>
                <w:rFonts w:ascii="宋体" w:hAnsi="宋体" w:cs="宋体"/>
                <w:b/>
                <w:bCs/>
                <w:kern w:val="0"/>
                <w:szCs w:val="21"/>
              </w:rPr>
            </w:pPr>
            <w:r>
              <w:rPr>
                <w:rFonts w:hint="eastAsia" w:ascii="宋体" w:hAnsi="宋体" w:cs="宋体"/>
                <w:b/>
                <w:bCs/>
                <w:kern w:val="0"/>
                <w:szCs w:val="21"/>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A9925F5">
            <w:pPr>
              <w:spacing w:line="360" w:lineRule="auto"/>
              <w:jc w:val="center"/>
              <w:rPr>
                <w:rFonts w:ascii="宋体" w:hAnsi="宋体" w:cs="宋体"/>
                <w:b/>
                <w:bCs/>
                <w:kern w:val="0"/>
                <w:szCs w:val="21"/>
              </w:rPr>
            </w:pPr>
            <w:r>
              <w:rPr>
                <w:rFonts w:hint="eastAsia" w:ascii="宋体" w:hAnsi="宋体" w:cs="宋体"/>
                <w:b/>
                <w:bCs/>
                <w:kern w:val="0"/>
                <w:szCs w:val="21"/>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C8C85B3">
            <w:pPr>
              <w:spacing w:line="360" w:lineRule="auto"/>
              <w:jc w:val="center"/>
              <w:rPr>
                <w:rFonts w:ascii="宋体" w:hAnsi="宋体" w:cs="宋体"/>
                <w:b/>
                <w:bCs/>
                <w:kern w:val="0"/>
                <w:szCs w:val="21"/>
              </w:rPr>
            </w:pPr>
            <w:r>
              <w:rPr>
                <w:rFonts w:hint="eastAsia" w:ascii="宋体" w:hAnsi="宋体" w:cs="宋体"/>
                <w:b/>
                <w:bCs/>
                <w:kern w:val="0"/>
                <w:szCs w:val="21"/>
              </w:rPr>
              <w:t>备注</w:t>
            </w:r>
          </w:p>
        </w:tc>
      </w:tr>
      <w:tr w14:paraId="468B2409">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D09B788">
            <w:pPr>
              <w:spacing w:line="360" w:lineRule="auto"/>
              <w:jc w:val="center"/>
              <w:rPr>
                <w:rFonts w:ascii="宋体" w:hAnsi="宋体" w:cs="宋体"/>
                <w:kern w:val="0"/>
                <w:szCs w:val="21"/>
              </w:rPr>
            </w:pPr>
            <w:r>
              <w:rPr>
                <w:rFonts w:hint="eastAsia" w:ascii="宋体" w:hAnsi="宋体" w:cs="宋体"/>
                <w:kern w:val="0"/>
                <w:szCs w:val="21"/>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84DB3AD">
            <w:pPr>
              <w:spacing w:line="360" w:lineRule="auto"/>
              <w:jc w:val="center"/>
              <w:rPr>
                <w:rFonts w:ascii="宋体" w:hAnsi="宋体" w:cs="宋体"/>
                <w:kern w:val="0"/>
                <w:szCs w:val="21"/>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8B173B7">
            <w:pPr>
              <w:spacing w:line="360" w:lineRule="auto"/>
              <w:jc w:val="center"/>
              <w:rPr>
                <w:rFonts w:ascii="宋体" w:hAnsi="宋体" w:cs="宋体"/>
                <w:kern w:val="0"/>
                <w:szCs w:val="21"/>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E9AA975">
            <w:pPr>
              <w:spacing w:line="360" w:lineRule="auto"/>
              <w:jc w:val="center"/>
              <w:rPr>
                <w:rFonts w:ascii="宋体" w:hAnsi="宋体" w:cs="宋体"/>
                <w:kern w:val="0"/>
                <w:szCs w:val="21"/>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E15E656">
            <w:pPr>
              <w:spacing w:line="360" w:lineRule="auto"/>
              <w:jc w:val="center"/>
              <w:rPr>
                <w:rFonts w:ascii="宋体" w:hAnsi="宋体" w:cs="宋体"/>
                <w:kern w:val="0"/>
                <w:szCs w:val="21"/>
              </w:rPr>
            </w:pPr>
          </w:p>
        </w:tc>
      </w:tr>
      <w:tr w14:paraId="2257DE4D">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D33027E">
            <w:pPr>
              <w:spacing w:line="360" w:lineRule="auto"/>
              <w:jc w:val="center"/>
              <w:rPr>
                <w:rFonts w:ascii="宋体" w:hAnsi="宋体" w:cs="宋体"/>
                <w:kern w:val="0"/>
                <w:szCs w:val="21"/>
              </w:rPr>
            </w:pPr>
            <w:r>
              <w:rPr>
                <w:rFonts w:hint="eastAsia" w:ascii="宋体" w:hAnsi="宋体" w:cs="宋体"/>
                <w:kern w:val="0"/>
                <w:szCs w:val="21"/>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E28CA33">
            <w:pPr>
              <w:spacing w:line="360" w:lineRule="auto"/>
              <w:jc w:val="center"/>
              <w:rPr>
                <w:rFonts w:ascii="宋体" w:hAnsi="宋体" w:cs="宋体"/>
                <w:kern w:val="0"/>
                <w:szCs w:val="21"/>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D7B2BA1">
            <w:pPr>
              <w:spacing w:line="360" w:lineRule="auto"/>
              <w:jc w:val="center"/>
              <w:rPr>
                <w:rFonts w:ascii="宋体" w:hAnsi="宋体" w:cs="宋体"/>
                <w:kern w:val="0"/>
                <w:szCs w:val="21"/>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2B235DC">
            <w:pPr>
              <w:spacing w:line="360" w:lineRule="auto"/>
              <w:jc w:val="center"/>
              <w:rPr>
                <w:rFonts w:ascii="宋体" w:hAnsi="宋体" w:cs="宋体"/>
                <w:kern w:val="0"/>
                <w:szCs w:val="21"/>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FA1AF20">
            <w:pPr>
              <w:spacing w:line="360" w:lineRule="auto"/>
              <w:jc w:val="center"/>
              <w:rPr>
                <w:rFonts w:ascii="宋体" w:hAnsi="宋体" w:cs="宋体"/>
                <w:kern w:val="0"/>
                <w:szCs w:val="21"/>
              </w:rPr>
            </w:pPr>
          </w:p>
        </w:tc>
      </w:tr>
      <w:tr w14:paraId="7850CB42">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9BB46D2">
            <w:pPr>
              <w:spacing w:line="360" w:lineRule="auto"/>
              <w:jc w:val="center"/>
              <w:rPr>
                <w:rFonts w:ascii="宋体" w:hAnsi="宋体" w:cs="宋体"/>
                <w:kern w:val="0"/>
                <w:szCs w:val="21"/>
              </w:rPr>
            </w:pPr>
            <w:r>
              <w:rPr>
                <w:rFonts w:hint="eastAsia" w:ascii="宋体" w:hAnsi="宋体" w:cs="宋体"/>
                <w:kern w:val="0"/>
                <w:szCs w:val="21"/>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83AD555">
            <w:pPr>
              <w:spacing w:line="360" w:lineRule="auto"/>
              <w:jc w:val="center"/>
              <w:rPr>
                <w:rFonts w:ascii="宋体" w:hAnsi="宋体" w:cs="宋体"/>
                <w:kern w:val="0"/>
                <w:szCs w:val="21"/>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9DA1E3D">
            <w:pPr>
              <w:spacing w:line="360" w:lineRule="auto"/>
              <w:jc w:val="center"/>
              <w:rPr>
                <w:rFonts w:ascii="宋体" w:hAnsi="宋体" w:cs="宋体"/>
                <w:kern w:val="0"/>
                <w:szCs w:val="21"/>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12EBC5A">
            <w:pPr>
              <w:spacing w:line="360" w:lineRule="auto"/>
              <w:jc w:val="center"/>
              <w:rPr>
                <w:rFonts w:ascii="宋体" w:hAnsi="宋体" w:cs="宋体"/>
                <w:kern w:val="0"/>
                <w:szCs w:val="21"/>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BADEFC1">
            <w:pPr>
              <w:spacing w:line="360" w:lineRule="auto"/>
              <w:jc w:val="center"/>
              <w:rPr>
                <w:rFonts w:ascii="宋体" w:hAnsi="宋体" w:cs="宋体"/>
                <w:kern w:val="0"/>
                <w:szCs w:val="21"/>
              </w:rPr>
            </w:pPr>
          </w:p>
        </w:tc>
      </w:tr>
      <w:tr w14:paraId="4EA5260E">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7841A86">
            <w:pPr>
              <w:spacing w:line="360" w:lineRule="auto"/>
              <w:jc w:val="center"/>
              <w:rPr>
                <w:rFonts w:ascii="宋体" w:hAnsi="宋体" w:cs="宋体"/>
                <w:kern w:val="0"/>
                <w:szCs w:val="21"/>
              </w:rPr>
            </w:pPr>
            <w:r>
              <w:rPr>
                <w:rFonts w:hint="eastAsia" w:ascii="宋体" w:hAnsi="宋体" w:cs="宋体"/>
                <w:kern w:val="0"/>
                <w:szCs w:val="21"/>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0333A98">
            <w:pPr>
              <w:spacing w:line="360" w:lineRule="auto"/>
              <w:jc w:val="center"/>
              <w:rPr>
                <w:rFonts w:ascii="宋体" w:hAnsi="宋体" w:cs="宋体"/>
                <w:kern w:val="0"/>
                <w:szCs w:val="21"/>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19D3CCB">
            <w:pPr>
              <w:spacing w:line="360" w:lineRule="auto"/>
              <w:jc w:val="center"/>
              <w:rPr>
                <w:rFonts w:ascii="宋体" w:hAnsi="宋体" w:cs="宋体"/>
                <w:kern w:val="0"/>
                <w:szCs w:val="21"/>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30B6035">
            <w:pPr>
              <w:spacing w:line="360" w:lineRule="auto"/>
              <w:jc w:val="center"/>
              <w:rPr>
                <w:rFonts w:ascii="宋体" w:hAnsi="宋体" w:cs="宋体"/>
                <w:kern w:val="0"/>
                <w:szCs w:val="21"/>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955A558">
            <w:pPr>
              <w:spacing w:line="360" w:lineRule="auto"/>
              <w:jc w:val="center"/>
              <w:rPr>
                <w:rFonts w:ascii="宋体" w:hAnsi="宋体" w:cs="宋体"/>
                <w:kern w:val="0"/>
                <w:szCs w:val="21"/>
              </w:rPr>
            </w:pPr>
          </w:p>
        </w:tc>
      </w:tr>
    </w:tbl>
    <w:p w14:paraId="3C5334AB">
      <w:pPr>
        <w:snapToGrid w:val="0"/>
        <w:spacing w:line="500" w:lineRule="exact"/>
        <w:jc w:val="left"/>
        <w:rPr>
          <w:rFonts w:ascii="宋体" w:hAnsi="宋体" w:cs="宋体"/>
          <w:szCs w:val="21"/>
        </w:rPr>
      </w:pPr>
      <w:r>
        <w:rPr>
          <w:rFonts w:hint="eastAsia" w:ascii="宋体" w:hAnsi="宋体" w:cs="宋体"/>
          <w:szCs w:val="21"/>
        </w:rPr>
        <w:t>注：</w:t>
      </w:r>
    </w:p>
    <w:p w14:paraId="12BC8F0E">
      <w:pPr>
        <w:snapToGrid w:val="0"/>
        <w:spacing w:line="500" w:lineRule="exact"/>
        <w:ind w:firstLine="420" w:firstLineChars="200"/>
        <w:jc w:val="left"/>
        <w:rPr>
          <w:rFonts w:ascii="宋体" w:hAnsi="宋体" w:cs="宋体"/>
          <w:szCs w:val="21"/>
        </w:rPr>
      </w:pPr>
      <w:r>
        <w:rPr>
          <w:rFonts w:hint="eastAsia" w:ascii="宋体" w:hAnsi="宋体" w:cs="宋体"/>
          <w:szCs w:val="21"/>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4620D1BD">
      <w:pPr>
        <w:snapToGrid w:val="0"/>
        <w:spacing w:line="500" w:lineRule="exact"/>
        <w:ind w:firstLine="420" w:firstLineChars="200"/>
        <w:jc w:val="left"/>
        <w:rPr>
          <w:rFonts w:ascii="宋体" w:hAnsi="宋体" w:cs="宋体"/>
          <w:szCs w:val="21"/>
        </w:rPr>
      </w:pPr>
      <w:r>
        <w:rPr>
          <w:rFonts w:hint="eastAsia" w:ascii="宋体" w:hAnsi="宋体" w:cs="宋体"/>
          <w:szCs w:val="21"/>
        </w:rPr>
        <w:t>2.本表所指的控股关系仅限于直接控股关系，不包括间接的控股关系。公司实际控制人与公司之间的关系不属于本表所指的直接控股关系。</w:t>
      </w:r>
    </w:p>
    <w:p w14:paraId="036DBE8E">
      <w:pPr>
        <w:snapToGrid w:val="0"/>
        <w:spacing w:line="500" w:lineRule="exact"/>
        <w:ind w:firstLine="420" w:firstLineChars="200"/>
        <w:jc w:val="left"/>
        <w:rPr>
          <w:rFonts w:ascii="宋体" w:hAnsi="宋体" w:cs="宋体"/>
          <w:szCs w:val="21"/>
        </w:rPr>
      </w:pPr>
      <w:r>
        <w:rPr>
          <w:rFonts w:hint="eastAsia" w:ascii="宋体" w:hAnsi="宋体" w:cs="宋体"/>
          <w:szCs w:val="21"/>
        </w:rPr>
        <w:t>3.供应商不存在直接控股股东的，则填“无”。</w:t>
      </w:r>
    </w:p>
    <w:p w14:paraId="01E5C885">
      <w:pPr>
        <w:snapToGrid w:val="0"/>
        <w:spacing w:line="500" w:lineRule="exact"/>
        <w:jc w:val="left"/>
        <w:rPr>
          <w:rFonts w:ascii="宋体" w:hAnsi="宋体" w:cs="宋体"/>
          <w:szCs w:val="21"/>
        </w:rPr>
      </w:pPr>
    </w:p>
    <w:p w14:paraId="60C5BB93">
      <w:pPr>
        <w:snapToGrid w:val="0"/>
        <w:spacing w:line="500" w:lineRule="exact"/>
        <w:jc w:val="left"/>
        <w:rPr>
          <w:rFonts w:ascii="宋体" w:hAnsi="宋体" w:cs="宋体"/>
          <w:szCs w:val="21"/>
        </w:rPr>
      </w:pPr>
    </w:p>
    <w:p w14:paraId="5D063535">
      <w:pPr>
        <w:snapToGrid w:val="0"/>
        <w:spacing w:line="500" w:lineRule="exact"/>
        <w:ind w:firstLine="4410" w:firstLineChars="2100"/>
        <w:rPr>
          <w:rFonts w:ascii="宋体" w:hAnsi="宋体" w:cs="宋体"/>
          <w:kern w:val="0"/>
          <w:szCs w:val="21"/>
        </w:rPr>
      </w:pPr>
      <w:r>
        <w:rPr>
          <w:rFonts w:hint="eastAsia" w:ascii="宋体" w:hAnsi="宋体" w:cs="宋体"/>
          <w:kern w:val="0"/>
          <w:szCs w:val="21"/>
          <w:lang w:val="zh-CN"/>
        </w:rPr>
        <w:t>投标人名称(电子签章)：</w:t>
      </w:r>
    </w:p>
    <w:p w14:paraId="2897CB05">
      <w:pPr>
        <w:snapToGrid w:val="0"/>
        <w:spacing w:line="500" w:lineRule="exact"/>
        <w:ind w:firstLine="4515" w:firstLineChars="2150"/>
        <w:rPr>
          <w:rFonts w:ascii="宋体" w:hAnsi="宋体" w:cs="宋体"/>
          <w:kern w:val="0"/>
          <w:szCs w:val="21"/>
          <w:lang w:val="zh-CN"/>
        </w:rPr>
      </w:pPr>
      <w:r>
        <w:rPr>
          <w:rFonts w:hint="eastAsia" w:ascii="宋体" w:hAnsi="宋体" w:cs="宋体"/>
          <w:kern w:val="0"/>
          <w:szCs w:val="21"/>
          <w:lang w:val="zh-CN"/>
        </w:rPr>
        <w:t>日期</w:t>
      </w:r>
      <w:r>
        <w:rPr>
          <w:rFonts w:hint="eastAsia" w:ascii="宋体" w:hAnsi="宋体" w:cs="宋体"/>
          <w:kern w:val="0"/>
          <w:szCs w:val="21"/>
        </w:rPr>
        <w:t xml:space="preserve">：    年  </w:t>
      </w:r>
      <w:r>
        <w:rPr>
          <w:rFonts w:hint="eastAsia" w:ascii="宋体" w:hAnsi="宋体" w:cs="宋体"/>
          <w:kern w:val="0"/>
          <w:szCs w:val="21"/>
          <w:lang w:val="zh-CN"/>
        </w:rPr>
        <w:t>月</w:t>
      </w:r>
      <w:r>
        <w:rPr>
          <w:rFonts w:hint="eastAsia" w:ascii="宋体" w:hAnsi="宋体" w:cs="宋体"/>
          <w:kern w:val="0"/>
          <w:szCs w:val="21"/>
        </w:rPr>
        <w:t xml:space="preserve">   </w:t>
      </w:r>
      <w:r>
        <w:rPr>
          <w:rFonts w:hint="eastAsia" w:ascii="宋体" w:hAnsi="宋体" w:cs="宋体"/>
          <w:kern w:val="0"/>
          <w:szCs w:val="21"/>
          <w:lang w:val="zh-CN"/>
        </w:rPr>
        <w:t>日</w:t>
      </w:r>
    </w:p>
    <w:p w14:paraId="729DFD0F">
      <w:pPr>
        <w:snapToGrid w:val="0"/>
        <w:jc w:val="center"/>
        <w:rPr>
          <w:rFonts w:ascii="宋体" w:hAnsi="宋体" w:cs="宋体"/>
          <w:b/>
          <w:szCs w:val="21"/>
        </w:rPr>
      </w:pPr>
      <w:r>
        <w:rPr>
          <w:rFonts w:hint="eastAsia" w:ascii="宋体" w:hAnsi="宋体" w:cs="宋体"/>
          <w:b/>
          <w:szCs w:val="21"/>
        </w:rPr>
        <w:br w:type="page"/>
      </w:r>
    </w:p>
    <w:p w14:paraId="46A104C1">
      <w:pPr>
        <w:snapToGrid w:val="0"/>
        <w:spacing w:line="360" w:lineRule="auto"/>
        <w:jc w:val="center"/>
        <w:rPr>
          <w:rFonts w:ascii="宋体" w:hAnsi="宋体" w:cs="宋体"/>
          <w:sz w:val="28"/>
          <w:szCs w:val="28"/>
        </w:rPr>
      </w:pPr>
      <w:r>
        <w:rPr>
          <w:rFonts w:hint="eastAsia" w:ascii="宋体" w:hAnsi="宋体" w:cs="宋体"/>
          <w:b/>
          <w:sz w:val="28"/>
          <w:szCs w:val="28"/>
        </w:rPr>
        <w:t>投标人直接管理关系信息表</w:t>
      </w:r>
    </w:p>
    <w:tbl>
      <w:tblPr>
        <w:tblStyle w:val="50"/>
        <w:tblW w:w="0" w:type="auto"/>
        <w:tblInd w:w="125" w:type="dxa"/>
        <w:shd w:val="clear" w:color="auto" w:fill="FBFBFB"/>
        <w:tblLayout w:type="fixed"/>
        <w:tblCellMar>
          <w:top w:w="0" w:type="dxa"/>
          <w:left w:w="0" w:type="dxa"/>
          <w:bottom w:w="0" w:type="dxa"/>
          <w:right w:w="0" w:type="dxa"/>
        </w:tblCellMar>
      </w:tblPr>
      <w:tblGrid>
        <w:gridCol w:w="1005"/>
        <w:gridCol w:w="2659"/>
        <w:gridCol w:w="3924"/>
        <w:gridCol w:w="2064"/>
      </w:tblGrid>
      <w:tr w14:paraId="752AF1A7">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7620F98">
            <w:pPr>
              <w:spacing w:line="360" w:lineRule="auto"/>
              <w:jc w:val="center"/>
              <w:rPr>
                <w:rFonts w:ascii="宋体" w:hAnsi="宋体" w:cs="宋体"/>
                <w:b/>
                <w:bCs/>
                <w:kern w:val="0"/>
                <w:szCs w:val="21"/>
              </w:rPr>
            </w:pPr>
            <w:r>
              <w:rPr>
                <w:rFonts w:hint="eastAsia" w:ascii="宋体" w:hAnsi="宋体" w:cs="宋体"/>
                <w:b/>
                <w:bCs/>
                <w:kern w:val="0"/>
                <w:szCs w:val="21"/>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2550900">
            <w:pPr>
              <w:spacing w:line="360" w:lineRule="auto"/>
              <w:jc w:val="center"/>
              <w:rPr>
                <w:rFonts w:ascii="宋体" w:hAnsi="宋体" w:cs="宋体"/>
                <w:b/>
                <w:bCs/>
                <w:kern w:val="0"/>
                <w:szCs w:val="21"/>
              </w:rPr>
            </w:pPr>
            <w:r>
              <w:rPr>
                <w:rFonts w:hint="eastAsia" w:ascii="宋体" w:hAnsi="宋体" w:cs="宋体"/>
                <w:b/>
                <w:bCs/>
                <w:kern w:val="0"/>
                <w:szCs w:val="21"/>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379F3B1">
            <w:pPr>
              <w:spacing w:line="360" w:lineRule="auto"/>
              <w:jc w:val="center"/>
              <w:rPr>
                <w:rFonts w:ascii="宋体" w:hAnsi="宋体" w:cs="宋体"/>
                <w:b/>
                <w:bCs/>
                <w:kern w:val="0"/>
                <w:szCs w:val="21"/>
              </w:rPr>
            </w:pPr>
            <w:r>
              <w:rPr>
                <w:rFonts w:hint="eastAsia" w:ascii="宋体" w:hAnsi="宋体" w:cs="宋体"/>
                <w:b/>
                <w:bCs/>
                <w:kern w:val="0"/>
                <w:szCs w:val="21"/>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1C02AAC">
            <w:pPr>
              <w:spacing w:line="360" w:lineRule="auto"/>
              <w:jc w:val="center"/>
              <w:rPr>
                <w:rFonts w:ascii="宋体" w:hAnsi="宋体" w:cs="宋体"/>
                <w:b/>
                <w:bCs/>
                <w:kern w:val="0"/>
                <w:szCs w:val="21"/>
              </w:rPr>
            </w:pPr>
            <w:r>
              <w:rPr>
                <w:rFonts w:hint="eastAsia" w:ascii="宋体" w:hAnsi="宋体" w:cs="宋体"/>
                <w:b/>
                <w:bCs/>
                <w:kern w:val="0"/>
                <w:szCs w:val="21"/>
              </w:rPr>
              <w:t>备注</w:t>
            </w:r>
          </w:p>
        </w:tc>
      </w:tr>
      <w:tr w14:paraId="0E4424D1">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C1FCD05">
            <w:pPr>
              <w:spacing w:line="360" w:lineRule="auto"/>
              <w:jc w:val="center"/>
              <w:rPr>
                <w:rFonts w:ascii="宋体" w:hAnsi="宋体" w:cs="宋体"/>
                <w:kern w:val="0"/>
                <w:szCs w:val="21"/>
              </w:rPr>
            </w:pPr>
            <w:r>
              <w:rPr>
                <w:rFonts w:hint="eastAsia" w:ascii="宋体" w:hAnsi="宋体" w:cs="宋体"/>
                <w:kern w:val="0"/>
                <w:szCs w:val="21"/>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289BFD0">
            <w:pPr>
              <w:spacing w:line="360" w:lineRule="auto"/>
              <w:jc w:val="center"/>
              <w:rPr>
                <w:rFonts w:ascii="宋体" w:hAnsi="宋体" w:cs="宋体"/>
                <w:kern w:val="0"/>
                <w:szCs w:val="21"/>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8A541C8">
            <w:pPr>
              <w:spacing w:line="360" w:lineRule="auto"/>
              <w:jc w:val="center"/>
              <w:rPr>
                <w:rFonts w:ascii="宋体" w:hAnsi="宋体" w:cs="宋体"/>
                <w:kern w:val="0"/>
                <w:szCs w:val="21"/>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63681A8">
            <w:pPr>
              <w:spacing w:line="360" w:lineRule="auto"/>
              <w:jc w:val="center"/>
              <w:rPr>
                <w:rFonts w:ascii="宋体" w:hAnsi="宋体" w:cs="宋体"/>
                <w:kern w:val="0"/>
                <w:szCs w:val="21"/>
              </w:rPr>
            </w:pPr>
          </w:p>
        </w:tc>
      </w:tr>
      <w:tr w14:paraId="50E09556">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3C789D9">
            <w:pPr>
              <w:spacing w:line="360" w:lineRule="auto"/>
              <w:jc w:val="center"/>
              <w:rPr>
                <w:rFonts w:ascii="宋体" w:hAnsi="宋体" w:cs="宋体"/>
                <w:kern w:val="0"/>
                <w:szCs w:val="21"/>
              </w:rPr>
            </w:pPr>
            <w:r>
              <w:rPr>
                <w:rFonts w:hint="eastAsia" w:ascii="宋体" w:hAnsi="宋体" w:cs="宋体"/>
                <w:kern w:val="0"/>
                <w:szCs w:val="21"/>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A647314">
            <w:pPr>
              <w:spacing w:line="360" w:lineRule="auto"/>
              <w:jc w:val="center"/>
              <w:rPr>
                <w:rFonts w:ascii="宋体" w:hAnsi="宋体" w:cs="宋体"/>
                <w:kern w:val="0"/>
                <w:szCs w:val="21"/>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EFEE856">
            <w:pPr>
              <w:spacing w:line="360" w:lineRule="auto"/>
              <w:jc w:val="center"/>
              <w:rPr>
                <w:rFonts w:ascii="宋体" w:hAnsi="宋体" w:cs="宋体"/>
                <w:kern w:val="0"/>
                <w:szCs w:val="21"/>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79172B9">
            <w:pPr>
              <w:spacing w:line="360" w:lineRule="auto"/>
              <w:jc w:val="center"/>
              <w:rPr>
                <w:rFonts w:ascii="宋体" w:hAnsi="宋体" w:cs="宋体"/>
                <w:kern w:val="0"/>
                <w:szCs w:val="21"/>
              </w:rPr>
            </w:pPr>
          </w:p>
        </w:tc>
      </w:tr>
      <w:tr w14:paraId="34FA685F">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DEF2D93">
            <w:pPr>
              <w:spacing w:line="360" w:lineRule="auto"/>
              <w:jc w:val="center"/>
              <w:rPr>
                <w:rFonts w:ascii="宋体" w:hAnsi="宋体" w:cs="宋体"/>
                <w:kern w:val="0"/>
                <w:szCs w:val="21"/>
              </w:rPr>
            </w:pPr>
            <w:r>
              <w:rPr>
                <w:rFonts w:hint="eastAsia" w:ascii="宋体" w:hAnsi="宋体" w:cs="宋体"/>
                <w:kern w:val="0"/>
                <w:szCs w:val="21"/>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93BBA19">
            <w:pPr>
              <w:spacing w:line="360" w:lineRule="auto"/>
              <w:jc w:val="center"/>
              <w:rPr>
                <w:rFonts w:ascii="宋体" w:hAnsi="宋体" w:cs="宋体"/>
                <w:kern w:val="0"/>
                <w:szCs w:val="21"/>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356CD9B">
            <w:pPr>
              <w:spacing w:line="360" w:lineRule="auto"/>
              <w:jc w:val="center"/>
              <w:rPr>
                <w:rFonts w:ascii="宋体" w:hAnsi="宋体" w:cs="宋体"/>
                <w:kern w:val="0"/>
                <w:szCs w:val="21"/>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1122ECC">
            <w:pPr>
              <w:spacing w:line="360" w:lineRule="auto"/>
              <w:jc w:val="center"/>
              <w:rPr>
                <w:rFonts w:ascii="宋体" w:hAnsi="宋体" w:cs="宋体"/>
                <w:kern w:val="0"/>
                <w:szCs w:val="21"/>
              </w:rPr>
            </w:pPr>
          </w:p>
        </w:tc>
      </w:tr>
      <w:tr w14:paraId="276AA142">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A1B18C3">
            <w:pPr>
              <w:spacing w:line="360" w:lineRule="auto"/>
              <w:jc w:val="center"/>
              <w:rPr>
                <w:rFonts w:ascii="宋体" w:hAnsi="宋体" w:cs="宋体"/>
                <w:kern w:val="0"/>
                <w:szCs w:val="21"/>
              </w:rPr>
            </w:pPr>
            <w:r>
              <w:rPr>
                <w:rFonts w:hint="eastAsia" w:ascii="宋体" w:hAnsi="宋体" w:cs="宋体"/>
                <w:kern w:val="0"/>
                <w:szCs w:val="21"/>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B7D5A0C">
            <w:pPr>
              <w:spacing w:line="360" w:lineRule="auto"/>
              <w:jc w:val="center"/>
              <w:rPr>
                <w:rFonts w:ascii="宋体" w:hAnsi="宋体" w:cs="宋体"/>
                <w:kern w:val="0"/>
                <w:szCs w:val="21"/>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6F8EF69">
            <w:pPr>
              <w:spacing w:line="360" w:lineRule="auto"/>
              <w:jc w:val="center"/>
              <w:rPr>
                <w:rFonts w:ascii="宋体" w:hAnsi="宋体" w:cs="宋体"/>
                <w:kern w:val="0"/>
                <w:szCs w:val="21"/>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DCBF892">
            <w:pPr>
              <w:spacing w:line="360" w:lineRule="auto"/>
              <w:jc w:val="center"/>
              <w:rPr>
                <w:rFonts w:ascii="宋体" w:hAnsi="宋体" w:cs="宋体"/>
                <w:kern w:val="0"/>
                <w:szCs w:val="21"/>
              </w:rPr>
            </w:pPr>
          </w:p>
        </w:tc>
      </w:tr>
    </w:tbl>
    <w:p w14:paraId="37EEE4E1">
      <w:pPr>
        <w:snapToGrid w:val="0"/>
        <w:spacing w:line="500" w:lineRule="exact"/>
        <w:ind w:firstLine="420" w:firstLineChars="200"/>
        <w:jc w:val="left"/>
        <w:rPr>
          <w:rFonts w:ascii="宋体" w:hAnsi="宋体" w:cs="宋体"/>
          <w:szCs w:val="21"/>
        </w:rPr>
      </w:pPr>
      <w:r>
        <w:rPr>
          <w:rFonts w:hint="eastAsia" w:ascii="宋体" w:hAnsi="宋体" w:cs="宋体"/>
          <w:szCs w:val="21"/>
        </w:rPr>
        <w:t>注：</w:t>
      </w:r>
    </w:p>
    <w:p w14:paraId="53FEC5ED">
      <w:pPr>
        <w:snapToGrid w:val="0"/>
        <w:spacing w:line="500" w:lineRule="exact"/>
        <w:ind w:firstLine="420" w:firstLineChars="200"/>
        <w:jc w:val="left"/>
        <w:rPr>
          <w:rFonts w:ascii="宋体" w:hAnsi="宋体" w:cs="宋体"/>
          <w:szCs w:val="21"/>
        </w:rPr>
      </w:pPr>
      <w:r>
        <w:rPr>
          <w:rFonts w:hint="eastAsia" w:ascii="宋体" w:hAnsi="宋体" w:cs="宋体"/>
          <w:szCs w:val="21"/>
        </w:rPr>
        <w:t>1.管理关系：是指不具有出资持股关系的其他单位之间存在的管理与被管理关系，如一些上下级关系的事业单位和团体组织。</w:t>
      </w:r>
    </w:p>
    <w:p w14:paraId="1B5081E1">
      <w:pPr>
        <w:snapToGrid w:val="0"/>
        <w:spacing w:line="500" w:lineRule="exact"/>
        <w:ind w:firstLine="420" w:firstLineChars="200"/>
        <w:jc w:val="left"/>
        <w:rPr>
          <w:rFonts w:ascii="宋体" w:hAnsi="宋体" w:cs="宋体"/>
          <w:szCs w:val="21"/>
        </w:rPr>
      </w:pPr>
      <w:r>
        <w:rPr>
          <w:rFonts w:hint="eastAsia" w:ascii="宋体" w:hAnsi="宋体" w:cs="宋体"/>
          <w:szCs w:val="21"/>
        </w:rPr>
        <w:t>2.本表所指的管理关系仅限于直接管理关系，不包括间接的管理关系。</w:t>
      </w:r>
    </w:p>
    <w:p w14:paraId="3A702AD3">
      <w:pPr>
        <w:snapToGrid w:val="0"/>
        <w:spacing w:line="500" w:lineRule="exact"/>
        <w:ind w:firstLine="420" w:firstLineChars="200"/>
        <w:jc w:val="left"/>
        <w:rPr>
          <w:rFonts w:ascii="宋体" w:hAnsi="宋体" w:cs="宋体"/>
          <w:szCs w:val="21"/>
        </w:rPr>
      </w:pPr>
      <w:r>
        <w:rPr>
          <w:rFonts w:hint="eastAsia" w:ascii="宋体" w:hAnsi="宋体" w:cs="宋体"/>
          <w:szCs w:val="21"/>
        </w:rPr>
        <w:t>3.供应商不存在直接管理关系的，则填“无”。</w:t>
      </w:r>
    </w:p>
    <w:p w14:paraId="5709F901">
      <w:pPr>
        <w:snapToGrid w:val="0"/>
        <w:spacing w:line="360" w:lineRule="auto"/>
        <w:jc w:val="left"/>
        <w:rPr>
          <w:rFonts w:ascii="宋体" w:hAnsi="宋体" w:cs="宋体"/>
          <w:szCs w:val="21"/>
        </w:rPr>
      </w:pPr>
    </w:p>
    <w:p w14:paraId="4E52996B">
      <w:pPr>
        <w:snapToGrid w:val="0"/>
        <w:spacing w:line="360" w:lineRule="auto"/>
        <w:jc w:val="left"/>
        <w:rPr>
          <w:rFonts w:ascii="宋体" w:hAnsi="宋体" w:cs="宋体"/>
          <w:szCs w:val="21"/>
        </w:rPr>
      </w:pPr>
    </w:p>
    <w:p w14:paraId="0E19CD39">
      <w:pPr>
        <w:snapToGrid w:val="0"/>
        <w:spacing w:line="500" w:lineRule="exact"/>
        <w:ind w:firstLine="4410" w:firstLineChars="2100"/>
        <w:rPr>
          <w:rFonts w:ascii="宋体" w:hAnsi="宋体" w:cs="宋体"/>
          <w:kern w:val="0"/>
          <w:szCs w:val="21"/>
          <w:lang w:val="zh-CN"/>
        </w:rPr>
      </w:pPr>
      <w:r>
        <w:rPr>
          <w:rFonts w:hint="eastAsia" w:ascii="宋体" w:hAnsi="宋体" w:cs="宋体"/>
          <w:kern w:val="0"/>
          <w:szCs w:val="21"/>
          <w:lang w:val="zh-CN"/>
        </w:rPr>
        <w:t>投标人名称(电子签章)：</w:t>
      </w:r>
    </w:p>
    <w:p w14:paraId="26BAC5DC">
      <w:pPr>
        <w:snapToGrid w:val="0"/>
        <w:spacing w:line="500" w:lineRule="exact"/>
        <w:ind w:firstLine="4410" w:firstLineChars="2100"/>
        <w:rPr>
          <w:rFonts w:ascii="宋体" w:hAnsi="宋体" w:cs="宋体"/>
          <w:kern w:val="0"/>
          <w:szCs w:val="21"/>
          <w:lang w:val="zh-CN"/>
        </w:rPr>
      </w:pPr>
      <w:r>
        <w:rPr>
          <w:rFonts w:hint="eastAsia" w:ascii="宋体" w:hAnsi="宋体" w:cs="宋体"/>
          <w:kern w:val="0"/>
          <w:szCs w:val="21"/>
          <w:lang w:val="zh-CN"/>
        </w:rPr>
        <w:t>日期：  年  月   日</w:t>
      </w:r>
    </w:p>
    <w:p w14:paraId="3FE450E8">
      <w:pPr>
        <w:snapToGrid w:val="0"/>
        <w:spacing w:before="50" w:afterLines="50"/>
        <w:jc w:val="left"/>
        <w:rPr>
          <w:rFonts w:ascii="宋体" w:hAnsi="宋体" w:cs="宋体"/>
          <w:szCs w:val="21"/>
        </w:rPr>
      </w:pPr>
    </w:p>
    <w:p w14:paraId="231DA3C2">
      <w:pPr>
        <w:pStyle w:val="19"/>
        <w:ind w:firstLine="480" w:firstLineChars="200"/>
        <w:rPr>
          <w:highlight w:val="yellow"/>
        </w:rPr>
      </w:pPr>
      <w:r>
        <w:rPr>
          <w:rFonts w:hint="eastAsia" w:ascii="宋体" w:hAnsi="宋体" w:cs="宋体"/>
          <w:color w:val="FF0000"/>
          <w:szCs w:val="21"/>
          <w:highlight w:val="yellow"/>
        </w:rPr>
        <w:br w:type="page"/>
      </w:r>
      <w:r>
        <w:rPr>
          <w:rFonts w:hint="eastAsia" w:ascii="宋体" w:hAnsi="宋体" w:cs="宋体"/>
          <w:szCs w:val="21"/>
        </w:rPr>
        <w:t>（</w:t>
      </w:r>
      <w:r>
        <w:rPr>
          <w:rFonts w:ascii="宋体" w:hAnsi="宋体" w:cs="宋体"/>
          <w:szCs w:val="21"/>
        </w:rPr>
        <w:t>8)投标人参加本项目无围标串标行为的承诺；</w:t>
      </w:r>
    </w:p>
    <w:p w14:paraId="1A12AC52">
      <w:pPr>
        <w:snapToGrid w:val="0"/>
        <w:spacing w:before="50" w:after="50"/>
        <w:jc w:val="center"/>
        <w:rPr>
          <w:rFonts w:ascii="宋体" w:hAnsi="宋体" w:cs="宋体"/>
          <w:b/>
          <w:sz w:val="32"/>
        </w:rPr>
      </w:pPr>
    </w:p>
    <w:p w14:paraId="26AB6B96">
      <w:pPr>
        <w:snapToGrid w:val="0"/>
        <w:spacing w:before="50" w:after="50"/>
        <w:jc w:val="center"/>
        <w:rPr>
          <w:rFonts w:ascii="宋体" w:hAnsi="宋体" w:cs="宋体"/>
          <w:b/>
          <w:sz w:val="28"/>
          <w:szCs w:val="22"/>
        </w:rPr>
      </w:pPr>
      <w:r>
        <w:rPr>
          <w:rFonts w:hint="eastAsia" w:ascii="宋体" w:hAnsi="宋体" w:cs="宋体"/>
          <w:b/>
          <w:sz w:val="28"/>
          <w:szCs w:val="22"/>
        </w:rPr>
        <w:t>投标人参加本项目无围标串标行为的承诺函</w:t>
      </w:r>
    </w:p>
    <w:p w14:paraId="56966FB1">
      <w:pPr>
        <w:pStyle w:val="48"/>
        <w:ind w:firstLine="210"/>
        <w:rPr>
          <w:sz w:val="21"/>
          <w:szCs w:val="21"/>
        </w:rPr>
      </w:pPr>
    </w:p>
    <w:p w14:paraId="0A04C207">
      <w:pPr>
        <w:spacing w:line="440" w:lineRule="exact"/>
        <w:contextualSpacing/>
        <w:jc w:val="left"/>
        <w:rPr>
          <w:rFonts w:ascii="宋体" w:hAnsi="宋体" w:cs="宋体"/>
          <w:b/>
          <w:szCs w:val="21"/>
        </w:rPr>
      </w:pPr>
      <w:bookmarkStart w:id="109" w:name="OLE_LINK45"/>
      <w:bookmarkStart w:id="110" w:name="OLE_LINK44"/>
      <w:r>
        <w:rPr>
          <w:rFonts w:hint="eastAsia" w:ascii="宋体" w:hAnsi="宋体" w:cs="宋体"/>
          <w:b/>
          <w:szCs w:val="21"/>
        </w:rPr>
        <w:t>一、我方承诺无下列相互串通投标的情形：</w:t>
      </w:r>
    </w:p>
    <w:p w14:paraId="41670309">
      <w:pPr>
        <w:spacing w:line="440" w:lineRule="exact"/>
        <w:ind w:firstLine="411" w:firstLineChars="196"/>
        <w:contextualSpacing/>
        <w:jc w:val="left"/>
        <w:rPr>
          <w:rFonts w:ascii="宋体" w:hAnsi="宋体" w:cs="宋体"/>
          <w:szCs w:val="21"/>
        </w:rPr>
      </w:pPr>
      <w:r>
        <w:rPr>
          <w:rFonts w:hint="eastAsia" w:ascii="宋体" w:hAnsi="宋体" w:cs="宋体"/>
          <w:szCs w:val="21"/>
        </w:rPr>
        <w:t>1.不同投标人的投标文件由同一单位或者个人编制；或者不同投标人报名的IP地址一致的；或者编制标书硬件设备CPU编号、硬盘编号、网卡地址一致的情况；</w:t>
      </w:r>
    </w:p>
    <w:p w14:paraId="6DB061E6">
      <w:pPr>
        <w:spacing w:line="440" w:lineRule="exact"/>
        <w:ind w:firstLine="411" w:firstLineChars="196"/>
        <w:contextualSpacing/>
        <w:jc w:val="left"/>
        <w:rPr>
          <w:rFonts w:ascii="宋体" w:hAnsi="宋体" w:cs="宋体"/>
          <w:szCs w:val="21"/>
        </w:rPr>
      </w:pPr>
      <w:r>
        <w:rPr>
          <w:rFonts w:hint="eastAsia" w:ascii="宋体" w:hAnsi="宋体" w:cs="宋体"/>
          <w:szCs w:val="21"/>
        </w:rPr>
        <w:t>2.不同投标人委托同一单位或者个人办理投标事宜；</w:t>
      </w:r>
    </w:p>
    <w:p w14:paraId="55B37072">
      <w:pPr>
        <w:spacing w:line="440" w:lineRule="exact"/>
        <w:ind w:firstLine="411" w:firstLineChars="196"/>
        <w:contextualSpacing/>
        <w:jc w:val="left"/>
        <w:rPr>
          <w:rFonts w:ascii="宋体" w:hAnsi="宋体" w:cs="宋体"/>
          <w:szCs w:val="21"/>
        </w:rPr>
      </w:pPr>
      <w:r>
        <w:rPr>
          <w:rFonts w:hint="eastAsia" w:ascii="宋体" w:hAnsi="宋体" w:cs="宋体"/>
          <w:szCs w:val="21"/>
        </w:rPr>
        <w:t>3.不同的投标人的投标文件载明的项目管理员为同一个人；</w:t>
      </w:r>
    </w:p>
    <w:p w14:paraId="39D023CF">
      <w:pPr>
        <w:spacing w:line="440" w:lineRule="exact"/>
        <w:ind w:firstLine="411" w:firstLineChars="196"/>
        <w:contextualSpacing/>
        <w:jc w:val="left"/>
        <w:rPr>
          <w:rFonts w:ascii="宋体" w:hAnsi="宋体" w:cs="宋体"/>
          <w:szCs w:val="21"/>
        </w:rPr>
      </w:pPr>
      <w:r>
        <w:rPr>
          <w:rFonts w:hint="eastAsia" w:ascii="宋体" w:hAnsi="宋体" w:cs="宋体"/>
          <w:szCs w:val="21"/>
        </w:rPr>
        <w:t>4.不同投标人的投标文件异常一致或者投标报价呈规律性差异；</w:t>
      </w:r>
    </w:p>
    <w:p w14:paraId="6AF0B706">
      <w:pPr>
        <w:spacing w:line="440" w:lineRule="exact"/>
        <w:ind w:firstLine="411" w:firstLineChars="196"/>
        <w:contextualSpacing/>
        <w:jc w:val="left"/>
        <w:rPr>
          <w:rFonts w:ascii="宋体" w:hAnsi="宋体" w:cs="宋体"/>
          <w:szCs w:val="21"/>
        </w:rPr>
      </w:pPr>
      <w:r>
        <w:rPr>
          <w:rFonts w:hint="eastAsia" w:ascii="宋体" w:hAnsi="宋体" w:cs="宋体"/>
          <w:szCs w:val="21"/>
        </w:rPr>
        <w:t>5.不同投标人的投标文件相互混装；</w:t>
      </w:r>
    </w:p>
    <w:p w14:paraId="31F715E8">
      <w:pPr>
        <w:spacing w:line="440" w:lineRule="exact"/>
        <w:ind w:firstLine="411" w:firstLineChars="196"/>
        <w:contextualSpacing/>
        <w:jc w:val="left"/>
        <w:rPr>
          <w:rFonts w:ascii="宋体" w:hAnsi="宋体" w:cs="宋体"/>
          <w:szCs w:val="21"/>
        </w:rPr>
      </w:pPr>
      <w:r>
        <w:rPr>
          <w:rFonts w:hint="eastAsia" w:ascii="宋体" w:hAnsi="宋体" w:cs="宋体"/>
          <w:szCs w:val="21"/>
        </w:rPr>
        <w:t>6.不同投标人的投标保证金从同一单位或者个人账户转出。</w:t>
      </w:r>
    </w:p>
    <w:p w14:paraId="43C442EE">
      <w:pPr>
        <w:spacing w:line="440" w:lineRule="exact"/>
        <w:contextualSpacing/>
        <w:jc w:val="left"/>
        <w:rPr>
          <w:rFonts w:ascii="宋体" w:hAnsi="宋体" w:cs="宋体"/>
          <w:szCs w:val="21"/>
        </w:rPr>
      </w:pPr>
      <w:r>
        <w:rPr>
          <w:rFonts w:hint="eastAsia" w:ascii="宋体" w:hAnsi="宋体" w:cs="宋体"/>
          <w:b/>
          <w:szCs w:val="21"/>
        </w:rPr>
        <w:t>二、我方承诺无下列恶意串通的情形：</w:t>
      </w:r>
    </w:p>
    <w:p w14:paraId="2001157E">
      <w:pPr>
        <w:spacing w:line="440" w:lineRule="exact"/>
        <w:ind w:firstLine="411" w:firstLineChars="196"/>
        <w:contextualSpacing/>
        <w:jc w:val="left"/>
        <w:rPr>
          <w:rFonts w:ascii="宋体" w:hAnsi="宋体" w:cs="宋体"/>
          <w:szCs w:val="21"/>
        </w:rPr>
      </w:pPr>
      <w:r>
        <w:rPr>
          <w:rFonts w:hint="eastAsia" w:ascii="宋体" w:hAnsi="宋体" w:cs="宋体"/>
          <w:szCs w:val="21"/>
        </w:rPr>
        <w:t>1.投标人直接或者间接从采购人或者采购代理机构处获得其他投标人的相关信息并修改其投标文件或者响应文件；</w:t>
      </w:r>
    </w:p>
    <w:p w14:paraId="33865D77">
      <w:pPr>
        <w:spacing w:line="440" w:lineRule="exact"/>
        <w:ind w:firstLine="411" w:firstLineChars="196"/>
        <w:contextualSpacing/>
        <w:jc w:val="left"/>
        <w:rPr>
          <w:rFonts w:ascii="宋体" w:hAnsi="宋体" w:cs="宋体"/>
          <w:szCs w:val="21"/>
        </w:rPr>
      </w:pPr>
      <w:r>
        <w:rPr>
          <w:rFonts w:hint="eastAsia" w:ascii="宋体" w:hAnsi="宋体" w:cs="宋体"/>
          <w:szCs w:val="21"/>
        </w:rPr>
        <w:t>2.投标人按照采购人或者采购代理机构的授意撤换、修改投标文件或者响应文件；</w:t>
      </w:r>
    </w:p>
    <w:p w14:paraId="07D23796">
      <w:pPr>
        <w:spacing w:line="440" w:lineRule="exact"/>
        <w:ind w:firstLine="411" w:firstLineChars="196"/>
        <w:contextualSpacing/>
        <w:jc w:val="left"/>
        <w:rPr>
          <w:rFonts w:ascii="宋体" w:hAnsi="宋体" w:cs="宋体"/>
          <w:szCs w:val="21"/>
        </w:rPr>
      </w:pPr>
      <w:r>
        <w:rPr>
          <w:rFonts w:hint="eastAsia" w:ascii="宋体" w:hAnsi="宋体" w:cs="宋体"/>
          <w:szCs w:val="21"/>
        </w:rPr>
        <w:t>3.投标人之间协商报价、技术方案等投标文件或者响应文件的实质性内容；</w:t>
      </w:r>
    </w:p>
    <w:p w14:paraId="49BB7C57">
      <w:pPr>
        <w:spacing w:line="440" w:lineRule="exact"/>
        <w:ind w:firstLine="411" w:firstLineChars="196"/>
        <w:contextualSpacing/>
        <w:jc w:val="left"/>
        <w:rPr>
          <w:rFonts w:ascii="宋体" w:hAnsi="宋体" w:cs="宋体"/>
          <w:szCs w:val="21"/>
        </w:rPr>
      </w:pPr>
      <w:r>
        <w:rPr>
          <w:rFonts w:hint="eastAsia" w:ascii="宋体" w:hAnsi="宋体" w:cs="宋体"/>
          <w:szCs w:val="21"/>
        </w:rPr>
        <w:t>4.属于同一集团、协会、商会等组织成员的投标人按照该组织要求协同参加政府采购活动；</w:t>
      </w:r>
    </w:p>
    <w:p w14:paraId="4AD0AC68">
      <w:pPr>
        <w:spacing w:line="440" w:lineRule="exact"/>
        <w:ind w:firstLine="411" w:firstLineChars="196"/>
        <w:contextualSpacing/>
        <w:jc w:val="left"/>
        <w:rPr>
          <w:rFonts w:ascii="宋体" w:hAnsi="宋体" w:cs="宋体"/>
          <w:szCs w:val="21"/>
        </w:rPr>
      </w:pPr>
      <w:r>
        <w:rPr>
          <w:rFonts w:hint="eastAsia" w:ascii="宋体" w:hAnsi="宋体" w:cs="宋体"/>
          <w:szCs w:val="21"/>
        </w:rPr>
        <w:t>5.投标人之间事先约定一致抬高或者压低投标报价，或者在招标项目中事先约定轮流以高价位或者低价位中标，或者事先约定由某一特定投标人中标，然后再参加投标；</w:t>
      </w:r>
    </w:p>
    <w:p w14:paraId="0DEBE9AE">
      <w:pPr>
        <w:spacing w:line="440" w:lineRule="exact"/>
        <w:ind w:firstLine="411" w:firstLineChars="196"/>
        <w:contextualSpacing/>
        <w:jc w:val="left"/>
        <w:rPr>
          <w:rFonts w:ascii="宋体" w:hAnsi="宋体" w:cs="宋体"/>
          <w:szCs w:val="21"/>
        </w:rPr>
      </w:pPr>
      <w:r>
        <w:rPr>
          <w:rFonts w:hint="eastAsia" w:ascii="宋体" w:hAnsi="宋体" w:cs="宋体"/>
          <w:szCs w:val="21"/>
        </w:rPr>
        <w:t>6.投标人之间商定部分投标人放弃参加政府采购活动或者放弃中标；</w:t>
      </w:r>
    </w:p>
    <w:p w14:paraId="5DA4B044">
      <w:pPr>
        <w:spacing w:line="440" w:lineRule="exact"/>
        <w:ind w:firstLine="411" w:firstLineChars="196"/>
        <w:contextualSpacing/>
        <w:jc w:val="left"/>
        <w:rPr>
          <w:rFonts w:ascii="宋体" w:hAnsi="宋体" w:cs="宋体"/>
          <w:szCs w:val="21"/>
        </w:rPr>
      </w:pPr>
      <w:r>
        <w:rPr>
          <w:rFonts w:hint="eastAsia" w:ascii="宋体" w:hAnsi="宋体" w:cs="宋体"/>
          <w:szCs w:val="21"/>
        </w:rPr>
        <w:t>7.投标人与采购人或者采购代理机构之间、投标人相互之间，为谋求特定投标人中标或者排斥其他投标人的其他串通行为。</w:t>
      </w:r>
    </w:p>
    <w:p w14:paraId="3911CCFE">
      <w:pPr>
        <w:spacing w:line="440" w:lineRule="exact"/>
        <w:ind w:firstLine="411" w:firstLineChars="196"/>
        <w:contextualSpacing/>
        <w:jc w:val="left"/>
        <w:rPr>
          <w:rFonts w:ascii="宋体" w:hAnsi="宋体" w:cs="宋体"/>
          <w:b/>
          <w:szCs w:val="21"/>
        </w:rPr>
      </w:pPr>
      <w:r>
        <w:rPr>
          <w:rFonts w:hint="eastAsia" w:ascii="宋体" w:hAnsi="宋体" w:cs="宋体"/>
          <w:b/>
          <w:szCs w:val="21"/>
        </w:rPr>
        <w:t>以上情形一经核查属实，接受政府采购监管部门对我方认定存在围标串标行为，我方愿意承担一切后果，并不再寻求任何旨在减轻或者免除法律责任的辩解。</w:t>
      </w:r>
      <w:bookmarkEnd w:id="109"/>
      <w:bookmarkEnd w:id="110"/>
    </w:p>
    <w:p w14:paraId="49CE6F9D">
      <w:pPr>
        <w:pStyle w:val="26"/>
        <w:spacing w:line="440" w:lineRule="exact"/>
        <w:ind w:firstLine="5985" w:firstLineChars="2850"/>
        <w:contextualSpacing/>
        <w:rPr>
          <w:rFonts w:hAnsi="宋体" w:cs="宋体"/>
        </w:rPr>
      </w:pPr>
    </w:p>
    <w:p w14:paraId="67C5D3B3">
      <w:pPr>
        <w:spacing w:line="360" w:lineRule="auto"/>
        <w:ind w:firstLine="420" w:firstLineChars="200"/>
        <w:contextualSpacing/>
        <w:rPr>
          <w:rFonts w:ascii="宋体" w:hAnsi="宋体" w:cs="宋体"/>
          <w:szCs w:val="21"/>
          <w:u w:val="single"/>
        </w:rPr>
      </w:pPr>
      <w:r>
        <w:rPr>
          <w:rFonts w:hint="eastAsia" w:hAnsi="宋体" w:cs="宋体"/>
          <w:szCs w:val="21"/>
        </w:rPr>
        <w:t>投标人名称（电子签章）：</w:t>
      </w:r>
    </w:p>
    <w:p w14:paraId="428E86C6">
      <w:pPr>
        <w:spacing w:line="360" w:lineRule="auto"/>
        <w:ind w:firstLine="420" w:firstLineChars="200"/>
        <w:contextualSpacing/>
        <w:rPr>
          <w:rFonts w:hAnsi="宋体" w:cs="宋体"/>
          <w:szCs w:val="21"/>
        </w:rPr>
      </w:pPr>
      <w:r>
        <w:rPr>
          <w:rFonts w:hint="eastAsia" w:hAnsi="宋体" w:cs="宋体"/>
          <w:szCs w:val="21"/>
        </w:rPr>
        <w:t>日期：  年  月   日</w:t>
      </w:r>
    </w:p>
    <w:p w14:paraId="0F50FCA2">
      <w:pPr>
        <w:snapToGrid w:val="0"/>
        <w:spacing w:before="50" w:afterLines="50" w:line="360" w:lineRule="exact"/>
        <w:jc w:val="left"/>
        <w:outlineLvl w:val="0"/>
        <w:rPr>
          <w:b/>
        </w:rPr>
      </w:pPr>
      <w:r>
        <w:rPr>
          <w:b/>
        </w:rPr>
        <w:br w:type="page"/>
      </w:r>
      <w:r>
        <w:rPr>
          <w:rFonts w:hint="eastAsia"/>
          <w:b/>
        </w:rPr>
        <w:t>二）商务技术文件部分（格式）</w:t>
      </w:r>
    </w:p>
    <w:p w14:paraId="357878F4">
      <w:pPr>
        <w:snapToGrid w:val="0"/>
        <w:spacing w:before="50" w:afterLines="50" w:line="360" w:lineRule="exact"/>
        <w:jc w:val="left"/>
        <w:outlineLvl w:val="0"/>
        <w:rPr>
          <w:b/>
        </w:rPr>
      </w:pPr>
      <w:r>
        <w:rPr>
          <w:rFonts w:hint="eastAsia" w:ascii="宋体" w:hAnsi="宋体"/>
          <w:b/>
        </w:rPr>
        <w:t>1.商务文件：</w:t>
      </w:r>
    </w:p>
    <w:p w14:paraId="1190C8B3">
      <w:pPr>
        <w:snapToGrid w:val="0"/>
        <w:spacing w:line="370" w:lineRule="exact"/>
        <w:ind w:firstLine="411" w:firstLineChars="196"/>
        <w:jc w:val="left"/>
        <w:rPr>
          <w:rFonts w:ascii="宋体"/>
          <w:szCs w:val="21"/>
        </w:rPr>
      </w:pPr>
      <w:r>
        <w:rPr>
          <w:rFonts w:hint="eastAsia"/>
        </w:rPr>
        <w:t xml:space="preserve">    </w:t>
      </w:r>
    </w:p>
    <w:p w14:paraId="1CC7A7A4">
      <w:pPr>
        <w:snapToGrid w:val="0"/>
        <w:spacing w:line="360" w:lineRule="exact"/>
        <w:ind w:firstLine="210" w:firstLineChars="100"/>
        <w:jc w:val="left"/>
        <w:rPr>
          <w:rFonts w:ascii="宋体" w:cs="宋体"/>
          <w:b/>
          <w:kern w:val="0"/>
          <w:szCs w:val="21"/>
        </w:rPr>
      </w:pPr>
      <w:r>
        <w:rPr>
          <w:rFonts w:hint="eastAsia" w:ascii="宋体" w:cs="宋体"/>
          <w:kern w:val="0"/>
          <w:szCs w:val="21"/>
        </w:rPr>
        <w:t>（1）</w:t>
      </w:r>
      <w:r>
        <w:rPr>
          <w:rFonts w:hint="eastAsia" w:ascii="宋体" w:hAnsi="宋体"/>
          <w:color w:val="000000"/>
          <w:szCs w:val="21"/>
        </w:rPr>
        <w:t>投标保证金的提交凭证</w:t>
      </w:r>
      <w:r>
        <w:rPr>
          <w:rFonts w:hint="eastAsia" w:ascii="宋体" w:cs="宋体"/>
          <w:kern w:val="0"/>
          <w:szCs w:val="21"/>
        </w:rPr>
        <w:t>；</w:t>
      </w:r>
      <w:r>
        <w:rPr>
          <w:rFonts w:hint="eastAsia" w:ascii="宋体" w:cs="宋体"/>
          <w:b/>
          <w:kern w:val="0"/>
          <w:szCs w:val="21"/>
        </w:rPr>
        <w:t>（必须提供）</w:t>
      </w:r>
    </w:p>
    <w:p w14:paraId="536B6B75">
      <w:pPr>
        <w:spacing w:line="360" w:lineRule="exact"/>
        <w:rPr>
          <w:rFonts w:ascii="宋体" w:hAnsi="宋体"/>
        </w:rPr>
      </w:pPr>
    </w:p>
    <w:p w14:paraId="19A9C24A">
      <w:pPr>
        <w:snapToGrid w:val="0"/>
        <w:spacing w:line="360" w:lineRule="exact"/>
        <w:ind w:firstLine="210" w:firstLineChars="100"/>
        <w:jc w:val="left"/>
        <w:rPr>
          <w:rFonts w:ascii="宋体" w:cs="宋体"/>
          <w:kern w:val="0"/>
          <w:szCs w:val="21"/>
        </w:rPr>
      </w:pPr>
    </w:p>
    <w:p w14:paraId="142ADB0A">
      <w:pPr>
        <w:snapToGrid w:val="0"/>
        <w:spacing w:line="360" w:lineRule="exact"/>
        <w:ind w:firstLine="210" w:firstLineChars="100"/>
        <w:jc w:val="left"/>
        <w:rPr>
          <w:rFonts w:ascii="宋体" w:cs="宋体"/>
          <w:kern w:val="0"/>
          <w:szCs w:val="21"/>
        </w:rPr>
      </w:pPr>
      <w:r>
        <w:rPr>
          <w:rFonts w:hint="eastAsia" w:ascii="宋体" w:cs="宋体"/>
          <w:kern w:val="0"/>
          <w:szCs w:val="21"/>
        </w:rPr>
        <w:t>（2）投标声明书格式：</w:t>
      </w:r>
    </w:p>
    <w:p w14:paraId="0C2846DB">
      <w:pPr>
        <w:snapToGrid w:val="0"/>
        <w:spacing w:beforeLines="50" w:after="50" w:line="360" w:lineRule="exact"/>
        <w:jc w:val="center"/>
        <w:rPr>
          <w:rFonts w:ascii="宋体" w:hAnsi="宋体"/>
          <w:b/>
          <w:sz w:val="30"/>
          <w:szCs w:val="30"/>
        </w:rPr>
      </w:pPr>
      <w:r>
        <w:rPr>
          <w:rFonts w:hint="eastAsia" w:ascii="宋体" w:hAnsi="宋体"/>
          <w:b/>
          <w:sz w:val="30"/>
          <w:szCs w:val="30"/>
        </w:rPr>
        <w:t>投标声明书</w:t>
      </w:r>
    </w:p>
    <w:p w14:paraId="7FBF8E48">
      <w:pPr>
        <w:spacing w:line="400" w:lineRule="exact"/>
        <w:rPr>
          <w:rFonts w:ascii="宋体" w:hAnsi="宋体"/>
        </w:rPr>
      </w:pPr>
      <w:r>
        <w:rPr>
          <w:rFonts w:hint="eastAsia" w:ascii="宋体" w:hAnsi="宋体"/>
        </w:rPr>
        <w:t>致：</w:t>
      </w:r>
      <w:r>
        <w:rPr>
          <w:rFonts w:hint="eastAsia" w:ascii="宋体" w:hAnsi="宋体"/>
          <w:u w:val="single"/>
        </w:rPr>
        <w:t xml:space="preserve"> 广西国力招标有限公司 </w:t>
      </w:r>
    </w:p>
    <w:p w14:paraId="07E17D14">
      <w:pPr>
        <w:spacing w:line="400" w:lineRule="exact"/>
        <w:rPr>
          <w:rFonts w:ascii="宋体" w:hAnsi="宋体"/>
        </w:rPr>
      </w:pPr>
      <w:r>
        <w:rPr>
          <w:rFonts w:hint="eastAsia" w:ascii="宋体" w:hAnsi="宋体"/>
        </w:rPr>
        <w:t xml:space="preserve">    </w:t>
      </w:r>
      <w:r>
        <w:rPr>
          <w:rFonts w:hint="eastAsia" w:ascii="宋体" w:hAnsi="宋体"/>
          <w:u w:val="single"/>
        </w:rPr>
        <w:t xml:space="preserve">                </w:t>
      </w:r>
      <w:r>
        <w:rPr>
          <w:rFonts w:hint="eastAsia" w:ascii="宋体" w:hAnsi="宋体"/>
        </w:rPr>
        <w:t>（投标人名称）系中华人民共和国合法企业，经营地址</w:t>
      </w:r>
      <w:r>
        <w:rPr>
          <w:rFonts w:hint="eastAsia" w:ascii="宋体" w:hAnsi="宋体"/>
          <w:u w:val="single"/>
        </w:rPr>
        <w:t xml:space="preserve">                               </w:t>
      </w:r>
      <w:r>
        <w:rPr>
          <w:rFonts w:hint="eastAsia" w:ascii="宋体" w:hAnsi="宋体"/>
        </w:rPr>
        <w:t>。</w:t>
      </w:r>
    </w:p>
    <w:p w14:paraId="0B26CF3E">
      <w:pPr>
        <w:spacing w:line="400" w:lineRule="exact"/>
        <w:rPr>
          <w:rFonts w:ascii="宋体" w:hAnsi="宋体"/>
        </w:rPr>
      </w:pPr>
      <w:r>
        <w:rPr>
          <w:rFonts w:hint="eastAsia" w:ascii="宋体" w:hAnsi="宋体"/>
        </w:rPr>
        <w:t xml:space="preserve">    我</w:t>
      </w:r>
      <w:r>
        <w:rPr>
          <w:rFonts w:hint="eastAsia" w:ascii="宋体" w:hAnsi="宋体"/>
          <w:u w:val="single"/>
        </w:rPr>
        <w:t xml:space="preserve">           </w:t>
      </w:r>
      <w:r>
        <w:rPr>
          <w:rFonts w:hint="eastAsia" w:ascii="宋体" w:hAnsi="宋体"/>
        </w:rPr>
        <w:t>（姓名）系</w:t>
      </w:r>
      <w:r>
        <w:rPr>
          <w:rFonts w:hint="eastAsia" w:ascii="宋体" w:hAnsi="宋体"/>
          <w:u w:val="single"/>
        </w:rPr>
        <w:t xml:space="preserve">                    </w:t>
      </w:r>
      <w:r>
        <w:rPr>
          <w:rFonts w:hint="eastAsia" w:ascii="宋体" w:hAnsi="宋体"/>
        </w:rPr>
        <w:t>（投标人名称）的法定代表人（负责人），我方愿意参加贵方组织的</w:t>
      </w:r>
      <w:r>
        <w:rPr>
          <w:rFonts w:hint="eastAsia" w:ascii="宋体" w:hAnsi="宋体"/>
          <w:u w:val="single"/>
        </w:rPr>
        <w:t xml:space="preserve">                     </w:t>
      </w:r>
      <w:r>
        <w:rPr>
          <w:rFonts w:hint="eastAsia" w:ascii="宋体" w:hAnsi="宋体"/>
        </w:rPr>
        <w:t>项目的投标，为便于贵方公正、择优地确定中标人及其投标产品和服务，我方就本次投标有关事项郑重声明如下：</w:t>
      </w:r>
    </w:p>
    <w:p w14:paraId="695AFC41">
      <w:pPr>
        <w:spacing w:line="400" w:lineRule="exact"/>
        <w:rPr>
          <w:rFonts w:ascii="宋体" w:hAnsi="宋体"/>
        </w:rPr>
      </w:pPr>
      <w:r>
        <w:rPr>
          <w:rFonts w:hint="eastAsia" w:ascii="宋体" w:hAnsi="宋体"/>
        </w:rPr>
        <w:t xml:space="preserve">    1.我方向贵方提交的所有投标文件、资料都是准确的和真实的。</w:t>
      </w:r>
    </w:p>
    <w:p w14:paraId="3D34FAEB">
      <w:pPr>
        <w:spacing w:line="400" w:lineRule="exact"/>
        <w:rPr>
          <w:rFonts w:ascii="宋体" w:hAnsi="宋体"/>
        </w:rPr>
      </w:pPr>
      <w:r>
        <w:rPr>
          <w:rFonts w:hint="eastAsia" w:ascii="宋体" w:hAnsi="宋体"/>
        </w:rPr>
        <w:t xml:space="preserve">    2.我方在获知本项目采购信息后，与采购人聘请的为此项目提供咨询服务的公司及其附属机构没有任何联系。</w:t>
      </w:r>
    </w:p>
    <w:p w14:paraId="7F7A8D67">
      <w:pPr>
        <w:spacing w:line="400" w:lineRule="exact"/>
        <w:rPr>
          <w:rFonts w:ascii="宋体" w:hAnsi="宋体"/>
        </w:rPr>
      </w:pPr>
      <w:r>
        <w:rPr>
          <w:rFonts w:hint="eastAsia" w:ascii="宋体" w:hAnsi="宋体"/>
        </w:rPr>
        <w:t xml:space="preserve">    3.我方此次向贵方提供的产品名称为：</w:t>
      </w:r>
      <w:r>
        <w:rPr>
          <w:rFonts w:hint="eastAsia" w:ascii="宋体" w:hAnsi="宋体"/>
          <w:u w:val="single"/>
        </w:rPr>
        <w:t xml:space="preserve">                  </w:t>
      </w:r>
      <w:r>
        <w:rPr>
          <w:rFonts w:hint="eastAsia" w:ascii="宋体" w:hAnsi="宋体"/>
        </w:rPr>
        <w:t>；规格型号：</w:t>
      </w:r>
      <w:r>
        <w:rPr>
          <w:rFonts w:hint="eastAsia" w:ascii="宋体" w:hAnsi="宋体"/>
          <w:u w:val="single"/>
        </w:rPr>
        <w:t xml:space="preserve">                     </w:t>
      </w:r>
      <w:r>
        <w:rPr>
          <w:rFonts w:hint="eastAsia" w:ascii="宋体" w:hAnsi="宋体"/>
        </w:rPr>
        <w:t>；该型号产品我方有现货可供，并已于</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月生产完工或向</w:t>
      </w:r>
      <w:r>
        <w:rPr>
          <w:rFonts w:hint="eastAsia" w:ascii="宋体" w:hAnsi="宋体"/>
          <w:u w:val="single"/>
        </w:rPr>
        <w:t xml:space="preserve">　　              </w:t>
      </w:r>
      <w:r>
        <w:rPr>
          <w:rFonts w:hint="eastAsia" w:ascii="宋体" w:hAnsi="宋体"/>
        </w:rPr>
        <w:t>（原厂商名称）购进［</w:t>
      </w:r>
      <w:r>
        <w:rPr>
          <w:rFonts w:hint="eastAsia" w:ascii="宋体" w:hAnsi="宋体"/>
          <w:b/>
        </w:rPr>
        <w:t>或</w:t>
      </w:r>
      <w:r>
        <w:rPr>
          <w:rFonts w:hint="eastAsia" w:ascii="宋体" w:hAnsi="宋体"/>
        </w:rPr>
        <w:t>需在中标后向</w:t>
      </w:r>
      <w:r>
        <w:rPr>
          <w:rFonts w:hint="eastAsia" w:ascii="宋体" w:hAnsi="宋体"/>
          <w:u w:val="single"/>
        </w:rPr>
        <w:t xml:space="preserve">               </w:t>
      </w:r>
      <w:r>
        <w:rPr>
          <w:rFonts w:hint="eastAsia" w:ascii="宋体" w:hAnsi="宋体"/>
        </w:rPr>
        <w:t>订购］。</w:t>
      </w:r>
    </w:p>
    <w:p w14:paraId="685A37D6">
      <w:pPr>
        <w:spacing w:line="400" w:lineRule="exact"/>
        <w:rPr>
          <w:rFonts w:ascii="宋体" w:hAnsi="宋体"/>
        </w:rPr>
      </w:pPr>
      <w:r>
        <w:rPr>
          <w:rFonts w:hint="eastAsia" w:ascii="宋体" w:hAnsi="宋体"/>
        </w:rPr>
        <w:t xml:space="preserve">    4.我方诚意提请贵方关注：近期有关该型号产品的生产、供货、售后服务以及性能等方面的重大决策和事项有：</w:t>
      </w:r>
    </w:p>
    <w:p w14:paraId="59620C8C">
      <w:pPr>
        <w:spacing w:line="400" w:lineRule="exact"/>
        <w:rPr>
          <w:rFonts w:ascii="宋体" w:hAnsi="宋体"/>
          <w:u w:val="single"/>
        </w:rPr>
      </w:pPr>
      <w:r>
        <w:rPr>
          <w:rFonts w:hint="eastAsia" w:ascii="宋体" w:hAnsi="宋体"/>
        </w:rPr>
        <w:t>　　</w:t>
      </w:r>
      <w:r>
        <w:rPr>
          <w:rFonts w:hint="eastAsia" w:ascii="宋体" w:hAnsi="宋体"/>
          <w:u w:val="single"/>
        </w:rPr>
        <w:t>　　　　　　　　　　　　　　　　　　　　　　　　　</w:t>
      </w:r>
    </w:p>
    <w:p w14:paraId="3DCDF37F">
      <w:pPr>
        <w:spacing w:line="400" w:lineRule="exact"/>
        <w:rPr>
          <w:rFonts w:ascii="宋体" w:hAnsi="宋体"/>
          <w:u w:val="single"/>
        </w:rPr>
      </w:pPr>
      <w:r>
        <w:rPr>
          <w:rFonts w:hint="eastAsia" w:ascii="宋体" w:hAnsi="宋体"/>
        </w:rPr>
        <w:t>　　</w:t>
      </w:r>
      <w:r>
        <w:rPr>
          <w:rFonts w:hint="eastAsia" w:ascii="宋体" w:hAnsi="宋体"/>
          <w:u w:val="single"/>
        </w:rPr>
        <w:t>　　　　　　　　　　　　　　　　　　　　　　　　　</w:t>
      </w:r>
    </w:p>
    <w:p w14:paraId="51020243">
      <w:pPr>
        <w:spacing w:line="400" w:lineRule="exact"/>
        <w:rPr>
          <w:rFonts w:ascii="宋体" w:hAnsi="宋体"/>
        </w:rPr>
      </w:pPr>
      <w:r>
        <w:rPr>
          <w:rFonts w:hint="eastAsia" w:ascii="宋体" w:hAnsi="宋体"/>
        </w:rPr>
        <w:t xml:space="preserve">    5.我方</w:t>
      </w:r>
      <w:r>
        <w:rPr>
          <w:rFonts w:ascii="宋体" w:hAnsi="宋体"/>
        </w:rPr>
        <w:t>参加政府采购活动前</w:t>
      </w:r>
      <w:r>
        <w:rPr>
          <w:rFonts w:hint="eastAsia" w:ascii="宋体" w:hAnsi="宋体"/>
        </w:rPr>
        <w:t>三</w:t>
      </w:r>
      <w:r>
        <w:rPr>
          <w:rFonts w:ascii="宋体" w:hAnsi="宋体"/>
        </w:rPr>
        <w:t>年内在经营活动中重大违法记录</w:t>
      </w:r>
      <w:r>
        <w:rPr>
          <w:rFonts w:hint="eastAsia" w:ascii="宋体" w:hAnsi="宋体"/>
        </w:rPr>
        <w:t>情况：</w:t>
      </w:r>
    </w:p>
    <w:p w14:paraId="325CE075">
      <w:pPr>
        <w:spacing w:line="400" w:lineRule="exact"/>
        <w:rPr>
          <w:rFonts w:ascii="宋体" w:hAnsi="宋体"/>
          <w:u w:val="single"/>
        </w:rPr>
      </w:pPr>
      <w:r>
        <w:rPr>
          <w:rFonts w:hint="eastAsia" w:ascii="宋体" w:hAnsi="宋体"/>
        </w:rPr>
        <w:t>　　</w:t>
      </w:r>
      <w:r>
        <w:rPr>
          <w:rFonts w:hint="eastAsia" w:ascii="宋体" w:hAnsi="宋体"/>
          <w:u w:val="single"/>
        </w:rPr>
        <w:t>　　　　　　　　　　　　　　　　　　　　　　　　　</w:t>
      </w:r>
    </w:p>
    <w:p w14:paraId="36449F06">
      <w:pPr>
        <w:spacing w:line="400" w:lineRule="exact"/>
        <w:rPr>
          <w:rFonts w:ascii="宋体" w:hAnsi="宋体"/>
        </w:rPr>
      </w:pPr>
      <w:r>
        <w:rPr>
          <w:rFonts w:hint="eastAsia" w:ascii="宋体" w:hAnsi="宋体"/>
        </w:rPr>
        <w:t xml:space="preserve">    6.以上事项如有虚假或隐瞒，我方愿意承担一切后果。</w:t>
      </w:r>
    </w:p>
    <w:p w14:paraId="17604C50">
      <w:pPr>
        <w:spacing w:line="400" w:lineRule="exact"/>
      </w:pPr>
    </w:p>
    <w:p w14:paraId="4B306221">
      <w:pPr>
        <w:spacing w:line="400" w:lineRule="exact"/>
      </w:pPr>
      <w:r>
        <w:rPr>
          <w:rFonts w:hint="eastAsia"/>
        </w:rPr>
        <w:t xml:space="preserve">                                               法定代表人（负责人）签字或盖章：</w:t>
      </w:r>
      <w:r>
        <w:rPr>
          <w:rFonts w:hint="eastAsia"/>
          <w:u w:val="single"/>
        </w:rPr>
        <w:t xml:space="preserve">             </w:t>
      </w:r>
    </w:p>
    <w:p w14:paraId="489D62B1">
      <w:pPr>
        <w:spacing w:line="400" w:lineRule="exact"/>
      </w:pPr>
      <w:r>
        <w:rPr>
          <w:rFonts w:hint="eastAsia"/>
        </w:rPr>
        <w:t xml:space="preserve">                                               投标人名称（</w:t>
      </w:r>
      <w:r>
        <w:rPr>
          <w:rFonts w:hint="eastAsia" w:ascii="宋体"/>
          <w:szCs w:val="21"/>
        </w:rPr>
        <w:t>盖章</w:t>
      </w:r>
      <w:r>
        <w:rPr>
          <w:rFonts w:hint="eastAsia"/>
        </w:rPr>
        <w:t>）：</w:t>
      </w:r>
      <w:r>
        <w:rPr>
          <w:rFonts w:hint="eastAsia"/>
          <w:u w:val="single"/>
        </w:rPr>
        <w:t xml:space="preserve">               </w:t>
      </w:r>
    </w:p>
    <w:p w14:paraId="094C0297">
      <w:pPr>
        <w:spacing w:line="400" w:lineRule="exact"/>
      </w:pPr>
      <w:r>
        <w:rPr>
          <w:rFonts w:hint="eastAsia"/>
        </w:rPr>
        <w:t xml:space="preserve">                                                                          年    月    日</w:t>
      </w:r>
    </w:p>
    <w:p w14:paraId="701915F5">
      <w:pPr>
        <w:spacing w:line="400" w:lineRule="exact"/>
        <w:rPr>
          <w:b/>
        </w:rPr>
      </w:pPr>
    </w:p>
    <w:p w14:paraId="17FB35F6">
      <w:pPr>
        <w:spacing w:line="400" w:lineRule="exact"/>
        <w:rPr>
          <w:b/>
        </w:rPr>
      </w:pPr>
      <w:r>
        <w:rPr>
          <w:b/>
        </w:rPr>
        <w:t>重大违法记录，是指供应商因违法经营受到刑事处罚或者责令停产停业、吊销许可证或者执照、较大数额罚款等行政处罚。</w:t>
      </w:r>
    </w:p>
    <w:p w14:paraId="1E85A124">
      <w:pPr>
        <w:snapToGrid w:val="0"/>
        <w:spacing w:line="360" w:lineRule="exact"/>
        <w:ind w:firstLine="210" w:firstLineChars="100"/>
        <w:jc w:val="left"/>
        <w:rPr>
          <w:rFonts w:ascii="宋体"/>
          <w:szCs w:val="21"/>
        </w:rPr>
      </w:pPr>
      <w:r>
        <w:rPr>
          <w:rFonts w:hint="eastAsia" w:ascii="宋体"/>
          <w:b/>
          <w:szCs w:val="21"/>
        </w:rPr>
        <w:br w:type="page"/>
      </w:r>
      <w:r>
        <w:rPr>
          <w:rFonts w:hint="eastAsia" w:ascii="宋体" w:cs="宋体"/>
          <w:kern w:val="0"/>
          <w:szCs w:val="21"/>
        </w:rPr>
        <w:t xml:space="preserve">    (3) 法定代表人(负责人)授权委托书格式：</w:t>
      </w:r>
    </w:p>
    <w:p w14:paraId="7EA6D22B">
      <w:pPr>
        <w:snapToGrid w:val="0"/>
        <w:spacing w:beforeLines="50" w:after="50" w:line="340" w:lineRule="exact"/>
        <w:jc w:val="center"/>
        <w:rPr>
          <w:rFonts w:ascii="宋体"/>
          <w:b/>
          <w:sz w:val="30"/>
          <w:szCs w:val="30"/>
        </w:rPr>
      </w:pPr>
      <w:r>
        <w:rPr>
          <w:rFonts w:hint="eastAsia" w:ascii="宋体"/>
          <w:b/>
          <w:sz w:val="30"/>
          <w:szCs w:val="30"/>
        </w:rPr>
        <w:t>法定代表人(负责人)授权委托书</w:t>
      </w:r>
    </w:p>
    <w:p w14:paraId="03309EC6">
      <w:pPr>
        <w:spacing w:line="400" w:lineRule="exact"/>
      </w:pPr>
      <w:r>
        <w:rPr>
          <w:rFonts w:hint="eastAsia"/>
        </w:rPr>
        <w:t>致：</w:t>
      </w:r>
      <w:r>
        <w:rPr>
          <w:rFonts w:hint="eastAsia"/>
          <w:u w:val="single"/>
        </w:rPr>
        <w:t xml:space="preserve"> 广西国力招标有限公司 </w:t>
      </w:r>
    </w:p>
    <w:p w14:paraId="5896217D">
      <w:pPr>
        <w:spacing w:line="400" w:lineRule="exact"/>
      </w:pPr>
      <w:r>
        <w:rPr>
          <w:rFonts w:hint="eastAsia"/>
        </w:rPr>
        <w:t xml:space="preserve">    我</w:t>
      </w:r>
      <w:r>
        <w:rPr>
          <w:rFonts w:hint="eastAsia"/>
          <w:u w:val="single"/>
        </w:rPr>
        <w:t xml:space="preserve">             </w:t>
      </w:r>
      <w:r>
        <w:rPr>
          <w:rFonts w:hint="eastAsia"/>
        </w:rPr>
        <w:t>（姓名）系</w:t>
      </w:r>
      <w:r>
        <w:rPr>
          <w:rFonts w:hint="eastAsia"/>
          <w:u w:val="single"/>
        </w:rPr>
        <w:t xml:space="preserve">                </w:t>
      </w:r>
      <w:r>
        <w:rPr>
          <w:rFonts w:hint="eastAsia"/>
        </w:rPr>
        <w:t>（投标人名称）的法定代表人（负责人），现授权委托本单位在职职工</w:t>
      </w:r>
      <w:r>
        <w:rPr>
          <w:rFonts w:hint="eastAsia"/>
          <w:u w:val="single"/>
        </w:rPr>
        <w:t xml:space="preserve">           </w:t>
      </w:r>
      <w:r>
        <w:rPr>
          <w:rFonts w:hint="eastAsia"/>
        </w:rPr>
        <w:t>（姓名）以我方的名义参加</w:t>
      </w:r>
      <w:r>
        <w:rPr>
          <w:rFonts w:hint="eastAsia"/>
          <w:u w:val="single"/>
        </w:rPr>
        <w:t xml:space="preserve">                </w:t>
      </w:r>
      <w:r>
        <w:rPr>
          <w:rFonts w:hint="eastAsia"/>
        </w:rPr>
        <w:t>项目的投标活动，并代表我方全权办理针对上述项目的投标、开标、评标、签约等具体事务和签署相关文件。</w:t>
      </w:r>
    </w:p>
    <w:p w14:paraId="4192A57F">
      <w:pPr>
        <w:spacing w:line="400" w:lineRule="exact"/>
      </w:pPr>
      <w:r>
        <w:rPr>
          <w:rFonts w:hint="eastAsia"/>
        </w:rPr>
        <w:t xml:space="preserve">    我方对被授权人的签名事项负全部责任。</w:t>
      </w:r>
    </w:p>
    <w:p w14:paraId="5189FD9B">
      <w:pPr>
        <w:spacing w:line="400" w:lineRule="exact"/>
      </w:pPr>
      <w:r>
        <w:rPr>
          <w:rFonts w:hint="eastAsia"/>
        </w:rPr>
        <w:t xml:space="preserve">    </w:t>
      </w:r>
      <w:r>
        <w:rPr>
          <w:rFonts w:hint="eastAsia"/>
          <w:u w:val="single"/>
        </w:rPr>
        <w:t>在撤销授权的书面通知以前，本授权书一直有效。</w:t>
      </w:r>
      <w:r>
        <w:rPr>
          <w:rFonts w:hint="eastAsia"/>
        </w:rPr>
        <w:t>被授权人在授权书有效期内签署的所有文件不因授权的撤销而失效。</w:t>
      </w:r>
    </w:p>
    <w:p w14:paraId="77187A9D">
      <w:pPr>
        <w:spacing w:line="400" w:lineRule="exact"/>
      </w:pPr>
      <w:r>
        <w:rPr>
          <w:rFonts w:hint="eastAsia"/>
        </w:rPr>
        <w:t xml:space="preserve">    被授权人无转委托权，特此委托。</w:t>
      </w:r>
    </w:p>
    <w:p w14:paraId="02CB9A93">
      <w:pPr>
        <w:spacing w:line="400" w:lineRule="exact"/>
      </w:pPr>
    </w:p>
    <w:p w14:paraId="6D9E80F8">
      <w:pPr>
        <w:spacing w:line="400" w:lineRule="exact"/>
      </w:pPr>
      <w:r>
        <w:rPr>
          <w:rFonts w:hint="eastAsia"/>
        </w:rPr>
        <w:t>被授权人签字或盖章：</w:t>
      </w:r>
      <w:r>
        <w:rPr>
          <w:rFonts w:hint="eastAsia"/>
          <w:u w:val="single"/>
        </w:rPr>
        <w:t xml:space="preserve">            </w:t>
      </w:r>
      <w:r>
        <w:rPr>
          <w:rFonts w:hint="eastAsia"/>
        </w:rPr>
        <w:t xml:space="preserve">              法定代表人（负责人）签字或盖章：</w:t>
      </w:r>
      <w:r>
        <w:rPr>
          <w:rFonts w:hint="eastAsia"/>
          <w:u w:val="single"/>
        </w:rPr>
        <w:t xml:space="preserve">            </w:t>
      </w:r>
    </w:p>
    <w:p w14:paraId="4B092421">
      <w:pPr>
        <w:spacing w:line="400" w:lineRule="exact"/>
        <w:rPr>
          <w:u w:val="single"/>
        </w:rPr>
      </w:pPr>
      <w:r>
        <w:rPr>
          <w:rFonts w:hint="eastAsia"/>
        </w:rPr>
        <w:t>所在部门职务：</w:t>
      </w:r>
      <w:r>
        <w:rPr>
          <w:rFonts w:hint="eastAsia"/>
          <w:u w:val="single"/>
        </w:rPr>
        <w:t xml:space="preserve">                  </w:t>
      </w:r>
      <w:r>
        <w:rPr>
          <w:rFonts w:hint="eastAsia"/>
        </w:rPr>
        <w:t xml:space="preserve">              职务：</w:t>
      </w:r>
      <w:r>
        <w:rPr>
          <w:rFonts w:hint="eastAsia"/>
          <w:u w:val="single"/>
        </w:rPr>
        <w:t xml:space="preserve">               </w:t>
      </w:r>
    </w:p>
    <w:p w14:paraId="45BBB802">
      <w:pPr>
        <w:spacing w:line="400" w:lineRule="exact"/>
      </w:pPr>
      <w:r>
        <w:rPr>
          <w:rFonts w:hint="eastAsia"/>
        </w:rPr>
        <w:t>被授权人身份证号码：</w:t>
      </w:r>
      <w:r>
        <w:rPr>
          <w:rFonts w:hint="eastAsia"/>
          <w:u w:val="single"/>
        </w:rPr>
        <w:t xml:space="preserve">                            </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5"/>
      </w:tblGrid>
      <w:tr w14:paraId="4BBBB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5" w:type="dxa"/>
          </w:tcPr>
          <w:p w14:paraId="1AEF02C7">
            <w:pPr>
              <w:spacing w:line="400" w:lineRule="exact"/>
            </w:pPr>
            <w:r>
              <w:rPr>
                <w:rFonts w:hint="eastAsia"/>
              </w:rPr>
              <w:t>贴附“委托代理人有效身份证复印件”（正反两面）</w:t>
            </w:r>
          </w:p>
          <w:p w14:paraId="58C77600">
            <w:pPr>
              <w:spacing w:line="400" w:lineRule="exact"/>
            </w:pPr>
          </w:p>
        </w:tc>
      </w:tr>
    </w:tbl>
    <w:p w14:paraId="5111406C">
      <w:pPr>
        <w:spacing w:line="400" w:lineRule="exact"/>
      </w:pPr>
      <w:r>
        <w:rPr>
          <w:rFonts w:hint="eastAsia"/>
        </w:rPr>
        <w:t xml:space="preserve">                                                      投标人名称（盖章）：</w:t>
      </w:r>
    </w:p>
    <w:p w14:paraId="0F104564">
      <w:pPr>
        <w:spacing w:line="400" w:lineRule="exact"/>
      </w:pPr>
      <w:r>
        <w:rPr>
          <w:rFonts w:hint="eastAsia"/>
        </w:rPr>
        <w:t xml:space="preserve">                                                                   年    月    日</w:t>
      </w:r>
    </w:p>
    <w:p w14:paraId="2BE6C372">
      <w:pPr>
        <w:snapToGrid w:val="0"/>
        <w:spacing w:before="50" w:afterLines="50" w:line="340" w:lineRule="exact"/>
        <w:jc w:val="left"/>
        <w:rPr>
          <w:rFonts w:ascii="宋体"/>
          <w:szCs w:val="21"/>
        </w:rPr>
      </w:pPr>
    </w:p>
    <w:p w14:paraId="3B4E018D">
      <w:pPr>
        <w:snapToGrid w:val="0"/>
        <w:spacing w:before="50" w:afterLines="50" w:line="340" w:lineRule="exact"/>
        <w:jc w:val="left"/>
        <w:rPr>
          <w:rFonts w:ascii="宋体"/>
          <w:szCs w:val="21"/>
        </w:rPr>
      </w:pPr>
    </w:p>
    <w:p w14:paraId="23F85A82">
      <w:pPr>
        <w:snapToGrid w:val="0"/>
        <w:spacing w:line="360" w:lineRule="exact"/>
        <w:ind w:firstLine="210" w:firstLineChars="100"/>
        <w:jc w:val="left"/>
        <w:rPr>
          <w:rFonts w:ascii="宋体"/>
          <w:szCs w:val="21"/>
        </w:rPr>
      </w:pPr>
      <w:r>
        <w:rPr>
          <w:rFonts w:ascii="宋体"/>
          <w:szCs w:val="21"/>
        </w:rPr>
        <w:br w:type="page"/>
      </w:r>
      <w:r>
        <w:rPr>
          <w:rFonts w:hint="eastAsia" w:ascii="宋体" w:cs="宋体"/>
          <w:kern w:val="0"/>
          <w:szCs w:val="21"/>
        </w:rPr>
        <w:t xml:space="preserve">   （4）法定代表人（负责人）身份证明书</w:t>
      </w:r>
    </w:p>
    <w:p w14:paraId="6AFDDDB1">
      <w:pPr>
        <w:spacing w:beforeLines="100" w:afterLines="50"/>
        <w:ind w:left="540"/>
        <w:jc w:val="center"/>
        <w:rPr>
          <w:rFonts w:ascii="宋体" w:hAnsi="宋体"/>
          <w:sz w:val="28"/>
          <w:szCs w:val="28"/>
        </w:rPr>
      </w:pPr>
      <w:r>
        <w:rPr>
          <w:rFonts w:hint="eastAsia" w:ascii="宋体" w:hAnsi="宋体"/>
          <w:b/>
          <w:sz w:val="32"/>
          <w:szCs w:val="32"/>
        </w:rPr>
        <w:t>法定代表人（负责人）身份证明书</w:t>
      </w:r>
    </w:p>
    <w:p w14:paraId="699305B5">
      <w:pPr>
        <w:spacing w:line="500" w:lineRule="exact"/>
        <w:ind w:left="540"/>
        <w:rPr>
          <w:rFonts w:ascii="宋体" w:hAnsi="宋体"/>
          <w:sz w:val="24"/>
        </w:rPr>
      </w:pPr>
      <w:r>
        <w:rPr>
          <w:rFonts w:hint="eastAsia" w:ascii="宋体" w:hAnsi="宋体"/>
          <w:sz w:val="24"/>
        </w:rPr>
        <w:t>投 标 人：</w:t>
      </w:r>
      <w:r>
        <w:rPr>
          <w:rFonts w:hint="eastAsia" w:ascii="宋体" w:hAnsi="宋体"/>
          <w:sz w:val="24"/>
          <w:u w:val="single"/>
        </w:rPr>
        <w:t xml:space="preserve">                                                        </w:t>
      </w:r>
    </w:p>
    <w:p w14:paraId="3B853675">
      <w:pPr>
        <w:spacing w:line="500" w:lineRule="exact"/>
        <w:ind w:left="540"/>
        <w:rPr>
          <w:rFonts w:ascii="宋体" w:hAnsi="宋体"/>
          <w:sz w:val="24"/>
        </w:rPr>
      </w:pPr>
      <w:r>
        <w:rPr>
          <w:rFonts w:hint="eastAsia" w:ascii="宋体" w:hAnsi="宋体"/>
          <w:sz w:val="24"/>
        </w:rPr>
        <w:t>单位性质：</w:t>
      </w:r>
      <w:r>
        <w:rPr>
          <w:rFonts w:hint="eastAsia" w:ascii="宋体" w:hAnsi="宋体"/>
          <w:sz w:val="24"/>
          <w:u w:val="single"/>
        </w:rPr>
        <w:t xml:space="preserve">                                                        </w:t>
      </w:r>
    </w:p>
    <w:p w14:paraId="2F01FEE9">
      <w:pPr>
        <w:spacing w:line="500" w:lineRule="exact"/>
        <w:ind w:left="540"/>
        <w:rPr>
          <w:rFonts w:ascii="宋体" w:hAnsi="宋体"/>
          <w:sz w:val="24"/>
        </w:rPr>
      </w:pPr>
      <w:r>
        <w:rPr>
          <w:rFonts w:hint="eastAsia" w:ascii="宋体" w:hAnsi="宋体"/>
          <w:sz w:val="24"/>
        </w:rPr>
        <w:t>地    址：</w:t>
      </w:r>
      <w:r>
        <w:rPr>
          <w:rFonts w:hint="eastAsia" w:ascii="宋体" w:hAnsi="宋体"/>
          <w:sz w:val="24"/>
          <w:u w:val="single"/>
        </w:rPr>
        <w:t xml:space="preserve">                                                        </w:t>
      </w:r>
    </w:p>
    <w:p w14:paraId="3174F210">
      <w:pPr>
        <w:spacing w:line="500" w:lineRule="exact"/>
        <w:ind w:left="540"/>
        <w:rPr>
          <w:rFonts w:ascii="宋体" w:hAnsi="宋体"/>
          <w:sz w:val="24"/>
        </w:rPr>
      </w:pPr>
      <w:r>
        <w:rPr>
          <w:rFonts w:hint="eastAsia" w:ascii="宋体" w:hAnsi="宋体"/>
          <w:sz w:val="24"/>
        </w:rPr>
        <w:t>成立时间：</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194CCF12">
      <w:pPr>
        <w:spacing w:line="500" w:lineRule="exact"/>
        <w:ind w:left="540"/>
        <w:rPr>
          <w:rFonts w:ascii="宋体" w:hAnsi="宋体"/>
          <w:sz w:val="24"/>
        </w:rPr>
      </w:pPr>
      <w:r>
        <w:rPr>
          <w:rFonts w:hint="eastAsia" w:ascii="宋体" w:hAnsi="宋体"/>
          <w:sz w:val="24"/>
        </w:rPr>
        <w:t>经营期限：</w:t>
      </w:r>
      <w:r>
        <w:rPr>
          <w:rFonts w:hint="eastAsia" w:ascii="宋体" w:hAnsi="宋体"/>
          <w:sz w:val="24"/>
          <w:u w:val="single"/>
        </w:rPr>
        <w:t xml:space="preserve">                                                        </w:t>
      </w:r>
    </w:p>
    <w:p w14:paraId="3799AA9B">
      <w:pPr>
        <w:spacing w:line="500" w:lineRule="exact"/>
        <w:ind w:left="540"/>
        <w:rPr>
          <w:rFonts w:ascii="宋体" w:hAnsi="宋体"/>
          <w:sz w:val="24"/>
        </w:rPr>
      </w:pPr>
      <w:r>
        <w:rPr>
          <w:rFonts w:hint="eastAsia" w:ascii="宋体" w:hAnsi="宋体"/>
          <w:sz w:val="24"/>
        </w:rPr>
        <w:t>姓    名：</w:t>
      </w:r>
      <w:r>
        <w:rPr>
          <w:rFonts w:hint="eastAsia" w:ascii="宋体" w:hAnsi="宋体"/>
          <w:sz w:val="24"/>
          <w:u w:val="single"/>
        </w:rPr>
        <w:t xml:space="preserve">                          </w:t>
      </w:r>
      <w:r>
        <w:rPr>
          <w:rFonts w:hint="eastAsia" w:ascii="宋体" w:hAnsi="宋体"/>
          <w:sz w:val="24"/>
        </w:rPr>
        <w:t>性      别：</w:t>
      </w:r>
      <w:r>
        <w:rPr>
          <w:rFonts w:hint="eastAsia" w:ascii="宋体" w:hAnsi="宋体"/>
          <w:sz w:val="24"/>
          <w:u w:val="single"/>
        </w:rPr>
        <w:t xml:space="preserve">                </w:t>
      </w:r>
    </w:p>
    <w:p w14:paraId="6977CDE9">
      <w:pPr>
        <w:spacing w:line="500" w:lineRule="exact"/>
        <w:ind w:left="540"/>
        <w:rPr>
          <w:rFonts w:ascii="宋体" w:hAnsi="宋体"/>
          <w:sz w:val="24"/>
          <w:u w:val="single"/>
        </w:rPr>
      </w:pPr>
      <w:r>
        <w:rPr>
          <w:rFonts w:hint="eastAsia" w:ascii="宋体" w:hAnsi="宋体"/>
          <w:sz w:val="24"/>
        </w:rPr>
        <w:t>年    龄：</w:t>
      </w:r>
      <w:r>
        <w:rPr>
          <w:rFonts w:hint="eastAsia" w:ascii="宋体" w:hAnsi="宋体"/>
          <w:sz w:val="24"/>
          <w:u w:val="single"/>
        </w:rPr>
        <w:t xml:space="preserve">                          </w:t>
      </w:r>
      <w:r>
        <w:rPr>
          <w:rFonts w:hint="eastAsia" w:ascii="宋体" w:hAnsi="宋体"/>
          <w:sz w:val="24"/>
        </w:rPr>
        <w:t>职      务：</w:t>
      </w:r>
      <w:r>
        <w:rPr>
          <w:rFonts w:hint="eastAsia" w:ascii="宋体" w:hAnsi="宋体"/>
          <w:sz w:val="24"/>
          <w:u w:val="single"/>
        </w:rPr>
        <w:t xml:space="preserve">                </w:t>
      </w:r>
    </w:p>
    <w:p w14:paraId="60330D95">
      <w:pPr>
        <w:spacing w:line="500" w:lineRule="exact"/>
        <w:ind w:left="540"/>
        <w:rPr>
          <w:rFonts w:ascii="宋体" w:hAnsi="宋体"/>
          <w:sz w:val="24"/>
        </w:rPr>
      </w:pPr>
      <w:r>
        <w:rPr>
          <w:rFonts w:hint="eastAsia" w:ascii="宋体" w:hAnsi="宋体"/>
          <w:sz w:val="24"/>
        </w:rPr>
        <w:t>身份证号码：</w:t>
      </w:r>
      <w:r>
        <w:rPr>
          <w:rFonts w:hint="eastAsia" w:ascii="宋体" w:hAnsi="宋体"/>
          <w:sz w:val="24"/>
          <w:u w:val="single"/>
        </w:rPr>
        <w:t xml:space="preserve">                                 </w:t>
      </w:r>
    </w:p>
    <w:p w14:paraId="21AC0A48">
      <w:pPr>
        <w:spacing w:line="500" w:lineRule="exact"/>
        <w:ind w:left="540"/>
        <w:rPr>
          <w:rFonts w:ascii="宋体" w:hAnsi="宋体"/>
          <w:sz w:val="24"/>
        </w:rPr>
      </w:pPr>
      <w:r>
        <w:rPr>
          <w:rFonts w:hint="eastAsia" w:ascii="宋体" w:hAnsi="宋体"/>
          <w:sz w:val="24"/>
        </w:rPr>
        <w:t>系</w:t>
      </w:r>
      <w:r>
        <w:rPr>
          <w:rFonts w:hint="eastAsia" w:ascii="宋体" w:hAnsi="宋体"/>
          <w:sz w:val="24"/>
          <w:u w:val="single"/>
        </w:rPr>
        <w:t xml:space="preserve">                                                 </w:t>
      </w:r>
      <w:r>
        <w:rPr>
          <w:rFonts w:hint="eastAsia" w:ascii="宋体" w:hAnsi="宋体"/>
          <w:sz w:val="24"/>
        </w:rPr>
        <w:t>（投标人名称）的法定代表人（负责人）。</w:t>
      </w:r>
    </w:p>
    <w:p w14:paraId="31D0F79F">
      <w:pPr>
        <w:spacing w:line="500" w:lineRule="exact"/>
        <w:ind w:left="540"/>
        <w:rPr>
          <w:rFonts w:ascii="宋体" w:hAnsi="宋体"/>
          <w:sz w:val="24"/>
        </w:rPr>
      </w:pPr>
      <w:r>
        <w:rPr>
          <w:rFonts w:hint="eastAsia" w:ascii="宋体" w:hAnsi="宋体"/>
          <w:sz w:val="24"/>
        </w:rPr>
        <w:t>特此证明。</w:t>
      </w:r>
    </w:p>
    <w:p w14:paraId="342629EB">
      <w:pPr>
        <w:spacing w:line="500" w:lineRule="exact"/>
        <w:ind w:left="540"/>
        <w:rPr>
          <w:rFonts w:ascii="宋体" w:hAnsi="宋体"/>
          <w:sz w:val="24"/>
        </w:rPr>
      </w:pPr>
      <w:r>
        <w:rPr>
          <w:rFonts w:hint="eastAsia" w:ascii="宋体" w:hAnsi="宋体"/>
          <w:sz w:val="24"/>
        </w:rPr>
        <w:t>附件：法定代表人（负责人）有效身份证正反面复印件</w:t>
      </w:r>
    </w:p>
    <w:p w14:paraId="69A4A954">
      <w:pPr>
        <w:wordWrap w:val="0"/>
        <w:spacing w:line="500" w:lineRule="exact"/>
        <w:ind w:left="540"/>
        <w:jc w:val="right"/>
        <w:rPr>
          <w:rFonts w:ascii="宋体" w:hAnsi="宋体"/>
          <w:sz w:val="24"/>
        </w:rPr>
      </w:pPr>
      <w:r>
        <w:rPr>
          <w:rFonts w:hint="eastAsia" w:ascii="宋体" w:hAnsi="宋体"/>
          <w:sz w:val="24"/>
        </w:rPr>
        <w:t>投标人名称（盖章）：</w:t>
      </w:r>
      <w:r>
        <w:rPr>
          <w:rFonts w:hint="eastAsia" w:ascii="宋体" w:hAnsi="宋体"/>
          <w:sz w:val="24"/>
          <w:u w:val="single"/>
        </w:rPr>
        <w:t xml:space="preserve">                          </w:t>
      </w:r>
    </w:p>
    <w:p w14:paraId="669B6C81">
      <w:pPr>
        <w:snapToGrid w:val="0"/>
        <w:spacing w:beforeLines="50" w:after="50"/>
        <w:ind w:left="540"/>
        <w:jc w:val="right"/>
        <w:rPr>
          <w:rFonts w:ascii="宋体" w:hAnsi="宋体"/>
          <w:sz w:val="30"/>
          <w:szCs w:val="20"/>
        </w:rPr>
      </w:pP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79A4A692">
      <w:pPr>
        <w:snapToGrid w:val="0"/>
        <w:spacing w:line="360" w:lineRule="exact"/>
        <w:jc w:val="left"/>
        <w:rPr>
          <w:rFonts w:ascii="宋体"/>
          <w:szCs w:val="21"/>
        </w:rPr>
      </w:pPr>
    </w:p>
    <w:p w14:paraId="4D575F5F">
      <w:pPr>
        <w:snapToGrid w:val="0"/>
        <w:spacing w:line="360" w:lineRule="exact"/>
        <w:jc w:val="left"/>
        <w:rPr>
          <w:rFonts w:ascii="宋体"/>
          <w:szCs w:val="21"/>
        </w:rPr>
      </w:pPr>
    </w:p>
    <w:p w14:paraId="0FB98578">
      <w:pPr>
        <w:snapToGrid w:val="0"/>
        <w:spacing w:line="360" w:lineRule="exact"/>
        <w:jc w:val="left"/>
        <w:rPr>
          <w:rFonts w:ascii="宋体"/>
          <w:szCs w:val="21"/>
        </w:rPr>
      </w:pPr>
    </w:p>
    <w:p w14:paraId="32F88FED">
      <w:pPr>
        <w:snapToGrid w:val="0"/>
        <w:spacing w:line="360" w:lineRule="exact"/>
        <w:jc w:val="left"/>
        <w:rPr>
          <w:rFonts w:ascii="宋体"/>
          <w:szCs w:val="21"/>
        </w:rPr>
      </w:pPr>
    </w:p>
    <w:p w14:paraId="16C4843F">
      <w:pPr>
        <w:snapToGrid w:val="0"/>
        <w:spacing w:line="360" w:lineRule="exact"/>
        <w:jc w:val="left"/>
        <w:rPr>
          <w:rFonts w:ascii="宋体"/>
          <w:szCs w:val="21"/>
        </w:rPr>
      </w:pPr>
    </w:p>
    <w:p w14:paraId="43D8F5AD">
      <w:pPr>
        <w:snapToGrid w:val="0"/>
        <w:spacing w:line="360" w:lineRule="exact"/>
        <w:jc w:val="left"/>
        <w:rPr>
          <w:rFonts w:ascii="宋体"/>
          <w:szCs w:val="21"/>
        </w:rPr>
      </w:pPr>
    </w:p>
    <w:p w14:paraId="3846D740">
      <w:pPr>
        <w:snapToGrid w:val="0"/>
        <w:spacing w:line="360" w:lineRule="exact"/>
        <w:jc w:val="left"/>
        <w:rPr>
          <w:rFonts w:ascii="宋体"/>
          <w:szCs w:val="21"/>
        </w:rPr>
      </w:pPr>
      <w:r>
        <w:rPr>
          <w:rFonts w:hint="eastAsia" w:ascii="宋体"/>
          <w:szCs w:val="21"/>
        </w:rPr>
        <w:t xml:space="preserve">    </w:t>
      </w:r>
    </w:p>
    <w:p w14:paraId="7F1BC12E">
      <w:pPr>
        <w:snapToGrid w:val="0"/>
        <w:spacing w:line="360" w:lineRule="exact"/>
        <w:jc w:val="left"/>
        <w:rPr>
          <w:rFonts w:ascii="宋体"/>
          <w:szCs w:val="21"/>
        </w:rPr>
      </w:pPr>
      <w:r>
        <w:rPr>
          <w:rFonts w:hint="eastAsia" w:ascii="宋体"/>
          <w:szCs w:val="21"/>
        </w:rPr>
        <w:t xml:space="preserve">    （5）产品销售许可证复印件；</w:t>
      </w:r>
    </w:p>
    <w:p w14:paraId="0067E307">
      <w:pPr>
        <w:snapToGrid w:val="0"/>
        <w:spacing w:line="360" w:lineRule="exact"/>
        <w:jc w:val="left"/>
        <w:rPr>
          <w:rFonts w:ascii="宋体"/>
          <w:szCs w:val="21"/>
        </w:rPr>
      </w:pPr>
    </w:p>
    <w:p w14:paraId="60B4D67B">
      <w:pPr>
        <w:snapToGrid w:val="0"/>
        <w:spacing w:line="360" w:lineRule="exact"/>
        <w:jc w:val="left"/>
        <w:rPr>
          <w:rFonts w:ascii="宋体"/>
          <w:szCs w:val="21"/>
        </w:rPr>
      </w:pPr>
      <w:r>
        <w:rPr>
          <w:rFonts w:hint="eastAsia" w:ascii="宋体"/>
          <w:szCs w:val="21"/>
        </w:rPr>
        <w:t xml:space="preserve">    （6）安全生产许可证复印件、产品代理资格证明文件复印件</w:t>
      </w:r>
    </w:p>
    <w:p w14:paraId="31CF6618">
      <w:pPr>
        <w:snapToGrid w:val="0"/>
        <w:spacing w:line="360" w:lineRule="exact"/>
        <w:jc w:val="left"/>
        <w:rPr>
          <w:rFonts w:ascii="宋体"/>
          <w:szCs w:val="21"/>
        </w:rPr>
      </w:pPr>
    </w:p>
    <w:p w14:paraId="7478ACC7">
      <w:pPr>
        <w:wordWrap w:val="0"/>
        <w:snapToGrid w:val="0"/>
        <w:spacing w:line="360" w:lineRule="exact"/>
        <w:jc w:val="left"/>
        <w:rPr>
          <w:rFonts w:ascii="宋体"/>
          <w:szCs w:val="21"/>
        </w:rPr>
      </w:pPr>
      <w:r>
        <w:rPr>
          <w:rFonts w:hint="eastAsia" w:ascii="宋体"/>
          <w:szCs w:val="21"/>
        </w:rPr>
        <w:t xml:space="preserve">    </w:t>
      </w:r>
    </w:p>
    <w:p w14:paraId="15B80760">
      <w:pPr>
        <w:wordWrap w:val="0"/>
        <w:snapToGrid w:val="0"/>
        <w:spacing w:line="360" w:lineRule="exact"/>
        <w:jc w:val="left"/>
        <w:rPr>
          <w:rFonts w:ascii="宋体"/>
          <w:szCs w:val="21"/>
        </w:rPr>
      </w:pPr>
      <w:r>
        <w:rPr>
          <w:rFonts w:ascii="宋体"/>
          <w:szCs w:val="21"/>
        </w:rPr>
        <w:br w:type="page"/>
      </w:r>
      <w:r>
        <w:rPr>
          <w:rFonts w:hint="eastAsia" w:ascii="宋体"/>
          <w:szCs w:val="21"/>
        </w:rPr>
        <w:t xml:space="preserve">    （7）商务响应表格式：</w:t>
      </w:r>
      <w:bookmarkEnd w:id="107"/>
      <w:bookmarkEnd w:id="108"/>
    </w:p>
    <w:p w14:paraId="2D2F4F39">
      <w:pPr>
        <w:wordWrap w:val="0"/>
        <w:snapToGrid w:val="0"/>
        <w:spacing w:line="360" w:lineRule="exact"/>
        <w:ind w:firstLine="420" w:firstLineChars="200"/>
        <w:jc w:val="left"/>
        <w:rPr>
          <w:rFonts w:ascii="宋体"/>
          <w:szCs w:val="21"/>
        </w:rPr>
      </w:pPr>
      <w:r>
        <w:rPr>
          <w:rFonts w:hint="eastAsia" w:ascii="宋体"/>
          <w:szCs w:val="21"/>
          <w:u w:val="single"/>
        </w:rPr>
        <w:t xml:space="preserve"> </w:t>
      </w:r>
      <w:r>
        <w:rPr>
          <w:rFonts w:ascii="宋体"/>
          <w:szCs w:val="21"/>
          <w:u w:val="single"/>
        </w:rPr>
        <w:t xml:space="preserve">     </w:t>
      </w:r>
      <w:r>
        <w:rPr>
          <w:rFonts w:hint="eastAsia" w:ascii="宋体"/>
          <w:szCs w:val="21"/>
        </w:rPr>
        <w:t>分标</w:t>
      </w:r>
    </w:p>
    <w:tbl>
      <w:tblPr>
        <w:tblStyle w:val="50"/>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48"/>
        <w:gridCol w:w="3600"/>
        <w:gridCol w:w="1440"/>
        <w:gridCol w:w="2880"/>
      </w:tblGrid>
      <w:tr w14:paraId="082DE6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548" w:type="dxa"/>
            <w:tcBorders>
              <w:top w:val="single" w:color="auto" w:sz="4" w:space="0"/>
              <w:left w:val="single" w:color="auto" w:sz="4" w:space="0"/>
              <w:bottom w:val="single" w:color="auto" w:sz="4" w:space="0"/>
              <w:right w:val="single" w:color="auto" w:sz="4" w:space="0"/>
            </w:tcBorders>
          </w:tcPr>
          <w:p w14:paraId="656AED55">
            <w:pPr>
              <w:snapToGrid w:val="0"/>
              <w:spacing w:beforeLines="50" w:line="360" w:lineRule="exact"/>
              <w:jc w:val="center"/>
              <w:rPr>
                <w:rFonts w:ascii="宋体"/>
                <w:szCs w:val="21"/>
              </w:rPr>
            </w:pPr>
            <w:r>
              <w:rPr>
                <w:rFonts w:hint="eastAsia" w:ascii="宋体"/>
                <w:szCs w:val="21"/>
              </w:rPr>
              <w:t>项目</w:t>
            </w:r>
          </w:p>
        </w:tc>
        <w:tc>
          <w:tcPr>
            <w:tcW w:w="3600" w:type="dxa"/>
            <w:tcBorders>
              <w:top w:val="single" w:color="auto" w:sz="4" w:space="0"/>
              <w:left w:val="single" w:color="auto" w:sz="4" w:space="0"/>
              <w:bottom w:val="single" w:color="auto" w:sz="4" w:space="0"/>
              <w:right w:val="single" w:color="auto" w:sz="4" w:space="0"/>
            </w:tcBorders>
          </w:tcPr>
          <w:p w14:paraId="5F3BC45C">
            <w:pPr>
              <w:snapToGrid w:val="0"/>
              <w:spacing w:beforeLines="50" w:line="360" w:lineRule="exact"/>
              <w:jc w:val="center"/>
              <w:rPr>
                <w:rFonts w:ascii="宋体"/>
                <w:szCs w:val="21"/>
              </w:rPr>
            </w:pPr>
            <w:r>
              <w:rPr>
                <w:rFonts w:hint="eastAsia" w:ascii="宋体"/>
                <w:szCs w:val="21"/>
              </w:rPr>
              <w:t>招标文件要求</w:t>
            </w:r>
          </w:p>
        </w:tc>
        <w:tc>
          <w:tcPr>
            <w:tcW w:w="1440" w:type="dxa"/>
            <w:tcBorders>
              <w:top w:val="single" w:color="auto" w:sz="4" w:space="0"/>
              <w:left w:val="single" w:color="auto" w:sz="4" w:space="0"/>
              <w:bottom w:val="single" w:color="auto" w:sz="4" w:space="0"/>
              <w:right w:val="single" w:color="auto" w:sz="4" w:space="0"/>
            </w:tcBorders>
          </w:tcPr>
          <w:p w14:paraId="2CF9383C">
            <w:pPr>
              <w:snapToGrid w:val="0"/>
              <w:spacing w:beforeLines="50" w:line="360" w:lineRule="exact"/>
              <w:jc w:val="center"/>
              <w:rPr>
                <w:rFonts w:ascii="宋体"/>
                <w:szCs w:val="21"/>
              </w:rPr>
            </w:pPr>
            <w:r>
              <w:rPr>
                <w:rFonts w:hint="eastAsia" w:ascii="宋体"/>
                <w:szCs w:val="21"/>
              </w:rPr>
              <w:t>是否响应</w:t>
            </w:r>
          </w:p>
        </w:tc>
        <w:tc>
          <w:tcPr>
            <w:tcW w:w="2880" w:type="dxa"/>
            <w:tcBorders>
              <w:top w:val="single" w:color="auto" w:sz="4" w:space="0"/>
              <w:left w:val="single" w:color="auto" w:sz="4" w:space="0"/>
              <w:bottom w:val="single" w:color="auto" w:sz="4" w:space="0"/>
              <w:right w:val="single" w:color="auto" w:sz="4" w:space="0"/>
            </w:tcBorders>
          </w:tcPr>
          <w:p w14:paraId="124C59DC">
            <w:pPr>
              <w:snapToGrid w:val="0"/>
              <w:spacing w:beforeLines="50" w:line="360" w:lineRule="exact"/>
              <w:jc w:val="center"/>
              <w:rPr>
                <w:rFonts w:ascii="宋体"/>
                <w:szCs w:val="21"/>
              </w:rPr>
            </w:pPr>
            <w:r>
              <w:rPr>
                <w:rFonts w:hint="eastAsia" w:ascii="宋体"/>
                <w:szCs w:val="21"/>
              </w:rPr>
              <w:t>投标人的承诺或说明</w:t>
            </w:r>
          </w:p>
        </w:tc>
      </w:tr>
      <w:tr w14:paraId="610DF5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548" w:type="dxa"/>
            <w:tcBorders>
              <w:top w:val="single" w:color="auto" w:sz="4" w:space="0"/>
              <w:left w:val="single" w:color="auto" w:sz="4" w:space="0"/>
              <w:bottom w:val="single" w:color="auto" w:sz="4" w:space="0"/>
              <w:right w:val="single" w:color="auto" w:sz="4" w:space="0"/>
            </w:tcBorders>
            <w:vAlign w:val="center"/>
          </w:tcPr>
          <w:p w14:paraId="0141723A">
            <w:pPr>
              <w:spacing w:line="400" w:lineRule="exact"/>
              <w:jc w:val="center"/>
              <w:rPr>
                <w:rFonts w:ascii="新宋体" w:eastAsia="新宋体"/>
                <w:szCs w:val="21"/>
              </w:rPr>
            </w:pPr>
          </w:p>
        </w:tc>
        <w:tc>
          <w:tcPr>
            <w:tcW w:w="3600" w:type="dxa"/>
            <w:tcBorders>
              <w:top w:val="single" w:color="auto" w:sz="4" w:space="0"/>
              <w:left w:val="single" w:color="auto" w:sz="4" w:space="0"/>
              <w:bottom w:val="single" w:color="auto" w:sz="4" w:space="0"/>
              <w:right w:val="single" w:color="auto" w:sz="4" w:space="0"/>
            </w:tcBorders>
          </w:tcPr>
          <w:p w14:paraId="165CD1D5"/>
        </w:tc>
        <w:tc>
          <w:tcPr>
            <w:tcW w:w="1440" w:type="dxa"/>
            <w:tcBorders>
              <w:top w:val="single" w:color="auto" w:sz="4" w:space="0"/>
              <w:left w:val="single" w:color="auto" w:sz="4" w:space="0"/>
              <w:bottom w:val="single" w:color="auto" w:sz="4" w:space="0"/>
              <w:right w:val="single" w:color="auto" w:sz="4" w:space="0"/>
            </w:tcBorders>
            <w:vAlign w:val="center"/>
          </w:tcPr>
          <w:p w14:paraId="1EEB748F">
            <w:pPr>
              <w:jc w:val="center"/>
            </w:pPr>
          </w:p>
        </w:tc>
        <w:tc>
          <w:tcPr>
            <w:tcW w:w="2880" w:type="dxa"/>
            <w:tcBorders>
              <w:top w:val="single" w:color="auto" w:sz="4" w:space="0"/>
              <w:left w:val="single" w:color="auto" w:sz="4" w:space="0"/>
              <w:bottom w:val="single" w:color="auto" w:sz="4" w:space="0"/>
              <w:right w:val="single" w:color="auto" w:sz="4" w:space="0"/>
            </w:tcBorders>
          </w:tcPr>
          <w:p w14:paraId="02E75191"/>
        </w:tc>
      </w:tr>
      <w:tr w14:paraId="29F05A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548" w:type="dxa"/>
            <w:tcBorders>
              <w:top w:val="single" w:color="auto" w:sz="4" w:space="0"/>
              <w:left w:val="single" w:color="auto" w:sz="4" w:space="0"/>
              <w:bottom w:val="single" w:color="auto" w:sz="4" w:space="0"/>
              <w:right w:val="single" w:color="auto" w:sz="4" w:space="0"/>
            </w:tcBorders>
            <w:vAlign w:val="center"/>
          </w:tcPr>
          <w:p w14:paraId="2720DE42">
            <w:pPr>
              <w:spacing w:line="400" w:lineRule="exact"/>
              <w:jc w:val="center"/>
              <w:rPr>
                <w:rFonts w:ascii="新宋体" w:eastAsia="新宋体"/>
                <w:szCs w:val="21"/>
              </w:rPr>
            </w:pPr>
          </w:p>
        </w:tc>
        <w:tc>
          <w:tcPr>
            <w:tcW w:w="3600" w:type="dxa"/>
            <w:tcBorders>
              <w:top w:val="single" w:color="auto" w:sz="4" w:space="0"/>
              <w:left w:val="single" w:color="auto" w:sz="4" w:space="0"/>
              <w:bottom w:val="single" w:color="auto" w:sz="4" w:space="0"/>
              <w:right w:val="single" w:color="auto" w:sz="4" w:space="0"/>
            </w:tcBorders>
          </w:tcPr>
          <w:p w14:paraId="08453A02"/>
        </w:tc>
        <w:tc>
          <w:tcPr>
            <w:tcW w:w="1440" w:type="dxa"/>
            <w:tcBorders>
              <w:top w:val="single" w:color="auto" w:sz="4" w:space="0"/>
              <w:left w:val="single" w:color="auto" w:sz="4" w:space="0"/>
              <w:bottom w:val="single" w:color="auto" w:sz="4" w:space="0"/>
              <w:right w:val="single" w:color="auto" w:sz="4" w:space="0"/>
            </w:tcBorders>
            <w:vAlign w:val="center"/>
          </w:tcPr>
          <w:p w14:paraId="020A4CE4">
            <w:pPr>
              <w:jc w:val="center"/>
            </w:pPr>
          </w:p>
        </w:tc>
        <w:tc>
          <w:tcPr>
            <w:tcW w:w="2880" w:type="dxa"/>
            <w:tcBorders>
              <w:top w:val="single" w:color="auto" w:sz="4" w:space="0"/>
              <w:left w:val="single" w:color="auto" w:sz="4" w:space="0"/>
              <w:bottom w:val="single" w:color="auto" w:sz="4" w:space="0"/>
              <w:right w:val="single" w:color="auto" w:sz="4" w:space="0"/>
            </w:tcBorders>
          </w:tcPr>
          <w:p w14:paraId="7EFF7A62"/>
        </w:tc>
      </w:tr>
      <w:tr w14:paraId="3EA129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548" w:type="dxa"/>
            <w:tcBorders>
              <w:top w:val="single" w:color="auto" w:sz="4" w:space="0"/>
              <w:left w:val="single" w:color="auto" w:sz="4" w:space="0"/>
              <w:bottom w:val="single" w:color="auto" w:sz="4" w:space="0"/>
              <w:right w:val="single" w:color="auto" w:sz="4" w:space="0"/>
            </w:tcBorders>
            <w:vAlign w:val="center"/>
          </w:tcPr>
          <w:p w14:paraId="5EFA4939">
            <w:pPr>
              <w:spacing w:line="400" w:lineRule="exact"/>
              <w:jc w:val="center"/>
              <w:rPr>
                <w:rFonts w:ascii="新宋体" w:eastAsia="新宋体"/>
                <w:szCs w:val="21"/>
              </w:rPr>
            </w:pPr>
          </w:p>
        </w:tc>
        <w:tc>
          <w:tcPr>
            <w:tcW w:w="3600" w:type="dxa"/>
            <w:tcBorders>
              <w:top w:val="single" w:color="auto" w:sz="4" w:space="0"/>
              <w:left w:val="single" w:color="auto" w:sz="4" w:space="0"/>
              <w:bottom w:val="single" w:color="auto" w:sz="4" w:space="0"/>
              <w:right w:val="single" w:color="auto" w:sz="4" w:space="0"/>
            </w:tcBorders>
          </w:tcPr>
          <w:p w14:paraId="03FF33D9"/>
        </w:tc>
        <w:tc>
          <w:tcPr>
            <w:tcW w:w="1440" w:type="dxa"/>
            <w:tcBorders>
              <w:top w:val="single" w:color="auto" w:sz="4" w:space="0"/>
              <w:left w:val="single" w:color="auto" w:sz="4" w:space="0"/>
              <w:bottom w:val="single" w:color="auto" w:sz="4" w:space="0"/>
              <w:right w:val="single" w:color="auto" w:sz="4" w:space="0"/>
            </w:tcBorders>
            <w:vAlign w:val="center"/>
          </w:tcPr>
          <w:p w14:paraId="6BEBC6FB">
            <w:pPr>
              <w:jc w:val="center"/>
            </w:pPr>
          </w:p>
        </w:tc>
        <w:tc>
          <w:tcPr>
            <w:tcW w:w="2880" w:type="dxa"/>
            <w:tcBorders>
              <w:top w:val="single" w:color="auto" w:sz="4" w:space="0"/>
              <w:left w:val="single" w:color="auto" w:sz="4" w:space="0"/>
              <w:bottom w:val="single" w:color="auto" w:sz="4" w:space="0"/>
              <w:right w:val="single" w:color="auto" w:sz="4" w:space="0"/>
            </w:tcBorders>
          </w:tcPr>
          <w:p w14:paraId="0657AB0A"/>
        </w:tc>
      </w:tr>
      <w:tr w14:paraId="2BC65B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548" w:type="dxa"/>
            <w:tcBorders>
              <w:top w:val="single" w:color="auto" w:sz="4" w:space="0"/>
              <w:left w:val="single" w:color="auto" w:sz="4" w:space="0"/>
              <w:bottom w:val="single" w:color="auto" w:sz="4" w:space="0"/>
              <w:right w:val="single" w:color="auto" w:sz="4" w:space="0"/>
            </w:tcBorders>
            <w:vAlign w:val="center"/>
          </w:tcPr>
          <w:p w14:paraId="767B180B">
            <w:pPr>
              <w:spacing w:line="400" w:lineRule="exact"/>
              <w:jc w:val="center"/>
              <w:rPr>
                <w:rFonts w:ascii="新宋体" w:eastAsia="新宋体"/>
                <w:szCs w:val="21"/>
              </w:rPr>
            </w:pPr>
          </w:p>
        </w:tc>
        <w:tc>
          <w:tcPr>
            <w:tcW w:w="3600" w:type="dxa"/>
            <w:tcBorders>
              <w:top w:val="single" w:color="auto" w:sz="4" w:space="0"/>
              <w:left w:val="single" w:color="auto" w:sz="4" w:space="0"/>
              <w:bottom w:val="single" w:color="auto" w:sz="4" w:space="0"/>
              <w:right w:val="single" w:color="auto" w:sz="4" w:space="0"/>
            </w:tcBorders>
          </w:tcPr>
          <w:p w14:paraId="48BF75A4"/>
        </w:tc>
        <w:tc>
          <w:tcPr>
            <w:tcW w:w="1440" w:type="dxa"/>
            <w:tcBorders>
              <w:top w:val="single" w:color="auto" w:sz="4" w:space="0"/>
              <w:left w:val="single" w:color="auto" w:sz="4" w:space="0"/>
              <w:bottom w:val="single" w:color="auto" w:sz="4" w:space="0"/>
              <w:right w:val="single" w:color="auto" w:sz="4" w:space="0"/>
            </w:tcBorders>
            <w:vAlign w:val="center"/>
          </w:tcPr>
          <w:p w14:paraId="0C0286E1">
            <w:pPr>
              <w:jc w:val="center"/>
            </w:pPr>
          </w:p>
        </w:tc>
        <w:tc>
          <w:tcPr>
            <w:tcW w:w="2880" w:type="dxa"/>
            <w:tcBorders>
              <w:top w:val="single" w:color="auto" w:sz="4" w:space="0"/>
              <w:left w:val="single" w:color="auto" w:sz="4" w:space="0"/>
              <w:bottom w:val="single" w:color="auto" w:sz="4" w:space="0"/>
              <w:right w:val="single" w:color="auto" w:sz="4" w:space="0"/>
            </w:tcBorders>
          </w:tcPr>
          <w:p w14:paraId="4EB64693"/>
        </w:tc>
      </w:tr>
      <w:tr w14:paraId="6087B4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548" w:type="dxa"/>
            <w:tcBorders>
              <w:top w:val="single" w:color="auto" w:sz="4" w:space="0"/>
              <w:left w:val="single" w:color="auto" w:sz="4" w:space="0"/>
              <w:bottom w:val="single" w:color="auto" w:sz="4" w:space="0"/>
              <w:right w:val="single" w:color="auto" w:sz="4" w:space="0"/>
            </w:tcBorders>
            <w:vAlign w:val="center"/>
          </w:tcPr>
          <w:p w14:paraId="67107A53">
            <w:pPr>
              <w:spacing w:line="400" w:lineRule="exact"/>
              <w:jc w:val="center"/>
              <w:rPr>
                <w:rFonts w:ascii="新宋体" w:eastAsia="新宋体"/>
                <w:szCs w:val="21"/>
              </w:rPr>
            </w:pPr>
          </w:p>
        </w:tc>
        <w:tc>
          <w:tcPr>
            <w:tcW w:w="3600" w:type="dxa"/>
            <w:tcBorders>
              <w:top w:val="single" w:color="auto" w:sz="4" w:space="0"/>
              <w:left w:val="single" w:color="auto" w:sz="4" w:space="0"/>
              <w:bottom w:val="single" w:color="auto" w:sz="4" w:space="0"/>
              <w:right w:val="single" w:color="auto" w:sz="4" w:space="0"/>
            </w:tcBorders>
          </w:tcPr>
          <w:p w14:paraId="0A28490C"/>
        </w:tc>
        <w:tc>
          <w:tcPr>
            <w:tcW w:w="1440" w:type="dxa"/>
            <w:tcBorders>
              <w:top w:val="single" w:color="auto" w:sz="4" w:space="0"/>
              <w:left w:val="single" w:color="auto" w:sz="4" w:space="0"/>
              <w:bottom w:val="single" w:color="auto" w:sz="4" w:space="0"/>
              <w:right w:val="single" w:color="auto" w:sz="4" w:space="0"/>
            </w:tcBorders>
            <w:vAlign w:val="center"/>
          </w:tcPr>
          <w:p w14:paraId="26D54802">
            <w:pPr>
              <w:jc w:val="center"/>
            </w:pPr>
          </w:p>
        </w:tc>
        <w:tc>
          <w:tcPr>
            <w:tcW w:w="2880" w:type="dxa"/>
            <w:tcBorders>
              <w:top w:val="single" w:color="auto" w:sz="4" w:space="0"/>
              <w:left w:val="single" w:color="auto" w:sz="4" w:space="0"/>
              <w:bottom w:val="single" w:color="auto" w:sz="4" w:space="0"/>
              <w:right w:val="single" w:color="auto" w:sz="4" w:space="0"/>
            </w:tcBorders>
          </w:tcPr>
          <w:p w14:paraId="30FE9F4F"/>
        </w:tc>
      </w:tr>
      <w:tr w14:paraId="690C7A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548" w:type="dxa"/>
            <w:tcBorders>
              <w:top w:val="single" w:color="auto" w:sz="4" w:space="0"/>
              <w:left w:val="single" w:color="auto" w:sz="4" w:space="0"/>
              <w:bottom w:val="single" w:color="auto" w:sz="4" w:space="0"/>
              <w:right w:val="single" w:color="auto" w:sz="4" w:space="0"/>
            </w:tcBorders>
            <w:vAlign w:val="center"/>
          </w:tcPr>
          <w:p w14:paraId="4B62659A">
            <w:pPr>
              <w:tabs>
                <w:tab w:val="left" w:pos="180"/>
                <w:tab w:val="left" w:pos="1620"/>
              </w:tabs>
              <w:spacing w:line="400" w:lineRule="exact"/>
              <w:jc w:val="center"/>
              <w:rPr>
                <w:rFonts w:ascii="宋体" w:hAnsi="宋体"/>
                <w:szCs w:val="21"/>
              </w:rPr>
            </w:pPr>
          </w:p>
        </w:tc>
        <w:tc>
          <w:tcPr>
            <w:tcW w:w="3600" w:type="dxa"/>
            <w:tcBorders>
              <w:top w:val="single" w:color="auto" w:sz="4" w:space="0"/>
              <w:left w:val="single" w:color="auto" w:sz="4" w:space="0"/>
              <w:bottom w:val="single" w:color="auto" w:sz="4" w:space="0"/>
              <w:right w:val="single" w:color="auto" w:sz="4" w:space="0"/>
            </w:tcBorders>
          </w:tcPr>
          <w:p w14:paraId="4F8DE338"/>
        </w:tc>
        <w:tc>
          <w:tcPr>
            <w:tcW w:w="1440" w:type="dxa"/>
            <w:tcBorders>
              <w:top w:val="single" w:color="auto" w:sz="4" w:space="0"/>
              <w:left w:val="single" w:color="auto" w:sz="4" w:space="0"/>
              <w:bottom w:val="single" w:color="auto" w:sz="4" w:space="0"/>
              <w:right w:val="single" w:color="auto" w:sz="4" w:space="0"/>
            </w:tcBorders>
            <w:vAlign w:val="center"/>
          </w:tcPr>
          <w:p w14:paraId="56C12A51">
            <w:pPr>
              <w:jc w:val="center"/>
            </w:pPr>
          </w:p>
        </w:tc>
        <w:tc>
          <w:tcPr>
            <w:tcW w:w="2880" w:type="dxa"/>
            <w:tcBorders>
              <w:top w:val="single" w:color="auto" w:sz="4" w:space="0"/>
              <w:left w:val="single" w:color="auto" w:sz="4" w:space="0"/>
              <w:bottom w:val="single" w:color="auto" w:sz="4" w:space="0"/>
              <w:right w:val="single" w:color="auto" w:sz="4" w:space="0"/>
            </w:tcBorders>
          </w:tcPr>
          <w:p w14:paraId="38FEC187"/>
        </w:tc>
      </w:tr>
      <w:tr w14:paraId="250280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vAlign w:val="center"/>
          </w:tcPr>
          <w:p w14:paraId="4B500E5A">
            <w:pPr>
              <w:jc w:val="center"/>
            </w:pPr>
            <w:r>
              <w:rPr>
                <w:rFonts w:hint="eastAsia"/>
              </w:rPr>
              <w:t>…</w:t>
            </w:r>
          </w:p>
        </w:tc>
        <w:tc>
          <w:tcPr>
            <w:tcW w:w="3600" w:type="dxa"/>
            <w:tcBorders>
              <w:top w:val="single" w:color="auto" w:sz="4" w:space="0"/>
              <w:left w:val="single" w:color="auto" w:sz="4" w:space="0"/>
              <w:bottom w:val="single" w:color="auto" w:sz="4" w:space="0"/>
              <w:right w:val="single" w:color="auto" w:sz="4" w:space="0"/>
            </w:tcBorders>
          </w:tcPr>
          <w:p w14:paraId="3B04391B"/>
        </w:tc>
        <w:tc>
          <w:tcPr>
            <w:tcW w:w="1440" w:type="dxa"/>
            <w:tcBorders>
              <w:top w:val="single" w:color="auto" w:sz="4" w:space="0"/>
              <w:left w:val="single" w:color="auto" w:sz="4" w:space="0"/>
              <w:bottom w:val="single" w:color="auto" w:sz="4" w:space="0"/>
              <w:right w:val="single" w:color="auto" w:sz="4" w:space="0"/>
            </w:tcBorders>
            <w:vAlign w:val="center"/>
          </w:tcPr>
          <w:p w14:paraId="6A5009CB">
            <w:pPr>
              <w:jc w:val="center"/>
            </w:pPr>
          </w:p>
        </w:tc>
        <w:tc>
          <w:tcPr>
            <w:tcW w:w="2880" w:type="dxa"/>
            <w:tcBorders>
              <w:top w:val="single" w:color="auto" w:sz="4" w:space="0"/>
              <w:left w:val="single" w:color="auto" w:sz="4" w:space="0"/>
              <w:bottom w:val="single" w:color="auto" w:sz="4" w:space="0"/>
              <w:right w:val="single" w:color="auto" w:sz="4" w:space="0"/>
            </w:tcBorders>
          </w:tcPr>
          <w:p w14:paraId="4B8E36DC"/>
        </w:tc>
      </w:tr>
    </w:tbl>
    <w:p w14:paraId="196292DD">
      <w:pPr>
        <w:snapToGrid w:val="0"/>
        <w:spacing w:before="50" w:after="50" w:line="360" w:lineRule="exact"/>
        <w:ind w:firstLine="210" w:firstLineChars="100"/>
        <w:rPr>
          <w:rFonts w:ascii="宋体"/>
          <w:szCs w:val="21"/>
        </w:rPr>
      </w:pPr>
    </w:p>
    <w:p w14:paraId="4F6FB5F6">
      <w:pPr>
        <w:snapToGrid w:val="0"/>
        <w:spacing w:before="50" w:after="50" w:line="360" w:lineRule="exact"/>
        <w:ind w:firstLine="210" w:firstLineChars="100"/>
        <w:rPr>
          <w:rFonts w:ascii="宋体"/>
          <w:spacing w:val="20"/>
          <w:szCs w:val="21"/>
          <w:u w:val="single"/>
        </w:rPr>
      </w:pPr>
      <w:r>
        <w:rPr>
          <w:rFonts w:hint="eastAsia" w:ascii="宋体"/>
          <w:szCs w:val="21"/>
        </w:rPr>
        <w:t>法定代表人（负责人）或委托代理人签字或盖章</w:t>
      </w:r>
      <w:r>
        <w:rPr>
          <w:rFonts w:hint="eastAsia" w:ascii="宋体"/>
          <w:spacing w:val="20"/>
          <w:szCs w:val="21"/>
        </w:rPr>
        <w:t>：</w:t>
      </w:r>
      <w:r>
        <w:rPr>
          <w:rFonts w:hint="eastAsia" w:ascii="宋体"/>
          <w:spacing w:val="20"/>
          <w:szCs w:val="21"/>
          <w:u w:val="single"/>
        </w:rPr>
        <w:t xml:space="preserve">           </w:t>
      </w:r>
    </w:p>
    <w:p w14:paraId="54EA8F7B">
      <w:pPr>
        <w:snapToGrid w:val="0"/>
        <w:spacing w:before="50" w:after="50" w:line="360" w:lineRule="exact"/>
        <w:ind w:firstLine="250" w:firstLineChars="100"/>
        <w:rPr>
          <w:rFonts w:ascii="宋体"/>
          <w:b/>
          <w:szCs w:val="21"/>
        </w:rPr>
      </w:pPr>
      <w:r>
        <w:rPr>
          <w:rFonts w:hint="eastAsia" w:ascii="宋体"/>
          <w:spacing w:val="20"/>
          <w:szCs w:val="21"/>
        </w:rPr>
        <w:t>投标人</w:t>
      </w:r>
      <w:r>
        <w:rPr>
          <w:rFonts w:hint="eastAsia"/>
        </w:rPr>
        <w:t>名称（</w:t>
      </w:r>
      <w:r>
        <w:rPr>
          <w:rFonts w:hint="eastAsia" w:ascii="宋体"/>
          <w:szCs w:val="21"/>
        </w:rPr>
        <w:t>盖章</w:t>
      </w:r>
      <w:r>
        <w:rPr>
          <w:rFonts w:hint="eastAsia"/>
        </w:rPr>
        <w:t>）</w:t>
      </w:r>
      <w:r>
        <w:rPr>
          <w:rFonts w:hint="eastAsia" w:ascii="宋体"/>
          <w:spacing w:val="20"/>
          <w:szCs w:val="21"/>
        </w:rPr>
        <w:t>：</w:t>
      </w:r>
      <w:r>
        <w:rPr>
          <w:rFonts w:hint="eastAsia" w:ascii="宋体"/>
          <w:spacing w:val="20"/>
          <w:szCs w:val="21"/>
          <w:u w:val="single"/>
        </w:rPr>
        <w:t xml:space="preserve">            </w:t>
      </w:r>
      <w:r>
        <w:rPr>
          <w:rFonts w:hint="eastAsia" w:ascii="宋体"/>
          <w:spacing w:val="20"/>
          <w:szCs w:val="21"/>
        </w:rPr>
        <w:t xml:space="preserve">                 日 期：</w:t>
      </w:r>
      <w:r>
        <w:rPr>
          <w:rFonts w:hint="eastAsia" w:ascii="宋体"/>
          <w:spacing w:val="20"/>
          <w:szCs w:val="21"/>
          <w:u w:val="single"/>
        </w:rPr>
        <w:t xml:space="preserve">          </w:t>
      </w:r>
    </w:p>
    <w:p w14:paraId="6A746C05"/>
    <w:p w14:paraId="1CC0C912"/>
    <w:p w14:paraId="76A5C218"/>
    <w:p w14:paraId="4A175E9D"/>
    <w:p w14:paraId="3EDDC027"/>
    <w:p w14:paraId="49DDDB27">
      <w:pPr>
        <w:spacing w:line="360" w:lineRule="exact"/>
      </w:pPr>
      <w:r>
        <w:br w:type="page"/>
      </w:r>
      <w:r>
        <w:rPr>
          <w:rFonts w:hint="eastAsia"/>
        </w:rPr>
        <w:t xml:space="preserve">    （8）</w:t>
      </w:r>
      <w:r>
        <w:rPr>
          <w:rFonts w:hint="eastAsia" w:ascii="宋体"/>
          <w:szCs w:val="21"/>
        </w:rPr>
        <w:t>招标项目采购需求中要求必须提供的材料等</w:t>
      </w:r>
      <w:r>
        <w:rPr>
          <w:rFonts w:hint="eastAsia"/>
        </w:rPr>
        <w:t>（招标项目采购需求中要求必须提供的材料，据实提供）</w:t>
      </w:r>
    </w:p>
    <w:p w14:paraId="2A48200F">
      <w:pPr>
        <w:spacing w:line="360" w:lineRule="exact"/>
      </w:pPr>
    </w:p>
    <w:p w14:paraId="3C670341">
      <w:pPr>
        <w:snapToGrid w:val="0"/>
        <w:spacing w:line="370" w:lineRule="exact"/>
        <w:ind w:firstLine="411" w:firstLineChars="196"/>
        <w:jc w:val="left"/>
        <w:rPr>
          <w:rFonts w:ascii="宋体"/>
          <w:b/>
          <w:szCs w:val="21"/>
        </w:rPr>
      </w:pPr>
      <w:r>
        <w:rPr>
          <w:rFonts w:hint="eastAsia" w:ascii="宋体"/>
          <w:szCs w:val="21"/>
        </w:rPr>
        <w:t>（9）具备法律、行政法规规定的其他条件的证明材料。</w:t>
      </w:r>
      <w:r>
        <w:rPr>
          <w:rFonts w:hint="eastAsia" w:ascii="宋体"/>
          <w:b/>
          <w:szCs w:val="21"/>
        </w:rPr>
        <w:t xml:space="preserve"> (如有规定,则必须提供)</w:t>
      </w:r>
    </w:p>
    <w:p w14:paraId="3A2689E4">
      <w:r>
        <w:rPr>
          <w:rFonts w:hint="eastAsia"/>
        </w:rPr>
        <w:t xml:space="preserve"> </w:t>
      </w:r>
    </w:p>
    <w:p w14:paraId="311A3231">
      <w:pPr>
        <w:snapToGrid w:val="0"/>
        <w:spacing w:line="370" w:lineRule="exact"/>
        <w:ind w:firstLine="411" w:firstLineChars="196"/>
        <w:jc w:val="left"/>
        <w:rPr>
          <w:rFonts w:ascii="宋体"/>
          <w:szCs w:val="21"/>
        </w:rPr>
      </w:pPr>
      <w:r>
        <w:rPr>
          <w:rFonts w:hint="eastAsia" w:ascii="宋体"/>
          <w:szCs w:val="21"/>
        </w:rPr>
        <w:t>（10）类似成功案例的业绩（投标人同类项目实施情况一览表、合同扫描件等，格式可自行调整）；</w:t>
      </w:r>
    </w:p>
    <w:tbl>
      <w:tblPr>
        <w:tblStyle w:val="5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5"/>
        <w:gridCol w:w="1985"/>
        <w:gridCol w:w="1701"/>
        <w:gridCol w:w="1134"/>
        <w:gridCol w:w="1559"/>
        <w:gridCol w:w="1806"/>
      </w:tblGrid>
      <w:tr w14:paraId="2E16A6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440"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14:paraId="3AEA1A0A">
            <w:pPr>
              <w:snapToGrid w:val="0"/>
              <w:spacing w:line="360" w:lineRule="exact"/>
              <w:jc w:val="center"/>
              <w:rPr>
                <w:rFonts w:ascii="宋体"/>
                <w:szCs w:val="21"/>
              </w:rPr>
            </w:pPr>
            <w:r>
              <w:rPr>
                <w:rFonts w:hint="eastAsia" w:ascii="宋体"/>
                <w:szCs w:val="21"/>
              </w:rPr>
              <w:t>序号</w:t>
            </w:r>
          </w:p>
        </w:tc>
        <w:tc>
          <w:tcPr>
            <w:tcW w:w="1985" w:type="dxa"/>
            <w:tcBorders>
              <w:top w:val="single" w:color="auto" w:sz="4" w:space="0"/>
              <w:left w:val="single" w:color="auto" w:sz="4" w:space="0"/>
              <w:bottom w:val="single" w:color="auto" w:sz="4" w:space="0"/>
              <w:right w:val="single" w:color="auto" w:sz="4" w:space="0"/>
            </w:tcBorders>
            <w:vAlign w:val="center"/>
          </w:tcPr>
          <w:p w14:paraId="623D2A4E">
            <w:pPr>
              <w:snapToGrid w:val="0"/>
              <w:spacing w:line="360" w:lineRule="exact"/>
              <w:jc w:val="center"/>
              <w:rPr>
                <w:rFonts w:ascii="宋体"/>
                <w:szCs w:val="21"/>
              </w:rPr>
            </w:pPr>
            <w:r>
              <w:rPr>
                <w:rFonts w:hint="eastAsia" w:ascii="宋体"/>
                <w:szCs w:val="21"/>
              </w:rPr>
              <w:t>采购单位名称</w:t>
            </w:r>
          </w:p>
        </w:tc>
        <w:tc>
          <w:tcPr>
            <w:tcW w:w="1701" w:type="dxa"/>
            <w:tcBorders>
              <w:top w:val="single" w:color="auto" w:sz="4" w:space="0"/>
              <w:left w:val="single" w:color="auto" w:sz="4" w:space="0"/>
              <w:bottom w:val="single" w:color="auto" w:sz="4" w:space="0"/>
              <w:right w:val="single" w:color="auto" w:sz="4" w:space="0"/>
            </w:tcBorders>
            <w:vAlign w:val="center"/>
          </w:tcPr>
          <w:p w14:paraId="173FE0A2">
            <w:pPr>
              <w:snapToGrid w:val="0"/>
              <w:spacing w:line="360" w:lineRule="exact"/>
              <w:jc w:val="center"/>
              <w:rPr>
                <w:rFonts w:ascii="宋体"/>
                <w:szCs w:val="21"/>
              </w:rPr>
            </w:pPr>
            <w:r>
              <w:rPr>
                <w:rFonts w:hint="eastAsia" w:ascii="宋体"/>
                <w:szCs w:val="21"/>
              </w:rPr>
              <w:t>设备或项目名称</w:t>
            </w:r>
          </w:p>
        </w:tc>
        <w:tc>
          <w:tcPr>
            <w:tcW w:w="1134" w:type="dxa"/>
            <w:tcBorders>
              <w:top w:val="single" w:color="auto" w:sz="4" w:space="0"/>
              <w:left w:val="single" w:color="auto" w:sz="4" w:space="0"/>
              <w:bottom w:val="single" w:color="auto" w:sz="4" w:space="0"/>
              <w:right w:val="single" w:color="auto" w:sz="4" w:space="0"/>
            </w:tcBorders>
            <w:vAlign w:val="center"/>
          </w:tcPr>
          <w:p w14:paraId="08BCCBAB">
            <w:pPr>
              <w:snapToGrid w:val="0"/>
              <w:spacing w:line="360" w:lineRule="exact"/>
              <w:jc w:val="center"/>
              <w:rPr>
                <w:rFonts w:ascii="宋体"/>
                <w:szCs w:val="21"/>
              </w:rPr>
            </w:pPr>
            <w:r>
              <w:rPr>
                <w:rFonts w:hint="eastAsia" w:ascii="宋体"/>
                <w:szCs w:val="21"/>
              </w:rPr>
              <w:t>采购数量</w:t>
            </w:r>
          </w:p>
        </w:tc>
        <w:tc>
          <w:tcPr>
            <w:tcW w:w="1559" w:type="dxa"/>
            <w:tcBorders>
              <w:top w:val="single" w:color="auto" w:sz="4" w:space="0"/>
              <w:left w:val="single" w:color="auto" w:sz="4" w:space="0"/>
              <w:bottom w:val="single" w:color="auto" w:sz="4" w:space="0"/>
              <w:right w:val="single" w:color="auto" w:sz="4" w:space="0"/>
            </w:tcBorders>
            <w:vAlign w:val="center"/>
          </w:tcPr>
          <w:p w14:paraId="40758274">
            <w:pPr>
              <w:snapToGrid w:val="0"/>
              <w:spacing w:line="360" w:lineRule="exact"/>
              <w:jc w:val="center"/>
              <w:rPr>
                <w:rFonts w:ascii="宋体"/>
                <w:szCs w:val="21"/>
              </w:rPr>
            </w:pPr>
            <w:r>
              <w:rPr>
                <w:rFonts w:hint="eastAsia" w:ascii="宋体"/>
                <w:szCs w:val="21"/>
              </w:rPr>
              <w:t>合同金额</w:t>
            </w:r>
          </w:p>
        </w:tc>
        <w:tc>
          <w:tcPr>
            <w:tcW w:w="1806" w:type="dxa"/>
            <w:tcBorders>
              <w:top w:val="single" w:color="auto" w:sz="4" w:space="0"/>
              <w:left w:val="single" w:color="auto" w:sz="4" w:space="0"/>
              <w:right w:val="single" w:color="auto" w:sz="4" w:space="0"/>
            </w:tcBorders>
            <w:vAlign w:val="center"/>
          </w:tcPr>
          <w:p w14:paraId="3335EDAF">
            <w:pPr>
              <w:snapToGrid w:val="0"/>
              <w:spacing w:line="360" w:lineRule="exact"/>
              <w:jc w:val="center"/>
              <w:rPr>
                <w:rFonts w:ascii="宋体"/>
                <w:szCs w:val="21"/>
              </w:rPr>
            </w:pPr>
            <w:r>
              <w:rPr>
                <w:rFonts w:hint="eastAsia" w:ascii="宋体"/>
                <w:szCs w:val="21"/>
              </w:rPr>
              <w:t>采购单位联系人及联系电话</w:t>
            </w:r>
          </w:p>
        </w:tc>
      </w:tr>
      <w:tr w14:paraId="4FC20A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815" w:type="dxa"/>
            <w:tcBorders>
              <w:top w:val="single" w:color="auto" w:sz="4" w:space="0"/>
              <w:left w:val="single" w:color="auto" w:sz="4" w:space="0"/>
              <w:bottom w:val="single" w:color="auto" w:sz="4" w:space="0"/>
              <w:right w:val="single" w:color="auto" w:sz="4" w:space="0"/>
            </w:tcBorders>
          </w:tcPr>
          <w:p w14:paraId="460EC0E2">
            <w:pPr>
              <w:snapToGrid w:val="0"/>
              <w:spacing w:line="360" w:lineRule="exact"/>
              <w:jc w:val="left"/>
              <w:rPr>
                <w:rFonts w:ascii="宋体"/>
                <w:szCs w:val="21"/>
              </w:rPr>
            </w:pPr>
          </w:p>
        </w:tc>
        <w:tc>
          <w:tcPr>
            <w:tcW w:w="1985" w:type="dxa"/>
            <w:tcBorders>
              <w:top w:val="single" w:color="auto" w:sz="4" w:space="0"/>
              <w:left w:val="single" w:color="auto" w:sz="4" w:space="0"/>
              <w:bottom w:val="single" w:color="auto" w:sz="4" w:space="0"/>
              <w:right w:val="single" w:color="auto" w:sz="4" w:space="0"/>
            </w:tcBorders>
          </w:tcPr>
          <w:p w14:paraId="54971AEE">
            <w:pPr>
              <w:snapToGrid w:val="0"/>
              <w:spacing w:line="360" w:lineRule="exact"/>
              <w:jc w:val="left"/>
              <w:rPr>
                <w:rFonts w:ascii="宋体"/>
                <w:szCs w:val="21"/>
              </w:rPr>
            </w:pPr>
          </w:p>
        </w:tc>
        <w:tc>
          <w:tcPr>
            <w:tcW w:w="1701" w:type="dxa"/>
            <w:tcBorders>
              <w:top w:val="single" w:color="auto" w:sz="4" w:space="0"/>
              <w:left w:val="single" w:color="auto" w:sz="4" w:space="0"/>
              <w:bottom w:val="single" w:color="auto" w:sz="4" w:space="0"/>
              <w:right w:val="single" w:color="auto" w:sz="4" w:space="0"/>
            </w:tcBorders>
          </w:tcPr>
          <w:p w14:paraId="279818E1">
            <w:pPr>
              <w:snapToGrid w:val="0"/>
              <w:spacing w:line="360" w:lineRule="exact"/>
              <w:jc w:val="left"/>
              <w:rPr>
                <w:rFonts w:ascii="宋体"/>
                <w:szCs w:val="21"/>
              </w:rPr>
            </w:pPr>
          </w:p>
        </w:tc>
        <w:tc>
          <w:tcPr>
            <w:tcW w:w="1134" w:type="dxa"/>
            <w:tcBorders>
              <w:top w:val="single" w:color="auto" w:sz="4" w:space="0"/>
              <w:left w:val="single" w:color="auto" w:sz="4" w:space="0"/>
              <w:bottom w:val="single" w:color="auto" w:sz="4" w:space="0"/>
              <w:right w:val="single" w:color="auto" w:sz="4" w:space="0"/>
            </w:tcBorders>
          </w:tcPr>
          <w:p w14:paraId="7A567731">
            <w:pPr>
              <w:snapToGrid w:val="0"/>
              <w:spacing w:line="360" w:lineRule="exact"/>
              <w:jc w:val="left"/>
              <w:rPr>
                <w:rFonts w:ascii="宋体"/>
                <w:szCs w:val="21"/>
              </w:rPr>
            </w:pPr>
          </w:p>
        </w:tc>
        <w:tc>
          <w:tcPr>
            <w:tcW w:w="1559" w:type="dxa"/>
            <w:tcBorders>
              <w:top w:val="single" w:color="auto" w:sz="4" w:space="0"/>
              <w:left w:val="single" w:color="auto" w:sz="4" w:space="0"/>
              <w:bottom w:val="single" w:color="auto" w:sz="4" w:space="0"/>
              <w:right w:val="single" w:color="auto" w:sz="4" w:space="0"/>
            </w:tcBorders>
          </w:tcPr>
          <w:p w14:paraId="512A93D2">
            <w:pPr>
              <w:snapToGrid w:val="0"/>
              <w:spacing w:line="360" w:lineRule="exact"/>
              <w:jc w:val="left"/>
              <w:rPr>
                <w:rFonts w:ascii="宋体"/>
                <w:szCs w:val="21"/>
              </w:rPr>
            </w:pPr>
          </w:p>
        </w:tc>
        <w:tc>
          <w:tcPr>
            <w:tcW w:w="1806" w:type="dxa"/>
            <w:tcBorders>
              <w:top w:val="single" w:color="auto" w:sz="4" w:space="0"/>
              <w:left w:val="single" w:color="auto" w:sz="4" w:space="0"/>
              <w:bottom w:val="single" w:color="auto" w:sz="4" w:space="0"/>
              <w:right w:val="single" w:color="auto" w:sz="4" w:space="0"/>
            </w:tcBorders>
          </w:tcPr>
          <w:p w14:paraId="14BFB905">
            <w:pPr>
              <w:snapToGrid w:val="0"/>
              <w:spacing w:line="360" w:lineRule="exact"/>
              <w:jc w:val="left"/>
              <w:rPr>
                <w:rFonts w:ascii="宋体"/>
                <w:szCs w:val="21"/>
              </w:rPr>
            </w:pPr>
          </w:p>
        </w:tc>
      </w:tr>
      <w:tr w14:paraId="2BF435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15" w:type="dxa"/>
            <w:tcBorders>
              <w:top w:val="single" w:color="auto" w:sz="4" w:space="0"/>
              <w:left w:val="single" w:color="auto" w:sz="4" w:space="0"/>
              <w:bottom w:val="single" w:color="auto" w:sz="4" w:space="0"/>
              <w:right w:val="single" w:color="auto" w:sz="4" w:space="0"/>
            </w:tcBorders>
          </w:tcPr>
          <w:p w14:paraId="486AAF9A">
            <w:pPr>
              <w:snapToGrid w:val="0"/>
              <w:spacing w:before="50" w:afterLines="50" w:line="360" w:lineRule="exact"/>
              <w:jc w:val="left"/>
              <w:rPr>
                <w:rFonts w:ascii="宋体"/>
                <w:szCs w:val="21"/>
              </w:rPr>
            </w:pPr>
          </w:p>
        </w:tc>
        <w:tc>
          <w:tcPr>
            <w:tcW w:w="1985" w:type="dxa"/>
            <w:tcBorders>
              <w:top w:val="single" w:color="auto" w:sz="4" w:space="0"/>
              <w:left w:val="single" w:color="auto" w:sz="4" w:space="0"/>
              <w:bottom w:val="single" w:color="auto" w:sz="4" w:space="0"/>
              <w:right w:val="single" w:color="auto" w:sz="4" w:space="0"/>
            </w:tcBorders>
          </w:tcPr>
          <w:p w14:paraId="4C8655DF">
            <w:pPr>
              <w:snapToGrid w:val="0"/>
              <w:spacing w:before="50" w:afterLines="50" w:line="360" w:lineRule="exact"/>
              <w:jc w:val="left"/>
              <w:rPr>
                <w:rFonts w:ascii="宋体"/>
                <w:szCs w:val="21"/>
              </w:rPr>
            </w:pPr>
          </w:p>
        </w:tc>
        <w:tc>
          <w:tcPr>
            <w:tcW w:w="1701" w:type="dxa"/>
            <w:tcBorders>
              <w:top w:val="single" w:color="auto" w:sz="4" w:space="0"/>
              <w:left w:val="single" w:color="auto" w:sz="4" w:space="0"/>
              <w:bottom w:val="single" w:color="auto" w:sz="4" w:space="0"/>
              <w:right w:val="single" w:color="auto" w:sz="4" w:space="0"/>
            </w:tcBorders>
          </w:tcPr>
          <w:p w14:paraId="600C50DD">
            <w:pPr>
              <w:snapToGrid w:val="0"/>
              <w:spacing w:before="50" w:afterLines="50" w:line="360" w:lineRule="exact"/>
              <w:jc w:val="left"/>
              <w:rPr>
                <w:rFonts w:ascii="宋体"/>
                <w:szCs w:val="21"/>
              </w:rPr>
            </w:pPr>
          </w:p>
        </w:tc>
        <w:tc>
          <w:tcPr>
            <w:tcW w:w="1134" w:type="dxa"/>
            <w:tcBorders>
              <w:top w:val="single" w:color="auto" w:sz="4" w:space="0"/>
              <w:left w:val="single" w:color="auto" w:sz="4" w:space="0"/>
              <w:bottom w:val="single" w:color="auto" w:sz="4" w:space="0"/>
              <w:right w:val="single" w:color="auto" w:sz="4" w:space="0"/>
            </w:tcBorders>
          </w:tcPr>
          <w:p w14:paraId="3DA4A21E">
            <w:pPr>
              <w:snapToGrid w:val="0"/>
              <w:spacing w:before="50" w:afterLines="50" w:line="360" w:lineRule="exact"/>
              <w:jc w:val="left"/>
              <w:rPr>
                <w:rFonts w:ascii="宋体"/>
                <w:szCs w:val="21"/>
              </w:rPr>
            </w:pPr>
          </w:p>
        </w:tc>
        <w:tc>
          <w:tcPr>
            <w:tcW w:w="1559" w:type="dxa"/>
            <w:tcBorders>
              <w:top w:val="single" w:color="auto" w:sz="4" w:space="0"/>
              <w:left w:val="single" w:color="auto" w:sz="4" w:space="0"/>
              <w:bottom w:val="single" w:color="auto" w:sz="4" w:space="0"/>
              <w:right w:val="single" w:color="auto" w:sz="4" w:space="0"/>
            </w:tcBorders>
          </w:tcPr>
          <w:p w14:paraId="6F8AA275">
            <w:pPr>
              <w:snapToGrid w:val="0"/>
              <w:spacing w:before="50" w:afterLines="50" w:line="360" w:lineRule="exact"/>
              <w:jc w:val="left"/>
              <w:rPr>
                <w:rFonts w:ascii="宋体"/>
                <w:szCs w:val="21"/>
              </w:rPr>
            </w:pPr>
          </w:p>
        </w:tc>
        <w:tc>
          <w:tcPr>
            <w:tcW w:w="1806" w:type="dxa"/>
            <w:tcBorders>
              <w:top w:val="single" w:color="auto" w:sz="4" w:space="0"/>
              <w:left w:val="single" w:color="auto" w:sz="4" w:space="0"/>
              <w:bottom w:val="single" w:color="auto" w:sz="4" w:space="0"/>
              <w:right w:val="single" w:color="auto" w:sz="4" w:space="0"/>
            </w:tcBorders>
          </w:tcPr>
          <w:p w14:paraId="718A9A7D">
            <w:pPr>
              <w:snapToGrid w:val="0"/>
              <w:spacing w:before="50" w:afterLines="50" w:line="360" w:lineRule="exact"/>
              <w:jc w:val="left"/>
              <w:rPr>
                <w:rFonts w:ascii="宋体"/>
                <w:szCs w:val="21"/>
              </w:rPr>
            </w:pPr>
          </w:p>
        </w:tc>
      </w:tr>
      <w:tr w14:paraId="60A870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815" w:type="dxa"/>
            <w:tcBorders>
              <w:top w:val="single" w:color="auto" w:sz="4" w:space="0"/>
              <w:left w:val="single" w:color="auto" w:sz="4" w:space="0"/>
              <w:bottom w:val="single" w:color="auto" w:sz="4" w:space="0"/>
              <w:right w:val="single" w:color="auto" w:sz="4" w:space="0"/>
            </w:tcBorders>
          </w:tcPr>
          <w:p w14:paraId="7693610B">
            <w:pPr>
              <w:snapToGrid w:val="0"/>
              <w:spacing w:before="50" w:afterLines="50" w:line="360" w:lineRule="exact"/>
              <w:jc w:val="left"/>
              <w:rPr>
                <w:rFonts w:ascii="宋体"/>
                <w:szCs w:val="21"/>
              </w:rPr>
            </w:pPr>
          </w:p>
        </w:tc>
        <w:tc>
          <w:tcPr>
            <w:tcW w:w="1985" w:type="dxa"/>
            <w:tcBorders>
              <w:top w:val="single" w:color="auto" w:sz="4" w:space="0"/>
              <w:left w:val="single" w:color="auto" w:sz="4" w:space="0"/>
              <w:bottom w:val="single" w:color="auto" w:sz="4" w:space="0"/>
              <w:right w:val="single" w:color="auto" w:sz="4" w:space="0"/>
            </w:tcBorders>
          </w:tcPr>
          <w:p w14:paraId="0858D65A">
            <w:pPr>
              <w:snapToGrid w:val="0"/>
              <w:spacing w:before="50" w:afterLines="50" w:line="360" w:lineRule="exact"/>
              <w:jc w:val="left"/>
              <w:rPr>
                <w:rFonts w:ascii="宋体"/>
                <w:szCs w:val="21"/>
              </w:rPr>
            </w:pPr>
          </w:p>
        </w:tc>
        <w:tc>
          <w:tcPr>
            <w:tcW w:w="1701" w:type="dxa"/>
            <w:tcBorders>
              <w:top w:val="single" w:color="auto" w:sz="4" w:space="0"/>
              <w:left w:val="single" w:color="auto" w:sz="4" w:space="0"/>
              <w:bottom w:val="single" w:color="auto" w:sz="4" w:space="0"/>
              <w:right w:val="single" w:color="auto" w:sz="4" w:space="0"/>
            </w:tcBorders>
          </w:tcPr>
          <w:p w14:paraId="0E259B4D">
            <w:pPr>
              <w:snapToGrid w:val="0"/>
              <w:spacing w:before="50" w:afterLines="50" w:line="360" w:lineRule="exact"/>
              <w:jc w:val="left"/>
              <w:rPr>
                <w:rFonts w:ascii="宋体"/>
                <w:szCs w:val="21"/>
              </w:rPr>
            </w:pPr>
          </w:p>
        </w:tc>
        <w:tc>
          <w:tcPr>
            <w:tcW w:w="1134" w:type="dxa"/>
            <w:tcBorders>
              <w:top w:val="single" w:color="auto" w:sz="4" w:space="0"/>
              <w:left w:val="single" w:color="auto" w:sz="4" w:space="0"/>
              <w:bottom w:val="single" w:color="auto" w:sz="4" w:space="0"/>
              <w:right w:val="single" w:color="auto" w:sz="4" w:space="0"/>
            </w:tcBorders>
          </w:tcPr>
          <w:p w14:paraId="7C866093">
            <w:pPr>
              <w:snapToGrid w:val="0"/>
              <w:spacing w:before="50" w:afterLines="50" w:line="360" w:lineRule="exact"/>
              <w:jc w:val="left"/>
              <w:rPr>
                <w:rFonts w:ascii="宋体"/>
                <w:szCs w:val="21"/>
              </w:rPr>
            </w:pPr>
          </w:p>
        </w:tc>
        <w:tc>
          <w:tcPr>
            <w:tcW w:w="1559" w:type="dxa"/>
            <w:tcBorders>
              <w:top w:val="single" w:color="auto" w:sz="4" w:space="0"/>
              <w:left w:val="single" w:color="auto" w:sz="4" w:space="0"/>
              <w:bottom w:val="single" w:color="auto" w:sz="4" w:space="0"/>
              <w:right w:val="single" w:color="auto" w:sz="4" w:space="0"/>
            </w:tcBorders>
          </w:tcPr>
          <w:p w14:paraId="7F4DDCFE">
            <w:pPr>
              <w:snapToGrid w:val="0"/>
              <w:spacing w:before="50" w:afterLines="50" w:line="360" w:lineRule="exact"/>
              <w:jc w:val="left"/>
              <w:rPr>
                <w:rFonts w:ascii="宋体"/>
                <w:szCs w:val="21"/>
              </w:rPr>
            </w:pPr>
          </w:p>
        </w:tc>
        <w:tc>
          <w:tcPr>
            <w:tcW w:w="1806" w:type="dxa"/>
            <w:tcBorders>
              <w:top w:val="single" w:color="auto" w:sz="4" w:space="0"/>
              <w:left w:val="single" w:color="auto" w:sz="4" w:space="0"/>
              <w:bottom w:val="single" w:color="auto" w:sz="4" w:space="0"/>
              <w:right w:val="single" w:color="auto" w:sz="4" w:space="0"/>
            </w:tcBorders>
          </w:tcPr>
          <w:p w14:paraId="01B4CADF">
            <w:pPr>
              <w:snapToGrid w:val="0"/>
              <w:spacing w:before="50" w:afterLines="50" w:line="360" w:lineRule="exact"/>
              <w:jc w:val="left"/>
              <w:rPr>
                <w:rFonts w:ascii="宋体"/>
                <w:szCs w:val="21"/>
              </w:rPr>
            </w:pPr>
          </w:p>
        </w:tc>
      </w:tr>
      <w:tr w14:paraId="14EECA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15" w:type="dxa"/>
            <w:tcBorders>
              <w:top w:val="single" w:color="auto" w:sz="4" w:space="0"/>
              <w:left w:val="single" w:color="auto" w:sz="4" w:space="0"/>
              <w:bottom w:val="single" w:color="auto" w:sz="4" w:space="0"/>
              <w:right w:val="single" w:color="auto" w:sz="4" w:space="0"/>
            </w:tcBorders>
          </w:tcPr>
          <w:p w14:paraId="70EB533A">
            <w:pPr>
              <w:snapToGrid w:val="0"/>
              <w:spacing w:before="50" w:afterLines="50" w:line="360" w:lineRule="exact"/>
              <w:jc w:val="left"/>
              <w:rPr>
                <w:rFonts w:ascii="宋体"/>
                <w:szCs w:val="21"/>
              </w:rPr>
            </w:pPr>
          </w:p>
        </w:tc>
        <w:tc>
          <w:tcPr>
            <w:tcW w:w="1985" w:type="dxa"/>
            <w:tcBorders>
              <w:top w:val="single" w:color="auto" w:sz="4" w:space="0"/>
              <w:left w:val="single" w:color="auto" w:sz="4" w:space="0"/>
              <w:bottom w:val="single" w:color="auto" w:sz="4" w:space="0"/>
              <w:right w:val="single" w:color="auto" w:sz="4" w:space="0"/>
            </w:tcBorders>
          </w:tcPr>
          <w:p w14:paraId="5937F4B5">
            <w:pPr>
              <w:snapToGrid w:val="0"/>
              <w:spacing w:before="50" w:afterLines="50" w:line="360" w:lineRule="exact"/>
              <w:jc w:val="left"/>
              <w:rPr>
                <w:rFonts w:ascii="宋体"/>
                <w:szCs w:val="21"/>
              </w:rPr>
            </w:pPr>
          </w:p>
        </w:tc>
        <w:tc>
          <w:tcPr>
            <w:tcW w:w="1701" w:type="dxa"/>
            <w:tcBorders>
              <w:top w:val="single" w:color="auto" w:sz="4" w:space="0"/>
              <w:left w:val="single" w:color="auto" w:sz="4" w:space="0"/>
              <w:bottom w:val="single" w:color="auto" w:sz="4" w:space="0"/>
              <w:right w:val="single" w:color="auto" w:sz="4" w:space="0"/>
            </w:tcBorders>
          </w:tcPr>
          <w:p w14:paraId="6688884B">
            <w:pPr>
              <w:snapToGrid w:val="0"/>
              <w:spacing w:before="50" w:afterLines="50" w:line="360" w:lineRule="exact"/>
              <w:jc w:val="left"/>
              <w:rPr>
                <w:rFonts w:ascii="宋体"/>
                <w:szCs w:val="21"/>
              </w:rPr>
            </w:pPr>
          </w:p>
        </w:tc>
        <w:tc>
          <w:tcPr>
            <w:tcW w:w="1134" w:type="dxa"/>
            <w:tcBorders>
              <w:top w:val="single" w:color="auto" w:sz="4" w:space="0"/>
              <w:left w:val="single" w:color="auto" w:sz="4" w:space="0"/>
              <w:bottom w:val="single" w:color="auto" w:sz="4" w:space="0"/>
              <w:right w:val="single" w:color="auto" w:sz="4" w:space="0"/>
            </w:tcBorders>
          </w:tcPr>
          <w:p w14:paraId="680E6BD6">
            <w:pPr>
              <w:snapToGrid w:val="0"/>
              <w:spacing w:before="50" w:afterLines="50" w:line="360" w:lineRule="exact"/>
              <w:jc w:val="left"/>
              <w:rPr>
                <w:rFonts w:ascii="宋体"/>
                <w:szCs w:val="21"/>
              </w:rPr>
            </w:pPr>
          </w:p>
        </w:tc>
        <w:tc>
          <w:tcPr>
            <w:tcW w:w="1559" w:type="dxa"/>
            <w:tcBorders>
              <w:top w:val="single" w:color="auto" w:sz="4" w:space="0"/>
              <w:left w:val="single" w:color="auto" w:sz="4" w:space="0"/>
              <w:bottom w:val="single" w:color="auto" w:sz="4" w:space="0"/>
              <w:right w:val="single" w:color="auto" w:sz="4" w:space="0"/>
            </w:tcBorders>
          </w:tcPr>
          <w:p w14:paraId="63266224">
            <w:pPr>
              <w:snapToGrid w:val="0"/>
              <w:spacing w:before="50" w:afterLines="50" w:line="360" w:lineRule="exact"/>
              <w:jc w:val="left"/>
              <w:rPr>
                <w:rFonts w:ascii="宋体"/>
                <w:szCs w:val="21"/>
              </w:rPr>
            </w:pPr>
          </w:p>
        </w:tc>
        <w:tc>
          <w:tcPr>
            <w:tcW w:w="1806" w:type="dxa"/>
            <w:tcBorders>
              <w:top w:val="single" w:color="auto" w:sz="4" w:space="0"/>
              <w:left w:val="single" w:color="auto" w:sz="4" w:space="0"/>
              <w:bottom w:val="single" w:color="auto" w:sz="4" w:space="0"/>
              <w:right w:val="single" w:color="auto" w:sz="4" w:space="0"/>
            </w:tcBorders>
          </w:tcPr>
          <w:p w14:paraId="258207ED">
            <w:pPr>
              <w:snapToGrid w:val="0"/>
              <w:spacing w:before="50" w:afterLines="50" w:line="360" w:lineRule="exact"/>
              <w:jc w:val="left"/>
              <w:rPr>
                <w:rFonts w:ascii="宋体"/>
                <w:szCs w:val="21"/>
              </w:rPr>
            </w:pPr>
          </w:p>
        </w:tc>
      </w:tr>
      <w:tr w14:paraId="1CF697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15" w:type="dxa"/>
            <w:tcBorders>
              <w:top w:val="single" w:color="auto" w:sz="4" w:space="0"/>
              <w:left w:val="single" w:color="auto" w:sz="4" w:space="0"/>
              <w:bottom w:val="single" w:color="auto" w:sz="4" w:space="0"/>
              <w:right w:val="single" w:color="auto" w:sz="4" w:space="0"/>
            </w:tcBorders>
          </w:tcPr>
          <w:p w14:paraId="452FE10E">
            <w:pPr>
              <w:snapToGrid w:val="0"/>
              <w:spacing w:before="50" w:afterLines="50" w:line="360" w:lineRule="exact"/>
              <w:jc w:val="left"/>
              <w:rPr>
                <w:rFonts w:ascii="宋体"/>
                <w:szCs w:val="21"/>
              </w:rPr>
            </w:pPr>
          </w:p>
        </w:tc>
        <w:tc>
          <w:tcPr>
            <w:tcW w:w="1985" w:type="dxa"/>
            <w:tcBorders>
              <w:top w:val="single" w:color="auto" w:sz="4" w:space="0"/>
              <w:left w:val="single" w:color="auto" w:sz="4" w:space="0"/>
              <w:bottom w:val="single" w:color="auto" w:sz="4" w:space="0"/>
              <w:right w:val="single" w:color="auto" w:sz="4" w:space="0"/>
            </w:tcBorders>
          </w:tcPr>
          <w:p w14:paraId="59EEEF51">
            <w:pPr>
              <w:snapToGrid w:val="0"/>
              <w:spacing w:before="50" w:afterLines="50" w:line="360" w:lineRule="exact"/>
              <w:jc w:val="left"/>
              <w:rPr>
                <w:rFonts w:ascii="宋体"/>
                <w:szCs w:val="21"/>
              </w:rPr>
            </w:pPr>
          </w:p>
        </w:tc>
        <w:tc>
          <w:tcPr>
            <w:tcW w:w="1701" w:type="dxa"/>
            <w:tcBorders>
              <w:top w:val="single" w:color="auto" w:sz="4" w:space="0"/>
              <w:left w:val="single" w:color="auto" w:sz="4" w:space="0"/>
              <w:bottom w:val="single" w:color="auto" w:sz="4" w:space="0"/>
              <w:right w:val="single" w:color="auto" w:sz="4" w:space="0"/>
            </w:tcBorders>
          </w:tcPr>
          <w:p w14:paraId="2C007D35">
            <w:pPr>
              <w:snapToGrid w:val="0"/>
              <w:spacing w:before="50" w:afterLines="50" w:line="360" w:lineRule="exact"/>
              <w:jc w:val="left"/>
              <w:rPr>
                <w:rFonts w:ascii="宋体"/>
                <w:szCs w:val="21"/>
              </w:rPr>
            </w:pPr>
          </w:p>
        </w:tc>
        <w:tc>
          <w:tcPr>
            <w:tcW w:w="1134" w:type="dxa"/>
            <w:tcBorders>
              <w:top w:val="single" w:color="auto" w:sz="4" w:space="0"/>
              <w:left w:val="single" w:color="auto" w:sz="4" w:space="0"/>
              <w:bottom w:val="single" w:color="auto" w:sz="4" w:space="0"/>
              <w:right w:val="single" w:color="auto" w:sz="4" w:space="0"/>
            </w:tcBorders>
          </w:tcPr>
          <w:p w14:paraId="07C1BDAB">
            <w:pPr>
              <w:snapToGrid w:val="0"/>
              <w:spacing w:before="50" w:afterLines="50" w:line="360" w:lineRule="exact"/>
              <w:jc w:val="left"/>
              <w:rPr>
                <w:rFonts w:ascii="宋体"/>
                <w:szCs w:val="21"/>
              </w:rPr>
            </w:pPr>
          </w:p>
        </w:tc>
        <w:tc>
          <w:tcPr>
            <w:tcW w:w="1559" w:type="dxa"/>
            <w:tcBorders>
              <w:top w:val="single" w:color="auto" w:sz="4" w:space="0"/>
              <w:left w:val="single" w:color="auto" w:sz="4" w:space="0"/>
              <w:bottom w:val="single" w:color="auto" w:sz="4" w:space="0"/>
              <w:right w:val="single" w:color="auto" w:sz="4" w:space="0"/>
            </w:tcBorders>
          </w:tcPr>
          <w:p w14:paraId="2B18C4F9">
            <w:pPr>
              <w:snapToGrid w:val="0"/>
              <w:spacing w:before="50" w:afterLines="50" w:line="360" w:lineRule="exact"/>
              <w:jc w:val="left"/>
              <w:rPr>
                <w:rFonts w:ascii="宋体"/>
                <w:szCs w:val="21"/>
              </w:rPr>
            </w:pPr>
          </w:p>
        </w:tc>
        <w:tc>
          <w:tcPr>
            <w:tcW w:w="1806" w:type="dxa"/>
            <w:tcBorders>
              <w:top w:val="single" w:color="auto" w:sz="4" w:space="0"/>
              <w:left w:val="single" w:color="auto" w:sz="4" w:space="0"/>
              <w:bottom w:val="single" w:color="auto" w:sz="4" w:space="0"/>
              <w:right w:val="single" w:color="auto" w:sz="4" w:space="0"/>
            </w:tcBorders>
          </w:tcPr>
          <w:p w14:paraId="521E74BE">
            <w:pPr>
              <w:snapToGrid w:val="0"/>
              <w:spacing w:before="50" w:afterLines="50" w:line="360" w:lineRule="exact"/>
              <w:jc w:val="left"/>
              <w:rPr>
                <w:rFonts w:ascii="宋体"/>
                <w:szCs w:val="21"/>
              </w:rPr>
            </w:pPr>
          </w:p>
        </w:tc>
      </w:tr>
    </w:tbl>
    <w:p w14:paraId="2D0758C0">
      <w:pPr>
        <w:pStyle w:val="14"/>
        <w:snapToGrid w:val="0"/>
        <w:spacing w:line="360" w:lineRule="exact"/>
        <w:rPr>
          <w:rFonts w:ascii="宋体" w:eastAsia="宋体"/>
          <w:sz w:val="21"/>
          <w:szCs w:val="21"/>
        </w:rPr>
      </w:pPr>
    </w:p>
    <w:p w14:paraId="7F6CBFC5">
      <w:pPr>
        <w:pStyle w:val="14"/>
        <w:snapToGrid w:val="0"/>
        <w:spacing w:line="360" w:lineRule="exact"/>
        <w:rPr>
          <w:rFonts w:ascii="宋体" w:eastAsia="宋体"/>
          <w:sz w:val="21"/>
          <w:szCs w:val="21"/>
          <w:u w:val="single"/>
        </w:rPr>
      </w:pPr>
      <w:r>
        <w:rPr>
          <w:rFonts w:hint="eastAsia" w:ascii="宋体" w:eastAsia="宋体"/>
          <w:sz w:val="21"/>
          <w:szCs w:val="21"/>
        </w:rPr>
        <w:t xml:space="preserve">  法定代表人(负责人)签字或盖章：</w:t>
      </w:r>
      <w:r>
        <w:rPr>
          <w:rFonts w:hint="eastAsia" w:ascii="宋体" w:eastAsia="宋体"/>
          <w:sz w:val="21"/>
          <w:szCs w:val="21"/>
          <w:u w:val="single"/>
        </w:rPr>
        <w:t>　　　    　　</w:t>
      </w:r>
    </w:p>
    <w:p w14:paraId="2D0B58DF">
      <w:pPr>
        <w:snapToGrid w:val="0"/>
        <w:spacing w:before="50" w:line="360" w:lineRule="exact"/>
        <w:jc w:val="left"/>
        <w:rPr>
          <w:rFonts w:ascii="宋体"/>
          <w:szCs w:val="21"/>
        </w:rPr>
      </w:pPr>
      <w:r>
        <w:rPr>
          <w:rFonts w:hint="eastAsia" w:ascii="宋体"/>
          <w:szCs w:val="21"/>
        </w:rPr>
        <w:t xml:space="preserve">  投标人</w:t>
      </w:r>
      <w:r>
        <w:rPr>
          <w:rFonts w:hint="eastAsia"/>
        </w:rPr>
        <w:t>名称（</w:t>
      </w:r>
      <w:r>
        <w:rPr>
          <w:rFonts w:hint="eastAsia" w:ascii="宋体"/>
          <w:szCs w:val="21"/>
        </w:rPr>
        <w:t>盖章</w:t>
      </w:r>
      <w:r>
        <w:rPr>
          <w:rFonts w:hint="eastAsia"/>
        </w:rPr>
        <w:t>）</w:t>
      </w:r>
      <w:r>
        <w:rPr>
          <w:rFonts w:hint="eastAsia" w:ascii="宋体"/>
          <w:szCs w:val="21"/>
        </w:rPr>
        <w:t>：</w:t>
      </w:r>
      <w:r>
        <w:rPr>
          <w:rFonts w:hint="eastAsia" w:ascii="宋体"/>
          <w:szCs w:val="21"/>
          <w:u w:val="single"/>
        </w:rPr>
        <w:t xml:space="preserve">                 </w:t>
      </w:r>
      <w:r>
        <w:rPr>
          <w:rFonts w:hint="eastAsia" w:ascii="宋体"/>
          <w:szCs w:val="21"/>
        </w:rPr>
        <w:t xml:space="preserve">                                年    月   日</w:t>
      </w:r>
    </w:p>
    <w:p w14:paraId="34A9E547"/>
    <w:p w14:paraId="2DDE3DAB"/>
    <w:p w14:paraId="1F5E52C2">
      <w:pPr>
        <w:snapToGrid w:val="0"/>
        <w:spacing w:line="370" w:lineRule="exact"/>
        <w:ind w:firstLine="411" w:firstLineChars="196"/>
        <w:jc w:val="left"/>
        <w:rPr>
          <w:rFonts w:ascii="宋体"/>
          <w:szCs w:val="21"/>
        </w:rPr>
      </w:pPr>
      <w:r>
        <w:rPr>
          <w:rFonts w:hint="eastAsia" w:ascii="宋体"/>
          <w:szCs w:val="21"/>
        </w:rPr>
        <w:t>（11）其他特殊资质证书；</w:t>
      </w:r>
    </w:p>
    <w:p w14:paraId="1B8E765C">
      <w:pPr>
        <w:snapToGrid w:val="0"/>
        <w:spacing w:line="370" w:lineRule="exact"/>
        <w:ind w:firstLine="411" w:firstLineChars="196"/>
        <w:jc w:val="left"/>
        <w:rPr>
          <w:rFonts w:ascii="宋体"/>
          <w:szCs w:val="21"/>
        </w:rPr>
      </w:pPr>
    </w:p>
    <w:p w14:paraId="52707173">
      <w:pPr>
        <w:snapToGrid w:val="0"/>
        <w:spacing w:line="370" w:lineRule="exact"/>
        <w:ind w:firstLine="411" w:firstLineChars="196"/>
        <w:jc w:val="left"/>
        <w:rPr>
          <w:rFonts w:ascii="宋体"/>
          <w:szCs w:val="21"/>
        </w:rPr>
      </w:pPr>
      <w:r>
        <w:rPr>
          <w:rFonts w:hint="eastAsia" w:ascii="宋体"/>
          <w:szCs w:val="21"/>
        </w:rPr>
        <w:t>（12）节能环保产品或政府强制采购节能产品认证证书；</w:t>
      </w:r>
    </w:p>
    <w:p w14:paraId="35B3A314">
      <w:pPr>
        <w:snapToGrid w:val="0"/>
        <w:spacing w:line="370" w:lineRule="exact"/>
        <w:ind w:firstLine="411" w:firstLineChars="196"/>
        <w:jc w:val="left"/>
        <w:rPr>
          <w:rFonts w:ascii="宋体"/>
          <w:szCs w:val="21"/>
        </w:rPr>
      </w:pPr>
    </w:p>
    <w:p w14:paraId="178A1EB8">
      <w:pPr>
        <w:snapToGrid w:val="0"/>
        <w:spacing w:line="370" w:lineRule="exact"/>
        <w:ind w:firstLine="411" w:firstLineChars="196"/>
        <w:jc w:val="left"/>
        <w:rPr>
          <w:rFonts w:ascii="宋体"/>
          <w:szCs w:val="21"/>
        </w:rPr>
      </w:pPr>
      <w:r>
        <w:rPr>
          <w:rFonts w:hint="eastAsia" w:ascii="宋体"/>
          <w:szCs w:val="21"/>
        </w:rPr>
        <w:t>（13）投标人质量管理和质量保证体系等方面的认证证书；</w:t>
      </w:r>
    </w:p>
    <w:p w14:paraId="21E58B3E">
      <w:pPr>
        <w:snapToGrid w:val="0"/>
        <w:spacing w:line="370" w:lineRule="exact"/>
        <w:ind w:firstLine="411" w:firstLineChars="196"/>
        <w:jc w:val="left"/>
        <w:rPr>
          <w:rFonts w:ascii="宋体"/>
          <w:szCs w:val="21"/>
        </w:rPr>
      </w:pPr>
    </w:p>
    <w:p w14:paraId="3A3344C8">
      <w:pPr>
        <w:snapToGrid w:val="0"/>
        <w:spacing w:line="370" w:lineRule="exact"/>
        <w:ind w:firstLine="411" w:firstLineChars="196"/>
        <w:jc w:val="left"/>
        <w:rPr>
          <w:rFonts w:ascii="宋体"/>
          <w:szCs w:val="21"/>
        </w:rPr>
      </w:pPr>
      <w:r>
        <w:rPr>
          <w:rFonts w:hint="eastAsia" w:ascii="宋体"/>
          <w:szCs w:val="21"/>
        </w:rPr>
        <w:t>（14）投标人认为可以证明其能力或业绩的其他材料；（格式自拟）</w:t>
      </w:r>
    </w:p>
    <w:p w14:paraId="33C07236">
      <w:pPr>
        <w:snapToGrid w:val="0"/>
        <w:spacing w:line="370" w:lineRule="exact"/>
        <w:ind w:firstLine="411" w:firstLineChars="196"/>
        <w:jc w:val="left"/>
        <w:rPr>
          <w:rFonts w:ascii="宋体"/>
          <w:szCs w:val="21"/>
        </w:rPr>
      </w:pPr>
    </w:p>
    <w:p w14:paraId="29FF5126">
      <w:pPr>
        <w:snapToGrid w:val="0"/>
        <w:spacing w:line="370" w:lineRule="exact"/>
        <w:ind w:firstLine="411" w:firstLineChars="196"/>
        <w:jc w:val="left"/>
        <w:rPr>
          <w:rFonts w:ascii="宋体"/>
          <w:szCs w:val="21"/>
        </w:rPr>
      </w:pPr>
      <w:r>
        <w:rPr>
          <w:rFonts w:hint="eastAsia" w:ascii="宋体"/>
          <w:szCs w:val="21"/>
        </w:rPr>
        <w:t>（15）投标人关于产品生产时间、升级或者更新淘汰计划、配件供应以及本单位债务纠纷、违法违规记录等方面的情况（内容见投标声明书）；</w:t>
      </w:r>
    </w:p>
    <w:p w14:paraId="48B3504B">
      <w:pPr>
        <w:snapToGrid w:val="0"/>
        <w:spacing w:line="380" w:lineRule="exact"/>
        <w:ind w:firstLine="411" w:firstLineChars="196"/>
        <w:jc w:val="left"/>
        <w:rPr>
          <w:rFonts w:ascii="宋体"/>
          <w:szCs w:val="21"/>
        </w:rPr>
      </w:pPr>
    </w:p>
    <w:p w14:paraId="0527D3E9">
      <w:pPr>
        <w:snapToGrid w:val="0"/>
        <w:spacing w:line="380" w:lineRule="exact"/>
        <w:ind w:firstLine="411" w:firstLineChars="196"/>
        <w:jc w:val="left"/>
        <w:rPr>
          <w:rFonts w:ascii="宋体"/>
          <w:szCs w:val="21"/>
        </w:rPr>
      </w:pPr>
      <w:r>
        <w:rPr>
          <w:rFonts w:hint="eastAsia" w:ascii="宋体"/>
          <w:szCs w:val="21"/>
        </w:rPr>
        <w:t>（16）投标人情况介绍；</w:t>
      </w:r>
    </w:p>
    <w:p w14:paraId="6E484A54">
      <w:pPr>
        <w:snapToGrid w:val="0"/>
        <w:spacing w:line="380" w:lineRule="exact"/>
        <w:ind w:firstLine="411" w:firstLineChars="196"/>
        <w:jc w:val="left"/>
        <w:rPr>
          <w:rFonts w:ascii="宋体"/>
          <w:szCs w:val="21"/>
        </w:rPr>
      </w:pPr>
    </w:p>
    <w:p w14:paraId="10B62A57">
      <w:pPr>
        <w:snapToGrid w:val="0"/>
        <w:spacing w:line="380" w:lineRule="exact"/>
        <w:ind w:firstLine="411" w:firstLineChars="196"/>
        <w:jc w:val="left"/>
        <w:rPr>
          <w:rFonts w:ascii="宋体"/>
          <w:szCs w:val="21"/>
        </w:rPr>
      </w:pPr>
      <w:r>
        <w:rPr>
          <w:rFonts w:hint="eastAsia" w:ascii="宋体"/>
          <w:szCs w:val="21"/>
        </w:rPr>
        <w:t>（17）投标人认为需要提供的其他材料。</w:t>
      </w:r>
    </w:p>
    <w:p w14:paraId="40EFD9D3">
      <w:pPr>
        <w:snapToGrid w:val="0"/>
        <w:spacing w:line="380" w:lineRule="exact"/>
        <w:ind w:firstLine="411" w:firstLineChars="196"/>
        <w:jc w:val="left"/>
        <w:rPr>
          <w:rFonts w:ascii="宋体"/>
          <w:szCs w:val="21"/>
        </w:rPr>
      </w:pPr>
      <w:r>
        <w:rPr>
          <w:rFonts w:ascii="宋体"/>
          <w:szCs w:val="21"/>
        </w:rPr>
        <w:br w:type="page"/>
      </w:r>
      <w:r>
        <w:rPr>
          <w:rFonts w:hint="eastAsia" w:ascii="宋体"/>
          <w:szCs w:val="21"/>
        </w:rPr>
        <w:t>（18）中小企业声明函。</w:t>
      </w:r>
    </w:p>
    <w:p w14:paraId="4D6D9903">
      <w:pPr>
        <w:snapToGrid w:val="0"/>
        <w:spacing w:line="380" w:lineRule="exact"/>
        <w:ind w:firstLine="411" w:firstLineChars="196"/>
        <w:jc w:val="left"/>
        <w:rPr>
          <w:rFonts w:ascii="宋体"/>
          <w:szCs w:val="21"/>
        </w:rPr>
      </w:pPr>
    </w:p>
    <w:p w14:paraId="460BA18B">
      <w:pPr>
        <w:pStyle w:val="26"/>
        <w:spacing w:line="500" w:lineRule="exact"/>
        <w:jc w:val="center"/>
        <w:rPr>
          <w:rFonts w:hAnsi="宋体"/>
          <w:b/>
          <w:bCs/>
          <w:sz w:val="30"/>
          <w:szCs w:val="30"/>
        </w:rPr>
      </w:pPr>
      <w:r>
        <w:rPr>
          <w:rFonts w:hAnsi="宋体"/>
          <w:b/>
          <w:bCs/>
          <w:sz w:val="30"/>
          <w:szCs w:val="30"/>
        </w:rPr>
        <w:t>中小企业声明函（</w:t>
      </w:r>
      <w:r>
        <w:rPr>
          <w:rFonts w:hint="eastAsia" w:hAnsi="宋体"/>
          <w:b/>
          <w:bCs/>
          <w:sz w:val="30"/>
          <w:szCs w:val="30"/>
        </w:rPr>
        <w:t>货物</w:t>
      </w:r>
      <w:r>
        <w:rPr>
          <w:rFonts w:hAnsi="宋体"/>
          <w:b/>
          <w:bCs/>
          <w:sz w:val="30"/>
          <w:szCs w:val="30"/>
        </w:rPr>
        <w:t>）</w:t>
      </w:r>
    </w:p>
    <w:p w14:paraId="419E3B24">
      <w:pPr>
        <w:pStyle w:val="26"/>
        <w:spacing w:line="500" w:lineRule="exact"/>
        <w:jc w:val="center"/>
        <w:rPr>
          <w:rFonts w:hAnsi="宋体"/>
          <w:b/>
          <w:bCs/>
          <w:sz w:val="30"/>
          <w:szCs w:val="30"/>
        </w:rPr>
      </w:pPr>
    </w:p>
    <w:p w14:paraId="1CFD2D94">
      <w:pPr>
        <w:pStyle w:val="26"/>
        <w:spacing w:line="500" w:lineRule="exact"/>
        <w:ind w:firstLine="525" w:firstLineChars="250"/>
        <w:jc w:val="left"/>
      </w:pPr>
      <w:r>
        <w:rPr>
          <w:rFonts w:hint="eastAsia"/>
        </w:rPr>
        <w:t>本公司（联合体）郑重声明，根据《政府采购促进中小企业发展管理办法》（财库﹝2020﹞46 号）的规定，本公司（联合体）参加</w:t>
      </w:r>
      <w:r>
        <w:rPr>
          <w:rFonts w:hint="eastAsia"/>
          <w:u w:val="single"/>
        </w:rPr>
        <w:t>（单位名称）</w:t>
      </w:r>
      <w:r>
        <w:rPr>
          <w:rFonts w:hint="eastAsia"/>
        </w:rPr>
        <w:t>的</w:t>
      </w:r>
      <w:r>
        <w:rPr>
          <w:rFonts w:hint="eastAsia"/>
          <w:u w:val="single"/>
        </w:rPr>
        <w:t>（项目名称）</w:t>
      </w:r>
      <w:r>
        <w:rPr>
          <w:rFonts w:hint="eastAsia"/>
        </w:rPr>
        <w:t>采购活动，提供的货物全部由符合政策要求的中小企业制造。相关企业（含联合体中的中小企业、签订分包意向协议的中小企业）的具体情况如下：</w:t>
      </w:r>
    </w:p>
    <w:p w14:paraId="0543921E">
      <w:pPr>
        <w:pStyle w:val="26"/>
        <w:spacing w:line="500" w:lineRule="exact"/>
        <w:ind w:firstLine="420" w:firstLineChars="200"/>
        <w:jc w:val="left"/>
      </w:pPr>
      <w:r>
        <w:rPr>
          <w:rFonts w:hint="eastAsia"/>
        </w:rPr>
        <w:t>1.</w:t>
      </w:r>
      <w:r>
        <w:rPr>
          <w:rFonts w:hint="eastAsia"/>
          <w:u w:val="single"/>
        </w:rPr>
        <w:t>（标的名称）</w:t>
      </w:r>
      <w:r>
        <w:rPr>
          <w:rFonts w:hint="eastAsia"/>
        </w:rPr>
        <w:t>，属于</w:t>
      </w:r>
      <w:r>
        <w:rPr>
          <w:rFonts w:hint="eastAsia"/>
          <w:u w:val="single"/>
        </w:rPr>
        <w:t>（采购文件中明确的所属行业）行业</w:t>
      </w:r>
      <w:r>
        <w:rPr>
          <w:rFonts w:hint="eastAsia"/>
        </w:rPr>
        <w:t>；制造商为</w:t>
      </w:r>
      <w:r>
        <w:rPr>
          <w:rFonts w:hint="eastAsia"/>
          <w:u w:val="single"/>
        </w:rPr>
        <w:t>（企业名称）</w:t>
      </w:r>
      <w:r>
        <w:rPr>
          <w:rFonts w:hint="eastAsia"/>
        </w:rPr>
        <w:t>，从业人员</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万元，属于</w:t>
      </w:r>
      <w:r>
        <w:rPr>
          <w:rFonts w:hint="eastAsia"/>
          <w:u w:val="single"/>
        </w:rPr>
        <w:t>（中型企业、小型企业、微型企业）</w:t>
      </w:r>
      <w:r>
        <w:rPr>
          <w:rFonts w:hint="eastAsia"/>
        </w:rPr>
        <w:t>；</w:t>
      </w:r>
    </w:p>
    <w:p w14:paraId="0E1801C8">
      <w:pPr>
        <w:pStyle w:val="26"/>
        <w:spacing w:line="500" w:lineRule="exact"/>
        <w:ind w:firstLine="420" w:firstLineChars="200"/>
        <w:jc w:val="left"/>
      </w:pPr>
      <w:r>
        <w:rPr>
          <w:rFonts w:hint="eastAsia"/>
        </w:rPr>
        <w:t>2.</w:t>
      </w:r>
      <w:r>
        <w:rPr>
          <w:rFonts w:hint="eastAsia"/>
          <w:u w:val="single"/>
        </w:rPr>
        <w:t>（标的名称）</w:t>
      </w:r>
      <w:r>
        <w:rPr>
          <w:rFonts w:hint="eastAsia"/>
        </w:rPr>
        <w:t>，属于</w:t>
      </w:r>
      <w:r>
        <w:rPr>
          <w:rFonts w:hint="eastAsia"/>
          <w:u w:val="single"/>
        </w:rPr>
        <w:t>（采购文件中明确的所属行业）行业</w:t>
      </w:r>
      <w:r>
        <w:rPr>
          <w:rFonts w:hint="eastAsia"/>
        </w:rPr>
        <w:t>；制造商为</w:t>
      </w:r>
      <w:r>
        <w:rPr>
          <w:rFonts w:hint="eastAsia"/>
          <w:u w:val="single"/>
        </w:rPr>
        <w:t>（企业名称）</w:t>
      </w:r>
      <w:r>
        <w:rPr>
          <w:rFonts w:hint="eastAsia"/>
        </w:rPr>
        <w:t>，从业人员</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万元，属于</w:t>
      </w:r>
      <w:r>
        <w:rPr>
          <w:rFonts w:hint="eastAsia"/>
          <w:u w:val="single"/>
        </w:rPr>
        <w:t>（中型企业、小型企业、微型企业）</w:t>
      </w:r>
      <w:r>
        <w:rPr>
          <w:rFonts w:hint="eastAsia"/>
        </w:rPr>
        <w:t>；</w:t>
      </w:r>
    </w:p>
    <w:p w14:paraId="150B2F46">
      <w:pPr>
        <w:pStyle w:val="26"/>
        <w:spacing w:line="500" w:lineRule="exact"/>
        <w:ind w:firstLine="420" w:firstLineChars="200"/>
        <w:jc w:val="left"/>
      </w:pPr>
      <w:r>
        <w:rPr>
          <w:rFonts w:hint="eastAsia"/>
        </w:rPr>
        <w:t>……</w:t>
      </w:r>
    </w:p>
    <w:p w14:paraId="0DCA5BEA">
      <w:pPr>
        <w:pStyle w:val="26"/>
        <w:spacing w:line="500" w:lineRule="exact"/>
        <w:ind w:firstLine="420" w:firstLineChars="200"/>
        <w:jc w:val="left"/>
      </w:pPr>
      <w:r>
        <w:rPr>
          <w:rFonts w:hint="eastAsia"/>
        </w:rPr>
        <w:t>以上企业，不属于大企业的分支机构，不存在控股股东为大企业的情形，也不存在与大企业的负责人为同一人的情形。</w:t>
      </w:r>
    </w:p>
    <w:p w14:paraId="38367277">
      <w:pPr>
        <w:pStyle w:val="26"/>
        <w:spacing w:line="500" w:lineRule="exact"/>
        <w:ind w:firstLine="420" w:firstLineChars="200"/>
        <w:jc w:val="left"/>
      </w:pPr>
      <w:r>
        <w:rPr>
          <w:rFonts w:hint="eastAsia"/>
        </w:rPr>
        <w:t>本企业对上述声明内容的真实性负责。如有虚假，将依法承担相应责任。</w:t>
      </w:r>
    </w:p>
    <w:p w14:paraId="7E7DB193">
      <w:pPr>
        <w:pStyle w:val="26"/>
        <w:spacing w:line="500" w:lineRule="exact"/>
        <w:ind w:firstLine="420" w:firstLineChars="200"/>
        <w:jc w:val="left"/>
      </w:pPr>
    </w:p>
    <w:p w14:paraId="6B6B5F67">
      <w:pPr>
        <w:pStyle w:val="26"/>
        <w:spacing w:line="500" w:lineRule="exact"/>
        <w:ind w:firstLine="4620" w:firstLineChars="2200"/>
        <w:jc w:val="left"/>
      </w:pPr>
      <w:r>
        <w:rPr>
          <w:rFonts w:hint="eastAsia"/>
        </w:rPr>
        <w:t>企业名称（盖章）：</w:t>
      </w:r>
    </w:p>
    <w:p w14:paraId="6C137242">
      <w:pPr>
        <w:pStyle w:val="26"/>
        <w:spacing w:line="500" w:lineRule="exact"/>
        <w:ind w:firstLine="4620" w:firstLineChars="2200"/>
        <w:jc w:val="left"/>
      </w:pPr>
      <w:r>
        <w:rPr>
          <w:rFonts w:hint="eastAsia"/>
        </w:rPr>
        <w:t>日 期：</w:t>
      </w:r>
    </w:p>
    <w:p w14:paraId="35176C57">
      <w:pPr>
        <w:pStyle w:val="26"/>
        <w:spacing w:line="500" w:lineRule="exact"/>
        <w:jc w:val="left"/>
        <w:rPr>
          <w:sz w:val="24"/>
          <w:szCs w:val="24"/>
        </w:rPr>
      </w:pPr>
    </w:p>
    <w:p w14:paraId="7D120A70">
      <w:pPr>
        <w:pStyle w:val="26"/>
        <w:spacing w:line="500" w:lineRule="exact"/>
        <w:jc w:val="left"/>
        <w:rPr>
          <w:sz w:val="18"/>
          <w:szCs w:val="18"/>
        </w:rPr>
      </w:pPr>
      <w:r>
        <w:rPr>
          <w:rFonts w:hint="eastAsia"/>
          <w:sz w:val="18"/>
          <w:szCs w:val="18"/>
        </w:rPr>
        <w:t>注：1、从业人员、营业收入、资产总额填报上一年度数据，无上一年度数据的新成立企业可不填报。</w:t>
      </w:r>
    </w:p>
    <w:p w14:paraId="413AD3B1">
      <w:pPr>
        <w:snapToGrid w:val="0"/>
        <w:spacing w:line="380" w:lineRule="exact"/>
        <w:ind w:firstLine="352" w:firstLineChars="196"/>
        <w:jc w:val="left"/>
        <w:rPr>
          <w:rFonts w:ascii="宋体"/>
          <w:sz w:val="18"/>
          <w:szCs w:val="18"/>
        </w:rPr>
      </w:pPr>
      <w:r>
        <w:rPr>
          <w:rFonts w:hint="eastAsia" w:ascii="宋体"/>
          <w:sz w:val="18"/>
          <w:szCs w:val="18"/>
        </w:rPr>
        <w:t>2、请根据自己的真实情况出具《中小企业声明函》。依法享受中小企业优惠政策的，采购人或者采购代理机构在公告中标结果时，同时公告其《中小企业声明函》，接受社会监督。</w:t>
      </w:r>
    </w:p>
    <w:p w14:paraId="0B695F5D">
      <w:pPr>
        <w:snapToGrid w:val="0"/>
        <w:spacing w:line="380" w:lineRule="exact"/>
        <w:ind w:firstLine="352" w:firstLineChars="196"/>
        <w:jc w:val="left"/>
        <w:rPr>
          <w:rFonts w:ascii="宋体"/>
          <w:sz w:val="18"/>
          <w:szCs w:val="18"/>
        </w:rPr>
      </w:pPr>
      <w:r>
        <w:rPr>
          <w:rFonts w:hint="eastAsia" w:ascii="宋体"/>
          <w:sz w:val="18"/>
          <w:szCs w:val="18"/>
        </w:rPr>
        <w:t>3、在政府采购活动中，供应商提供的货物、工程或者服务符合下列情形的，享受《政府采购促进中小企业发展管理办法》规定的中小企业扶持政策：（一）在货物采购项目中，货物由中小企业制造，即货物由中小企业生产且使用该中小企业商号或者注册商标；（二）在工程采购项目中，工程由中小企业承建，即工程施工单位为中小企业；（三）在服务采购项目中，服务由中小企业承接，即提供服务的人员为中小企业依照《中华人民共和国劳动合同法》订立劳动合同的从业人员。在货物采购项目中，供应商提供的货物既有中小企业制造货物，也有大型企业制造货物的，不享受《政府采购促进中小企业发展管理办法》规定的中小企业扶持政策。以联合体形式参加政府采购活动，联合体各方均为中小企业的，联合体视同中小企业。其中，联合体各方均为小微企业的，联合体视同小微企业。</w:t>
      </w:r>
    </w:p>
    <w:p w14:paraId="45FDF7D6">
      <w:pPr>
        <w:spacing w:line="528" w:lineRule="exact"/>
        <w:ind w:left="1871" w:leftChars="891" w:firstLine="450" w:firstLineChars="250"/>
        <w:rPr>
          <w:rFonts w:ascii="宋体"/>
          <w:sz w:val="18"/>
          <w:szCs w:val="18"/>
        </w:rPr>
      </w:pPr>
      <w:r>
        <w:rPr>
          <w:rFonts w:ascii="宋体"/>
          <w:sz w:val="18"/>
          <w:szCs w:val="18"/>
        </w:rPr>
        <w:br w:type="page"/>
      </w:r>
    </w:p>
    <w:p w14:paraId="3A8277B0">
      <w:pPr>
        <w:spacing w:line="528" w:lineRule="exact"/>
        <w:ind w:firstLine="2200" w:firstLineChars="550"/>
        <w:rPr>
          <w:rFonts w:ascii="宋体" w:hAnsi="宋体" w:cs="Arial Unicode MS"/>
          <w:sz w:val="40"/>
          <w:szCs w:val="40"/>
        </w:rPr>
      </w:pPr>
      <w:r>
        <w:rPr>
          <w:rFonts w:hint="eastAsia" w:ascii="宋体" w:hAnsi="宋体" w:cs="微软雅黑"/>
          <w:sz w:val="40"/>
          <w:szCs w:val="40"/>
        </w:rPr>
        <w:t>中小微企业划型标准</w:t>
      </w:r>
    </w:p>
    <w:tbl>
      <w:tblPr>
        <w:tblStyle w:val="50"/>
        <w:tblW w:w="8591" w:type="dxa"/>
        <w:tblInd w:w="250" w:type="dxa"/>
        <w:tblLayout w:type="fixed"/>
        <w:tblCellMar>
          <w:top w:w="0" w:type="dxa"/>
          <w:left w:w="108" w:type="dxa"/>
          <w:bottom w:w="0" w:type="dxa"/>
          <w:right w:w="108" w:type="dxa"/>
        </w:tblCellMar>
      </w:tblPr>
      <w:tblGrid>
        <w:gridCol w:w="1831"/>
        <w:gridCol w:w="1489"/>
        <w:gridCol w:w="983"/>
        <w:gridCol w:w="1743"/>
        <w:gridCol w:w="1549"/>
        <w:gridCol w:w="996"/>
      </w:tblGrid>
      <w:tr w14:paraId="56E6EE5A">
        <w:tblPrEx>
          <w:tblCellMar>
            <w:top w:w="0" w:type="dxa"/>
            <w:left w:w="108" w:type="dxa"/>
            <w:bottom w:w="0" w:type="dxa"/>
            <w:right w:w="108" w:type="dxa"/>
          </w:tblCellMar>
        </w:tblPrEx>
        <w:trPr>
          <w:trHeight w:val="287" w:hRule="atLeast"/>
        </w:trPr>
        <w:tc>
          <w:tcPr>
            <w:tcW w:w="1831" w:type="dxa"/>
            <w:tcBorders>
              <w:top w:val="single" w:color="auto" w:sz="4" w:space="0"/>
              <w:left w:val="single" w:color="auto" w:sz="4" w:space="0"/>
              <w:bottom w:val="single" w:color="auto" w:sz="4" w:space="0"/>
              <w:right w:val="single" w:color="auto" w:sz="4" w:space="0"/>
            </w:tcBorders>
            <w:vAlign w:val="center"/>
          </w:tcPr>
          <w:p w14:paraId="433F4B26">
            <w:pPr>
              <w:widowControl/>
              <w:jc w:val="left"/>
              <w:rPr>
                <w:rFonts w:ascii="宋体" w:hAnsi="宋体" w:cs="宋体"/>
                <w:b/>
                <w:kern w:val="0"/>
                <w:sz w:val="24"/>
              </w:rPr>
            </w:pPr>
            <w:r>
              <w:rPr>
                <w:rFonts w:hint="eastAsia" w:ascii="宋体" w:hAnsi="宋体" w:cs="宋体"/>
                <w:b/>
                <w:kern w:val="0"/>
                <w:sz w:val="24"/>
              </w:rPr>
              <w:t>行业名称</w:t>
            </w:r>
          </w:p>
        </w:tc>
        <w:tc>
          <w:tcPr>
            <w:tcW w:w="1489" w:type="dxa"/>
            <w:tcBorders>
              <w:top w:val="single" w:color="auto" w:sz="4" w:space="0"/>
              <w:left w:val="nil"/>
              <w:bottom w:val="single" w:color="auto" w:sz="4" w:space="0"/>
              <w:right w:val="single" w:color="auto" w:sz="4" w:space="0"/>
            </w:tcBorders>
            <w:vAlign w:val="center"/>
          </w:tcPr>
          <w:p w14:paraId="2E24AD17">
            <w:pPr>
              <w:widowControl/>
              <w:jc w:val="left"/>
              <w:rPr>
                <w:rFonts w:ascii="宋体" w:hAnsi="宋体" w:cs="宋体"/>
                <w:b/>
                <w:kern w:val="0"/>
                <w:sz w:val="24"/>
              </w:rPr>
            </w:pPr>
            <w:r>
              <w:rPr>
                <w:rFonts w:hint="eastAsia" w:ascii="宋体" w:hAnsi="宋体" w:cs="宋体"/>
                <w:b/>
                <w:kern w:val="0"/>
                <w:sz w:val="24"/>
              </w:rPr>
              <w:t>指标名称</w:t>
            </w:r>
          </w:p>
        </w:tc>
        <w:tc>
          <w:tcPr>
            <w:tcW w:w="983" w:type="dxa"/>
            <w:tcBorders>
              <w:top w:val="single" w:color="auto" w:sz="4" w:space="0"/>
              <w:left w:val="nil"/>
              <w:bottom w:val="single" w:color="auto" w:sz="4" w:space="0"/>
              <w:right w:val="single" w:color="auto" w:sz="4" w:space="0"/>
            </w:tcBorders>
            <w:vAlign w:val="center"/>
          </w:tcPr>
          <w:p w14:paraId="27A3BF92">
            <w:pPr>
              <w:widowControl/>
              <w:jc w:val="left"/>
              <w:rPr>
                <w:rFonts w:ascii="宋体" w:hAnsi="宋体" w:cs="宋体"/>
                <w:b/>
                <w:kern w:val="0"/>
                <w:sz w:val="24"/>
              </w:rPr>
            </w:pPr>
            <w:r>
              <w:rPr>
                <w:rFonts w:hint="eastAsia" w:ascii="宋体" w:hAnsi="宋体" w:cs="宋体"/>
                <w:b/>
                <w:kern w:val="0"/>
                <w:sz w:val="24"/>
              </w:rPr>
              <w:t>计量单位</w:t>
            </w:r>
          </w:p>
        </w:tc>
        <w:tc>
          <w:tcPr>
            <w:tcW w:w="1743" w:type="dxa"/>
            <w:tcBorders>
              <w:top w:val="single" w:color="auto" w:sz="4" w:space="0"/>
              <w:left w:val="nil"/>
              <w:bottom w:val="single" w:color="auto" w:sz="4" w:space="0"/>
              <w:right w:val="single" w:color="auto" w:sz="4" w:space="0"/>
            </w:tcBorders>
            <w:vAlign w:val="center"/>
          </w:tcPr>
          <w:p w14:paraId="43F2CF36">
            <w:pPr>
              <w:widowControl/>
              <w:jc w:val="left"/>
              <w:rPr>
                <w:rFonts w:ascii="宋体" w:hAnsi="宋体" w:cs="宋体"/>
                <w:b/>
                <w:kern w:val="0"/>
                <w:sz w:val="24"/>
              </w:rPr>
            </w:pPr>
            <w:r>
              <w:rPr>
                <w:rFonts w:hint="eastAsia" w:ascii="宋体" w:hAnsi="宋体" w:cs="宋体"/>
                <w:b/>
                <w:kern w:val="0"/>
                <w:sz w:val="24"/>
              </w:rPr>
              <w:t>中型</w:t>
            </w:r>
          </w:p>
        </w:tc>
        <w:tc>
          <w:tcPr>
            <w:tcW w:w="1549" w:type="dxa"/>
            <w:tcBorders>
              <w:top w:val="single" w:color="auto" w:sz="4" w:space="0"/>
              <w:left w:val="nil"/>
              <w:bottom w:val="single" w:color="auto" w:sz="4" w:space="0"/>
              <w:right w:val="single" w:color="auto" w:sz="4" w:space="0"/>
            </w:tcBorders>
            <w:vAlign w:val="center"/>
          </w:tcPr>
          <w:p w14:paraId="77648321">
            <w:pPr>
              <w:widowControl/>
              <w:jc w:val="left"/>
              <w:rPr>
                <w:rFonts w:ascii="宋体" w:hAnsi="宋体" w:cs="宋体"/>
                <w:b/>
                <w:kern w:val="0"/>
                <w:sz w:val="24"/>
              </w:rPr>
            </w:pPr>
            <w:r>
              <w:rPr>
                <w:rFonts w:hint="eastAsia" w:ascii="宋体" w:hAnsi="宋体" w:cs="宋体"/>
                <w:b/>
                <w:kern w:val="0"/>
                <w:sz w:val="24"/>
              </w:rPr>
              <w:t>小型</w:t>
            </w:r>
          </w:p>
        </w:tc>
        <w:tc>
          <w:tcPr>
            <w:tcW w:w="996" w:type="dxa"/>
            <w:tcBorders>
              <w:top w:val="single" w:color="auto" w:sz="4" w:space="0"/>
              <w:left w:val="nil"/>
              <w:bottom w:val="single" w:color="auto" w:sz="4" w:space="0"/>
              <w:right w:val="single" w:color="auto" w:sz="4" w:space="0"/>
            </w:tcBorders>
            <w:vAlign w:val="center"/>
          </w:tcPr>
          <w:p w14:paraId="47E31A8C">
            <w:pPr>
              <w:widowControl/>
              <w:jc w:val="left"/>
              <w:rPr>
                <w:rFonts w:ascii="宋体" w:hAnsi="宋体" w:cs="宋体"/>
                <w:b/>
                <w:kern w:val="0"/>
                <w:sz w:val="24"/>
              </w:rPr>
            </w:pPr>
            <w:r>
              <w:rPr>
                <w:rFonts w:hint="eastAsia" w:ascii="宋体" w:hAnsi="宋体" w:cs="宋体"/>
                <w:b/>
                <w:kern w:val="0"/>
                <w:sz w:val="24"/>
              </w:rPr>
              <w:t>微型</w:t>
            </w:r>
          </w:p>
        </w:tc>
      </w:tr>
      <w:tr w14:paraId="5BBDF752">
        <w:tblPrEx>
          <w:tblCellMar>
            <w:top w:w="0" w:type="dxa"/>
            <w:left w:w="108" w:type="dxa"/>
            <w:bottom w:w="0" w:type="dxa"/>
            <w:right w:w="108" w:type="dxa"/>
          </w:tblCellMar>
        </w:tblPrEx>
        <w:trPr>
          <w:trHeight w:val="226" w:hRule="atLeast"/>
        </w:trPr>
        <w:tc>
          <w:tcPr>
            <w:tcW w:w="1831" w:type="dxa"/>
            <w:tcBorders>
              <w:top w:val="nil"/>
              <w:left w:val="single" w:color="auto" w:sz="4" w:space="0"/>
              <w:bottom w:val="single" w:color="auto" w:sz="4" w:space="0"/>
              <w:right w:val="single" w:color="auto" w:sz="4" w:space="0"/>
            </w:tcBorders>
            <w:vAlign w:val="bottom"/>
          </w:tcPr>
          <w:p w14:paraId="17DFC8B1">
            <w:pPr>
              <w:widowControl/>
              <w:jc w:val="center"/>
              <w:rPr>
                <w:rFonts w:ascii="宋体" w:hAnsi="宋体" w:cs="宋体"/>
                <w:b/>
                <w:bCs/>
                <w:kern w:val="0"/>
                <w:sz w:val="18"/>
                <w:szCs w:val="18"/>
              </w:rPr>
            </w:pPr>
            <w:r>
              <w:rPr>
                <w:rFonts w:hint="eastAsia" w:ascii="宋体" w:hAnsi="宋体" w:cs="宋体"/>
                <w:b/>
                <w:bCs/>
                <w:kern w:val="0"/>
                <w:sz w:val="18"/>
                <w:szCs w:val="18"/>
              </w:rPr>
              <w:t>农、林、牧、渔</w:t>
            </w:r>
          </w:p>
        </w:tc>
        <w:tc>
          <w:tcPr>
            <w:tcW w:w="1489" w:type="dxa"/>
            <w:tcBorders>
              <w:top w:val="nil"/>
              <w:left w:val="nil"/>
              <w:bottom w:val="single" w:color="auto" w:sz="4" w:space="0"/>
              <w:right w:val="single" w:color="auto" w:sz="4" w:space="0"/>
            </w:tcBorders>
            <w:vAlign w:val="center"/>
          </w:tcPr>
          <w:p w14:paraId="14B485C7">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83" w:type="dxa"/>
            <w:tcBorders>
              <w:top w:val="nil"/>
              <w:left w:val="nil"/>
              <w:bottom w:val="single" w:color="auto" w:sz="4" w:space="0"/>
              <w:right w:val="single" w:color="auto" w:sz="4" w:space="0"/>
            </w:tcBorders>
            <w:vAlign w:val="center"/>
          </w:tcPr>
          <w:p w14:paraId="5B600487">
            <w:pPr>
              <w:widowControl/>
              <w:jc w:val="left"/>
              <w:rPr>
                <w:rFonts w:ascii="宋体" w:hAnsi="宋体" w:cs="宋体"/>
                <w:kern w:val="0"/>
                <w:sz w:val="18"/>
                <w:szCs w:val="18"/>
              </w:rPr>
            </w:pPr>
            <w:r>
              <w:rPr>
                <w:rFonts w:hint="eastAsia" w:ascii="宋体" w:hAnsi="宋体" w:cs="宋体"/>
                <w:kern w:val="0"/>
                <w:sz w:val="18"/>
                <w:szCs w:val="18"/>
              </w:rPr>
              <w:t>万元</w:t>
            </w:r>
          </w:p>
        </w:tc>
        <w:tc>
          <w:tcPr>
            <w:tcW w:w="1743" w:type="dxa"/>
            <w:tcBorders>
              <w:top w:val="nil"/>
              <w:left w:val="nil"/>
              <w:bottom w:val="single" w:color="auto" w:sz="4" w:space="0"/>
              <w:right w:val="single" w:color="auto" w:sz="4" w:space="0"/>
            </w:tcBorders>
            <w:vAlign w:val="center"/>
          </w:tcPr>
          <w:p w14:paraId="502CBEDF">
            <w:pPr>
              <w:widowControl/>
              <w:jc w:val="left"/>
              <w:rPr>
                <w:rFonts w:ascii="宋体" w:hAnsi="宋体" w:cs="宋体"/>
                <w:kern w:val="0"/>
                <w:sz w:val="18"/>
                <w:szCs w:val="18"/>
              </w:rPr>
            </w:pPr>
            <w:r>
              <w:rPr>
                <w:rFonts w:hint="eastAsia" w:ascii="宋体" w:hAnsi="宋体" w:cs="宋体"/>
                <w:kern w:val="0"/>
                <w:sz w:val="18"/>
                <w:szCs w:val="18"/>
              </w:rPr>
              <w:t>500≤Y＜20000</w:t>
            </w:r>
          </w:p>
        </w:tc>
        <w:tc>
          <w:tcPr>
            <w:tcW w:w="1549" w:type="dxa"/>
            <w:tcBorders>
              <w:top w:val="nil"/>
              <w:left w:val="nil"/>
              <w:bottom w:val="single" w:color="auto" w:sz="4" w:space="0"/>
              <w:right w:val="single" w:color="auto" w:sz="4" w:space="0"/>
            </w:tcBorders>
            <w:vAlign w:val="center"/>
          </w:tcPr>
          <w:p w14:paraId="7CC3F6E4">
            <w:pPr>
              <w:widowControl/>
              <w:jc w:val="left"/>
              <w:rPr>
                <w:rFonts w:ascii="宋体" w:hAnsi="宋体" w:cs="宋体"/>
                <w:kern w:val="0"/>
                <w:sz w:val="18"/>
                <w:szCs w:val="18"/>
              </w:rPr>
            </w:pPr>
            <w:r>
              <w:rPr>
                <w:rFonts w:hint="eastAsia" w:ascii="宋体" w:hAnsi="宋体" w:cs="宋体"/>
                <w:kern w:val="0"/>
                <w:sz w:val="18"/>
                <w:szCs w:val="18"/>
              </w:rPr>
              <w:t>50≤Y＜500</w:t>
            </w:r>
          </w:p>
        </w:tc>
        <w:tc>
          <w:tcPr>
            <w:tcW w:w="996" w:type="dxa"/>
            <w:tcBorders>
              <w:top w:val="nil"/>
              <w:left w:val="nil"/>
              <w:bottom w:val="single" w:color="auto" w:sz="4" w:space="0"/>
              <w:right w:val="single" w:color="auto" w:sz="4" w:space="0"/>
            </w:tcBorders>
            <w:vAlign w:val="center"/>
          </w:tcPr>
          <w:p w14:paraId="092AFDE6">
            <w:pPr>
              <w:widowControl/>
              <w:jc w:val="left"/>
              <w:rPr>
                <w:rFonts w:ascii="宋体" w:hAnsi="宋体" w:cs="宋体"/>
                <w:kern w:val="0"/>
                <w:sz w:val="18"/>
                <w:szCs w:val="18"/>
              </w:rPr>
            </w:pPr>
            <w:r>
              <w:rPr>
                <w:rFonts w:hint="eastAsia" w:ascii="宋体" w:hAnsi="宋体" w:cs="宋体"/>
                <w:kern w:val="0"/>
                <w:sz w:val="18"/>
                <w:szCs w:val="18"/>
              </w:rPr>
              <w:t>Y＜50</w:t>
            </w:r>
          </w:p>
        </w:tc>
      </w:tr>
      <w:tr w14:paraId="47D96635">
        <w:tblPrEx>
          <w:tblCellMar>
            <w:top w:w="0" w:type="dxa"/>
            <w:left w:w="108" w:type="dxa"/>
            <w:bottom w:w="0" w:type="dxa"/>
            <w:right w:w="108" w:type="dxa"/>
          </w:tblCellMar>
        </w:tblPrEx>
        <w:trPr>
          <w:trHeight w:val="226" w:hRule="atLeast"/>
        </w:trPr>
        <w:tc>
          <w:tcPr>
            <w:tcW w:w="1831" w:type="dxa"/>
            <w:vMerge w:val="restart"/>
            <w:tcBorders>
              <w:top w:val="nil"/>
              <w:left w:val="single" w:color="auto" w:sz="4" w:space="0"/>
              <w:bottom w:val="single" w:color="auto" w:sz="4" w:space="0"/>
              <w:right w:val="single" w:color="auto" w:sz="4" w:space="0"/>
            </w:tcBorders>
            <w:vAlign w:val="bottom"/>
          </w:tcPr>
          <w:p w14:paraId="77270CAE">
            <w:pPr>
              <w:widowControl/>
              <w:jc w:val="center"/>
              <w:rPr>
                <w:rFonts w:ascii="宋体" w:hAnsi="宋体" w:cs="宋体"/>
                <w:b/>
                <w:bCs/>
                <w:kern w:val="0"/>
                <w:sz w:val="18"/>
                <w:szCs w:val="18"/>
              </w:rPr>
            </w:pPr>
            <w:r>
              <w:rPr>
                <w:rFonts w:hint="eastAsia" w:ascii="宋体" w:hAnsi="宋体" w:cs="宋体"/>
                <w:b/>
                <w:bCs/>
                <w:kern w:val="0"/>
                <w:sz w:val="18"/>
                <w:szCs w:val="18"/>
              </w:rPr>
              <w:t>工业</w:t>
            </w:r>
          </w:p>
        </w:tc>
        <w:tc>
          <w:tcPr>
            <w:tcW w:w="1489" w:type="dxa"/>
            <w:tcBorders>
              <w:top w:val="nil"/>
              <w:left w:val="nil"/>
              <w:bottom w:val="single" w:color="auto" w:sz="4" w:space="0"/>
              <w:right w:val="single" w:color="auto" w:sz="4" w:space="0"/>
            </w:tcBorders>
            <w:vAlign w:val="center"/>
          </w:tcPr>
          <w:p w14:paraId="44AF9C3D">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83" w:type="dxa"/>
            <w:tcBorders>
              <w:top w:val="nil"/>
              <w:left w:val="nil"/>
              <w:bottom w:val="single" w:color="auto" w:sz="4" w:space="0"/>
              <w:right w:val="single" w:color="auto" w:sz="4" w:space="0"/>
            </w:tcBorders>
            <w:vAlign w:val="center"/>
          </w:tcPr>
          <w:p w14:paraId="0FFC2CD2">
            <w:pPr>
              <w:widowControl/>
              <w:jc w:val="left"/>
              <w:rPr>
                <w:rFonts w:ascii="宋体" w:hAnsi="宋体" w:cs="宋体"/>
                <w:kern w:val="0"/>
                <w:sz w:val="18"/>
                <w:szCs w:val="18"/>
              </w:rPr>
            </w:pPr>
            <w:r>
              <w:rPr>
                <w:rFonts w:hint="eastAsia" w:ascii="宋体" w:hAnsi="宋体" w:cs="宋体"/>
                <w:kern w:val="0"/>
                <w:sz w:val="18"/>
                <w:szCs w:val="18"/>
              </w:rPr>
              <w:t>人</w:t>
            </w:r>
          </w:p>
        </w:tc>
        <w:tc>
          <w:tcPr>
            <w:tcW w:w="1743" w:type="dxa"/>
            <w:tcBorders>
              <w:top w:val="nil"/>
              <w:left w:val="nil"/>
              <w:bottom w:val="single" w:color="auto" w:sz="4" w:space="0"/>
              <w:right w:val="single" w:color="auto" w:sz="4" w:space="0"/>
            </w:tcBorders>
            <w:vAlign w:val="center"/>
          </w:tcPr>
          <w:p w14:paraId="34BF2D55">
            <w:pPr>
              <w:widowControl/>
              <w:jc w:val="left"/>
              <w:rPr>
                <w:rFonts w:ascii="宋体" w:hAnsi="宋体" w:cs="宋体"/>
                <w:kern w:val="0"/>
                <w:sz w:val="18"/>
                <w:szCs w:val="18"/>
              </w:rPr>
            </w:pPr>
            <w:r>
              <w:rPr>
                <w:rFonts w:hint="eastAsia" w:ascii="宋体" w:hAnsi="宋体" w:cs="宋体"/>
                <w:kern w:val="0"/>
                <w:sz w:val="18"/>
                <w:szCs w:val="18"/>
              </w:rPr>
              <w:t>300≤X＜1000</w:t>
            </w:r>
          </w:p>
        </w:tc>
        <w:tc>
          <w:tcPr>
            <w:tcW w:w="1549" w:type="dxa"/>
            <w:tcBorders>
              <w:top w:val="nil"/>
              <w:left w:val="nil"/>
              <w:bottom w:val="single" w:color="auto" w:sz="4" w:space="0"/>
              <w:right w:val="single" w:color="auto" w:sz="4" w:space="0"/>
            </w:tcBorders>
            <w:vAlign w:val="center"/>
          </w:tcPr>
          <w:p w14:paraId="3509B886">
            <w:pPr>
              <w:widowControl/>
              <w:jc w:val="left"/>
              <w:rPr>
                <w:rFonts w:ascii="宋体" w:hAnsi="宋体" w:cs="宋体"/>
                <w:kern w:val="0"/>
                <w:sz w:val="18"/>
                <w:szCs w:val="18"/>
              </w:rPr>
            </w:pPr>
            <w:r>
              <w:rPr>
                <w:rFonts w:hint="eastAsia" w:ascii="宋体" w:hAnsi="宋体" w:cs="宋体"/>
                <w:kern w:val="0"/>
                <w:sz w:val="18"/>
                <w:szCs w:val="18"/>
              </w:rPr>
              <w:t>20≤X＜300</w:t>
            </w:r>
          </w:p>
        </w:tc>
        <w:tc>
          <w:tcPr>
            <w:tcW w:w="996" w:type="dxa"/>
            <w:tcBorders>
              <w:top w:val="nil"/>
              <w:left w:val="nil"/>
              <w:bottom w:val="single" w:color="auto" w:sz="4" w:space="0"/>
              <w:right w:val="single" w:color="auto" w:sz="4" w:space="0"/>
            </w:tcBorders>
            <w:vAlign w:val="center"/>
          </w:tcPr>
          <w:p w14:paraId="28663F34">
            <w:pPr>
              <w:widowControl/>
              <w:jc w:val="left"/>
              <w:rPr>
                <w:rFonts w:ascii="宋体" w:hAnsi="宋体" w:cs="宋体"/>
                <w:kern w:val="0"/>
                <w:sz w:val="18"/>
                <w:szCs w:val="18"/>
              </w:rPr>
            </w:pPr>
            <w:r>
              <w:rPr>
                <w:rFonts w:hint="eastAsia" w:ascii="宋体" w:hAnsi="宋体" w:cs="宋体"/>
                <w:kern w:val="0"/>
                <w:sz w:val="18"/>
                <w:szCs w:val="18"/>
              </w:rPr>
              <w:t>X＜20</w:t>
            </w:r>
          </w:p>
        </w:tc>
      </w:tr>
      <w:tr w14:paraId="0561FC49">
        <w:tblPrEx>
          <w:tblCellMar>
            <w:top w:w="0" w:type="dxa"/>
            <w:left w:w="108" w:type="dxa"/>
            <w:bottom w:w="0" w:type="dxa"/>
            <w:right w:w="108" w:type="dxa"/>
          </w:tblCellMar>
        </w:tblPrEx>
        <w:trPr>
          <w:trHeight w:val="226" w:hRule="atLeast"/>
        </w:trPr>
        <w:tc>
          <w:tcPr>
            <w:tcW w:w="1831" w:type="dxa"/>
            <w:vMerge w:val="continue"/>
            <w:tcBorders>
              <w:top w:val="nil"/>
              <w:left w:val="single" w:color="auto" w:sz="4" w:space="0"/>
              <w:bottom w:val="single" w:color="auto" w:sz="4" w:space="0"/>
              <w:right w:val="single" w:color="auto" w:sz="4" w:space="0"/>
            </w:tcBorders>
            <w:vAlign w:val="center"/>
          </w:tcPr>
          <w:p w14:paraId="061D4741">
            <w:pPr>
              <w:widowControl/>
              <w:jc w:val="left"/>
              <w:rPr>
                <w:rFonts w:ascii="宋体" w:hAnsi="宋体" w:cs="宋体"/>
                <w:b/>
                <w:bCs/>
                <w:kern w:val="0"/>
                <w:sz w:val="18"/>
                <w:szCs w:val="18"/>
              </w:rPr>
            </w:pPr>
          </w:p>
        </w:tc>
        <w:tc>
          <w:tcPr>
            <w:tcW w:w="1489" w:type="dxa"/>
            <w:tcBorders>
              <w:top w:val="nil"/>
              <w:left w:val="nil"/>
              <w:bottom w:val="single" w:color="auto" w:sz="4" w:space="0"/>
              <w:right w:val="single" w:color="auto" w:sz="4" w:space="0"/>
            </w:tcBorders>
            <w:vAlign w:val="center"/>
          </w:tcPr>
          <w:p w14:paraId="50F74C9D">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83" w:type="dxa"/>
            <w:tcBorders>
              <w:top w:val="nil"/>
              <w:left w:val="nil"/>
              <w:bottom w:val="single" w:color="auto" w:sz="4" w:space="0"/>
              <w:right w:val="single" w:color="auto" w:sz="4" w:space="0"/>
            </w:tcBorders>
            <w:vAlign w:val="center"/>
          </w:tcPr>
          <w:p w14:paraId="650CF678">
            <w:pPr>
              <w:widowControl/>
              <w:jc w:val="left"/>
              <w:rPr>
                <w:rFonts w:ascii="宋体" w:hAnsi="宋体" w:cs="宋体"/>
                <w:kern w:val="0"/>
                <w:sz w:val="18"/>
                <w:szCs w:val="18"/>
              </w:rPr>
            </w:pPr>
            <w:r>
              <w:rPr>
                <w:rFonts w:hint="eastAsia" w:ascii="宋体" w:hAnsi="宋体" w:cs="宋体"/>
                <w:kern w:val="0"/>
                <w:sz w:val="18"/>
                <w:szCs w:val="18"/>
              </w:rPr>
              <w:t>万元</w:t>
            </w:r>
          </w:p>
        </w:tc>
        <w:tc>
          <w:tcPr>
            <w:tcW w:w="1743" w:type="dxa"/>
            <w:tcBorders>
              <w:top w:val="nil"/>
              <w:left w:val="nil"/>
              <w:bottom w:val="single" w:color="auto" w:sz="4" w:space="0"/>
              <w:right w:val="single" w:color="auto" w:sz="4" w:space="0"/>
            </w:tcBorders>
            <w:vAlign w:val="center"/>
          </w:tcPr>
          <w:p w14:paraId="3706F870">
            <w:pPr>
              <w:widowControl/>
              <w:jc w:val="left"/>
              <w:rPr>
                <w:rFonts w:ascii="宋体" w:hAnsi="宋体" w:cs="宋体"/>
                <w:kern w:val="0"/>
                <w:sz w:val="18"/>
                <w:szCs w:val="18"/>
              </w:rPr>
            </w:pPr>
            <w:r>
              <w:rPr>
                <w:rFonts w:hint="eastAsia" w:ascii="宋体" w:hAnsi="宋体" w:cs="宋体"/>
                <w:kern w:val="0"/>
                <w:sz w:val="18"/>
                <w:szCs w:val="18"/>
              </w:rPr>
              <w:t>2000≤Y＜40000</w:t>
            </w:r>
          </w:p>
        </w:tc>
        <w:tc>
          <w:tcPr>
            <w:tcW w:w="1549" w:type="dxa"/>
            <w:tcBorders>
              <w:top w:val="nil"/>
              <w:left w:val="nil"/>
              <w:bottom w:val="single" w:color="auto" w:sz="4" w:space="0"/>
              <w:right w:val="single" w:color="auto" w:sz="4" w:space="0"/>
            </w:tcBorders>
            <w:vAlign w:val="center"/>
          </w:tcPr>
          <w:p w14:paraId="5C6C6E70">
            <w:pPr>
              <w:widowControl/>
              <w:jc w:val="left"/>
              <w:rPr>
                <w:rFonts w:ascii="宋体" w:hAnsi="宋体" w:cs="宋体"/>
                <w:kern w:val="0"/>
                <w:sz w:val="18"/>
                <w:szCs w:val="18"/>
              </w:rPr>
            </w:pPr>
            <w:r>
              <w:rPr>
                <w:rFonts w:hint="eastAsia" w:ascii="宋体" w:hAnsi="宋体" w:cs="宋体"/>
                <w:kern w:val="0"/>
                <w:sz w:val="18"/>
                <w:szCs w:val="18"/>
              </w:rPr>
              <w:t>300≤Y＜2000</w:t>
            </w:r>
          </w:p>
        </w:tc>
        <w:tc>
          <w:tcPr>
            <w:tcW w:w="996" w:type="dxa"/>
            <w:tcBorders>
              <w:top w:val="nil"/>
              <w:left w:val="nil"/>
              <w:bottom w:val="single" w:color="auto" w:sz="4" w:space="0"/>
              <w:right w:val="single" w:color="auto" w:sz="4" w:space="0"/>
            </w:tcBorders>
            <w:vAlign w:val="center"/>
          </w:tcPr>
          <w:p w14:paraId="378F811E">
            <w:pPr>
              <w:widowControl/>
              <w:jc w:val="left"/>
              <w:rPr>
                <w:rFonts w:ascii="宋体" w:hAnsi="宋体" w:cs="宋体"/>
                <w:kern w:val="0"/>
                <w:sz w:val="18"/>
                <w:szCs w:val="18"/>
              </w:rPr>
            </w:pPr>
            <w:r>
              <w:rPr>
                <w:rFonts w:hint="eastAsia" w:ascii="宋体" w:hAnsi="宋体" w:cs="宋体"/>
                <w:kern w:val="0"/>
                <w:sz w:val="18"/>
                <w:szCs w:val="18"/>
              </w:rPr>
              <w:t>Y＜300</w:t>
            </w:r>
          </w:p>
        </w:tc>
      </w:tr>
      <w:tr w14:paraId="25663947">
        <w:tblPrEx>
          <w:tblCellMar>
            <w:top w:w="0" w:type="dxa"/>
            <w:left w:w="108" w:type="dxa"/>
            <w:bottom w:w="0" w:type="dxa"/>
            <w:right w:w="108" w:type="dxa"/>
          </w:tblCellMar>
        </w:tblPrEx>
        <w:trPr>
          <w:trHeight w:val="226" w:hRule="atLeast"/>
        </w:trPr>
        <w:tc>
          <w:tcPr>
            <w:tcW w:w="1831" w:type="dxa"/>
            <w:vMerge w:val="restart"/>
            <w:tcBorders>
              <w:top w:val="nil"/>
              <w:left w:val="single" w:color="auto" w:sz="4" w:space="0"/>
              <w:bottom w:val="single" w:color="auto" w:sz="4" w:space="0"/>
              <w:right w:val="single" w:color="auto" w:sz="4" w:space="0"/>
            </w:tcBorders>
            <w:vAlign w:val="bottom"/>
          </w:tcPr>
          <w:p w14:paraId="56F28B1A">
            <w:pPr>
              <w:widowControl/>
              <w:jc w:val="center"/>
              <w:rPr>
                <w:rFonts w:ascii="宋体" w:hAnsi="宋体" w:cs="宋体"/>
                <w:b/>
                <w:bCs/>
                <w:kern w:val="0"/>
                <w:sz w:val="18"/>
                <w:szCs w:val="18"/>
              </w:rPr>
            </w:pPr>
            <w:r>
              <w:rPr>
                <w:rFonts w:hint="eastAsia" w:ascii="宋体" w:hAnsi="宋体" w:cs="宋体"/>
                <w:b/>
                <w:bCs/>
                <w:kern w:val="0"/>
                <w:sz w:val="18"/>
                <w:szCs w:val="18"/>
              </w:rPr>
              <w:t>建筑业</w:t>
            </w:r>
          </w:p>
        </w:tc>
        <w:tc>
          <w:tcPr>
            <w:tcW w:w="1489" w:type="dxa"/>
            <w:tcBorders>
              <w:top w:val="nil"/>
              <w:left w:val="nil"/>
              <w:bottom w:val="single" w:color="auto" w:sz="4" w:space="0"/>
              <w:right w:val="single" w:color="auto" w:sz="4" w:space="0"/>
            </w:tcBorders>
            <w:vAlign w:val="center"/>
          </w:tcPr>
          <w:p w14:paraId="3A64E9C7">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83" w:type="dxa"/>
            <w:tcBorders>
              <w:top w:val="nil"/>
              <w:left w:val="nil"/>
              <w:bottom w:val="single" w:color="auto" w:sz="4" w:space="0"/>
              <w:right w:val="single" w:color="auto" w:sz="4" w:space="0"/>
            </w:tcBorders>
            <w:vAlign w:val="center"/>
          </w:tcPr>
          <w:p w14:paraId="594FA521">
            <w:pPr>
              <w:widowControl/>
              <w:jc w:val="left"/>
              <w:rPr>
                <w:rFonts w:ascii="宋体" w:hAnsi="宋体" w:cs="宋体"/>
                <w:kern w:val="0"/>
                <w:sz w:val="18"/>
                <w:szCs w:val="18"/>
              </w:rPr>
            </w:pPr>
            <w:r>
              <w:rPr>
                <w:rFonts w:hint="eastAsia" w:ascii="宋体" w:hAnsi="宋体" w:cs="宋体"/>
                <w:kern w:val="0"/>
                <w:sz w:val="18"/>
                <w:szCs w:val="18"/>
              </w:rPr>
              <w:t>万元</w:t>
            </w:r>
          </w:p>
        </w:tc>
        <w:tc>
          <w:tcPr>
            <w:tcW w:w="1743" w:type="dxa"/>
            <w:tcBorders>
              <w:top w:val="nil"/>
              <w:left w:val="nil"/>
              <w:bottom w:val="single" w:color="auto" w:sz="4" w:space="0"/>
              <w:right w:val="single" w:color="auto" w:sz="4" w:space="0"/>
            </w:tcBorders>
            <w:vAlign w:val="center"/>
          </w:tcPr>
          <w:p w14:paraId="2A117585">
            <w:pPr>
              <w:widowControl/>
              <w:jc w:val="left"/>
              <w:rPr>
                <w:rFonts w:ascii="宋体" w:hAnsi="宋体" w:cs="宋体"/>
                <w:kern w:val="0"/>
                <w:sz w:val="18"/>
                <w:szCs w:val="18"/>
              </w:rPr>
            </w:pPr>
            <w:r>
              <w:rPr>
                <w:rFonts w:hint="eastAsia" w:ascii="宋体" w:hAnsi="宋体" w:cs="宋体"/>
                <w:kern w:val="0"/>
                <w:sz w:val="18"/>
                <w:szCs w:val="18"/>
              </w:rPr>
              <w:t>6000≤Y＜80000</w:t>
            </w:r>
          </w:p>
        </w:tc>
        <w:tc>
          <w:tcPr>
            <w:tcW w:w="1549" w:type="dxa"/>
            <w:tcBorders>
              <w:top w:val="nil"/>
              <w:left w:val="nil"/>
              <w:bottom w:val="single" w:color="auto" w:sz="4" w:space="0"/>
              <w:right w:val="single" w:color="auto" w:sz="4" w:space="0"/>
            </w:tcBorders>
            <w:vAlign w:val="center"/>
          </w:tcPr>
          <w:p w14:paraId="433A1998">
            <w:pPr>
              <w:widowControl/>
              <w:jc w:val="left"/>
              <w:rPr>
                <w:rFonts w:ascii="宋体" w:hAnsi="宋体" w:cs="宋体"/>
                <w:kern w:val="0"/>
                <w:sz w:val="18"/>
                <w:szCs w:val="18"/>
              </w:rPr>
            </w:pPr>
            <w:r>
              <w:rPr>
                <w:rFonts w:hint="eastAsia" w:ascii="宋体" w:hAnsi="宋体" w:cs="宋体"/>
                <w:kern w:val="0"/>
                <w:sz w:val="18"/>
                <w:szCs w:val="18"/>
              </w:rPr>
              <w:t>300≤Y＜6000</w:t>
            </w:r>
          </w:p>
        </w:tc>
        <w:tc>
          <w:tcPr>
            <w:tcW w:w="996" w:type="dxa"/>
            <w:tcBorders>
              <w:top w:val="nil"/>
              <w:left w:val="nil"/>
              <w:bottom w:val="single" w:color="auto" w:sz="4" w:space="0"/>
              <w:right w:val="single" w:color="auto" w:sz="4" w:space="0"/>
            </w:tcBorders>
            <w:vAlign w:val="center"/>
          </w:tcPr>
          <w:p w14:paraId="7EFE317D">
            <w:pPr>
              <w:widowControl/>
              <w:jc w:val="left"/>
              <w:rPr>
                <w:rFonts w:ascii="宋体" w:hAnsi="宋体" w:cs="宋体"/>
                <w:kern w:val="0"/>
                <w:sz w:val="18"/>
                <w:szCs w:val="18"/>
              </w:rPr>
            </w:pPr>
            <w:r>
              <w:rPr>
                <w:rFonts w:hint="eastAsia" w:ascii="宋体" w:hAnsi="宋体" w:cs="宋体"/>
                <w:kern w:val="0"/>
                <w:sz w:val="18"/>
                <w:szCs w:val="18"/>
              </w:rPr>
              <w:t>Y＜300</w:t>
            </w:r>
          </w:p>
        </w:tc>
      </w:tr>
      <w:tr w14:paraId="13AB08F8">
        <w:tblPrEx>
          <w:tblCellMar>
            <w:top w:w="0" w:type="dxa"/>
            <w:left w:w="108" w:type="dxa"/>
            <w:bottom w:w="0" w:type="dxa"/>
            <w:right w:w="108" w:type="dxa"/>
          </w:tblCellMar>
        </w:tblPrEx>
        <w:trPr>
          <w:trHeight w:val="226" w:hRule="atLeast"/>
        </w:trPr>
        <w:tc>
          <w:tcPr>
            <w:tcW w:w="1831" w:type="dxa"/>
            <w:vMerge w:val="continue"/>
            <w:tcBorders>
              <w:top w:val="nil"/>
              <w:left w:val="single" w:color="auto" w:sz="4" w:space="0"/>
              <w:bottom w:val="single" w:color="auto" w:sz="4" w:space="0"/>
              <w:right w:val="single" w:color="auto" w:sz="4" w:space="0"/>
            </w:tcBorders>
            <w:vAlign w:val="center"/>
          </w:tcPr>
          <w:p w14:paraId="7FF17D95">
            <w:pPr>
              <w:widowControl/>
              <w:jc w:val="left"/>
              <w:rPr>
                <w:rFonts w:ascii="宋体" w:hAnsi="宋体" w:cs="宋体"/>
                <w:b/>
                <w:bCs/>
                <w:kern w:val="0"/>
                <w:sz w:val="18"/>
                <w:szCs w:val="18"/>
              </w:rPr>
            </w:pPr>
          </w:p>
        </w:tc>
        <w:tc>
          <w:tcPr>
            <w:tcW w:w="1489" w:type="dxa"/>
            <w:tcBorders>
              <w:top w:val="nil"/>
              <w:left w:val="nil"/>
              <w:bottom w:val="single" w:color="auto" w:sz="4" w:space="0"/>
              <w:right w:val="single" w:color="auto" w:sz="4" w:space="0"/>
            </w:tcBorders>
            <w:vAlign w:val="center"/>
          </w:tcPr>
          <w:p w14:paraId="2EDC2827">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83" w:type="dxa"/>
            <w:tcBorders>
              <w:top w:val="nil"/>
              <w:left w:val="nil"/>
              <w:bottom w:val="single" w:color="auto" w:sz="4" w:space="0"/>
              <w:right w:val="single" w:color="auto" w:sz="4" w:space="0"/>
            </w:tcBorders>
            <w:vAlign w:val="center"/>
          </w:tcPr>
          <w:p w14:paraId="1DCBAF8C">
            <w:pPr>
              <w:widowControl/>
              <w:jc w:val="left"/>
              <w:rPr>
                <w:rFonts w:ascii="宋体" w:hAnsi="宋体" w:cs="宋体"/>
                <w:kern w:val="0"/>
                <w:sz w:val="18"/>
                <w:szCs w:val="18"/>
              </w:rPr>
            </w:pPr>
            <w:r>
              <w:rPr>
                <w:rFonts w:hint="eastAsia" w:ascii="宋体" w:hAnsi="宋体" w:cs="宋体"/>
                <w:kern w:val="0"/>
                <w:sz w:val="18"/>
                <w:szCs w:val="18"/>
              </w:rPr>
              <w:t>万元</w:t>
            </w:r>
          </w:p>
        </w:tc>
        <w:tc>
          <w:tcPr>
            <w:tcW w:w="1743" w:type="dxa"/>
            <w:tcBorders>
              <w:top w:val="nil"/>
              <w:left w:val="nil"/>
              <w:bottom w:val="single" w:color="auto" w:sz="4" w:space="0"/>
              <w:right w:val="single" w:color="auto" w:sz="4" w:space="0"/>
            </w:tcBorders>
            <w:vAlign w:val="center"/>
          </w:tcPr>
          <w:p w14:paraId="656755F6">
            <w:pPr>
              <w:widowControl/>
              <w:jc w:val="left"/>
              <w:rPr>
                <w:rFonts w:ascii="宋体" w:hAnsi="宋体" w:cs="宋体"/>
                <w:kern w:val="0"/>
                <w:sz w:val="18"/>
                <w:szCs w:val="18"/>
              </w:rPr>
            </w:pPr>
            <w:r>
              <w:rPr>
                <w:rFonts w:hint="eastAsia" w:ascii="宋体" w:hAnsi="宋体" w:cs="宋体"/>
                <w:kern w:val="0"/>
                <w:sz w:val="18"/>
                <w:szCs w:val="18"/>
              </w:rPr>
              <w:t>5000≤Z＜80000</w:t>
            </w:r>
          </w:p>
        </w:tc>
        <w:tc>
          <w:tcPr>
            <w:tcW w:w="1549" w:type="dxa"/>
            <w:tcBorders>
              <w:top w:val="nil"/>
              <w:left w:val="nil"/>
              <w:bottom w:val="single" w:color="auto" w:sz="4" w:space="0"/>
              <w:right w:val="single" w:color="auto" w:sz="4" w:space="0"/>
            </w:tcBorders>
            <w:vAlign w:val="center"/>
          </w:tcPr>
          <w:p w14:paraId="360AA28C">
            <w:pPr>
              <w:widowControl/>
              <w:jc w:val="left"/>
              <w:rPr>
                <w:rFonts w:ascii="宋体" w:hAnsi="宋体" w:cs="宋体"/>
                <w:kern w:val="0"/>
                <w:sz w:val="18"/>
                <w:szCs w:val="18"/>
              </w:rPr>
            </w:pPr>
            <w:r>
              <w:rPr>
                <w:rFonts w:hint="eastAsia" w:ascii="宋体" w:hAnsi="宋体" w:cs="宋体"/>
                <w:kern w:val="0"/>
                <w:sz w:val="18"/>
                <w:szCs w:val="18"/>
              </w:rPr>
              <w:t>300≤Z＜5000</w:t>
            </w:r>
          </w:p>
        </w:tc>
        <w:tc>
          <w:tcPr>
            <w:tcW w:w="996" w:type="dxa"/>
            <w:tcBorders>
              <w:top w:val="nil"/>
              <w:left w:val="nil"/>
              <w:bottom w:val="single" w:color="auto" w:sz="4" w:space="0"/>
              <w:right w:val="single" w:color="auto" w:sz="4" w:space="0"/>
            </w:tcBorders>
            <w:vAlign w:val="center"/>
          </w:tcPr>
          <w:p w14:paraId="0F43A6F3">
            <w:pPr>
              <w:widowControl/>
              <w:jc w:val="left"/>
              <w:rPr>
                <w:rFonts w:ascii="宋体" w:hAnsi="宋体" w:cs="宋体"/>
                <w:kern w:val="0"/>
                <w:sz w:val="18"/>
                <w:szCs w:val="18"/>
              </w:rPr>
            </w:pPr>
            <w:r>
              <w:rPr>
                <w:rFonts w:hint="eastAsia" w:ascii="宋体" w:hAnsi="宋体" w:cs="宋体"/>
                <w:kern w:val="0"/>
                <w:sz w:val="18"/>
                <w:szCs w:val="18"/>
              </w:rPr>
              <w:t>Z＜300</w:t>
            </w:r>
          </w:p>
        </w:tc>
      </w:tr>
      <w:tr w14:paraId="439B46F0">
        <w:tblPrEx>
          <w:tblCellMar>
            <w:top w:w="0" w:type="dxa"/>
            <w:left w:w="108" w:type="dxa"/>
            <w:bottom w:w="0" w:type="dxa"/>
            <w:right w:w="108" w:type="dxa"/>
          </w:tblCellMar>
        </w:tblPrEx>
        <w:trPr>
          <w:trHeight w:val="226" w:hRule="atLeast"/>
        </w:trPr>
        <w:tc>
          <w:tcPr>
            <w:tcW w:w="1831" w:type="dxa"/>
            <w:vMerge w:val="restart"/>
            <w:tcBorders>
              <w:top w:val="nil"/>
              <w:left w:val="single" w:color="auto" w:sz="4" w:space="0"/>
              <w:bottom w:val="single" w:color="auto" w:sz="4" w:space="0"/>
              <w:right w:val="single" w:color="auto" w:sz="4" w:space="0"/>
            </w:tcBorders>
            <w:vAlign w:val="bottom"/>
          </w:tcPr>
          <w:p w14:paraId="67BD6A08">
            <w:pPr>
              <w:widowControl/>
              <w:jc w:val="center"/>
              <w:rPr>
                <w:rFonts w:ascii="宋体" w:hAnsi="宋体" w:cs="宋体"/>
                <w:b/>
                <w:bCs/>
                <w:kern w:val="0"/>
                <w:sz w:val="18"/>
                <w:szCs w:val="18"/>
              </w:rPr>
            </w:pPr>
            <w:r>
              <w:rPr>
                <w:rFonts w:hint="eastAsia" w:ascii="宋体" w:hAnsi="宋体" w:cs="宋体"/>
                <w:b/>
                <w:bCs/>
                <w:kern w:val="0"/>
                <w:sz w:val="18"/>
                <w:szCs w:val="18"/>
              </w:rPr>
              <w:t>批发业</w:t>
            </w:r>
          </w:p>
        </w:tc>
        <w:tc>
          <w:tcPr>
            <w:tcW w:w="1489" w:type="dxa"/>
            <w:tcBorders>
              <w:top w:val="nil"/>
              <w:left w:val="nil"/>
              <w:bottom w:val="single" w:color="auto" w:sz="4" w:space="0"/>
              <w:right w:val="single" w:color="auto" w:sz="4" w:space="0"/>
            </w:tcBorders>
            <w:vAlign w:val="center"/>
          </w:tcPr>
          <w:p w14:paraId="6308E8C6">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83" w:type="dxa"/>
            <w:tcBorders>
              <w:top w:val="nil"/>
              <w:left w:val="nil"/>
              <w:bottom w:val="single" w:color="auto" w:sz="4" w:space="0"/>
              <w:right w:val="single" w:color="auto" w:sz="4" w:space="0"/>
            </w:tcBorders>
            <w:vAlign w:val="center"/>
          </w:tcPr>
          <w:p w14:paraId="1E047B37">
            <w:pPr>
              <w:widowControl/>
              <w:jc w:val="left"/>
              <w:rPr>
                <w:rFonts w:ascii="宋体" w:hAnsi="宋体" w:cs="宋体"/>
                <w:kern w:val="0"/>
                <w:sz w:val="18"/>
                <w:szCs w:val="18"/>
              </w:rPr>
            </w:pPr>
            <w:r>
              <w:rPr>
                <w:rFonts w:hint="eastAsia" w:ascii="宋体" w:hAnsi="宋体" w:cs="宋体"/>
                <w:kern w:val="0"/>
                <w:sz w:val="18"/>
                <w:szCs w:val="18"/>
              </w:rPr>
              <w:t>人</w:t>
            </w:r>
          </w:p>
        </w:tc>
        <w:tc>
          <w:tcPr>
            <w:tcW w:w="1743" w:type="dxa"/>
            <w:tcBorders>
              <w:top w:val="nil"/>
              <w:left w:val="nil"/>
              <w:bottom w:val="single" w:color="auto" w:sz="4" w:space="0"/>
              <w:right w:val="single" w:color="auto" w:sz="4" w:space="0"/>
            </w:tcBorders>
            <w:vAlign w:val="center"/>
          </w:tcPr>
          <w:p w14:paraId="3D2C3943">
            <w:pPr>
              <w:widowControl/>
              <w:jc w:val="left"/>
              <w:rPr>
                <w:rFonts w:ascii="宋体" w:hAnsi="宋体" w:cs="宋体"/>
                <w:kern w:val="0"/>
                <w:sz w:val="18"/>
                <w:szCs w:val="18"/>
              </w:rPr>
            </w:pPr>
            <w:r>
              <w:rPr>
                <w:rFonts w:hint="eastAsia" w:ascii="宋体" w:hAnsi="宋体" w:cs="宋体"/>
                <w:kern w:val="0"/>
                <w:sz w:val="18"/>
                <w:szCs w:val="18"/>
              </w:rPr>
              <w:t>20≤X＜200</w:t>
            </w:r>
          </w:p>
        </w:tc>
        <w:tc>
          <w:tcPr>
            <w:tcW w:w="1549" w:type="dxa"/>
            <w:tcBorders>
              <w:top w:val="nil"/>
              <w:left w:val="nil"/>
              <w:bottom w:val="single" w:color="auto" w:sz="4" w:space="0"/>
              <w:right w:val="single" w:color="auto" w:sz="4" w:space="0"/>
            </w:tcBorders>
            <w:vAlign w:val="center"/>
          </w:tcPr>
          <w:p w14:paraId="13403732">
            <w:pPr>
              <w:widowControl/>
              <w:jc w:val="left"/>
              <w:rPr>
                <w:rFonts w:ascii="宋体" w:hAnsi="宋体" w:cs="宋体"/>
                <w:kern w:val="0"/>
                <w:sz w:val="18"/>
                <w:szCs w:val="18"/>
              </w:rPr>
            </w:pPr>
            <w:r>
              <w:rPr>
                <w:rFonts w:hint="eastAsia" w:ascii="宋体" w:hAnsi="宋体" w:cs="宋体"/>
                <w:kern w:val="0"/>
                <w:sz w:val="18"/>
                <w:szCs w:val="18"/>
              </w:rPr>
              <w:t>5≤X＜20</w:t>
            </w:r>
          </w:p>
        </w:tc>
        <w:tc>
          <w:tcPr>
            <w:tcW w:w="996" w:type="dxa"/>
            <w:tcBorders>
              <w:top w:val="nil"/>
              <w:left w:val="nil"/>
              <w:bottom w:val="single" w:color="auto" w:sz="4" w:space="0"/>
              <w:right w:val="single" w:color="auto" w:sz="4" w:space="0"/>
            </w:tcBorders>
            <w:vAlign w:val="center"/>
          </w:tcPr>
          <w:p w14:paraId="4372922E">
            <w:pPr>
              <w:widowControl/>
              <w:jc w:val="left"/>
              <w:rPr>
                <w:rFonts w:ascii="宋体" w:hAnsi="宋体" w:cs="宋体"/>
                <w:kern w:val="0"/>
                <w:sz w:val="18"/>
                <w:szCs w:val="18"/>
              </w:rPr>
            </w:pPr>
            <w:r>
              <w:rPr>
                <w:rFonts w:hint="eastAsia" w:ascii="宋体" w:hAnsi="宋体" w:cs="宋体"/>
                <w:kern w:val="0"/>
                <w:sz w:val="18"/>
                <w:szCs w:val="18"/>
              </w:rPr>
              <w:t>X＜5</w:t>
            </w:r>
          </w:p>
        </w:tc>
      </w:tr>
      <w:tr w14:paraId="171B4964">
        <w:tblPrEx>
          <w:tblCellMar>
            <w:top w:w="0" w:type="dxa"/>
            <w:left w:w="108" w:type="dxa"/>
            <w:bottom w:w="0" w:type="dxa"/>
            <w:right w:w="108" w:type="dxa"/>
          </w:tblCellMar>
        </w:tblPrEx>
        <w:trPr>
          <w:trHeight w:val="226" w:hRule="atLeast"/>
        </w:trPr>
        <w:tc>
          <w:tcPr>
            <w:tcW w:w="1831" w:type="dxa"/>
            <w:vMerge w:val="continue"/>
            <w:tcBorders>
              <w:top w:val="nil"/>
              <w:left w:val="single" w:color="auto" w:sz="4" w:space="0"/>
              <w:bottom w:val="single" w:color="auto" w:sz="4" w:space="0"/>
              <w:right w:val="single" w:color="auto" w:sz="4" w:space="0"/>
            </w:tcBorders>
            <w:vAlign w:val="center"/>
          </w:tcPr>
          <w:p w14:paraId="1E2DFFF9">
            <w:pPr>
              <w:widowControl/>
              <w:jc w:val="left"/>
              <w:rPr>
                <w:rFonts w:ascii="宋体" w:hAnsi="宋体" w:cs="宋体"/>
                <w:b/>
                <w:bCs/>
                <w:kern w:val="0"/>
                <w:sz w:val="18"/>
                <w:szCs w:val="18"/>
              </w:rPr>
            </w:pPr>
          </w:p>
        </w:tc>
        <w:tc>
          <w:tcPr>
            <w:tcW w:w="1489" w:type="dxa"/>
            <w:tcBorders>
              <w:top w:val="nil"/>
              <w:left w:val="nil"/>
              <w:bottom w:val="single" w:color="auto" w:sz="4" w:space="0"/>
              <w:right w:val="single" w:color="auto" w:sz="4" w:space="0"/>
            </w:tcBorders>
            <w:vAlign w:val="center"/>
          </w:tcPr>
          <w:p w14:paraId="3AAD9BCC">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83" w:type="dxa"/>
            <w:tcBorders>
              <w:top w:val="nil"/>
              <w:left w:val="nil"/>
              <w:bottom w:val="single" w:color="auto" w:sz="4" w:space="0"/>
              <w:right w:val="single" w:color="auto" w:sz="4" w:space="0"/>
            </w:tcBorders>
            <w:vAlign w:val="center"/>
          </w:tcPr>
          <w:p w14:paraId="709EC9CE">
            <w:pPr>
              <w:widowControl/>
              <w:jc w:val="left"/>
              <w:rPr>
                <w:rFonts w:ascii="宋体" w:hAnsi="宋体" w:cs="宋体"/>
                <w:kern w:val="0"/>
                <w:sz w:val="18"/>
                <w:szCs w:val="18"/>
              </w:rPr>
            </w:pPr>
            <w:r>
              <w:rPr>
                <w:rFonts w:hint="eastAsia" w:ascii="宋体" w:hAnsi="宋体" w:cs="宋体"/>
                <w:kern w:val="0"/>
                <w:sz w:val="18"/>
                <w:szCs w:val="18"/>
              </w:rPr>
              <w:t>万元</w:t>
            </w:r>
          </w:p>
        </w:tc>
        <w:tc>
          <w:tcPr>
            <w:tcW w:w="1743" w:type="dxa"/>
            <w:tcBorders>
              <w:top w:val="nil"/>
              <w:left w:val="nil"/>
              <w:bottom w:val="single" w:color="auto" w:sz="4" w:space="0"/>
              <w:right w:val="single" w:color="auto" w:sz="4" w:space="0"/>
            </w:tcBorders>
            <w:vAlign w:val="center"/>
          </w:tcPr>
          <w:p w14:paraId="40ACECEA">
            <w:pPr>
              <w:widowControl/>
              <w:jc w:val="left"/>
              <w:rPr>
                <w:rFonts w:ascii="宋体" w:hAnsi="宋体" w:cs="宋体"/>
                <w:kern w:val="0"/>
                <w:sz w:val="18"/>
                <w:szCs w:val="18"/>
              </w:rPr>
            </w:pPr>
            <w:r>
              <w:rPr>
                <w:rFonts w:hint="eastAsia" w:ascii="宋体" w:hAnsi="宋体" w:cs="宋体"/>
                <w:kern w:val="0"/>
                <w:sz w:val="18"/>
                <w:szCs w:val="18"/>
              </w:rPr>
              <w:t>5000≤Y＜40000</w:t>
            </w:r>
          </w:p>
        </w:tc>
        <w:tc>
          <w:tcPr>
            <w:tcW w:w="1549" w:type="dxa"/>
            <w:tcBorders>
              <w:top w:val="nil"/>
              <w:left w:val="nil"/>
              <w:bottom w:val="single" w:color="auto" w:sz="4" w:space="0"/>
              <w:right w:val="single" w:color="auto" w:sz="4" w:space="0"/>
            </w:tcBorders>
            <w:vAlign w:val="center"/>
          </w:tcPr>
          <w:p w14:paraId="1B479B5B">
            <w:pPr>
              <w:widowControl/>
              <w:jc w:val="left"/>
              <w:rPr>
                <w:rFonts w:ascii="宋体" w:hAnsi="宋体" w:cs="宋体"/>
                <w:kern w:val="0"/>
                <w:sz w:val="18"/>
                <w:szCs w:val="18"/>
              </w:rPr>
            </w:pPr>
            <w:r>
              <w:rPr>
                <w:rFonts w:hint="eastAsia" w:ascii="宋体" w:hAnsi="宋体" w:cs="宋体"/>
                <w:kern w:val="0"/>
                <w:sz w:val="18"/>
                <w:szCs w:val="18"/>
              </w:rPr>
              <w:t>1000≤Y＜5000</w:t>
            </w:r>
          </w:p>
        </w:tc>
        <w:tc>
          <w:tcPr>
            <w:tcW w:w="996" w:type="dxa"/>
            <w:tcBorders>
              <w:top w:val="nil"/>
              <w:left w:val="nil"/>
              <w:bottom w:val="single" w:color="auto" w:sz="4" w:space="0"/>
              <w:right w:val="single" w:color="auto" w:sz="4" w:space="0"/>
            </w:tcBorders>
            <w:vAlign w:val="center"/>
          </w:tcPr>
          <w:p w14:paraId="10D7EEFC">
            <w:pPr>
              <w:widowControl/>
              <w:jc w:val="left"/>
              <w:rPr>
                <w:rFonts w:ascii="宋体" w:hAnsi="宋体" w:cs="宋体"/>
                <w:kern w:val="0"/>
                <w:sz w:val="18"/>
                <w:szCs w:val="18"/>
              </w:rPr>
            </w:pPr>
            <w:r>
              <w:rPr>
                <w:rFonts w:hint="eastAsia" w:ascii="宋体" w:hAnsi="宋体" w:cs="宋体"/>
                <w:kern w:val="0"/>
                <w:sz w:val="18"/>
                <w:szCs w:val="18"/>
              </w:rPr>
              <w:t>Y＜1000</w:t>
            </w:r>
          </w:p>
        </w:tc>
      </w:tr>
      <w:tr w14:paraId="72CA89AD">
        <w:tblPrEx>
          <w:tblCellMar>
            <w:top w:w="0" w:type="dxa"/>
            <w:left w:w="108" w:type="dxa"/>
            <w:bottom w:w="0" w:type="dxa"/>
            <w:right w:w="108" w:type="dxa"/>
          </w:tblCellMar>
        </w:tblPrEx>
        <w:trPr>
          <w:trHeight w:val="226" w:hRule="atLeast"/>
        </w:trPr>
        <w:tc>
          <w:tcPr>
            <w:tcW w:w="1831" w:type="dxa"/>
            <w:vMerge w:val="restart"/>
            <w:tcBorders>
              <w:top w:val="nil"/>
              <w:left w:val="single" w:color="auto" w:sz="4" w:space="0"/>
              <w:bottom w:val="single" w:color="auto" w:sz="4" w:space="0"/>
              <w:right w:val="single" w:color="auto" w:sz="4" w:space="0"/>
            </w:tcBorders>
            <w:vAlign w:val="bottom"/>
          </w:tcPr>
          <w:p w14:paraId="14AE098F">
            <w:pPr>
              <w:widowControl/>
              <w:jc w:val="center"/>
              <w:rPr>
                <w:rFonts w:ascii="宋体" w:hAnsi="宋体" w:cs="宋体"/>
                <w:b/>
                <w:bCs/>
                <w:kern w:val="0"/>
                <w:sz w:val="18"/>
                <w:szCs w:val="18"/>
              </w:rPr>
            </w:pPr>
            <w:r>
              <w:rPr>
                <w:rFonts w:hint="eastAsia" w:ascii="宋体" w:hAnsi="宋体" w:cs="宋体"/>
                <w:b/>
                <w:bCs/>
                <w:kern w:val="0"/>
                <w:sz w:val="18"/>
                <w:szCs w:val="18"/>
              </w:rPr>
              <w:t>零售业</w:t>
            </w:r>
          </w:p>
        </w:tc>
        <w:tc>
          <w:tcPr>
            <w:tcW w:w="1489" w:type="dxa"/>
            <w:tcBorders>
              <w:top w:val="nil"/>
              <w:left w:val="nil"/>
              <w:bottom w:val="single" w:color="auto" w:sz="4" w:space="0"/>
              <w:right w:val="single" w:color="auto" w:sz="4" w:space="0"/>
            </w:tcBorders>
            <w:vAlign w:val="center"/>
          </w:tcPr>
          <w:p w14:paraId="145F395D">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83" w:type="dxa"/>
            <w:tcBorders>
              <w:top w:val="nil"/>
              <w:left w:val="nil"/>
              <w:bottom w:val="single" w:color="auto" w:sz="4" w:space="0"/>
              <w:right w:val="single" w:color="auto" w:sz="4" w:space="0"/>
            </w:tcBorders>
            <w:vAlign w:val="center"/>
          </w:tcPr>
          <w:p w14:paraId="402033A8">
            <w:pPr>
              <w:widowControl/>
              <w:jc w:val="left"/>
              <w:rPr>
                <w:rFonts w:ascii="宋体" w:hAnsi="宋体" w:cs="宋体"/>
                <w:kern w:val="0"/>
                <w:sz w:val="18"/>
                <w:szCs w:val="18"/>
              </w:rPr>
            </w:pPr>
            <w:r>
              <w:rPr>
                <w:rFonts w:hint="eastAsia" w:ascii="宋体" w:hAnsi="宋体" w:cs="宋体"/>
                <w:kern w:val="0"/>
                <w:sz w:val="18"/>
                <w:szCs w:val="18"/>
              </w:rPr>
              <w:t>人</w:t>
            </w:r>
          </w:p>
        </w:tc>
        <w:tc>
          <w:tcPr>
            <w:tcW w:w="1743" w:type="dxa"/>
            <w:tcBorders>
              <w:top w:val="nil"/>
              <w:left w:val="nil"/>
              <w:bottom w:val="single" w:color="auto" w:sz="4" w:space="0"/>
              <w:right w:val="single" w:color="auto" w:sz="4" w:space="0"/>
            </w:tcBorders>
            <w:vAlign w:val="center"/>
          </w:tcPr>
          <w:p w14:paraId="452E172C">
            <w:pPr>
              <w:widowControl/>
              <w:jc w:val="left"/>
              <w:rPr>
                <w:rFonts w:ascii="宋体" w:hAnsi="宋体" w:cs="宋体"/>
                <w:kern w:val="0"/>
                <w:sz w:val="18"/>
                <w:szCs w:val="18"/>
              </w:rPr>
            </w:pPr>
            <w:r>
              <w:rPr>
                <w:rFonts w:hint="eastAsia" w:ascii="宋体" w:hAnsi="宋体" w:cs="宋体"/>
                <w:kern w:val="0"/>
                <w:sz w:val="18"/>
                <w:szCs w:val="18"/>
              </w:rPr>
              <w:t>50≤X＜300</w:t>
            </w:r>
          </w:p>
        </w:tc>
        <w:tc>
          <w:tcPr>
            <w:tcW w:w="1549" w:type="dxa"/>
            <w:tcBorders>
              <w:top w:val="nil"/>
              <w:left w:val="nil"/>
              <w:bottom w:val="single" w:color="auto" w:sz="4" w:space="0"/>
              <w:right w:val="single" w:color="auto" w:sz="4" w:space="0"/>
            </w:tcBorders>
            <w:vAlign w:val="center"/>
          </w:tcPr>
          <w:p w14:paraId="3A492982">
            <w:pPr>
              <w:widowControl/>
              <w:jc w:val="left"/>
              <w:rPr>
                <w:rFonts w:ascii="宋体" w:hAnsi="宋体" w:cs="宋体"/>
                <w:kern w:val="0"/>
                <w:sz w:val="18"/>
                <w:szCs w:val="18"/>
              </w:rPr>
            </w:pPr>
            <w:r>
              <w:rPr>
                <w:rFonts w:hint="eastAsia" w:ascii="宋体" w:hAnsi="宋体" w:cs="宋体"/>
                <w:kern w:val="0"/>
                <w:sz w:val="18"/>
                <w:szCs w:val="18"/>
              </w:rPr>
              <w:t>10≤X＜50</w:t>
            </w:r>
          </w:p>
        </w:tc>
        <w:tc>
          <w:tcPr>
            <w:tcW w:w="996" w:type="dxa"/>
            <w:tcBorders>
              <w:top w:val="nil"/>
              <w:left w:val="nil"/>
              <w:bottom w:val="single" w:color="auto" w:sz="4" w:space="0"/>
              <w:right w:val="single" w:color="auto" w:sz="4" w:space="0"/>
            </w:tcBorders>
            <w:vAlign w:val="center"/>
          </w:tcPr>
          <w:p w14:paraId="35FC1D42">
            <w:pPr>
              <w:widowControl/>
              <w:jc w:val="left"/>
              <w:rPr>
                <w:rFonts w:ascii="宋体" w:hAnsi="宋体" w:cs="宋体"/>
                <w:kern w:val="0"/>
                <w:sz w:val="18"/>
                <w:szCs w:val="18"/>
              </w:rPr>
            </w:pPr>
            <w:r>
              <w:rPr>
                <w:rFonts w:hint="eastAsia" w:ascii="宋体" w:hAnsi="宋体" w:cs="宋体"/>
                <w:kern w:val="0"/>
                <w:sz w:val="18"/>
                <w:szCs w:val="18"/>
              </w:rPr>
              <w:t>X＜10</w:t>
            </w:r>
          </w:p>
        </w:tc>
      </w:tr>
      <w:tr w14:paraId="1DA033FF">
        <w:tblPrEx>
          <w:tblCellMar>
            <w:top w:w="0" w:type="dxa"/>
            <w:left w:w="108" w:type="dxa"/>
            <w:bottom w:w="0" w:type="dxa"/>
            <w:right w:w="108" w:type="dxa"/>
          </w:tblCellMar>
        </w:tblPrEx>
        <w:trPr>
          <w:trHeight w:val="226" w:hRule="atLeast"/>
        </w:trPr>
        <w:tc>
          <w:tcPr>
            <w:tcW w:w="1831" w:type="dxa"/>
            <w:vMerge w:val="continue"/>
            <w:tcBorders>
              <w:top w:val="nil"/>
              <w:left w:val="single" w:color="auto" w:sz="4" w:space="0"/>
              <w:bottom w:val="single" w:color="auto" w:sz="4" w:space="0"/>
              <w:right w:val="single" w:color="auto" w:sz="4" w:space="0"/>
            </w:tcBorders>
            <w:vAlign w:val="center"/>
          </w:tcPr>
          <w:p w14:paraId="7BED3089">
            <w:pPr>
              <w:widowControl/>
              <w:jc w:val="left"/>
              <w:rPr>
                <w:rFonts w:ascii="宋体" w:hAnsi="宋体" w:cs="宋体"/>
                <w:b/>
                <w:bCs/>
                <w:kern w:val="0"/>
                <w:sz w:val="18"/>
                <w:szCs w:val="18"/>
              </w:rPr>
            </w:pPr>
          </w:p>
        </w:tc>
        <w:tc>
          <w:tcPr>
            <w:tcW w:w="1489" w:type="dxa"/>
            <w:tcBorders>
              <w:top w:val="nil"/>
              <w:left w:val="nil"/>
              <w:bottom w:val="single" w:color="auto" w:sz="4" w:space="0"/>
              <w:right w:val="single" w:color="auto" w:sz="4" w:space="0"/>
            </w:tcBorders>
            <w:vAlign w:val="center"/>
          </w:tcPr>
          <w:p w14:paraId="57BA6C93">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83" w:type="dxa"/>
            <w:tcBorders>
              <w:top w:val="nil"/>
              <w:left w:val="nil"/>
              <w:bottom w:val="single" w:color="auto" w:sz="4" w:space="0"/>
              <w:right w:val="single" w:color="auto" w:sz="4" w:space="0"/>
            </w:tcBorders>
            <w:vAlign w:val="center"/>
          </w:tcPr>
          <w:p w14:paraId="5B552B87">
            <w:pPr>
              <w:widowControl/>
              <w:jc w:val="left"/>
              <w:rPr>
                <w:rFonts w:ascii="宋体" w:hAnsi="宋体" w:cs="宋体"/>
                <w:kern w:val="0"/>
                <w:sz w:val="18"/>
                <w:szCs w:val="18"/>
              </w:rPr>
            </w:pPr>
            <w:r>
              <w:rPr>
                <w:rFonts w:hint="eastAsia" w:ascii="宋体" w:hAnsi="宋体" w:cs="宋体"/>
                <w:kern w:val="0"/>
                <w:sz w:val="18"/>
                <w:szCs w:val="18"/>
              </w:rPr>
              <w:t>万元</w:t>
            </w:r>
          </w:p>
        </w:tc>
        <w:tc>
          <w:tcPr>
            <w:tcW w:w="1743" w:type="dxa"/>
            <w:tcBorders>
              <w:top w:val="nil"/>
              <w:left w:val="nil"/>
              <w:bottom w:val="single" w:color="auto" w:sz="4" w:space="0"/>
              <w:right w:val="single" w:color="auto" w:sz="4" w:space="0"/>
            </w:tcBorders>
            <w:vAlign w:val="center"/>
          </w:tcPr>
          <w:p w14:paraId="7C62A09E">
            <w:pPr>
              <w:widowControl/>
              <w:jc w:val="left"/>
              <w:rPr>
                <w:rFonts w:ascii="宋体" w:hAnsi="宋体" w:cs="宋体"/>
                <w:kern w:val="0"/>
                <w:sz w:val="18"/>
                <w:szCs w:val="18"/>
              </w:rPr>
            </w:pPr>
            <w:r>
              <w:rPr>
                <w:rFonts w:hint="eastAsia" w:ascii="宋体" w:hAnsi="宋体" w:cs="宋体"/>
                <w:kern w:val="0"/>
                <w:sz w:val="18"/>
                <w:szCs w:val="18"/>
              </w:rPr>
              <w:t>500≤Y＜20000</w:t>
            </w:r>
          </w:p>
        </w:tc>
        <w:tc>
          <w:tcPr>
            <w:tcW w:w="1549" w:type="dxa"/>
            <w:tcBorders>
              <w:top w:val="nil"/>
              <w:left w:val="nil"/>
              <w:bottom w:val="single" w:color="auto" w:sz="4" w:space="0"/>
              <w:right w:val="single" w:color="auto" w:sz="4" w:space="0"/>
            </w:tcBorders>
            <w:vAlign w:val="center"/>
          </w:tcPr>
          <w:p w14:paraId="43D96B8A">
            <w:pPr>
              <w:widowControl/>
              <w:jc w:val="left"/>
              <w:rPr>
                <w:rFonts w:ascii="宋体" w:hAnsi="宋体" w:cs="宋体"/>
                <w:kern w:val="0"/>
                <w:sz w:val="18"/>
                <w:szCs w:val="18"/>
              </w:rPr>
            </w:pPr>
            <w:r>
              <w:rPr>
                <w:rFonts w:hint="eastAsia" w:ascii="宋体" w:hAnsi="宋体" w:cs="宋体"/>
                <w:kern w:val="0"/>
                <w:sz w:val="18"/>
                <w:szCs w:val="18"/>
              </w:rPr>
              <w:t>100≤Y＜500</w:t>
            </w:r>
          </w:p>
        </w:tc>
        <w:tc>
          <w:tcPr>
            <w:tcW w:w="996" w:type="dxa"/>
            <w:tcBorders>
              <w:top w:val="nil"/>
              <w:left w:val="nil"/>
              <w:bottom w:val="single" w:color="auto" w:sz="4" w:space="0"/>
              <w:right w:val="single" w:color="auto" w:sz="4" w:space="0"/>
            </w:tcBorders>
            <w:vAlign w:val="center"/>
          </w:tcPr>
          <w:p w14:paraId="480CC25A">
            <w:pPr>
              <w:widowControl/>
              <w:jc w:val="left"/>
              <w:rPr>
                <w:rFonts w:ascii="宋体" w:hAnsi="宋体" w:cs="宋体"/>
                <w:kern w:val="0"/>
                <w:sz w:val="18"/>
                <w:szCs w:val="18"/>
              </w:rPr>
            </w:pPr>
            <w:r>
              <w:rPr>
                <w:rFonts w:hint="eastAsia" w:ascii="宋体" w:hAnsi="宋体" w:cs="宋体"/>
                <w:kern w:val="0"/>
                <w:sz w:val="18"/>
                <w:szCs w:val="18"/>
              </w:rPr>
              <w:t>Y＜100</w:t>
            </w:r>
          </w:p>
        </w:tc>
      </w:tr>
      <w:tr w14:paraId="23D7BAA3">
        <w:tblPrEx>
          <w:tblCellMar>
            <w:top w:w="0" w:type="dxa"/>
            <w:left w:w="108" w:type="dxa"/>
            <w:bottom w:w="0" w:type="dxa"/>
            <w:right w:w="108" w:type="dxa"/>
          </w:tblCellMar>
        </w:tblPrEx>
        <w:trPr>
          <w:trHeight w:val="226" w:hRule="atLeast"/>
        </w:trPr>
        <w:tc>
          <w:tcPr>
            <w:tcW w:w="1831" w:type="dxa"/>
            <w:vMerge w:val="restart"/>
            <w:tcBorders>
              <w:top w:val="nil"/>
              <w:left w:val="single" w:color="auto" w:sz="4" w:space="0"/>
              <w:bottom w:val="single" w:color="auto" w:sz="4" w:space="0"/>
              <w:right w:val="single" w:color="auto" w:sz="4" w:space="0"/>
            </w:tcBorders>
            <w:vAlign w:val="bottom"/>
          </w:tcPr>
          <w:p w14:paraId="1ACF6815">
            <w:pPr>
              <w:widowControl/>
              <w:jc w:val="center"/>
              <w:rPr>
                <w:rFonts w:ascii="宋体" w:hAnsi="宋体" w:cs="宋体"/>
                <w:b/>
                <w:bCs/>
                <w:kern w:val="0"/>
                <w:sz w:val="18"/>
                <w:szCs w:val="18"/>
              </w:rPr>
            </w:pPr>
            <w:r>
              <w:rPr>
                <w:rFonts w:hint="eastAsia" w:ascii="宋体" w:hAnsi="宋体" w:cs="宋体"/>
                <w:b/>
                <w:bCs/>
                <w:kern w:val="0"/>
                <w:sz w:val="18"/>
                <w:szCs w:val="18"/>
              </w:rPr>
              <w:t>交通运输业</w:t>
            </w:r>
          </w:p>
        </w:tc>
        <w:tc>
          <w:tcPr>
            <w:tcW w:w="1489" w:type="dxa"/>
            <w:tcBorders>
              <w:top w:val="nil"/>
              <w:left w:val="nil"/>
              <w:bottom w:val="single" w:color="auto" w:sz="4" w:space="0"/>
              <w:right w:val="single" w:color="auto" w:sz="4" w:space="0"/>
            </w:tcBorders>
            <w:vAlign w:val="center"/>
          </w:tcPr>
          <w:p w14:paraId="48735BA7">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83" w:type="dxa"/>
            <w:tcBorders>
              <w:top w:val="nil"/>
              <w:left w:val="nil"/>
              <w:bottom w:val="single" w:color="auto" w:sz="4" w:space="0"/>
              <w:right w:val="single" w:color="auto" w:sz="4" w:space="0"/>
            </w:tcBorders>
            <w:vAlign w:val="center"/>
          </w:tcPr>
          <w:p w14:paraId="5C820B9E">
            <w:pPr>
              <w:widowControl/>
              <w:jc w:val="left"/>
              <w:rPr>
                <w:rFonts w:ascii="宋体" w:hAnsi="宋体" w:cs="宋体"/>
                <w:kern w:val="0"/>
                <w:sz w:val="18"/>
                <w:szCs w:val="18"/>
              </w:rPr>
            </w:pPr>
            <w:r>
              <w:rPr>
                <w:rFonts w:hint="eastAsia" w:ascii="宋体" w:hAnsi="宋体" w:cs="宋体"/>
                <w:kern w:val="0"/>
                <w:sz w:val="18"/>
                <w:szCs w:val="18"/>
              </w:rPr>
              <w:t>人</w:t>
            </w:r>
          </w:p>
        </w:tc>
        <w:tc>
          <w:tcPr>
            <w:tcW w:w="1743" w:type="dxa"/>
            <w:tcBorders>
              <w:top w:val="nil"/>
              <w:left w:val="nil"/>
              <w:bottom w:val="single" w:color="auto" w:sz="4" w:space="0"/>
              <w:right w:val="single" w:color="auto" w:sz="4" w:space="0"/>
            </w:tcBorders>
            <w:vAlign w:val="center"/>
          </w:tcPr>
          <w:p w14:paraId="2AA7A2AA">
            <w:pPr>
              <w:widowControl/>
              <w:jc w:val="left"/>
              <w:rPr>
                <w:rFonts w:ascii="宋体" w:hAnsi="宋体" w:cs="宋体"/>
                <w:kern w:val="0"/>
                <w:sz w:val="18"/>
                <w:szCs w:val="18"/>
              </w:rPr>
            </w:pPr>
            <w:r>
              <w:rPr>
                <w:rFonts w:hint="eastAsia" w:ascii="宋体" w:hAnsi="宋体" w:cs="宋体"/>
                <w:kern w:val="0"/>
                <w:sz w:val="18"/>
                <w:szCs w:val="18"/>
              </w:rPr>
              <w:t>300≤X＜1000</w:t>
            </w:r>
          </w:p>
        </w:tc>
        <w:tc>
          <w:tcPr>
            <w:tcW w:w="1549" w:type="dxa"/>
            <w:tcBorders>
              <w:top w:val="nil"/>
              <w:left w:val="nil"/>
              <w:bottom w:val="single" w:color="auto" w:sz="4" w:space="0"/>
              <w:right w:val="single" w:color="auto" w:sz="4" w:space="0"/>
            </w:tcBorders>
            <w:vAlign w:val="center"/>
          </w:tcPr>
          <w:p w14:paraId="5AC8F8DF">
            <w:pPr>
              <w:widowControl/>
              <w:jc w:val="left"/>
              <w:rPr>
                <w:rFonts w:ascii="宋体" w:hAnsi="宋体" w:cs="宋体"/>
                <w:kern w:val="0"/>
                <w:sz w:val="18"/>
                <w:szCs w:val="18"/>
              </w:rPr>
            </w:pPr>
            <w:r>
              <w:rPr>
                <w:rFonts w:hint="eastAsia" w:ascii="宋体" w:hAnsi="宋体" w:cs="宋体"/>
                <w:kern w:val="0"/>
                <w:sz w:val="18"/>
                <w:szCs w:val="18"/>
              </w:rPr>
              <w:t>20≤X＜300</w:t>
            </w:r>
          </w:p>
        </w:tc>
        <w:tc>
          <w:tcPr>
            <w:tcW w:w="996" w:type="dxa"/>
            <w:tcBorders>
              <w:top w:val="nil"/>
              <w:left w:val="nil"/>
              <w:bottom w:val="single" w:color="auto" w:sz="4" w:space="0"/>
              <w:right w:val="single" w:color="auto" w:sz="4" w:space="0"/>
            </w:tcBorders>
            <w:vAlign w:val="center"/>
          </w:tcPr>
          <w:p w14:paraId="07C016E9">
            <w:pPr>
              <w:widowControl/>
              <w:jc w:val="left"/>
              <w:rPr>
                <w:rFonts w:ascii="宋体" w:hAnsi="宋体" w:cs="宋体"/>
                <w:kern w:val="0"/>
                <w:sz w:val="18"/>
                <w:szCs w:val="18"/>
              </w:rPr>
            </w:pPr>
            <w:r>
              <w:rPr>
                <w:rFonts w:hint="eastAsia" w:ascii="宋体" w:hAnsi="宋体" w:cs="宋体"/>
                <w:kern w:val="0"/>
                <w:sz w:val="18"/>
                <w:szCs w:val="18"/>
              </w:rPr>
              <w:t>X＜20</w:t>
            </w:r>
          </w:p>
        </w:tc>
      </w:tr>
      <w:tr w14:paraId="264E6D01">
        <w:tblPrEx>
          <w:tblCellMar>
            <w:top w:w="0" w:type="dxa"/>
            <w:left w:w="108" w:type="dxa"/>
            <w:bottom w:w="0" w:type="dxa"/>
            <w:right w:w="108" w:type="dxa"/>
          </w:tblCellMar>
        </w:tblPrEx>
        <w:trPr>
          <w:trHeight w:val="226" w:hRule="atLeast"/>
        </w:trPr>
        <w:tc>
          <w:tcPr>
            <w:tcW w:w="1831" w:type="dxa"/>
            <w:vMerge w:val="continue"/>
            <w:tcBorders>
              <w:top w:val="nil"/>
              <w:left w:val="single" w:color="auto" w:sz="4" w:space="0"/>
              <w:bottom w:val="single" w:color="auto" w:sz="4" w:space="0"/>
              <w:right w:val="single" w:color="auto" w:sz="4" w:space="0"/>
            </w:tcBorders>
            <w:vAlign w:val="center"/>
          </w:tcPr>
          <w:p w14:paraId="03ED30E4">
            <w:pPr>
              <w:widowControl/>
              <w:jc w:val="left"/>
              <w:rPr>
                <w:rFonts w:ascii="宋体" w:hAnsi="宋体" w:cs="宋体"/>
                <w:b/>
                <w:bCs/>
                <w:kern w:val="0"/>
                <w:sz w:val="18"/>
                <w:szCs w:val="18"/>
              </w:rPr>
            </w:pPr>
          </w:p>
        </w:tc>
        <w:tc>
          <w:tcPr>
            <w:tcW w:w="1489" w:type="dxa"/>
            <w:tcBorders>
              <w:top w:val="nil"/>
              <w:left w:val="nil"/>
              <w:bottom w:val="single" w:color="auto" w:sz="4" w:space="0"/>
              <w:right w:val="single" w:color="auto" w:sz="4" w:space="0"/>
            </w:tcBorders>
            <w:vAlign w:val="center"/>
          </w:tcPr>
          <w:p w14:paraId="32FC7EB1">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83" w:type="dxa"/>
            <w:tcBorders>
              <w:top w:val="nil"/>
              <w:left w:val="nil"/>
              <w:bottom w:val="single" w:color="auto" w:sz="4" w:space="0"/>
              <w:right w:val="single" w:color="auto" w:sz="4" w:space="0"/>
            </w:tcBorders>
            <w:vAlign w:val="center"/>
          </w:tcPr>
          <w:p w14:paraId="18CBAFF2">
            <w:pPr>
              <w:widowControl/>
              <w:jc w:val="left"/>
              <w:rPr>
                <w:rFonts w:ascii="宋体" w:hAnsi="宋体" w:cs="宋体"/>
                <w:kern w:val="0"/>
                <w:sz w:val="18"/>
                <w:szCs w:val="18"/>
              </w:rPr>
            </w:pPr>
            <w:r>
              <w:rPr>
                <w:rFonts w:hint="eastAsia" w:ascii="宋体" w:hAnsi="宋体" w:cs="宋体"/>
                <w:kern w:val="0"/>
                <w:sz w:val="18"/>
                <w:szCs w:val="18"/>
              </w:rPr>
              <w:t>万元</w:t>
            </w:r>
          </w:p>
        </w:tc>
        <w:tc>
          <w:tcPr>
            <w:tcW w:w="1743" w:type="dxa"/>
            <w:tcBorders>
              <w:top w:val="nil"/>
              <w:left w:val="nil"/>
              <w:bottom w:val="single" w:color="auto" w:sz="4" w:space="0"/>
              <w:right w:val="single" w:color="auto" w:sz="4" w:space="0"/>
            </w:tcBorders>
            <w:vAlign w:val="center"/>
          </w:tcPr>
          <w:p w14:paraId="5E12F6C9">
            <w:pPr>
              <w:widowControl/>
              <w:jc w:val="left"/>
              <w:rPr>
                <w:rFonts w:ascii="宋体" w:hAnsi="宋体" w:cs="宋体"/>
                <w:kern w:val="0"/>
                <w:sz w:val="18"/>
                <w:szCs w:val="18"/>
              </w:rPr>
            </w:pPr>
            <w:r>
              <w:rPr>
                <w:rFonts w:hint="eastAsia" w:ascii="宋体" w:hAnsi="宋体" w:cs="宋体"/>
                <w:kern w:val="0"/>
                <w:sz w:val="18"/>
                <w:szCs w:val="18"/>
              </w:rPr>
              <w:t>3000≤Y＜30000</w:t>
            </w:r>
          </w:p>
        </w:tc>
        <w:tc>
          <w:tcPr>
            <w:tcW w:w="1549" w:type="dxa"/>
            <w:tcBorders>
              <w:top w:val="nil"/>
              <w:left w:val="nil"/>
              <w:bottom w:val="single" w:color="auto" w:sz="4" w:space="0"/>
              <w:right w:val="single" w:color="auto" w:sz="4" w:space="0"/>
            </w:tcBorders>
            <w:vAlign w:val="center"/>
          </w:tcPr>
          <w:p w14:paraId="20D64CCA">
            <w:pPr>
              <w:widowControl/>
              <w:jc w:val="left"/>
              <w:rPr>
                <w:rFonts w:ascii="宋体" w:hAnsi="宋体" w:cs="宋体"/>
                <w:kern w:val="0"/>
                <w:sz w:val="18"/>
                <w:szCs w:val="18"/>
              </w:rPr>
            </w:pPr>
            <w:r>
              <w:rPr>
                <w:rFonts w:hint="eastAsia" w:ascii="宋体" w:hAnsi="宋体" w:cs="宋体"/>
                <w:kern w:val="0"/>
                <w:sz w:val="18"/>
                <w:szCs w:val="18"/>
              </w:rPr>
              <w:t>200≤Y＜3000</w:t>
            </w:r>
          </w:p>
        </w:tc>
        <w:tc>
          <w:tcPr>
            <w:tcW w:w="996" w:type="dxa"/>
            <w:tcBorders>
              <w:top w:val="nil"/>
              <w:left w:val="nil"/>
              <w:bottom w:val="single" w:color="auto" w:sz="4" w:space="0"/>
              <w:right w:val="single" w:color="auto" w:sz="4" w:space="0"/>
            </w:tcBorders>
            <w:vAlign w:val="center"/>
          </w:tcPr>
          <w:p w14:paraId="1B488205">
            <w:pPr>
              <w:widowControl/>
              <w:jc w:val="left"/>
              <w:rPr>
                <w:rFonts w:ascii="宋体" w:hAnsi="宋体" w:cs="宋体"/>
                <w:kern w:val="0"/>
                <w:sz w:val="18"/>
                <w:szCs w:val="18"/>
              </w:rPr>
            </w:pPr>
            <w:r>
              <w:rPr>
                <w:rFonts w:hint="eastAsia" w:ascii="宋体" w:hAnsi="宋体" w:cs="宋体"/>
                <w:kern w:val="0"/>
                <w:sz w:val="18"/>
                <w:szCs w:val="18"/>
              </w:rPr>
              <w:t>Y＜200</w:t>
            </w:r>
          </w:p>
        </w:tc>
      </w:tr>
      <w:tr w14:paraId="1A0E71D1">
        <w:tblPrEx>
          <w:tblCellMar>
            <w:top w:w="0" w:type="dxa"/>
            <w:left w:w="108" w:type="dxa"/>
            <w:bottom w:w="0" w:type="dxa"/>
            <w:right w:w="108" w:type="dxa"/>
          </w:tblCellMar>
        </w:tblPrEx>
        <w:trPr>
          <w:trHeight w:val="226" w:hRule="atLeast"/>
        </w:trPr>
        <w:tc>
          <w:tcPr>
            <w:tcW w:w="1831" w:type="dxa"/>
            <w:vMerge w:val="restart"/>
            <w:tcBorders>
              <w:top w:val="nil"/>
              <w:left w:val="single" w:color="auto" w:sz="4" w:space="0"/>
              <w:bottom w:val="single" w:color="auto" w:sz="4" w:space="0"/>
              <w:right w:val="single" w:color="auto" w:sz="4" w:space="0"/>
            </w:tcBorders>
            <w:vAlign w:val="bottom"/>
          </w:tcPr>
          <w:p w14:paraId="51A749CE">
            <w:pPr>
              <w:widowControl/>
              <w:jc w:val="center"/>
              <w:rPr>
                <w:rFonts w:ascii="宋体" w:hAnsi="宋体" w:cs="宋体"/>
                <w:b/>
                <w:bCs/>
                <w:kern w:val="0"/>
                <w:sz w:val="18"/>
                <w:szCs w:val="18"/>
              </w:rPr>
            </w:pPr>
            <w:r>
              <w:rPr>
                <w:rFonts w:hint="eastAsia" w:ascii="宋体" w:hAnsi="宋体" w:cs="宋体"/>
                <w:b/>
                <w:bCs/>
                <w:kern w:val="0"/>
                <w:sz w:val="18"/>
                <w:szCs w:val="18"/>
              </w:rPr>
              <w:t>仓储业</w:t>
            </w:r>
          </w:p>
        </w:tc>
        <w:tc>
          <w:tcPr>
            <w:tcW w:w="1489" w:type="dxa"/>
            <w:tcBorders>
              <w:top w:val="nil"/>
              <w:left w:val="nil"/>
              <w:bottom w:val="single" w:color="auto" w:sz="4" w:space="0"/>
              <w:right w:val="single" w:color="auto" w:sz="4" w:space="0"/>
            </w:tcBorders>
            <w:vAlign w:val="center"/>
          </w:tcPr>
          <w:p w14:paraId="3BB6E74C">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83" w:type="dxa"/>
            <w:tcBorders>
              <w:top w:val="nil"/>
              <w:left w:val="nil"/>
              <w:bottom w:val="single" w:color="auto" w:sz="4" w:space="0"/>
              <w:right w:val="single" w:color="auto" w:sz="4" w:space="0"/>
            </w:tcBorders>
            <w:vAlign w:val="center"/>
          </w:tcPr>
          <w:p w14:paraId="5024713B">
            <w:pPr>
              <w:widowControl/>
              <w:jc w:val="left"/>
              <w:rPr>
                <w:rFonts w:ascii="宋体" w:hAnsi="宋体" w:cs="宋体"/>
                <w:kern w:val="0"/>
                <w:sz w:val="18"/>
                <w:szCs w:val="18"/>
              </w:rPr>
            </w:pPr>
            <w:r>
              <w:rPr>
                <w:rFonts w:hint="eastAsia" w:ascii="宋体" w:hAnsi="宋体" w:cs="宋体"/>
                <w:kern w:val="0"/>
                <w:sz w:val="18"/>
                <w:szCs w:val="18"/>
              </w:rPr>
              <w:t>人</w:t>
            </w:r>
          </w:p>
        </w:tc>
        <w:tc>
          <w:tcPr>
            <w:tcW w:w="1743" w:type="dxa"/>
            <w:tcBorders>
              <w:top w:val="nil"/>
              <w:left w:val="nil"/>
              <w:bottom w:val="single" w:color="auto" w:sz="4" w:space="0"/>
              <w:right w:val="single" w:color="auto" w:sz="4" w:space="0"/>
            </w:tcBorders>
            <w:vAlign w:val="center"/>
          </w:tcPr>
          <w:p w14:paraId="38D87C52">
            <w:pPr>
              <w:widowControl/>
              <w:jc w:val="left"/>
              <w:rPr>
                <w:rFonts w:ascii="宋体" w:hAnsi="宋体" w:cs="宋体"/>
                <w:kern w:val="0"/>
                <w:sz w:val="18"/>
                <w:szCs w:val="18"/>
              </w:rPr>
            </w:pPr>
            <w:r>
              <w:rPr>
                <w:rFonts w:hint="eastAsia" w:ascii="宋体" w:hAnsi="宋体" w:cs="宋体"/>
                <w:kern w:val="0"/>
                <w:sz w:val="18"/>
                <w:szCs w:val="18"/>
              </w:rPr>
              <w:t>100≤X＜200</w:t>
            </w:r>
          </w:p>
        </w:tc>
        <w:tc>
          <w:tcPr>
            <w:tcW w:w="1549" w:type="dxa"/>
            <w:tcBorders>
              <w:top w:val="nil"/>
              <w:left w:val="nil"/>
              <w:bottom w:val="single" w:color="auto" w:sz="4" w:space="0"/>
              <w:right w:val="single" w:color="auto" w:sz="4" w:space="0"/>
            </w:tcBorders>
            <w:vAlign w:val="center"/>
          </w:tcPr>
          <w:p w14:paraId="12B6A994">
            <w:pPr>
              <w:widowControl/>
              <w:jc w:val="left"/>
              <w:rPr>
                <w:rFonts w:ascii="宋体" w:hAnsi="宋体" w:cs="宋体"/>
                <w:kern w:val="0"/>
                <w:sz w:val="18"/>
                <w:szCs w:val="18"/>
              </w:rPr>
            </w:pPr>
            <w:r>
              <w:rPr>
                <w:rFonts w:hint="eastAsia" w:ascii="宋体" w:hAnsi="宋体" w:cs="宋体"/>
                <w:kern w:val="0"/>
                <w:sz w:val="18"/>
                <w:szCs w:val="18"/>
              </w:rPr>
              <w:t>20≤X＜100</w:t>
            </w:r>
          </w:p>
        </w:tc>
        <w:tc>
          <w:tcPr>
            <w:tcW w:w="996" w:type="dxa"/>
            <w:tcBorders>
              <w:top w:val="nil"/>
              <w:left w:val="nil"/>
              <w:bottom w:val="single" w:color="auto" w:sz="4" w:space="0"/>
              <w:right w:val="single" w:color="auto" w:sz="4" w:space="0"/>
            </w:tcBorders>
            <w:vAlign w:val="center"/>
          </w:tcPr>
          <w:p w14:paraId="5A0809E1">
            <w:pPr>
              <w:widowControl/>
              <w:jc w:val="left"/>
              <w:rPr>
                <w:rFonts w:ascii="宋体" w:hAnsi="宋体" w:cs="宋体"/>
                <w:kern w:val="0"/>
                <w:sz w:val="18"/>
                <w:szCs w:val="18"/>
              </w:rPr>
            </w:pPr>
            <w:r>
              <w:rPr>
                <w:rFonts w:hint="eastAsia" w:ascii="宋体" w:hAnsi="宋体" w:cs="宋体"/>
                <w:kern w:val="0"/>
                <w:sz w:val="18"/>
                <w:szCs w:val="18"/>
              </w:rPr>
              <w:t>X＜20</w:t>
            </w:r>
          </w:p>
        </w:tc>
      </w:tr>
      <w:tr w14:paraId="17C48D19">
        <w:tblPrEx>
          <w:tblCellMar>
            <w:top w:w="0" w:type="dxa"/>
            <w:left w:w="108" w:type="dxa"/>
            <w:bottom w:w="0" w:type="dxa"/>
            <w:right w:w="108" w:type="dxa"/>
          </w:tblCellMar>
        </w:tblPrEx>
        <w:trPr>
          <w:trHeight w:val="226" w:hRule="atLeast"/>
        </w:trPr>
        <w:tc>
          <w:tcPr>
            <w:tcW w:w="1831" w:type="dxa"/>
            <w:vMerge w:val="continue"/>
            <w:tcBorders>
              <w:top w:val="nil"/>
              <w:left w:val="single" w:color="auto" w:sz="4" w:space="0"/>
              <w:bottom w:val="single" w:color="auto" w:sz="4" w:space="0"/>
              <w:right w:val="single" w:color="auto" w:sz="4" w:space="0"/>
            </w:tcBorders>
            <w:vAlign w:val="center"/>
          </w:tcPr>
          <w:p w14:paraId="4968B01C">
            <w:pPr>
              <w:widowControl/>
              <w:jc w:val="left"/>
              <w:rPr>
                <w:rFonts w:ascii="宋体" w:hAnsi="宋体" w:cs="宋体"/>
                <w:b/>
                <w:bCs/>
                <w:kern w:val="0"/>
                <w:sz w:val="18"/>
                <w:szCs w:val="18"/>
              </w:rPr>
            </w:pPr>
          </w:p>
        </w:tc>
        <w:tc>
          <w:tcPr>
            <w:tcW w:w="1489" w:type="dxa"/>
            <w:tcBorders>
              <w:top w:val="nil"/>
              <w:left w:val="nil"/>
              <w:bottom w:val="single" w:color="auto" w:sz="4" w:space="0"/>
              <w:right w:val="single" w:color="auto" w:sz="4" w:space="0"/>
            </w:tcBorders>
            <w:vAlign w:val="center"/>
          </w:tcPr>
          <w:p w14:paraId="7951DED8">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83" w:type="dxa"/>
            <w:tcBorders>
              <w:top w:val="nil"/>
              <w:left w:val="nil"/>
              <w:bottom w:val="single" w:color="auto" w:sz="4" w:space="0"/>
              <w:right w:val="single" w:color="auto" w:sz="4" w:space="0"/>
            </w:tcBorders>
            <w:vAlign w:val="center"/>
          </w:tcPr>
          <w:p w14:paraId="22978AE6">
            <w:pPr>
              <w:widowControl/>
              <w:jc w:val="left"/>
              <w:rPr>
                <w:rFonts w:ascii="宋体" w:hAnsi="宋体" w:cs="宋体"/>
                <w:kern w:val="0"/>
                <w:sz w:val="18"/>
                <w:szCs w:val="18"/>
              </w:rPr>
            </w:pPr>
            <w:r>
              <w:rPr>
                <w:rFonts w:hint="eastAsia" w:ascii="宋体" w:hAnsi="宋体" w:cs="宋体"/>
                <w:kern w:val="0"/>
                <w:sz w:val="18"/>
                <w:szCs w:val="18"/>
              </w:rPr>
              <w:t>万元</w:t>
            </w:r>
          </w:p>
        </w:tc>
        <w:tc>
          <w:tcPr>
            <w:tcW w:w="1743" w:type="dxa"/>
            <w:tcBorders>
              <w:top w:val="nil"/>
              <w:left w:val="nil"/>
              <w:bottom w:val="single" w:color="auto" w:sz="4" w:space="0"/>
              <w:right w:val="single" w:color="auto" w:sz="4" w:space="0"/>
            </w:tcBorders>
            <w:vAlign w:val="center"/>
          </w:tcPr>
          <w:p w14:paraId="16C931BF">
            <w:pPr>
              <w:widowControl/>
              <w:jc w:val="left"/>
              <w:rPr>
                <w:rFonts w:ascii="宋体" w:hAnsi="宋体" w:cs="宋体"/>
                <w:kern w:val="0"/>
                <w:sz w:val="18"/>
                <w:szCs w:val="18"/>
              </w:rPr>
            </w:pPr>
            <w:r>
              <w:rPr>
                <w:rFonts w:hint="eastAsia" w:ascii="宋体" w:hAnsi="宋体" w:cs="宋体"/>
                <w:kern w:val="0"/>
                <w:sz w:val="18"/>
                <w:szCs w:val="18"/>
              </w:rPr>
              <w:t>1000≤Y＜30000</w:t>
            </w:r>
          </w:p>
        </w:tc>
        <w:tc>
          <w:tcPr>
            <w:tcW w:w="1549" w:type="dxa"/>
            <w:tcBorders>
              <w:top w:val="nil"/>
              <w:left w:val="nil"/>
              <w:bottom w:val="single" w:color="auto" w:sz="4" w:space="0"/>
              <w:right w:val="single" w:color="auto" w:sz="4" w:space="0"/>
            </w:tcBorders>
            <w:vAlign w:val="center"/>
          </w:tcPr>
          <w:p w14:paraId="43841415">
            <w:pPr>
              <w:widowControl/>
              <w:jc w:val="left"/>
              <w:rPr>
                <w:rFonts w:ascii="宋体" w:hAnsi="宋体" w:cs="宋体"/>
                <w:kern w:val="0"/>
                <w:sz w:val="18"/>
                <w:szCs w:val="18"/>
              </w:rPr>
            </w:pPr>
            <w:r>
              <w:rPr>
                <w:rFonts w:hint="eastAsia" w:ascii="宋体" w:hAnsi="宋体" w:cs="宋体"/>
                <w:kern w:val="0"/>
                <w:sz w:val="18"/>
                <w:szCs w:val="18"/>
              </w:rPr>
              <w:t>100≤Y＜1000</w:t>
            </w:r>
          </w:p>
        </w:tc>
        <w:tc>
          <w:tcPr>
            <w:tcW w:w="996" w:type="dxa"/>
            <w:tcBorders>
              <w:top w:val="nil"/>
              <w:left w:val="nil"/>
              <w:bottom w:val="single" w:color="auto" w:sz="4" w:space="0"/>
              <w:right w:val="single" w:color="auto" w:sz="4" w:space="0"/>
            </w:tcBorders>
            <w:vAlign w:val="center"/>
          </w:tcPr>
          <w:p w14:paraId="4EE9E86E">
            <w:pPr>
              <w:widowControl/>
              <w:jc w:val="left"/>
              <w:rPr>
                <w:rFonts w:ascii="宋体" w:hAnsi="宋体" w:cs="宋体"/>
                <w:kern w:val="0"/>
                <w:sz w:val="18"/>
                <w:szCs w:val="18"/>
              </w:rPr>
            </w:pPr>
            <w:r>
              <w:rPr>
                <w:rFonts w:hint="eastAsia" w:ascii="宋体" w:hAnsi="宋体" w:cs="宋体"/>
                <w:kern w:val="0"/>
                <w:sz w:val="18"/>
                <w:szCs w:val="18"/>
              </w:rPr>
              <w:t>Y＜100</w:t>
            </w:r>
          </w:p>
        </w:tc>
      </w:tr>
      <w:tr w14:paraId="2374BF16">
        <w:tblPrEx>
          <w:tblCellMar>
            <w:top w:w="0" w:type="dxa"/>
            <w:left w:w="108" w:type="dxa"/>
            <w:bottom w:w="0" w:type="dxa"/>
            <w:right w:w="108" w:type="dxa"/>
          </w:tblCellMar>
        </w:tblPrEx>
        <w:trPr>
          <w:trHeight w:val="226" w:hRule="atLeast"/>
        </w:trPr>
        <w:tc>
          <w:tcPr>
            <w:tcW w:w="1831" w:type="dxa"/>
            <w:vMerge w:val="restart"/>
            <w:tcBorders>
              <w:top w:val="nil"/>
              <w:left w:val="single" w:color="auto" w:sz="4" w:space="0"/>
              <w:bottom w:val="single" w:color="auto" w:sz="4" w:space="0"/>
              <w:right w:val="single" w:color="auto" w:sz="4" w:space="0"/>
            </w:tcBorders>
            <w:vAlign w:val="bottom"/>
          </w:tcPr>
          <w:p w14:paraId="5E31A70B">
            <w:pPr>
              <w:widowControl/>
              <w:jc w:val="center"/>
              <w:rPr>
                <w:rFonts w:ascii="宋体" w:hAnsi="宋体" w:cs="宋体"/>
                <w:b/>
                <w:bCs/>
                <w:kern w:val="0"/>
                <w:sz w:val="18"/>
                <w:szCs w:val="18"/>
              </w:rPr>
            </w:pPr>
            <w:r>
              <w:rPr>
                <w:rFonts w:hint="eastAsia" w:ascii="宋体" w:hAnsi="宋体" w:cs="宋体"/>
                <w:b/>
                <w:bCs/>
                <w:kern w:val="0"/>
                <w:sz w:val="18"/>
                <w:szCs w:val="18"/>
              </w:rPr>
              <w:t>邮政业</w:t>
            </w:r>
          </w:p>
        </w:tc>
        <w:tc>
          <w:tcPr>
            <w:tcW w:w="1489" w:type="dxa"/>
            <w:tcBorders>
              <w:top w:val="nil"/>
              <w:left w:val="nil"/>
              <w:bottom w:val="single" w:color="auto" w:sz="4" w:space="0"/>
              <w:right w:val="single" w:color="auto" w:sz="4" w:space="0"/>
            </w:tcBorders>
            <w:vAlign w:val="center"/>
          </w:tcPr>
          <w:p w14:paraId="4D577558">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83" w:type="dxa"/>
            <w:tcBorders>
              <w:top w:val="nil"/>
              <w:left w:val="nil"/>
              <w:bottom w:val="single" w:color="auto" w:sz="4" w:space="0"/>
              <w:right w:val="single" w:color="auto" w:sz="4" w:space="0"/>
            </w:tcBorders>
            <w:vAlign w:val="center"/>
          </w:tcPr>
          <w:p w14:paraId="59BEC214">
            <w:pPr>
              <w:widowControl/>
              <w:jc w:val="left"/>
              <w:rPr>
                <w:rFonts w:ascii="宋体" w:hAnsi="宋体" w:cs="宋体"/>
                <w:kern w:val="0"/>
                <w:sz w:val="18"/>
                <w:szCs w:val="18"/>
              </w:rPr>
            </w:pPr>
            <w:r>
              <w:rPr>
                <w:rFonts w:hint="eastAsia" w:ascii="宋体" w:hAnsi="宋体" w:cs="宋体"/>
                <w:kern w:val="0"/>
                <w:sz w:val="18"/>
                <w:szCs w:val="18"/>
              </w:rPr>
              <w:t>人</w:t>
            </w:r>
          </w:p>
        </w:tc>
        <w:tc>
          <w:tcPr>
            <w:tcW w:w="1743" w:type="dxa"/>
            <w:tcBorders>
              <w:top w:val="nil"/>
              <w:left w:val="nil"/>
              <w:bottom w:val="single" w:color="auto" w:sz="4" w:space="0"/>
              <w:right w:val="single" w:color="auto" w:sz="4" w:space="0"/>
            </w:tcBorders>
            <w:vAlign w:val="center"/>
          </w:tcPr>
          <w:p w14:paraId="43FD4AC6">
            <w:pPr>
              <w:widowControl/>
              <w:jc w:val="left"/>
              <w:rPr>
                <w:rFonts w:ascii="宋体" w:hAnsi="宋体" w:cs="宋体"/>
                <w:kern w:val="0"/>
                <w:sz w:val="18"/>
                <w:szCs w:val="18"/>
              </w:rPr>
            </w:pPr>
            <w:r>
              <w:rPr>
                <w:rFonts w:hint="eastAsia" w:ascii="宋体" w:hAnsi="宋体" w:cs="宋体"/>
                <w:kern w:val="0"/>
                <w:sz w:val="18"/>
                <w:szCs w:val="18"/>
              </w:rPr>
              <w:t>300≤X＜1000</w:t>
            </w:r>
          </w:p>
        </w:tc>
        <w:tc>
          <w:tcPr>
            <w:tcW w:w="1549" w:type="dxa"/>
            <w:tcBorders>
              <w:top w:val="nil"/>
              <w:left w:val="nil"/>
              <w:bottom w:val="single" w:color="auto" w:sz="4" w:space="0"/>
              <w:right w:val="single" w:color="auto" w:sz="4" w:space="0"/>
            </w:tcBorders>
            <w:vAlign w:val="center"/>
          </w:tcPr>
          <w:p w14:paraId="76647879">
            <w:pPr>
              <w:widowControl/>
              <w:jc w:val="left"/>
              <w:rPr>
                <w:rFonts w:ascii="宋体" w:hAnsi="宋体" w:cs="宋体"/>
                <w:kern w:val="0"/>
                <w:sz w:val="18"/>
                <w:szCs w:val="18"/>
              </w:rPr>
            </w:pPr>
            <w:r>
              <w:rPr>
                <w:rFonts w:hint="eastAsia" w:ascii="宋体" w:hAnsi="宋体" w:cs="宋体"/>
                <w:kern w:val="0"/>
                <w:sz w:val="18"/>
                <w:szCs w:val="18"/>
              </w:rPr>
              <w:t>20≤X＜300</w:t>
            </w:r>
          </w:p>
        </w:tc>
        <w:tc>
          <w:tcPr>
            <w:tcW w:w="996" w:type="dxa"/>
            <w:tcBorders>
              <w:top w:val="nil"/>
              <w:left w:val="nil"/>
              <w:bottom w:val="single" w:color="auto" w:sz="4" w:space="0"/>
              <w:right w:val="single" w:color="auto" w:sz="4" w:space="0"/>
            </w:tcBorders>
            <w:vAlign w:val="center"/>
          </w:tcPr>
          <w:p w14:paraId="6947EE44">
            <w:pPr>
              <w:widowControl/>
              <w:jc w:val="left"/>
              <w:rPr>
                <w:rFonts w:ascii="宋体" w:hAnsi="宋体" w:cs="宋体"/>
                <w:kern w:val="0"/>
                <w:sz w:val="18"/>
                <w:szCs w:val="18"/>
              </w:rPr>
            </w:pPr>
            <w:r>
              <w:rPr>
                <w:rFonts w:hint="eastAsia" w:ascii="宋体" w:hAnsi="宋体" w:cs="宋体"/>
                <w:kern w:val="0"/>
                <w:sz w:val="18"/>
                <w:szCs w:val="18"/>
              </w:rPr>
              <w:t>X＜20</w:t>
            </w:r>
          </w:p>
        </w:tc>
      </w:tr>
      <w:tr w14:paraId="38590DE9">
        <w:tblPrEx>
          <w:tblCellMar>
            <w:top w:w="0" w:type="dxa"/>
            <w:left w:w="108" w:type="dxa"/>
            <w:bottom w:w="0" w:type="dxa"/>
            <w:right w:w="108" w:type="dxa"/>
          </w:tblCellMar>
        </w:tblPrEx>
        <w:trPr>
          <w:trHeight w:val="226" w:hRule="atLeast"/>
        </w:trPr>
        <w:tc>
          <w:tcPr>
            <w:tcW w:w="1831" w:type="dxa"/>
            <w:vMerge w:val="continue"/>
            <w:tcBorders>
              <w:top w:val="nil"/>
              <w:left w:val="single" w:color="auto" w:sz="4" w:space="0"/>
              <w:bottom w:val="single" w:color="auto" w:sz="4" w:space="0"/>
              <w:right w:val="single" w:color="auto" w:sz="4" w:space="0"/>
            </w:tcBorders>
            <w:vAlign w:val="center"/>
          </w:tcPr>
          <w:p w14:paraId="611F1E36">
            <w:pPr>
              <w:widowControl/>
              <w:jc w:val="left"/>
              <w:rPr>
                <w:rFonts w:ascii="宋体" w:hAnsi="宋体" w:cs="宋体"/>
                <w:b/>
                <w:bCs/>
                <w:kern w:val="0"/>
                <w:sz w:val="18"/>
                <w:szCs w:val="18"/>
              </w:rPr>
            </w:pPr>
          </w:p>
        </w:tc>
        <w:tc>
          <w:tcPr>
            <w:tcW w:w="1489" w:type="dxa"/>
            <w:tcBorders>
              <w:top w:val="nil"/>
              <w:left w:val="nil"/>
              <w:bottom w:val="single" w:color="auto" w:sz="4" w:space="0"/>
              <w:right w:val="single" w:color="auto" w:sz="4" w:space="0"/>
            </w:tcBorders>
            <w:vAlign w:val="center"/>
          </w:tcPr>
          <w:p w14:paraId="46A4AD39">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83" w:type="dxa"/>
            <w:tcBorders>
              <w:top w:val="nil"/>
              <w:left w:val="nil"/>
              <w:bottom w:val="single" w:color="auto" w:sz="4" w:space="0"/>
              <w:right w:val="single" w:color="auto" w:sz="4" w:space="0"/>
            </w:tcBorders>
            <w:vAlign w:val="center"/>
          </w:tcPr>
          <w:p w14:paraId="127C07B9">
            <w:pPr>
              <w:widowControl/>
              <w:jc w:val="left"/>
              <w:rPr>
                <w:rFonts w:ascii="宋体" w:hAnsi="宋体" w:cs="宋体"/>
                <w:kern w:val="0"/>
                <w:sz w:val="18"/>
                <w:szCs w:val="18"/>
              </w:rPr>
            </w:pPr>
            <w:r>
              <w:rPr>
                <w:rFonts w:hint="eastAsia" w:ascii="宋体" w:hAnsi="宋体" w:cs="宋体"/>
                <w:kern w:val="0"/>
                <w:sz w:val="18"/>
                <w:szCs w:val="18"/>
              </w:rPr>
              <w:t>万元</w:t>
            </w:r>
          </w:p>
        </w:tc>
        <w:tc>
          <w:tcPr>
            <w:tcW w:w="1743" w:type="dxa"/>
            <w:tcBorders>
              <w:top w:val="nil"/>
              <w:left w:val="nil"/>
              <w:bottom w:val="single" w:color="auto" w:sz="4" w:space="0"/>
              <w:right w:val="single" w:color="auto" w:sz="4" w:space="0"/>
            </w:tcBorders>
            <w:vAlign w:val="center"/>
          </w:tcPr>
          <w:p w14:paraId="6860570F">
            <w:pPr>
              <w:widowControl/>
              <w:jc w:val="left"/>
              <w:rPr>
                <w:rFonts w:ascii="宋体" w:hAnsi="宋体" w:cs="宋体"/>
                <w:kern w:val="0"/>
                <w:sz w:val="18"/>
                <w:szCs w:val="18"/>
              </w:rPr>
            </w:pPr>
            <w:r>
              <w:rPr>
                <w:rFonts w:hint="eastAsia" w:ascii="宋体" w:hAnsi="宋体" w:cs="宋体"/>
                <w:kern w:val="0"/>
                <w:sz w:val="18"/>
                <w:szCs w:val="18"/>
              </w:rPr>
              <w:t>2000≤Y＜30000</w:t>
            </w:r>
          </w:p>
        </w:tc>
        <w:tc>
          <w:tcPr>
            <w:tcW w:w="1549" w:type="dxa"/>
            <w:tcBorders>
              <w:top w:val="nil"/>
              <w:left w:val="nil"/>
              <w:bottom w:val="single" w:color="auto" w:sz="4" w:space="0"/>
              <w:right w:val="single" w:color="auto" w:sz="4" w:space="0"/>
            </w:tcBorders>
            <w:vAlign w:val="center"/>
          </w:tcPr>
          <w:p w14:paraId="1B5B5714">
            <w:pPr>
              <w:widowControl/>
              <w:jc w:val="left"/>
              <w:rPr>
                <w:rFonts w:ascii="宋体" w:hAnsi="宋体" w:cs="宋体"/>
                <w:kern w:val="0"/>
                <w:sz w:val="18"/>
                <w:szCs w:val="18"/>
              </w:rPr>
            </w:pPr>
            <w:r>
              <w:rPr>
                <w:rFonts w:hint="eastAsia" w:ascii="宋体" w:hAnsi="宋体" w:cs="宋体"/>
                <w:kern w:val="0"/>
                <w:sz w:val="18"/>
                <w:szCs w:val="18"/>
              </w:rPr>
              <w:t>100≤Y＜2000</w:t>
            </w:r>
          </w:p>
        </w:tc>
        <w:tc>
          <w:tcPr>
            <w:tcW w:w="996" w:type="dxa"/>
            <w:tcBorders>
              <w:top w:val="nil"/>
              <w:left w:val="nil"/>
              <w:bottom w:val="single" w:color="auto" w:sz="4" w:space="0"/>
              <w:right w:val="single" w:color="auto" w:sz="4" w:space="0"/>
            </w:tcBorders>
            <w:vAlign w:val="center"/>
          </w:tcPr>
          <w:p w14:paraId="3F89A259">
            <w:pPr>
              <w:widowControl/>
              <w:jc w:val="left"/>
              <w:rPr>
                <w:rFonts w:ascii="宋体" w:hAnsi="宋体" w:cs="宋体"/>
                <w:kern w:val="0"/>
                <w:sz w:val="18"/>
                <w:szCs w:val="18"/>
              </w:rPr>
            </w:pPr>
            <w:r>
              <w:rPr>
                <w:rFonts w:hint="eastAsia" w:ascii="宋体" w:hAnsi="宋体" w:cs="宋体"/>
                <w:kern w:val="0"/>
                <w:sz w:val="18"/>
                <w:szCs w:val="18"/>
              </w:rPr>
              <w:t>Y＜100</w:t>
            </w:r>
          </w:p>
        </w:tc>
      </w:tr>
      <w:tr w14:paraId="135D1E04">
        <w:tblPrEx>
          <w:tblCellMar>
            <w:top w:w="0" w:type="dxa"/>
            <w:left w:w="108" w:type="dxa"/>
            <w:bottom w:w="0" w:type="dxa"/>
            <w:right w:w="108" w:type="dxa"/>
          </w:tblCellMar>
        </w:tblPrEx>
        <w:trPr>
          <w:trHeight w:val="226" w:hRule="atLeast"/>
        </w:trPr>
        <w:tc>
          <w:tcPr>
            <w:tcW w:w="1831" w:type="dxa"/>
            <w:vMerge w:val="restart"/>
            <w:tcBorders>
              <w:top w:val="nil"/>
              <w:left w:val="single" w:color="auto" w:sz="4" w:space="0"/>
              <w:bottom w:val="single" w:color="auto" w:sz="4" w:space="0"/>
              <w:right w:val="single" w:color="auto" w:sz="4" w:space="0"/>
            </w:tcBorders>
            <w:vAlign w:val="bottom"/>
          </w:tcPr>
          <w:p w14:paraId="2FA62751">
            <w:pPr>
              <w:widowControl/>
              <w:jc w:val="center"/>
              <w:rPr>
                <w:rFonts w:ascii="宋体" w:hAnsi="宋体" w:cs="宋体"/>
                <w:b/>
                <w:bCs/>
                <w:kern w:val="0"/>
                <w:sz w:val="18"/>
                <w:szCs w:val="18"/>
              </w:rPr>
            </w:pPr>
            <w:r>
              <w:rPr>
                <w:rFonts w:hint="eastAsia" w:ascii="宋体" w:hAnsi="宋体" w:cs="宋体"/>
                <w:b/>
                <w:bCs/>
                <w:kern w:val="0"/>
                <w:sz w:val="18"/>
                <w:szCs w:val="18"/>
              </w:rPr>
              <w:t>住宿业</w:t>
            </w:r>
          </w:p>
        </w:tc>
        <w:tc>
          <w:tcPr>
            <w:tcW w:w="1489" w:type="dxa"/>
            <w:tcBorders>
              <w:top w:val="nil"/>
              <w:left w:val="nil"/>
              <w:bottom w:val="single" w:color="auto" w:sz="4" w:space="0"/>
              <w:right w:val="single" w:color="auto" w:sz="4" w:space="0"/>
            </w:tcBorders>
            <w:vAlign w:val="center"/>
          </w:tcPr>
          <w:p w14:paraId="1A2FC806">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83" w:type="dxa"/>
            <w:tcBorders>
              <w:top w:val="nil"/>
              <w:left w:val="nil"/>
              <w:bottom w:val="single" w:color="auto" w:sz="4" w:space="0"/>
              <w:right w:val="single" w:color="auto" w:sz="4" w:space="0"/>
            </w:tcBorders>
            <w:vAlign w:val="center"/>
          </w:tcPr>
          <w:p w14:paraId="79976A33">
            <w:pPr>
              <w:widowControl/>
              <w:jc w:val="left"/>
              <w:rPr>
                <w:rFonts w:ascii="宋体" w:hAnsi="宋体" w:cs="宋体"/>
                <w:kern w:val="0"/>
                <w:sz w:val="18"/>
                <w:szCs w:val="18"/>
              </w:rPr>
            </w:pPr>
            <w:r>
              <w:rPr>
                <w:rFonts w:hint="eastAsia" w:ascii="宋体" w:hAnsi="宋体" w:cs="宋体"/>
                <w:kern w:val="0"/>
                <w:sz w:val="18"/>
                <w:szCs w:val="18"/>
              </w:rPr>
              <w:t>人</w:t>
            </w:r>
          </w:p>
        </w:tc>
        <w:tc>
          <w:tcPr>
            <w:tcW w:w="1743" w:type="dxa"/>
            <w:tcBorders>
              <w:top w:val="nil"/>
              <w:left w:val="nil"/>
              <w:bottom w:val="single" w:color="auto" w:sz="4" w:space="0"/>
              <w:right w:val="single" w:color="auto" w:sz="4" w:space="0"/>
            </w:tcBorders>
            <w:vAlign w:val="center"/>
          </w:tcPr>
          <w:p w14:paraId="1ECA5AF6">
            <w:pPr>
              <w:widowControl/>
              <w:jc w:val="left"/>
              <w:rPr>
                <w:rFonts w:ascii="宋体" w:hAnsi="宋体" w:cs="宋体"/>
                <w:kern w:val="0"/>
                <w:sz w:val="18"/>
                <w:szCs w:val="18"/>
              </w:rPr>
            </w:pPr>
            <w:r>
              <w:rPr>
                <w:rFonts w:hint="eastAsia" w:ascii="宋体" w:hAnsi="宋体" w:cs="宋体"/>
                <w:kern w:val="0"/>
                <w:sz w:val="18"/>
                <w:szCs w:val="18"/>
              </w:rPr>
              <w:t>100≤X＜300</w:t>
            </w:r>
          </w:p>
        </w:tc>
        <w:tc>
          <w:tcPr>
            <w:tcW w:w="1549" w:type="dxa"/>
            <w:tcBorders>
              <w:top w:val="nil"/>
              <w:left w:val="nil"/>
              <w:bottom w:val="single" w:color="auto" w:sz="4" w:space="0"/>
              <w:right w:val="single" w:color="auto" w:sz="4" w:space="0"/>
            </w:tcBorders>
            <w:vAlign w:val="center"/>
          </w:tcPr>
          <w:p w14:paraId="144F1965">
            <w:pPr>
              <w:widowControl/>
              <w:jc w:val="left"/>
              <w:rPr>
                <w:rFonts w:ascii="宋体" w:hAnsi="宋体" w:cs="宋体"/>
                <w:kern w:val="0"/>
                <w:sz w:val="18"/>
                <w:szCs w:val="18"/>
              </w:rPr>
            </w:pPr>
            <w:r>
              <w:rPr>
                <w:rFonts w:hint="eastAsia" w:ascii="宋体" w:hAnsi="宋体" w:cs="宋体"/>
                <w:kern w:val="0"/>
                <w:sz w:val="18"/>
                <w:szCs w:val="18"/>
              </w:rPr>
              <w:t>10≤X＜100</w:t>
            </w:r>
          </w:p>
        </w:tc>
        <w:tc>
          <w:tcPr>
            <w:tcW w:w="996" w:type="dxa"/>
            <w:tcBorders>
              <w:top w:val="nil"/>
              <w:left w:val="nil"/>
              <w:bottom w:val="single" w:color="auto" w:sz="4" w:space="0"/>
              <w:right w:val="single" w:color="auto" w:sz="4" w:space="0"/>
            </w:tcBorders>
            <w:vAlign w:val="center"/>
          </w:tcPr>
          <w:p w14:paraId="152C468D">
            <w:pPr>
              <w:widowControl/>
              <w:jc w:val="left"/>
              <w:rPr>
                <w:rFonts w:ascii="宋体" w:hAnsi="宋体" w:cs="宋体"/>
                <w:kern w:val="0"/>
                <w:sz w:val="18"/>
                <w:szCs w:val="18"/>
              </w:rPr>
            </w:pPr>
            <w:r>
              <w:rPr>
                <w:rFonts w:hint="eastAsia" w:ascii="宋体" w:hAnsi="宋体" w:cs="宋体"/>
                <w:kern w:val="0"/>
                <w:sz w:val="18"/>
                <w:szCs w:val="18"/>
              </w:rPr>
              <w:t>X＜10</w:t>
            </w:r>
          </w:p>
        </w:tc>
      </w:tr>
      <w:tr w14:paraId="5240AEEB">
        <w:tblPrEx>
          <w:tblCellMar>
            <w:top w:w="0" w:type="dxa"/>
            <w:left w:w="108" w:type="dxa"/>
            <w:bottom w:w="0" w:type="dxa"/>
            <w:right w:w="108" w:type="dxa"/>
          </w:tblCellMar>
        </w:tblPrEx>
        <w:trPr>
          <w:trHeight w:val="226" w:hRule="atLeast"/>
        </w:trPr>
        <w:tc>
          <w:tcPr>
            <w:tcW w:w="1831" w:type="dxa"/>
            <w:vMerge w:val="continue"/>
            <w:tcBorders>
              <w:top w:val="nil"/>
              <w:left w:val="single" w:color="auto" w:sz="4" w:space="0"/>
              <w:bottom w:val="single" w:color="auto" w:sz="4" w:space="0"/>
              <w:right w:val="single" w:color="auto" w:sz="4" w:space="0"/>
            </w:tcBorders>
            <w:vAlign w:val="center"/>
          </w:tcPr>
          <w:p w14:paraId="03FB789B">
            <w:pPr>
              <w:widowControl/>
              <w:jc w:val="left"/>
              <w:rPr>
                <w:rFonts w:ascii="宋体" w:hAnsi="宋体" w:cs="宋体"/>
                <w:b/>
                <w:bCs/>
                <w:kern w:val="0"/>
                <w:sz w:val="18"/>
                <w:szCs w:val="18"/>
              </w:rPr>
            </w:pPr>
          </w:p>
        </w:tc>
        <w:tc>
          <w:tcPr>
            <w:tcW w:w="1489" w:type="dxa"/>
            <w:tcBorders>
              <w:top w:val="nil"/>
              <w:left w:val="nil"/>
              <w:bottom w:val="single" w:color="auto" w:sz="4" w:space="0"/>
              <w:right w:val="single" w:color="auto" w:sz="4" w:space="0"/>
            </w:tcBorders>
            <w:vAlign w:val="center"/>
          </w:tcPr>
          <w:p w14:paraId="5D0CBA4E">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83" w:type="dxa"/>
            <w:tcBorders>
              <w:top w:val="nil"/>
              <w:left w:val="nil"/>
              <w:bottom w:val="single" w:color="auto" w:sz="4" w:space="0"/>
              <w:right w:val="single" w:color="auto" w:sz="4" w:space="0"/>
            </w:tcBorders>
            <w:vAlign w:val="center"/>
          </w:tcPr>
          <w:p w14:paraId="61FC9AEA">
            <w:pPr>
              <w:widowControl/>
              <w:jc w:val="left"/>
              <w:rPr>
                <w:rFonts w:ascii="宋体" w:hAnsi="宋体" w:cs="宋体"/>
                <w:kern w:val="0"/>
                <w:sz w:val="18"/>
                <w:szCs w:val="18"/>
              </w:rPr>
            </w:pPr>
            <w:r>
              <w:rPr>
                <w:rFonts w:hint="eastAsia" w:ascii="宋体" w:hAnsi="宋体" w:cs="宋体"/>
                <w:kern w:val="0"/>
                <w:sz w:val="18"/>
                <w:szCs w:val="18"/>
              </w:rPr>
              <w:t>万元</w:t>
            </w:r>
          </w:p>
        </w:tc>
        <w:tc>
          <w:tcPr>
            <w:tcW w:w="1743" w:type="dxa"/>
            <w:tcBorders>
              <w:top w:val="nil"/>
              <w:left w:val="nil"/>
              <w:bottom w:val="single" w:color="auto" w:sz="4" w:space="0"/>
              <w:right w:val="single" w:color="auto" w:sz="4" w:space="0"/>
            </w:tcBorders>
            <w:vAlign w:val="center"/>
          </w:tcPr>
          <w:p w14:paraId="79DE254B">
            <w:pPr>
              <w:widowControl/>
              <w:jc w:val="left"/>
              <w:rPr>
                <w:rFonts w:ascii="宋体" w:hAnsi="宋体" w:cs="宋体"/>
                <w:kern w:val="0"/>
                <w:sz w:val="18"/>
                <w:szCs w:val="18"/>
              </w:rPr>
            </w:pPr>
            <w:r>
              <w:rPr>
                <w:rFonts w:hint="eastAsia" w:ascii="宋体" w:hAnsi="宋体" w:cs="宋体"/>
                <w:kern w:val="0"/>
                <w:sz w:val="18"/>
                <w:szCs w:val="18"/>
              </w:rPr>
              <w:t>2000≤Y＜10000</w:t>
            </w:r>
          </w:p>
        </w:tc>
        <w:tc>
          <w:tcPr>
            <w:tcW w:w="1549" w:type="dxa"/>
            <w:tcBorders>
              <w:top w:val="nil"/>
              <w:left w:val="nil"/>
              <w:bottom w:val="single" w:color="auto" w:sz="4" w:space="0"/>
              <w:right w:val="single" w:color="auto" w:sz="4" w:space="0"/>
            </w:tcBorders>
            <w:vAlign w:val="center"/>
          </w:tcPr>
          <w:p w14:paraId="06E27E36">
            <w:pPr>
              <w:widowControl/>
              <w:jc w:val="left"/>
              <w:rPr>
                <w:rFonts w:ascii="宋体" w:hAnsi="宋体" w:cs="宋体"/>
                <w:kern w:val="0"/>
                <w:sz w:val="18"/>
                <w:szCs w:val="18"/>
              </w:rPr>
            </w:pPr>
            <w:r>
              <w:rPr>
                <w:rFonts w:hint="eastAsia" w:ascii="宋体" w:hAnsi="宋体" w:cs="宋体"/>
                <w:kern w:val="0"/>
                <w:sz w:val="18"/>
                <w:szCs w:val="18"/>
              </w:rPr>
              <w:t>100≤Y＜2000</w:t>
            </w:r>
          </w:p>
        </w:tc>
        <w:tc>
          <w:tcPr>
            <w:tcW w:w="996" w:type="dxa"/>
            <w:tcBorders>
              <w:top w:val="nil"/>
              <w:left w:val="nil"/>
              <w:bottom w:val="single" w:color="auto" w:sz="4" w:space="0"/>
              <w:right w:val="single" w:color="auto" w:sz="4" w:space="0"/>
            </w:tcBorders>
            <w:vAlign w:val="center"/>
          </w:tcPr>
          <w:p w14:paraId="5AA3FD73">
            <w:pPr>
              <w:widowControl/>
              <w:jc w:val="left"/>
              <w:rPr>
                <w:rFonts w:ascii="宋体" w:hAnsi="宋体" w:cs="宋体"/>
                <w:kern w:val="0"/>
                <w:sz w:val="18"/>
                <w:szCs w:val="18"/>
              </w:rPr>
            </w:pPr>
            <w:r>
              <w:rPr>
                <w:rFonts w:hint="eastAsia" w:ascii="宋体" w:hAnsi="宋体" w:cs="宋体"/>
                <w:kern w:val="0"/>
                <w:sz w:val="18"/>
                <w:szCs w:val="18"/>
              </w:rPr>
              <w:t>Y＜100</w:t>
            </w:r>
          </w:p>
        </w:tc>
      </w:tr>
      <w:tr w14:paraId="1A41E395">
        <w:tblPrEx>
          <w:tblCellMar>
            <w:top w:w="0" w:type="dxa"/>
            <w:left w:w="108" w:type="dxa"/>
            <w:bottom w:w="0" w:type="dxa"/>
            <w:right w:w="108" w:type="dxa"/>
          </w:tblCellMar>
        </w:tblPrEx>
        <w:trPr>
          <w:trHeight w:val="226" w:hRule="atLeast"/>
        </w:trPr>
        <w:tc>
          <w:tcPr>
            <w:tcW w:w="1831" w:type="dxa"/>
            <w:vMerge w:val="restart"/>
            <w:tcBorders>
              <w:top w:val="nil"/>
              <w:left w:val="single" w:color="auto" w:sz="4" w:space="0"/>
              <w:bottom w:val="single" w:color="auto" w:sz="4" w:space="0"/>
              <w:right w:val="single" w:color="auto" w:sz="4" w:space="0"/>
            </w:tcBorders>
            <w:vAlign w:val="bottom"/>
          </w:tcPr>
          <w:p w14:paraId="3912B035">
            <w:pPr>
              <w:widowControl/>
              <w:jc w:val="center"/>
              <w:rPr>
                <w:rFonts w:ascii="宋体" w:hAnsi="宋体" w:cs="宋体"/>
                <w:b/>
                <w:bCs/>
                <w:kern w:val="0"/>
                <w:sz w:val="18"/>
                <w:szCs w:val="18"/>
              </w:rPr>
            </w:pPr>
            <w:r>
              <w:rPr>
                <w:rFonts w:hint="eastAsia" w:ascii="宋体" w:hAnsi="宋体" w:cs="宋体"/>
                <w:b/>
                <w:bCs/>
                <w:kern w:val="0"/>
                <w:sz w:val="18"/>
                <w:szCs w:val="18"/>
              </w:rPr>
              <w:t>餐饮业</w:t>
            </w:r>
          </w:p>
        </w:tc>
        <w:tc>
          <w:tcPr>
            <w:tcW w:w="1489" w:type="dxa"/>
            <w:tcBorders>
              <w:top w:val="nil"/>
              <w:left w:val="nil"/>
              <w:bottom w:val="single" w:color="auto" w:sz="4" w:space="0"/>
              <w:right w:val="single" w:color="auto" w:sz="4" w:space="0"/>
            </w:tcBorders>
            <w:vAlign w:val="center"/>
          </w:tcPr>
          <w:p w14:paraId="62F2B9A7">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83" w:type="dxa"/>
            <w:tcBorders>
              <w:top w:val="nil"/>
              <w:left w:val="nil"/>
              <w:bottom w:val="single" w:color="auto" w:sz="4" w:space="0"/>
              <w:right w:val="single" w:color="auto" w:sz="4" w:space="0"/>
            </w:tcBorders>
            <w:vAlign w:val="center"/>
          </w:tcPr>
          <w:p w14:paraId="668EFA36">
            <w:pPr>
              <w:widowControl/>
              <w:jc w:val="left"/>
              <w:rPr>
                <w:rFonts w:ascii="宋体" w:hAnsi="宋体" w:cs="宋体"/>
                <w:kern w:val="0"/>
                <w:sz w:val="18"/>
                <w:szCs w:val="18"/>
              </w:rPr>
            </w:pPr>
            <w:r>
              <w:rPr>
                <w:rFonts w:hint="eastAsia" w:ascii="宋体" w:hAnsi="宋体" w:cs="宋体"/>
                <w:kern w:val="0"/>
                <w:sz w:val="18"/>
                <w:szCs w:val="18"/>
              </w:rPr>
              <w:t>人</w:t>
            </w:r>
          </w:p>
        </w:tc>
        <w:tc>
          <w:tcPr>
            <w:tcW w:w="1743" w:type="dxa"/>
            <w:tcBorders>
              <w:top w:val="nil"/>
              <w:left w:val="nil"/>
              <w:bottom w:val="single" w:color="auto" w:sz="4" w:space="0"/>
              <w:right w:val="single" w:color="auto" w:sz="4" w:space="0"/>
            </w:tcBorders>
            <w:vAlign w:val="center"/>
          </w:tcPr>
          <w:p w14:paraId="53FC0404">
            <w:pPr>
              <w:widowControl/>
              <w:jc w:val="left"/>
              <w:rPr>
                <w:rFonts w:ascii="宋体" w:hAnsi="宋体" w:cs="宋体"/>
                <w:kern w:val="0"/>
                <w:sz w:val="18"/>
                <w:szCs w:val="18"/>
              </w:rPr>
            </w:pPr>
            <w:r>
              <w:rPr>
                <w:rFonts w:hint="eastAsia" w:ascii="宋体" w:hAnsi="宋体" w:cs="宋体"/>
                <w:kern w:val="0"/>
                <w:sz w:val="18"/>
                <w:szCs w:val="18"/>
              </w:rPr>
              <w:t>100≤X＜300</w:t>
            </w:r>
          </w:p>
        </w:tc>
        <w:tc>
          <w:tcPr>
            <w:tcW w:w="1549" w:type="dxa"/>
            <w:tcBorders>
              <w:top w:val="nil"/>
              <w:left w:val="nil"/>
              <w:bottom w:val="single" w:color="auto" w:sz="4" w:space="0"/>
              <w:right w:val="single" w:color="auto" w:sz="4" w:space="0"/>
            </w:tcBorders>
            <w:vAlign w:val="center"/>
          </w:tcPr>
          <w:p w14:paraId="1B276CA3">
            <w:pPr>
              <w:widowControl/>
              <w:jc w:val="left"/>
              <w:rPr>
                <w:rFonts w:ascii="宋体" w:hAnsi="宋体" w:cs="宋体"/>
                <w:kern w:val="0"/>
                <w:sz w:val="18"/>
                <w:szCs w:val="18"/>
              </w:rPr>
            </w:pPr>
            <w:r>
              <w:rPr>
                <w:rFonts w:hint="eastAsia" w:ascii="宋体" w:hAnsi="宋体" w:cs="宋体"/>
                <w:kern w:val="0"/>
                <w:sz w:val="18"/>
                <w:szCs w:val="18"/>
              </w:rPr>
              <w:t>10≤X＜100</w:t>
            </w:r>
          </w:p>
        </w:tc>
        <w:tc>
          <w:tcPr>
            <w:tcW w:w="996" w:type="dxa"/>
            <w:tcBorders>
              <w:top w:val="nil"/>
              <w:left w:val="nil"/>
              <w:bottom w:val="single" w:color="auto" w:sz="4" w:space="0"/>
              <w:right w:val="single" w:color="auto" w:sz="4" w:space="0"/>
            </w:tcBorders>
            <w:vAlign w:val="center"/>
          </w:tcPr>
          <w:p w14:paraId="4C154500">
            <w:pPr>
              <w:widowControl/>
              <w:jc w:val="left"/>
              <w:rPr>
                <w:rFonts w:ascii="宋体" w:hAnsi="宋体" w:cs="宋体"/>
                <w:kern w:val="0"/>
                <w:sz w:val="18"/>
                <w:szCs w:val="18"/>
              </w:rPr>
            </w:pPr>
            <w:r>
              <w:rPr>
                <w:rFonts w:hint="eastAsia" w:ascii="宋体" w:hAnsi="宋体" w:cs="宋体"/>
                <w:kern w:val="0"/>
                <w:sz w:val="18"/>
                <w:szCs w:val="18"/>
              </w:rPr>
              <w:t>X＜10</w:t>
            </w:r>
          </w:p>
        </w:tc>
      </w:tr>
      <w:tr w14:paraId="1564FA92">
        <w:tblPrEx>
          <w:tblCellMar>
            <w:top w:w="0" w:type="dxa"/>
            <w:left w:w="108" w:type="dxa"/>
            <w:bottom w:w="0" w:type="dxa"/>
            <w:right w:w="108" w:type="dxa"/>
          </w:tblCellMar>
        </w:tblPrEx>
        <w:trPr>
          <w:trHeight w:val="226" w:hRule="atLeast"/>
        </w:trPr>
        <w:tc>
          <w:tcPr>
            <w:tcW w:w="1831" w:type="dxa"/>
            <w:vMerge w:val="continue"/>
            <w:tcBorders>
              <w:top w:val="nil"/>
              <w:left w:val="single" w:color="auto" w:sz="4" w:space="0"/>
              <w:bottom w:val="single" w:color="auto" w:sz="4" w:space="0"/>
              <w:right w:val="single" w:color="auto" w:sz="4" w:space="0"/>
            </w:tcBorders>
            <w:vAlign w:val="center"/>
          </w:tcPr>
          <w:p w14:paraId="04F49C5F">
            <w:pPr>
              <w:widowControl/>
              <w:jc w:val="left"/>
              <w:rPr>
                <w:rFonts w:ascii="宋体" w:hAnsi="宋体" w:cs="宋体"/>
                <w:b/>
                <w:bCs/>
                <w:kern w:val="0"/>
                <w:sz w:val="18"/>
                <w:szCs w:val="18"/>
              </w:rPr>
            </w:pPr>
          </w:p>
        </w:tc>
        <w:tc>
          <w:tcPr>
            <w:tcW w:w="1489" w:type="dxa"/>
            <w:tcBorders>
              <w:top w:val="nil"/>
              <w:left w:val="nil"/>
              <w:bottom w:val="single" w:color="auto" w:sz="4" w:space="0"/>
              <w:right w:val="single" w:color="auto" w:sz="4" w:space="0"/>
            </w:tcBorders>
            <w:vAlign w:val="center"/>
          </w:tcPr>
          <w:p w14:paraId="197B138B">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83" w:type="dxa"/>
            <w:tcBorders>
              <w:top w:val="nil"/>
              <w:left w:val="nil"/>
              <w:bottom w:val="single" w:color="auto" w:sz="4" w:space="0"/>
              <w:right w:val="single" w:color="auto" w:sz="4" w:space="0"/>
            </w:tcBorders>
            <w:vAlign w:val="center"/>
          </w:tcPr>
          <w:p w14:paraId="21296830">
            <w:pPr>
              <w:widowControl/>
              <w:jc w:val="left"/>
              <w:rPr>
                <w:rFonts w:ascii="宋体" w:hAnsi="宋体" w:cs="宋体"/>
                <w:kern w:val="0"/>
                <w:sz w:val="18"/>
                <w:szCs w:val="18"/>
              </w:rPr>
            </w:pPr>
            <w:r>
              <w:rPr>
                <w:rFonts w:hint="eastAsia" w:ascii="宋体" w:hAnsi="宋体" w:cs="宋体"/>
                <w:kern w:val="0"/>
                <w:sz w:val="18"/>
                <w:szCs w:val="18"/>
              </w:rPr>
              <w:t>万元</w:t>
            </w:r>
          </w:p>
        </w:tc>
        <w:tc>
          <w:tcPr>
            <w:tcW w:w="1743" w:type="dxa"/>
            <w:tcBorders>
              <w:top w:val="nil"/>
              <w:left w:val="nil"/>
              <w:bottom w:val="single" w:color="auto" w:sz="4" w:space="0"/>
              <w:right w:val="single" w:color="auto" w:sz="4" w:space="0"/>
            </w:tcBorders>
            <w:vAlign w:val="center"/>
          </w:tcPr>
          <w:p w14:paraId="28832345">
            <w:pPr>
              <w:widowControl/>
              <w:jc w:val="left"/>
              <w:rPr>
                <w:rFonts w:ascii="宋体" w:hAnsi="宋体" w:cs="宋体"/>
                <w:kern w:val="0"/>
                <w:sz w:val="18"/>
                <w:szCs w:val="18"/>
              </w:rPr>
            </w:pPr>
            <w:r>
              <w:rPr>
                <w:rFonts w:hint="eastAsia" w:ascii="宋体" w:hAnsi="宋体" w:cs="宋体"/>
                <w:kern w:val="0"/>
                <w:sz w:val="18"/>
                <w:szCs w:val="18"/>
              </w:rPr>
              <w:t>2000≤Y＜10000</w:t>
            </w:r>
          </w:p>
        </w:tc>
        <w:tc>
          <w:tcPr>
            <w:tcW w:w="1549" w:type="dxa"/>
            <w:tcBorders>
              <w:top w:val="nil"/>
              <w:left w:val="nil"/>
              <w:bottom w:val="single" w:color="auto" w:sz="4" w:space="0"/>
              <w:right w:val="single" w:color="auto" w:sz="4" w:space="0"/>
            </w:tcBorders>
            <w:vAlign w:val="center"/>
          </w:tcPr>
          <w:p w14:paraId="4CA8E050">
            <w:pPr>
              <w:widowControl/>
              <w:jc w:val="left"/>
              <w:rPr>
                <w:rFonts w:ascii="宋体" w:hAnsi="宋体" w:cs="宋体"/>
                <w:kern w:val="0"/>
                <w:sz w:val="18"/>
                <w:szCs w:val="18"/>
              </w:rPr>
            </w:pPr>
            <w:r>
              <w:rPr>
                <w:rFonts w:hint="eastAsia" w:ascii="宋体" w:hAnsi="宋体" w:cs="宋体"/>
                <w:kern w:val="0"/>
                <w:sz w:val="18"/>
                <w:szCs w:val="18"/>
              </w:rPr>
              <w:t>100≤Y＜2000</w:t>
            </w:r>
          </w:p>
        </w:tc>
        <w:tc>
          <w:tcPr>
            <w:tcW w:w="996" w:type="dxa"/>
            <w:tcBorders>
              <w:top w:val="nil"/>
              <w:left w:val="nil"/>
              <w:bottom w:val="single" w:color="auto" w:sz="4" w:space="0"/>
              <w:right w:val="single" w:color="auto" w:sz="4" w:space="0"/>
            </w:tcBorders>
            <w:vAlign w:val="center"/>
          </w:tcPr>
          <w:p w14:paraId="2C33B8AB">
            <w:pPr>
              <w:widowControl/>
              <w:jc w:val="left"/>
              <w:rPr>
                <w:rFonts w:ascii="宋体" w:hAnsi="宋体" w:cs="宋体"/>
                <w:kern w:val="0"/>
                <w:sz w:val="18"/>
                <w:szCs w:val="18"/>
              </w:rPr>
            </w:pPr>
            <w:r>
              <w:rPr>
                <w:rFonts w:hint="eastAsia" w:ascii="宋体" w:hAnsi="宋体" w:cs="宋体"/>
                <w:kern w:val="0"/>
                <w:sz w:val="18"/>
                <w:szCs w:val="18"/>
              </w:rPr>
              <w:t>Y＜100</w:t>
            </w:r>
          </w:p>
        </w:tc>
      </w:tr>
      <w:tr w14:paraId="4639E3A4">
        <w:tblPrEx>
          <w:tblCellMar>
            <w:top w:w="0" w:type="dxa"/>
            <w:left w:w="108" w:type="dxa"/>
            <w:bottom w:w="0" w:type="dxa"/>
            <w:right w:w="108" w:type="dxa"/>
          </w:tblCellMar>
        </w:tblPrEx>
        <w:trPr>
          <w:trHeight w:val="226" w:hRule="atLeast"/>
        </w:trPr>
        <w:tc>
          <w:tcPr>
            <w:tcW w:w="1831" w:type="dxa"/>
            <w:vMerge w:val="restart"/>
            <w:tcBorders>
              <w:top w:val="nil"/>
              <w:left w:val="single" w:color="auto" w:sz="4" w:space="0"/>
              <w:bottom w:val="single" w:color="auto" w:sz="4" w:space="0"/>
              <w:right w:val="single" w:color="auto" w:sz="4" w:space="0"/>
            </w:tcBorders>
            <w:vAlign w:val="bottom"/>
          </w:tcPr>
          <w:p w14:paraId="078F24DD">
            <w:pPr>
              <w:widowControl/>
              <w:jc w:val="center"/>
              <w:rPr>
                <w:rFonts w:ascii="宋体" w:hAnsi="宋体" w:cs="宋体"/>
                <w:b/>
                <w:bCs/>
                <w:kern w:val="0"/>
                <w:sz w:val="18"/>
                <w:szCs w:val="18"/>
              </w:rPr>
            </w:pPr>
            <w:r>
              <w:rPr>
                <w:rFonts w:hint="eastAsia" w:ascii="宋体" w:hAnsi="宋体" w:cs="宋体"/>
                <w:b/>
                <w:bCs/>
                <w:kern w:val="0"/>
                <w:sz w:val="18"/>
                <w:szCs w:val="18"/>
              </w:rPr>
              <w:t>信息传输业</w:t>
            </w:r>
          </w:p>
        </w:tc>
        <w:tc>
          <w:tcPr>
            <w:tcW w:w="1489" w:type="dxa"/>
            <w:tcBorders>
              <w:top w:val="nil"/>
              <w:left w:val="nil"/>
              <w:bottom w:val="single" w:color="auto" w:sz="4" w:space="0"/>
              <w:right w:val="single" w:color="auto" w:sz="4" w:space="0"/>
            </w:tcBorders>
            <w:vAlign w:val="center"/>
          </w:tcPr>
          <w:p w14:paraId="7F049960">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83" w:type="dxa"/>
            <w:tcBorders>
              <w:top w:val="nil"/>
              <w:left w:val="nil"/>
              <w:bottom w:val="single" w:color="auto" w:sz="4" w:space="0"/>
              <w:right w:val="single" w:color="auto" w:sz="4" w:space="0"/>
            </w:tcBorders>
            <w:vAlign w:val="center"/>
          </w:tcPr>
          <w:p w14:paraId="6D8950FC">
            <w:pPr>
              <w:widowControl/>
              <w:jc w:val="left"/>
              <w:rPr>
                <w:rFonts w:ascii="宋体" w:hAnsi="宋体" w:cs="宋体"/>
                <w:kern w:val="0"/>
                <w:sz w:val="18"/>
                <w:szCs w:val="18"/>
              </w:rPr>
            </w:pPr>
            <w:r>
              <w:rPr>
                <w:rFonts w:hint="eastAsia" w:ascii="宋体" w:hAnsi="宋体" w:cs="宋体"/>
                <w:kern w:val="0"/>
                <w:sz w:val="18"/>
                <w:szCs w:val="18"/>
              </w:rPr>
              <w:t>人</w:t>
            </w:r>
          </w:p>
        </w:tc>
        <w:tc>
          <w:tcPr>
            <w:tcW w:w="1743" w:type="dxa"/>
            <w:tcBorders>
              <w:top w:val="nil"/>
              <w:left w:val="nil"/>
              <w:bottom w:val="single" w:color="auto" w:sz="4" w:space="0"/>
              <w:right w:val="single" w:color="auto" w:sz="4" w:space="0"/>
            </w:tcBorders>
            <w:vAlign w:val="center"/>
          </w:tcPr>
          <w:p w14:paraId="052A39DC">
            <w:pPr>
              <w:widowControl/>
              <w:jc w:val="left"/>
              <w:rPr>
                <w:rFonts w:ascii="宋体" w:hAnsi="宋体" w:cs="宋体"/>
                <w:kern w:val="0"/>
                <w:sz w:val="18"/>
                <w:szCs w:val="18"/>
              </w:rPr>
            </w:pPr>
            <w:r>
              <w:rPr>
                <w:rFonts w:hint="eastAsia" w:ascii="宋体" w:hAnsi="宋体" w:cs="宋体"/>
                <w:kern w:val="0"/>
                <w:sz w:val="18"/>
                <w:szCs w:val="18"/>
              </w:rPr>
              <w:t>100≤X＜2000</w:t>
            </w:r>
          </w:p>
        </w:tc>
        <w:tc>
          <w:tcPr>
            <w:tcW w:w="1549" w:type="dxa"/>
            <w:tcBorders>
              <w:top w:val="nil"/>
              <w:left w:val="nil"/>
              <w:bottom w:val="single" w:color="auto" w:sz="4" w:space="0"/>
              <w:right w:val="single" w:color="auto" w:sz="4" w:space="0"/>
            </w:tcBorders>
            <w:vAlign w:val="center"/>
          </w:tcPr>
          <w:p w14:paraId="2124AEF0">
            <w:pPr>
              <w:widowControl/>
              <w:jc w:val="left"/>
              <w:rPr>
                <w:rFonts w:ascii="宋体" w:hAnsi="宋体" w:cs="宋体"/>
                <w:kern w:val="0"/>
                <w:sz w:val="18"/>
                <w:szCs w:val="18"/>
              </w:rPr>
            </w:pPr>
            <w:r>
              <w:rPr>
                <w:rFonts w:hint="eastAsia" w:ascii="宋体" w:hAnsi="宋体" w:cs="宋体"/>
                <w:kern w:val="0"/>
                <w:sz w:val="18"/>
                <w:szCs w:val="18"/>
              </w:rPr>
              <w:t>10≤X＜100</w:t>
            </w:r>
          </w:p>
        </w:tc>
        <w:tc>
          <w:tcPr>
            <w:tcW w:w="996" w:type="dxa"/>
            <w:tcBorders>
              <w:top w:val="nil"/>
              <w:left w:val="nil"/>
              <w:bottom w:val="single" w:color="auto" w:sz="4" w:space="0"/>
              <w:right w:val="single" w:color="auto" w:sz="4" w:space="0"/>
            </w:tcBorders>
            <w:vAlign w:val="center"/>
          </w:tcPr>
          <w:p w14:paraId="3AC04FF8">
            <w:pPr>
              <w:widowControl/>
              <w:jc w:val="left"/>
              <w:rPr>
                <w:rFonts w:ascii="宋体" w:hAnsi="宋体" w:cs="宋体"/>
                <w:kern w:val="0"/>
                <w:sz w:val="18"/>
                <w:szCs w:val="18"/>
              </w:rPr>
            </w:pPr>
            <w:r>
              <w:rPr>
                <w:rFonts w:hint="eastAsia" w:ascii="宋体" w:hAnsi="宋体" w:cs="宋体"/>
                <w:kern w:val="0"/>
                <w:sz w:val="18"/>
                <w:szCs w:val="18"/>
              </w:rPr>
              <w:t>X＜10</w:t>
            </w:r>
          </w:p>
        </w:tc>
      </w:tr>
      <w:tr w14:paraId="5329B924">
        <w:tblPrEx>
          <w:tblCellMar>
            <w:top w:w="0" w:type="dxa"/>
            <w:left w:w="108" w:type="dxa"/>
            <w:bottom w:w="0" w:type="dxa"/>
            <w:right w:w="108" w:type="dxa"/>
          </w:tblCellMar>
        </w:tblPrEx>
        <w:trPr>
          <w:trHeight w:val="226" w:hRule="atLeast"/>
        </w:trPr>
        <w:tc>
          <w:tcPr>
            <w:tcW w:w="1831" w:type="dxa"/>
            <w:vMerge w:val="continue"/>
            <w:tcBorders>
              <w:top w:val="nil"/>
              <w:left w:val="single" w:color="auto" w:sz="4" w:space="0"/>
              <w:bottom w:val="single" w:color="auto" w:sz="4" w:space="0"/>
              <w:right w:val="single" w:color="auto" w:sz="4" w:space="0"/>
            </w:tcBorders>
            <w:vAlign w:val="center"/>
          </w:tcPr>
          <w:p w14:paraId="7212E0F7">
            <w:pPr>
              <w:widowControl/>
              <w:jc w:val="left"/>
              <w:rPr>
                <w:rFonts w:ascii="宋体" w:hAnsi="宋体" w:cs="宋体"/>
                <w:b/>
                <w:bCs/>
                <w:kern w:val="0"/>
                <w:sz w:val="18"/>
                <w:szCs w:val="18"/>
              </w:rPr>
            </w:pPr>
          </w:p>
        </w:tc>
        <w:tc>
          <w:tcPr>
            <w:tcW w:w="1489" w:type="dxa"/>
            <w:tcBorders>
              <w:top w:val="nil"/>
              <w:left w:val="nil"/>
              <w:bottom w:val="single" w:color="auto" w:sz="4" w:space="0"/>
              <w:right w:val="single" w:color="auto" w:sz="4" w:space="0"/>
            </w:tcBorders>
            <w:vAlign w:val="center"/>
          </w:tcPr>
          <w:p w14:paraId="6A2F94FA">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83" w:type="dxa"/>
            <w:tcBorders>
              <w:top w:val="nil"/>
              <w:left w:val="nil"/>
              <w:bottom w:val="single" w:color="auto" w:sz="4" w:space="0"/>
              <w:right w:val="single" w:color="auto" w:sz="4" w:space="0"/>
            </w:tcBorders>
            <w:vAlign w:val="center"/>
          </w:tcPr>
          <w:p w14:paraId="27894D26">
            <w:pPr>
              <w:widowControl/>
              <w:jc w:val="left"/>
              <w:rPr>
                <w:rFonts w:ascii="宋体" w:hAnsi="宋体" w:cs="宋体"/>
                <w:kern w:val="0"/>
                <w:sz w:val="18"/>
                <w:szCs w:val="18"/>
              </w:rPr>
            </w:pPr>
            <w:r>
              <w:rPr>
                <w:rFonts w:hint="eastAsia" w:ascii="宋体" w:hAnsi="宋体" w:cs="宋体"/>
                <w:kern w:val="0"/>
                <w:sz w:val="18"/>
                <w:szCs w:val="18"/>
              </w:rPr>
              <w:t>万元</w:t>
            </w:r>
          </w:p>
        </w:tc>
        <w:tc>
          <w:tcPr>
            <w:tcW w:w="1743" w:type="dxa"/>
            <w:tcBorders>
              <w:top w:val="nil"/>
              <w:left w:val="nil"/>
              <w:bottom w:val="single" w:color="auto" w:sz="4" w:space="0"/>
              <w:right w:val="single" w:color="auto" w:sz="4" w:space="0"/>
            </w:tcBorders>
            <w:vAlign w:val="center"/>
          </w:tcPr>
          <w:p w14:paraId="2A5B707F">
            <w:pPr>
              <w:widowControl/>
              <w:jc w:val="left"/>
              <w:rPr>
                <w:rFonts w:ascii="宋体" w:hAnsi="宋体" w:cs="宋体"/>
                <w:kern w:val="0"/>
                <w:sz w:val="18"/>
                <w:szCs w:val="18"/>
              </w:rPr>
            </w:pPr>
            <w:r>
              <w:rPr>
                <w:rFonts w:hint="eastAsia" w:ascii="宋体" w:hAnsi="宋体" w:cs="宋体"/>
                <w:kern w:val="0"/>
                <w:sz w:val="18"/>
                <w:szCs w:val="18"/>
              </w:rPr>
              <w:t>1000≤Y＜100000</w:t>
            </w:r>
          </w:p>
        </w:tc>
        <w:tc>
          <w:tcPr>
            <w:tcW w:w="1549" w:type="dxa"/>
            <w:tcBorders>
              <w:top w:val="nil"/>
              <w:left w:val="nil"/>
              <w:bottom w:val="single" w:color="auto" w:sz="4" w:space="0"/>
              <w:right w:val="single" w:color="auto" w:sz="4" w:space="0"/>
            </w:tcBorders>
            <w:vAlign w:val="center"/>
          </w:tcPr>
          <w:p w14:paraId="63E4F9F4">
            <w:pPr>
              <w:widowControl/>
              <w:jc w:val="left"/>
              <w:rPr>
                <w:rFonts w:ascii="宋体" w:hAnsi="宋体" w:cs="宋体"/>
                <w:kern w:val="0"/>
                <w:sz w:val="18"/>
                <w:szCs w:val="18"/>
              </w:rPr>
            </w:pPr>
            <w:r>
              <w:rPr>
                <w:rFonts w:hint="eastAsia" w:ascii="宋体" w:hAnsi="宋体" w:cs="宋体"/>
                <w:kern w:val="0"/>
                <w:sz w:val="18"/>
                <w:szCs w:val="18"/>
              </w:rPr>
              <w:t>100≤Y＜1000</w:t>
            </w:r>
          </w:p>
        </w:tc>
        <w:tc>
          <w:tcPr>
            <w:tcW w:w="996" w:type="dxa"/>
            <w:tcBorders>
              <w:top w:val="nil"/>
              <w:left w:val="nil"/>
              <w:bottom w:val="single" w:color="auto" w:sz="4" w:space="0"/>
              <w:right w:val="single" w:color="auto" w:sz="4" w:space="0"/>
            </w:tcBorders>
            <w:vAlign w:val="center"/>
          </w:tcPr>
          <w:p w14:paraId="40653EDB">
            <w:pPr>
              <w:widowControl/>
              <w:jc w:val="left"/>
              <w:rPr>
                <w:rFonts w:ascii="宋体" w:hAnsi="宋体" w:cs="宋体"/>
                <w:kern w:val="0"/>
                <w:sz w:val="18"/>
                <w:szCs w:val="18"/>
              </w:rPr>
            </w:pPr>
            <w:r>
              <w:rPr>
                <w:rFonts w:hint="eastAsia" w:ascii="宋体" w:hAnsi="宋体" w:cs="宋体"/>
                <w:kern w:val="0"/>
                <w:sz w:val="18"/>
                <w:szCs w:val="18"/>
              </w:rPr>
              <w:t>Y＜100</w:t>
            </w:r>
          </w:p>
        </w:tc>
      </w:tr>
      <w:tr w14:paraId="7836B591">
        <w:tblPrEx>
          <w:tblCellMar>
            <w:top w:w="0" w:type="dxa"/>
            <w:left w:w="108" w:type="dxa"/>
            <w:bottom w:w="0" w:type="dxa"/>
            <w:right w:w="108" w:type="dxa"/>
          </w:tblCellMar>
        </w:tblPrEx>
        <w:trPr>
          <w:trHeight w:val="226" w:hRule="atLeast"/>
        </w:trPr>
        <w:tc>
          <w:tcPr>
            <w:tcW w:w="1831" w:type="dxa"/>
            <w:vMerge w:val="restart"/>
            <w:tcBorders>
              <w:top w:val="nil"/>
              <w:left w:val="single" w:color="auto" w:sz="4" w:space="0"/>
              <w:bottom w:val="single" w:color="auto" w:sz="4" w:space="0"/>
              <w:right w:val="single" w:color="auto" w:sz="4" w:space="0"/>
            </w:tcBorders>
            <w:vAlign w:val="bottom"/>
          </w:tcPr>
          <w:p w14:paraId="3AEA6C5A">
            <w:pPr>
              <w:widowControl/>
              <w:jc w:val="center"/>
              <w:rPr>
                <w:rFonts w:ascii="宋体" w:hAnsi="宋体" w:cs="宋体"/>
                <w:b/>
                <w:bCs/>
                <w:kern w:val="0"/>
                <w:sz w:val="18"/>
                <w:szCs w:val="18"/>
              </w:rPr>
            </w:pPr>
            <w:r>
              <w:rPr>
                <w:rFonts w:hint="eastAsia" w:ascii="宋体" w:hAnsi="宋体" w:cs="宋体"/>
                <w:b/>
                <w:bCs/>
                <w:kern w:val="0"/>
                <w:sz w:val="18"/>
                <w:szCs w:val="18"/>
              </w:rPr>
              <w:t>软件和信息技术服务业</w:t>
            </w:r>
          </w:p>
        </w:tc>
        <w:tc>
          <w:tcPr>
            <w:tcW w:w="1489" w:type="dxa"/>
            <w:tcBorders>
              <w:top w:val="nil"/>
              <w:left w:val="nil"/>
              <w:bottom w:val="single" w:color="auto" w:sz="4" w:space="0"/>
              <w:right w:val="single" w:color="auto" w:sz="4" w:space="0"/>
            </w:tcBorders>
            <w:vAlign w:val="center"/>
          </w:tcPr>
          <w:p w14:paraId="5014FCD7">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83" w:type="dxa"/>
            <w:tcBorders>
              <w:top w:val="nil"/>
              <w:left w:val="nil"/>
              <w:bottom w:val="single" w:color="auto" w:sz="4" w:space="0"/>
              <w:right w:val="single" w:color="auto" w:sz="4" w:space="0"/>
            </w:tcBorders>
            <w:vAlign w:val="center"/>
          </w:tcPr>
          <w:p w14:paraId="59011240">
            <w:pPr>
              <w:widowControl/>
              <w:jc w:val="left"/>
              <w:rPr>
                <w:rFonts w:ascii="宋体" w:hAnsi="宋体" w:cs="宋体"/>
                <w:kern w:val="0"/>
                <w:sz w:val="18"/>
                <w:szCs w:val="18"/>
              </w:rPr>
            </w:pPr>
            <w:r>
              <w:rPr>
                <w:rFonts w:hint="eastAsia" w:ascii="宋体" w:hAnsi="宋体" w:cs="宋体"/>
                <w:kern w:val="0"/>
                <w:sz w:val="18"/>
                <w:szCs w:val="18"/>
              </w:rPr>
              <w:t>人</w:t>
            </w:r>
          </w:p>
        </w:tc>
        <w:tc>
          <w:tcPr>
            <w:tcW w:w="1743" w:type="dxa"/>
            <w:tcBorders>
              <w:top w:val="nil"/>
              <w:left w:val="nil"/>
              <w:bottom w:val="single" w:color="auto" w:sz="4" w:space="0"/>
              <w:right w:val="single" w:color="auto" w:sz="4" w:space="0"/>
            </w:tcBorders>
            <w:vAlign w:val="center"/>
          </w:tcPr>
          <w:p w14:paraId="0ADBE6DD">
            <w:pPr>
              <w:widowControl/>
              <w:jc w:val="left"/>
              <w:rPr>
                <w:rFonts w:ascii="宋体" w:hAnsi="宋体" w:cs="宋体"/>
                <w:kern w:val="0"/>
                <w:sz w:val="18"/>
                <w:szCs w:val="18"/>
              </w:rPr>
            </w:pPr>
            <w:r>
              <w:rPr>
                <w:rFonts w:hint="eastAsia" w:ascii="宋体" w:hAnsi="宋体" w:cs="宋体"/>
                <w:kern w:val="0"/>
                <w:sz w:val="18"/>
                <w:szCs w:val="18"/>
              </w:rPr>
              <w:t>100≤X＜300</w:t>
            </w:r>
          </w:p>
        </w:tc>
        <w:tc>
          <w:tcPr>
            <w:tcW w:w="1549" w:type="dxa"/>
            <w:tcBorders>
              <w:top w:val="nil"/>
              <w:left w:val="nil"/>
              <w:bottom w:val="single" w:color="auto" w:sz="4" w:space="0"/>
              <w:right w:val="single" w:color="auto" w:sz="4" w:space="0"/>
            </w:tcBorders>
            <w:vAlign w:val="center"/>
          </w:tcPr>
          <w:p w14:paraId="01F8477E">
            <w:pPr>
              <w:widowControl/>
              <w:jc w:val="left"/>
              <w:rPr>
                <w:rFonts w:ascii="宋体" w:hAnsi="宋体" w:cs="宋体"/>
                <w:kern w:val="0"/>
                <w:sz w:val="18"/>
                <w:szCs w:val="18"/>
              </w:rPr>
            </w:pPr>
            <w:r>
              <w:rPr>
                <w:rFonts w:hint="eastAsia" w:ascii="宋体" w:hAnsi="宋体" w:cs="宋体"/>
                <w:kern w:val="0"/>
                <w:sz w:val="18"/>
                <w:szCs w:val="18"/>
              </w:rPr>
              <w:t>10≤X＜100</w:t>
            </w:r>
          </w:p>
        </w:tc>
        <w:tc>
          <w:tcPr>
            <w:tcW w:w="996" w:type="dxa"/>
            <w:tcBorders>
              <w:top w:val="nil"/>
              <w:left w:val="nil"/>
              <w:bottom w:val="single" w:color="auto" w:sz="4" w:space="0"/>
              <w:right w:val="single" w:color="auto" w:sz="4" w:space="0"/>
            </w:tcBorders>
            <w:vAlign w:val="center"/>
          </w:tcPr>
          <w:p w14:paraId="29CBBF8C">
            <w:pPr>
              <w:widowControl/>
              <w:jc w:val="left"/>
              <w:rPr>
                <w:rFonts w:ascii="宋体" w:hAnsi="宋体" w:cs="宋体"/>
                <w:kern w:val="0"/>
                <w:sz w:val="18"/>
                <w:szCs w:val="18"/>
              </w:rPr>
            </w:pPr>
            <w:r>
              <w:rPr>
                <w:rFonts w:hint="eastAsia" w:ascii="宋体" w:hAnsi="宋体" w:cs="宋体"/>
                <w:kern w:val="0"/>
                <w:sz w:val="18"/>
                <w:szCs w:val="18"/>
              </w:rPr>
              <w:t>X＜10</w:t>
            </w:r>
          </w:p>
        </w:tc>
      </w:tr>
      <w:tr w14:paraId="2DADDE4C">
        <w:tblPrEx>
          <w:tblCellMar>
            <w:top w:w="0" w:type="dxa"/>
            <w:left w:w="108" w:type="dxa"/>
            <w:bottom w:w="0" w:type="dxa"/>
            <w:right w:w="108" w:type="dxa"/>
          </w:tblCellMar>
        </w:tblPrEx>
        <w:trPr>
          <w:trHeight w:val="226" w:hRule="atLeast"/>
        </w:trPr>
        <w:tc>
          <w:tcPr>
            <w:tcW w:w="1831" w:type="dxa"/>
            <w:vMerge w:val="continue"/>
            <w:tcBorders>
              <w:top w:val="nil"/>
              <w:left w:val="single" w:color="auto" w:sz="4" w:space="0"/>
              <w:bottom w:val="single" w:color="auto" w:sz="4" w:space="0"/>
              <w:right w:val="single" w:color="auto" w:sz="4" w:space="0"/>
            </w:tcBorders>
            <w:vAlign w:val="center"/>
          </w:tcPr>
          <w:p w14:paraId="2BCCF09A">
            <w:pPr>
              <w:widowControl/>
              <w:jc w:val="left"/>
              <w:rPr>
                <w:rFonts w:ascii="宋体" w:hAnsi="宋体" w:cs="宋体"/>
                <w:b/>
                <w:bCs/>
                <w:kern w:val="0"/>
                <w:sz w:val="18"/>
                <w:szCs w:val="18"/>
              </w:rPr>
            </w:pPr>
          </w:p>
        </w:tc>
        <w:tc>
          <w:tcPr>
            <w:tcW w:w="1489" w:type="dxa"/>
            <w:tcBorders>
              <w:top w:val="nil"/>
              <w:left w:val="nil"/>
              <w:bottom w:val="single" w:color="auto" w:sz="4" w:space="0"/>
              <w:right w:val="single" w:color="auto" w:sz="4" w:space="0"/>
            </w:tcBorders>
            <w:vAlign w:val="center"/>
          </w:tcPr>
          <w:p w14:paraId="716DF9F0">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83" w:type="dxa"/>
            <w:tcBorders>
              <w:top w:val="nil"/>
              <w:left w:val="nil"/>
              <w:bottom w:val="single" w:color="auto" w:sz="4" w:space="0"/>
              <w:right w:val="single" w:color="auto" w:sz="4" w:space="0"/>
            </w:tcBorders>
            <w:vAlign w:val="center"/>
          </w:tcPr>
          <w:p w14:paraId="7E3EC7FF">
            <w:pPr>
              <w:widowControl/>
              <w:jc w:val="left"/>
              <w:rPr>
                <w:rFonts w:ascii="宋体" w:hAnsi="宋体" w:cs="宋体"/>
                <w:kern w:val="0"/>
                <w:sz w:val="18"/>
                <w:szCs w:val="18"/>
              </w:rPr>
            </w:pPr>
            <w:r>
              <w:rPr>
                <w:rFonts w:hint="eastAsia" w:ascii="宋体" w:hAnsi="宋体" w:cs="宋体"/>
                <w:kern w:val="0"/>
                <w:sz w:val="18"/>
                <w:szCs w:val="18"/>
              </w:rPr>
              <w:t>万元</w:t>
            </w:r>
          </w:p>
        </w:tc>
        <w:tc>
          <w:tcPr>
            <w:tcW w:w="1743" w:type="dxa"/>
            <w:tcBorders>
              <w:top w:val="nil"/>
              <w:left w:val="nil"/>
              <w:bottom w:val="single" w:color="auto" w:sz="4" w:space="0"/>
              <w:right w:val="single" w:color="auto" w:sz="4" w:space="0"/>
            </w:tcBorders>
            <w:vAlign w:val="center"/>
          </w:tcPr>
          <w:p w14:paraId="4ED9F771">
            <w:pPr>
              <w:widowControl/>
              <w:jc w:val="left"/>
              <w:rPr>
                <w:rFonts w:ascii="宋体" w:hAnsi="宋体" w:cs="宋体"/>
                <w:kern w:val="0"/>
                <w:sz w:val="18"/>
                <w:szCs w:val="18"/>
              </w:rPr>
            </w:pPr>
            <w:r>
              <w:rPr>
                <w:rFonts w:hint="eastAsia" w:ascii="宋体" w:hAnsi="宋体" w:cs="宋体"/>
                <w:kern w:val="0"/>
                <w:sz w:val="18"/>
                <w:szCs w:val="18"/>
              </w:rPr>
              <w:t>1000≤Y＜10000</w:t>
            </w:r>
          </w:p>
        </w:tc>
        <w:tc>
          <w:tcPr>
            <w:tcW w:w="1549" w:type="dxa"/>
            <w:tcBorders>
              <w:top w:val="nil"/>
              <w:left w:val="nil"/>
              <w:bottom w:val="single" w:color="auto" w:sz="4" w:space="0"/>
              <w:right w:val="single" w:color="auto" w:sz="4" w:space="0"/>
            </w:tcBorders>
            <w:vAlign w:val="center"/>
          </w:tcPr>
          <w:p w14:paraId="3ECC89C9">
            <w:pPr>
              <w:widowControl/>
              <w:jc w:val="left"/>
              <w:rPr>
                <w:rFonts w:ascii="宋体" w:hAnsi="宋体" w:cs="宋体"/>
                <w:kern w:val="0"/>
                <w:sz w:val="18"/>
                <w:szCs w:val="18"/>
              </w:rPr>
            </w:pPr>
            <w:r>
              <w:rPr>
                <w:rFonts w:hint="eastAsia" w:ascii="宋体" w:hAnsi="宋体" w:cs="宋体"/>
                <w:kern w:val="0"/>
                <w:sz w:val="18"/>
                <w:szCs w:val="18"/>
              </w:rPr>
              <w:t>50≤Y＜1000</w:t>
            </w:r>
          </w:p>
        </w:tc>
        <w:tc>
          <w:tcPr>
            <w:tcW w:w="996" w:type="dxa"/>
            <w:tcBorders>
              <w:top w:val="nil"/>
              <w:left w:val="nil"/>
              <w:bottom w:val="single" w:color="auto" w:sz="4" w:space="0"/>
              <w:right w:val="single" w:color="auto" w:sz="4" w:space="0"/>
            </w:tcBorders>
            <w:vAlign w:val="center"/>
          </w:tcPr>
          <w:p w14:paraId="72C9D275">
            <w:pPr>
              <w:widowControl/>
              <w:jc w:val="left"/>
              <w:rPr>
                <w:rFonts w:ascii="宋体" w:hAnsi="宋体" w:cs="宋体"/>
                <w:kern w:val="0"/>
                <w:sz w:val="18"/>
                <w:szCs w:val="18"/>
              </w:rPr>
            </w:pPr>
            <w:r>
              <w:rPr>
                <w:rFonts w:hint="eastAsia" w:ascii="宋体" w:hAnsi="宋体" w:cs="宋体"/>
                <w:kern w:val="0"/>
                <w:sz w:val="18"/>
                <w:szCs w:val="18"/>
              </w:rPr>
              <w:t>Y＜50</w:t>
            </w:r>
          </w:p>
        </w:tc>
      </w:tr>
      <w:tr w14:paraId="025E02ED">
        <w:tblPrEx>
          <w:tblCellMar>
            <w:top w:w="0" w:type="dxa"/>
            <w:left w:w="108" w:type="dxa"/>
            <w:bottom w:w="0" w:type="dxa"/>
            <w:right w:w="108" w:type="dxa"/>
          </w:tblCellMar>
        </w:tblPrEx>
        <w:trPr>
          <w:trHeight w:val="226" w:hRule="atLeast"/>
        </w:trPr>
        <w:tc>
          <w:tcPr>
            <w:tcW w:w="1831" w:type="dxa"/>
            <w:vMerge w:val="restart"/>
            <w:tcBorders>
              <w:top w:val="nil"/>
              <w:left w:val="single" w:color="auto" w:sz="4" w:space="0"/>
              <w:bottom w:val="single" w:color="auto" w:sz="4" w:space="0"/>
              <w:right w:val="single" w:color="auto" w:sz="4" w:space="0"/>
            </w:tcBorders>
            <w:vAlign w:val="bottom"/>
          </w:tcPr>
          <w:p w14:paraId="631AE571">
            <w:pPr>
              <w:widowControl/>
              <w:jc w:val="center"/>
              <w:rPr>
                <w:rFonts w:ascii="宋体" w:hAnsi="宋体" w:cs="宋体"/>
                <w:b/>
                <w:bCs/>
                <w:kern w:val="0"/>
                <w:sz w:val="18"/>
                <w:szCs w:val="18"/>
              </w:rPr>
            </w:pPr>
            <w:r>
              <w:rPr>
                <w:rFonts w:hint="eastAsia" w:ascii="宋体" w:hAnsi="宋体" w:cs="宋体"/>
                <w:b/>
                <w:bCs/>
                <w:kern w:val="0"/>
                <w:sz w:val="18"/>
                <w:szCs w:val="18"/>
              </w:rPr>
              <w:t>房地产开发经营</w:t>
            </w:r>
          </w:p>
        </w:tc>
        <w:tc>
          <w:tcPr>
            <w:tcW w:w="1489" w:type="dxa"/>
            <w:tcBorders>
              <w:top w:val="nil"/>
              <w:left w:val="nil"/>
              <w:bottom w:val="single" w:color="auto" w:sz="4" w:space="0"/>
              <w:right w:val="single" w:color="auto" w:sz="4" w:space="0"/>
            </w:tcBorders>
            <w:vAlign w:val="center"/>
          </w:tcPr>
          <w:p w14:paraId="457E1A32">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83" w:type="dxa"/>
            <w:tcBorders>
              <w:top w:val="nil"/>
              <w:left w:val="nil"/>
              <w:bottom w:val="single" w:color="auto" w:sz="4" w:space="0"/>
              <w:right w:val="single" w:color="auto" w:sz="4" w:space="0"/>
            </w:tcBorders>
            <w:vAlign w:val="center"/>
          </w:tcPr>
          <w:p w14:paraId="6E9E3ED8">
            <w:pPr>
              <w:widowControl/>
              <w:jc w:val="left"/>
              <w:rPr>
                <w:rFonts w:ascii="宋体" w:hAnsi="宋体" w:cs="宋体"/>
                <w:kern w:val="0"/>
                <w:sz w:val="18"/>
                <w:szCs w:val="18"/>
              </w:rPr>
            </w:pPr>
            <w:r>
              <w:rPr>
                <w:rFonts w:hint="eastAsia" w:ascii="宋体" w:hAnsi="宋体" w:cs="宋体"/>
                <w:kern w:val="0"/>
                <w:sz w:val="18"/>
                <w:szCs w:val="18"/>
              </w:rPr>
              <w:t>万元</w:t>
            </w:r>
          </w:p>
        </w:tc>
        <w:tc>
          <w:tcPr>
            <w:tcW w:w="1743" w:type="dxa"/>
            <w:tcBorders>
              <w:top w:val="nil"/>
              <w:left w:val="nil"/>
              <w:bottom w:val="single" w:color="auto" w:sz="4" w:space="0"/>
              <w:right w:val="single" w:color="auto" w:sz="4" w:space="0"/>
            </w:tcBorders>
            <w:vAlign w:val="center"/>
          </w:tcPr>
          <w:p w14:paraId="3C463EE9">
            <w:pPr>
              <w:widowControl/>
              <w:jc w:val="left"/>
              <w:rPr>
                <w:rFonts w:ascii="宋体" w:hAnsi="宋体" w:cs="宋体"/>
                <w:kern w:val="0"/>
                <w:sz w:val="18"/>
                <w:szCs w:val="18"/>
              </w:rPr>
            </w:pPr>
            <w:r>
              <w:rPr>
                <w:rFonts w:hint="eastAsia" w:ascii="宋体" w:hAnsi="宋体" w:cs="宋体"/>
                <w:kern w:val="0"/>
                <w:sz w:val="18"/>
                <w:szCs w:val="18"/>
              </w:rPr>
              <w:t>1000≤Y＜200000</w:t>
            </w:r>
          </w:p>
        </w:tc>
        <w:tc>
          <w:tcPr>
            <w:tcW w:w="1549" w:type="dxa"/>
            <w:tcBorders>
              <w:top w:val="nil"/>
              <w:left w:val="nil"/>
              <w:bottom w:val="single" w:color="auto" w:sz="4" w:space="0"/>
              <w:right w:val="single" w:color="auto" w:sz="4" w:space="0"/>
            </w:tcBorders>
            <w:vAlign w:val="center"/>
          </w:tcPr>
          <w:p w14:paraId="6308AB81">
            <w:pPr>
              <w:widowControl/>
              <w:jc w:val="left"/>
              <w:rPr>
                <w:rFonts w:ascii="宋体" w:hAnsi="宋体" w:cs="宋体"/>
                <w:kern w:val="0"/>
                <w:sz w:val="18"/>
                <w:szCs w:val="18"/>
              </w:rPr>
            </w:pPr>
            <w:r>
              <w:rPr>
                <w:rFonts w:hint="eastAsia" w:ascii="宋体" w:hAnsi="宋体" w:cs="宋体"/>
                <w:kern w:val="0"/>
                <w:sz w:val="18"/>
                <w:szCs w:val="18"/>
              </w:rPr>
              <w:t>100≤X＜1000</w:t>
            </w:r>
          </w:p>
        </w:tc>
        <w:tc>
          <w:tcPr>
            <w:tcW w:w="996" w:type="dxa"/>
            <w:tcBorders>
              <w:top w:val="nil"/>
              <w:left w:val="nil"/>
              <w:bottom w:val="single" w:color="auto" w:sz="4" w:space="0"/>
              <w:right w:val="single" w:color="auto" w:sz="4" w:space="0"/>
            </w:tcBorders>
            <w:vAlign w:val="center"/>
          </w:tcPr>
          <w:p w14:paraId="11D5ABBA">
            <w:pPr>
              <w:widowControl/>
              <w:jc w:val="left"/>
              <w:rPr>
                <w:rFonts w:ascii="宋体" w:hAnsi="宋体" w:cs="宋体"/>
                <w:kern w:val="0"/>
                <w:sz w:val="18"/>
                <w:szCs w:val="18"/>
              </w:rPr>
            </w:pPr>
            <w:r>
              <w:rPr>
                <w:rFonts w:hint="eastAsia" w:ascii="宋体" w:hAnsi="宋体" w:cs="宋体"/>
                <w:kern w:val="0"/>
                <w:sz w:val="18"/>
                <w:szCs w:val="18"/>
              </w:rPr>
              <w:t>X＜100</w:t>
            </w:r>
          </w:p>
        </w:tc>
      </w:tr>
      <w:tr w14:paraId="23CBD427">
        <w:tblPrEx>
          <w:tblCellMar>
            <w:top w:w="0" w:type="dxa"/>
            <w:left w:w="108" w:type="dxa"/>
            <w:bottom w:w="0" w:type="dxa"/>
            <w:right w:w="108" w:type="dxa"/>
          </w:tblCellMar>
        </w:tblPrEx>
        <w:trPr>
          <w:trHeight w:val="226" w:hRule="atLeast"/>
        </w:trPr>
        <w:tc>
          <w:tcPr>
            <w:tcW w:w="1831" w:type="dxa"/>
            <w:vMerge w:val="continue"/>
            <w:tcBorders>
              <w:top w:val="nil"/>
              <w:left w:val="single" w:color="auto" w:sz="4" w:space="0"/>
              <w:bottom w:val="single" w:color="auto" w:sz="4" w:space="0"/>
              <w:right w:val="single" w:color="auto" w:sz="4" w:space="0"/>
            </w:tcBorders>
            <w:vAlign w:val="center"/>
          </w:tcPr>
          <w:p w14:paraId="56B9A69D">
            <w:pPr>
              <w:widowControl/>
              <w:jc w:val="left"/>
              <w:rPr>
                <w:rFonts w:ascii="宋体" w:hAnsi="宋体" w:cs="宋体"/>
                <w:b/>
                <w:bCs/>
                <w:kern w:val="0"/>
                <w:sz w:val="18"/>
                <w:szCs w:val="18"/>
              </w:rPr>
            </w:pPr>
          </w:p>
        </w:tc>
        <w:tc>
          <w:tcPr>
            <w:tcW w:w="1489" w:type="dxa"/>
            <w:tcBorders>
              <w:top w:val="nil"/>
              <w:left w:val="nil"/>
              <w:bottom w:val="single" w:color="auto" w:sz="4" w:space="0"/>
              <w:right w:val="single" w:color="auto" w:sz="4" w:space="0"/>
            </w:tcBorders>
            <w:vAlign w:val="center"/>
          </w:tcPr>
          <w:p w14:paraId="46170271">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83" w:type="dxa"/>
            <w:tcBorders>
              <w:top w:val="nil"/>
              <w:left w:val="nil"/>
              <w:bottom w:val="single" w:color="auto" w:sz="4" w:space="0"/>
              <w:right w:val="single" w:color="auto" w:sz="4" w:space="0"/>
            </w:tcBorders>
            <w:vAlign w:val="center"/>
          </w:tcPr>
          <w:p w14:paraId="43F63ADB">
            <w:pPr>
              <w:widowControl/>
              <w:jc w:val="left"/>
              <w:rPr>
                <w:rFonts w:ascii="宋体" w:hAnsi="宋体" w:cs="宋体"/>
                <w:kern w:val="0"/>
                <w:sz w:val="18"/>
                <w:szCs w:val="18"/>
              </w:rPr>
            </w:pPr>
            <w:r>
              <w:rPr>
                <w:rFonts w:hint="eastAsia" w:ascii="宋体" w:hAnsi="宋体" w:cs="宋体"/>
                <w:kern w:val="0"/>
                <w:sz w:val="18"/>
                <w:szCs w:val="18"/>
              </w:rPr>
              <w:t>万元</w:t>
            </w:r>
          </w:p>
        </w:tc>
        <w:tc>
          <w:tcPr>
            <w:tcW w:w="1743" w:type="dxa"/>
            <w:tcBorders>
              <w:top w:val="nil"/>
              <w:left w:val="nil"/>
              <w:bottom w:val="single" w:color="auto" w:sz="4" w:space="0"/>
              <w:right w:val="single" w:color="auto" w:sz="4" w:space="0"/>
            </w:tcBorders>
            <w:vAlign w:val="center"/>
          </w:tcPr>
          <w:p w14:paraId="7CC2546E">
            <w:pPr>
              <w:widowControl/>
              <w:jc w:val="left"/>
              <w:rPr>
                <w:rFonts w:ascii="宋体" w:hAnsi="宋体" w:cs="宋体"/>
                <w:kern w:val="0"/>
                <w:sz w:val="18"/>
                <w:szCs w:val="18"/>
              </w:rPr>
            </w:pPr>
            <w:r>
              <w:rPr>
                <w:rFonts w:hint="eastAsia" w:ascii="宋体" w:hAnsi="宋体" w:cs="宋体"/>
                <w:kern w:val="0"/>
                <w:sz w:val="18"/>
                <w:szCs w:val="18"/>
              </w:rPr>
              <w:t>5000≤Z＜10000</w:t>
            </w:r>
          </w:p>
        </w:tc>
        <w:tc>
          <w:tcPr>
            <w:tcW w:w="1549" w:type="dxa"/>
            <w:tcBorders>
              <w:top w:val="nil"/>
              <w:left w:val="nil"/>
              <w:bottom w:val="single" w:color="auto" w:sz="4" w:space="0"/>
              <w:right w:val="single" w:color="auto" w:sz="4" w:space="0"/>
            </w:tcBorders>
            <w:vAlign w:val="center"/>
          </w:tcPr>
          <w:p w14:paraId="4FF1F286">
            <w:pPr>
              <w:widowControl/>
              <w:jc w:val="left"/>
              <w:rPr>
                <w:rFonts w:ascii="宋体" w:hAnsi="宋体" w:cs="宋体"/>
                <w:kern w:val="0"/>
                <w:sz w:val="18"/>
                <w:szCs w:val="18"/>
              </w:rPr>
            </w:pPr>
            <w:r>
              <w:rPr>
                <w:rFonts w:hint="eastAsia" w:ascii="宋体" w:hAnsi="宋体" w:cs="宋体"/>
                <w:kern w:val="0"/>
                <w:sz w:val="18"/>
                <w:szCs w:val="18"/>
              </w:rPr>
              <w:t>2000≤Y＜5000</w:t>
            </w:r>
          </w:p>
        </w:tc>
        <w:tc>
          <w:tcPr>
            <w:tcW w:w="996" w:type="dxa"/>
            <w:tcBorders>
              <w:top w:val="nil"/>
              <w:left w:val="nil"/>
              <w:bottom w:val="single" w:color="auto" w:sz="4" w:space="0"/>
              <w:right w:val="single" w:color="auto" w:sz="4" w:space="0"/>
            </w:tcBorders>
            <w:vAlign w:val="center"/>
          </w:tcPr>
          <w:p w14:paraId="19CFC706">
            <w:pPr>
              <w:widowControl/>
              <w:jc w:val="left"/>
              <w:rPr>
                <w:rFonts w:ascii="宋体" w:hAnsi="宋体" w:cs="宋体"/>
                <w:kern w:val="0"/>
                <w:sz w:val="18"/>
                <w:szCs w:val="18"/>
              </w:rPr>
            </w:pPr>
            <w:r>
              <w:rPr>
                <w:rFonts w:hint="eastAsia" w:ascii="宋体" w:hAnsi="宋体" w:cs="宋体"/>
                <w:kern w:val="0"/>
                <w:sz w:val="18"/>
                <w:szCs w:val="18"/>
              </w:rPr>
              <w:t>Y＜2000</w:t>
            </w:r>
          </w:p>
        </w:tc>
      </w:tr>
      <w:tr w14:paraId="30C84417">
        <w:tblPrEx>
          <w:tblCellMar>
            <w:top w:w="0" w:type="dxa"/>
            <w:left w:w="108" w:type="dxa"/>
            <w:bottom w:w="0" w:type="dxa"/>
            <w:right w:w="108" w:type="dxa"/>
          </w:tblCellMar>
        </w:tblPrEx>
        <w:trPr>
          <w:trHeight w:val="226" w:hRule="atLeast"/>
        </w:trPr>
        <w:tc>
          <w:tcPr>
            <w:tcW w:w="1831" w:type="dxa"/>
            <w:vMerge w:val="restart"/>
            <w:tcBorders>
              <w:top w:val="nil"/>
              <w:left w:val="single" w:color="auto" w:sz="4" w:space="0"/>
              <w:bottom w:val="single" w:color="auto" w:sz="4" w:space="0"/>
              <w:right w:val="single" w:color="auto" w:sz="4" w:space="0"/>
            </w:tcBorders>
            <w:vAlign w:val="bottom"/>
          </w:tcPr>
          <w:p w14:paraId="1E392BD7">
            <w:pPr>
              <w:widowControl/>
              <w:jc w:val="center"/>
              <w:rPr>
                <w:rFonts w:ascii="宋体" w:hAnsi="宋体" w:cs="宋体"/>
                <w:b/>
                <w:bCs/>
                <w:kern w:val="0"/>
                <w:sz w:val="18"/>
                <w:szCs w:val="18"/>
              </w:rPr>
            </w:pPr>
            <w:r>
              <w:rPr>
                <w:rFonts w:hint="eastAsia" w:ascii="宋体" w:hAnsi="宋体" w:cs="宋体"/>
                <w:b/>
                <w:bCs/>
                <w:kern w:val="0"/>
                <w:sz w:val="18"/>
                <w:szCs w:val="18"/>
              </w:rPr>
              <w:t>物业管理</w:t>
            </w:r>
          </w:p>
        </w:tc>
        <w:tc>
          <w:tcPr>
            <w:tcW w:w="1489" w:type="dxa"/>
            <w:tcBorders>
              <w:top w:val="nil"/>
              <w:left w:val="nil"/>
              <w:bottom w:val="single" w:color="auto" w:sz="4" w:space="0"/>
              <w:right w:val="single" w:color="auto" w:sz="4" w:space="0"/>
            </w:tcBorders>
            <w:vAlign w:val="center"/>
          </w:tcPr>
          <w:p w14:paraId="377652EB">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83" w:type="dxa"/>
            <w:tcBorders>
              <w:top w:val="nil"/>
              <w:left w:val="nil"/>
              <w:bottom w:val="single" w:color="auto" w:sz="4" w:space="0"/>
              <w:right w:val="single" w:color="auto" w:sz="4" w:space="0"/>
            </w:tcBorders>
            <w:vAlign w:val="center"/>
          </w:tcPr>
          <w:p w14:paraId="0E3B40AA">
            <w:pPr>
              <w:widowControl/>
              <w:jc w:val="left"/>
              <w:rPr>
                <w:rFonts w:ascii="宋体" w:hAnsi="宋体" w:cs="宋体"/>
                <w:kern w:val="0"/>
                <w:sz w:val="18"/>
                <w:szCs w:val="18"/>
              </w:rPr>
            </w:pPr>
            <w:r>
              <w:rPr>
                <w:rFonts w:hint="eastAsia" w:ascii="宋体" w:hAnsi="宋体" w:cs="宋体"/>
                <w:kern w:val="0"/>
                <w:sz w:val="18"/>
                <w:szCs w:val="18"/>
              </w:rPr>
              <w:t>人</w:t>
            </w:r>
          </w:p>
        </w:tc>
        <w:tc>
          <w:tcPr>
            <w:tcW w:w="1743" w:type="dxa"/>
            <w:tcBorders>
              <w:top w:val="nil"/>
              <w:left w:val="nil"/>
              <w:bottom w:val="single" w:color="auto" w:sz="4" w:space="0"/>
              <w:right w:val="single" w:color="auto" w:sz="4" w:space="0"/>
            </w:tcBorders>
            <w:vAlign w:val="center"/>
          </w:tcPr>
          <w:p w14:paraId="05801C15">
            <w:pPr>
              <w:widowControl/>
              <w:jc w:val="left"/>
              <w:rPr>
                <w:rFonts w:ascii="宋体" w:hAnsi="宋体" w:cs="宋体"/>
                <w:kern w:val="0"/>
                <w:sz w:val="18"/>
                <w:szCs w:val="18"/>
              </w:rPr>
            </w:pPr>
            <w:r>
              <w:rPr>
                <w:rFonts w:hint="eastAsia" w:ascii="宋体" w:hAnsi="宋体" w:cs="宋体"/>
                <w:kern w:val="0"/>
                <w:sz w:val="18"/>
                <w:szCs w:val="18"/>
              </w:rPr>
              <w:t>300≤X＜1000</w:t>
            </w:r>
          </w:p>
        </w:tc>
        <w:tc>
          <w:tcPr>
            <w:tcW w:w="1549" w:type="dxa"/>
            <w:tcBorders>
              <w:top w:val="nil"/>
              <w:left w:val="nil"/>
              <w:bottom w:val="single" w:color="auto" w:sz="4" w:space="0"/>
              <w:right w:val="single" w:color="auto" w:sz="4" w:space="0"/>
            </w:tcBorders>
            <w:vAlign w:val="center"/>
          </w:tcPr>
          <w:p w14:paraId="4046055D">
            <w:pPr>
              <w:widowControl/>
              <w:jc w:val="left"/>
              <w:rPr>
                <w:rFonts w:ascii="宋体" w:hAnsi="宋体" w:cs="宋体"/>
                <w:kern w:val="0"/>
                <w:sz w:val="18"/>
                <w:szCs w:val="18"/>
              </w:rPr>
            </w:pPr>
            <w:r>
              <w:rPr>
                <w:rFonts w:hint="eastAsia" w:ascii="宋体" w:hAnsi="宋体" w:cs="宋体"/>
                <w:kern w:val="0"/>
                <w:sz w:val="18"/>
                <w:szCs w:val="18"/>
              </w:rPr>
              <w:t>100≤X＜300</w:t>
            </w:r>
          </w:p>
        </w:tc>
        <w:tc>
          <w:tcPr>
            <w:tcW w:w="996" w:type="dxa"/>
            <w:tcBorders>
              <w:top w:val="nil"/>
              <w:left w:val="nil"/>
              <w:bottom w:val="single" w:color="auto" w:sz="4" w:space="0"/>
              <w:right w:val="single" w:color="auto" w:sz="4" w:space="0"/>
            </w:tcBorders>
            <w:vAlign w:val="center"/>
          </w:tcPr>
          <w:p w14:paraId="7848993D">
            <w:pPr>
              <w:widowControl/>
              <w:jc w:val="left"/>
              <w:rPr>
                <w:rFonts w:ascii="宋体" w:hAnsi="宋体" w:cs="宋体"/>
                <w:kern w:val="0"/>
                <w:sz w:val="18"/>
                <w:szCs w:val="18"/>
              </w:rPr>
            </w:pPr>
            <w:r>
              <w:rPr>
                <w:rFonts w:hint="eastAsia" w:ascii="宋体" w:hAnsi="宋体" w:cs="宋体"/>
                <w:kern w:val="0"/>
                <w:sz w:val="18"/>
                <w:szCs w:val="18"/>
              </w:rPr>
              <w:t>X＜100</w:t>
            </w:r>
          </w:p>
        </w:tc>
      </w:tr>
      <w:tr w14:paraId="23A0D1AE">
        <w:tblPrEx>
          <w:tblCellMar>
            <w:top w:w="0" w:type="dxa"/>
            <w:left w:w="108" w:type="dxa"/>
            <w:bottom w:w="0" w:type="dxa"/>
            <w:right w:w="108" w:type="dxa"/>
          </w:tblCellMar>
        </w:tblPrEx>
        <w:trPr>
          <w:trHeight w:val="226" w:hRule="atLeast"/>
        </w:trPr>
        <w:tc>
          <w:tcPr>
            <w:tcW w:w="1831" w:type="dxa"/>
            <w:vMerge w:val="continue"/>
            <w:tcBorders>
              <w:top w:val="nil"/>
              <w:left w:val="single" w:color="auto" w:sz="4" w:space="0"/>
              <w:bottom w:val="single" w:color="auto" w:sz="4" w:space="0"/>
              <w:right w:val="single" w:color="auto" w:sz="4" w:space="0"/>
            </w:tcBorders>
            <w:vAlign w:val="center"/>
          </w:tcPr>
          <w:p w14:paraId="3A588B9B">
            <w:pPr>
              <w:widowControl/>
              <w:jc w:val="left"/>
              <w:rPr>
                <w:rFonts w:ascii="宋体" w:hAnsi="宋体" w:cs="宋体"/>
                <w:b/>
                <w:bCs/>
                <w:kern w:val="0"/>
                <w:sz w:val="18"/>
                <w:szCs w:val="18"/>
              </w:rPr>
            </w:pPr>
          </w:p>
        </w:tc>
        <w:tc>
          <w:tcPr>
            <w:tcW w:w="1489" w:type="dxa"/>
            <w:tcBorders>
              <w:top w:val="nil"/>
              <w:left w:val="nil"/>
              <w:bottom w:val="single" w:color="auto" w:sz="4" w:space="0"/>
              <w:right w:val="single" w:color="auto" w:sz="4" w:space="0"/>
            </w:tcBorders>
            <w:vAlign w:val="center"/>
          </w:tcPr>
          <w:p w14:paraId="1F28CF3B">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83" w:type="dxa"/>
            <w:tcBorders>
              <w:top w:val="nil"/>
              <w:left w:val="nil"/>
              <w:bottom w:val="single" w:color="auto" w:sz="4" w:space="0"/>
              <w:right w:val="single" w:color="auto" w:sz="4" w:space="0"/>
            </w:tcBorders>
            <w:vAlign w:val="center"/>
          </w:tcPr>
          <w:p w14:paraId="0D774176">
            <w:pPr>
              <w:widowControl/>
              <w:jc w:val="left"/>
              <w:rPr>
                <w:rFonts w:ascii="宋体" w:hAnsi="宋体" w:cs="宋体"/>
                <w:kern w:val="0"/>
                <w:sz w:val="18"/>
                <w:szCs w:val="18"/>
              </w:rPr>
            </w:pPr>
            <w:r>
              <w:rPr>
                <w:rFonts w:hint="eastAsia" w:ascii="宋体" w:hAnsi="宋体" w:cs="宋体"/>
                <w:kern w:val="0"/>
                <w:sz w:val="18"/>
                <w:szCs w:val="18"/>
              </w:rPr>
              <w:t>万元</w:t>
            </w:r>
          </w:p>
        </w:tc>
        <w:tc>
          <w:tcPr>
            <w:tcW w:w="1743" w:type="dxa"/>
            <w:tcBorders>
              <w:top w:val="nil"/>
              <w:left w:val="nil"/>
              <w:bottom w:val="single" w:color="auto" w:sz="4" w:space="0"/>
              <w:right w:val="single" w:color="auto" w:sz="4" w:space="0"/>
            </w:tcBorders>
            <w:vAlign w:val="center"/>
          </w:tcPr>
          <w:p w14:paraId="465FC198">
            <w:pPr>
              <w:widowControl/>
              <w:jc w:val="left"/>
              <w:rPr>
                <w:rFonts w:ascii="宋体" w:hAnsi="宋体" w:cs="宋体"/>
                <w:kern w:val="0"/>
                <w:sz w:val="18"/>
                <w:szCs w:val="18"/>
              </w:rPr>
            </w:pPr>
            <w:r>
              <w:rPr>
                <w:rFonts w:hint="eastAsia" w:ascii="宋体" w:hAnsi="宋体" w:cs="宋体"/>
                <w:kern w:val="0"/>
                <w:sz w:val="18"/>
                <w:szCs w:val="18"/>
              </w:rPr>
              <w:t>1000≤Y＜5000</w:t>
            </w:r>
          </w:p>
        </w:tc>
        <w:tc>
          <w:tcPr>
            <w:tcW w:w="1549" w:type="dxa"/>
            <w:tcBorders>
              <w:top w:val="nil"/>
              <w:left w:val="nil"/>
              <w:bottom w:val="single" w:color="auto" w:sz="4" w:space="0"/>
              <w:right w:val="single" w:color="auto" w:sz="4" w:space="0"/>
            </w:tcBorders>
            <w:vAlign w:val="center"/>
          </w:tcPr>
          <w:p w14:paraId="7A6988EE">
            <w:pPr>
              <w:widowControl/>
              <w:jc w:val="left"/>
              <w:rPr>
                <w:rFonts w:ascii="宋体" w:hAnsi="宋体" w:cs="宋体"/>
                <w:kern w:val="0"/>
                <w:sz w:val="18"/>
                <w:szCs w:val="18"/>
              </w:rPr>
            </w:pPr>
            <w:r>
              <w:rPr>
                <w:rFonts w:hint="eastAsia" w:ascii="宋体" w:hAnsi="宋体" w:cs="宋体"/>
                <w:kern w:val="0"/>
                <w:sz w:val="18"/>
                <w:szCs w:val="18"/>
              </w:rPr>
              <w:t>500≤Y＜1000</w:t>
            </w:r>
          </w:p>
        </w:tc>
        <w:tc>
          <w:tcPr>
            <w:tcW w:w="996" w:type="dxa"/>
            <w:tcBorders>
              <w:top w:val="nil"/>
              <w:left w:val="nil"/>
              <w:bottom w:val="single" w:color="auto" w:sz="4" w:space="0"/>
              <w:right w:val="single" w:color="auto" w:sz="4" w:space="0"/>
            </w:tcBorders>
            <w:vAlign w:val="center"/>
          </w:tcPr>
          <w:p w14:paraId="476B6C44">
            <w:pPr>
              <w:widowControl/>
              <w:jc w:val="left"/>
              <w:rPr>
                <w:rFonts w:ascii="宋体" w:hAnsi="宋体" w:cs="宋体"/>
                <w:kern w:val="0"/>
                <w:sz w:val="18"/>
                <w:szCs w:val="18"/>
              </w:rPr>
            </w:pPr>
            <w:r>
              <w:rPr>
                <w:rFonts w:hint="eastAsia" w:ascii="宋体" w:hAnsi="宋体" w:cs="宋体"/>
                <w:kern w:val="0"/>
                <w:sz w:val="18"/>
                <w:szCs w:val="18"/>
              </w:rPr>
              <w:t>Y＜500</w:t>
            </w:r>
          </w:p>
        </w:tc>
      </w:tr>
      <w:tr w14:paraId="5E937040">
        <w:tblPrEx>
          <w:tblCellMar>
            <w:top w:w="0" w:type="dxa"/>
            <w:left w:w="108" w:type="dxa"/>
            <w:bottom w:w="0" w:type="dxa"/>
            <w:right w:w="108" w:type="dxa"/>
          </w:tblCellMar>
        </w:tblPrEx>
        <w:trPr>
          <w:trHeight w:val="226" w:hRule="atLeast"/>
        </w:trPr>
        <w:tc>
          <w:tcPr>
            <w:tcW w:w="1831" w:type="dxa"/>
            <w:vMerge w:val="restart"/>
            <w:tcBorders>
              <w:top w:val="nil"/>
              <w:left w:val="single" w:color="auto" w:sz="4" w:space="0"/>
              <w:bottom w:val="single" w:color="auto" w:sz="4" w:space="0"/>
              <w:right w:val="single" w:color="auto" w:sz="4" w:space="0"/>
            </w:tcBorders>
            <w:vAlign w:val="bottom"/>
          </w:tcPr>
          <w:p w14:paraId="66C2885B">
            <w:pPr>
              <w:widowControl/>
              <w:jc w:val="center"/>
              <w:rPr>
                <w:rFonts w:ascii="宋体" w:hAnsi="宋体" w:cs="宋体"/>
                <w:b/>
                <w:bCs/>
                <w:kern w:val="0"/>
                <w:sz w:val="18"/>
                <w:szCs w:val="18"/>
              </w:rPr>
            </w:pPr>
            <w:r>
              <w:rPr>
                <w:rFonts w:hint="eastAsia" w:ascii="宋体" w:hAnsi="宋体" w:cs="宋体"/>
                <w:b/>
                <w:bCs/>
                <w:kern w:val="0"/>
                <w:sz w:val="18"/>
                <w:szCs w:val="18"/>
              </w:rPr>
              <w:t>租赁和商务服务业</w:t>
            </w:r>
          </w:p>
        </w:tc>
        <w:tc>
          <w:tcPr>
            <w:tcW w:w="1489" w:type="dxa"/>
            <w:tcBorders>
              <w:top w:val="nil"/>
              <w:left w:val="nil"/>
              <w:bottom w:val="single" w:color="auto" w:sz="4" w:space="0"/>
              <w:right w:val="single" w:color="auto" w:sz="4" w:space="0"/>
            </w:tcBorders>
            <w:vAlign w:val="center"/>
          </w:tcPr>
          <w:p w14:paraId="01F3073E">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83" w:type="dxa"/>
            <w:tcBorders>
              <w:top w:val="nil"/>
              <w:left w:val="nil"/>
              <w:bottom w:val="single" w:color="auto" w:sz="4" w:space="0"/>
              <w:right w:val="single" w:color="auto" w:sz="4" w:space="0"/>
            </w:tcBorders>
            <w:vAlign w:val="center"/>
          </w:tcPr>
          <w:p w14:paraId="4F40F1F8">
            <w:pPr>
              <w:widowControl/>
              <w:jc w:val="left"/>
              <w:rPr>
                <w:rFonts w:ascii="宋体" w:hAnsi="宋体" w:cs="宋体"/>
                <w:kern w:val="0"/>
                <w:sz w:val="18"/>
                <w:szCs w:val="18"/>
              </w:rPr>
            </w:pPr>
            <w:r>
              <w:rPr>
                <w:rFonts w:hint="eastAsia" w:ascii="宋体" w:hAnsi="宋体" w:cs="宋体"/>
                <w:kern w:val="0"/>
                <w:sz w:val="18"/>
                <w:szCs w:val="18"/>
              </w:rPr>
              <w:t>人</w:t>
            </w:r>
          </w:p>
        </w:tc>
        <w:tc>
          <w:tcPr>
            <w:tcW w:w="1743" w:type="dxa"/>
            <w:tcBorders>
              <w:top w:val="nil"/>
              <w:left w:val="nil"/>
              <w:bottom w:val="single" w:color="auto" w:sz="4" w:space="0"/>
              <w:right w:val="single" w:color="auto" w:sz="4" w:space="0"/>
            </w:tcBorders>
            <w:vAlign w:val="center"/>
          </w:tcPr>
          <w:p w14:paraId="3AECC97E">
            <w:pPr>
              <w:widowControl/>
              <w:jc w:val="left"/>
              <w:rPr>
                <w:rFonts w:ascii="宋体" w:hAnsi="宋体" w:cs="宋体"/>
                <w:kern w:val="0"/>
                <w:sz w:val="18"/>
                <w:szCs w:val="18"/>
              </w:rPr>
            </w:pPr>
            <w:r>
              <w:rPr>
                <w:rFonts w:hint="eastAsia" w:ascii="宋体" w:hAnsi="宋体" w:cs="宋体"/>
                <w:kern w:val="0"/>
                <w:sz w:val="18"/>
                <w:szCs w:val="18"/>
              </w:rPr>
              <w:t>100≤X＜300</w:t>
            </w:r>
          </w:p>
        </w:tc>
        <w:tc>
          <w:tcPr>
            <w:tcW w:w="1549" w:type="dxa"/>
            <w:tcBorders>
              <w:top w:val="nil"/>
              <w:left w:val="nil"/>
              <w:bottom w:val="single" w:color="auto" w:sz="4" w:space="0"/>
              <w:right w:val="single" w:color="auto" w:sz="4" w:space="0"/>
            </w:tcBorders>
            <w:vAlign w:val="center"/>
          </w:tcPr>
          <w:p w14:paraId="36EADF85">
            <w:pPr>
              <w:widowControl/>
              <w:jc w:val="left"/>
              <w:rPr>
                <w:rFonts w:ascii="宋体" w:hAnsi="宋体" w:cs="宋体"/>
                <w:kern w:val="0"/>
                <w:sz w:val="18"/>
                <w:szCs w:val="18"/>
              </w:rPr>
            </w:pPr>
            <w:r>
              <w:rPr>
                <w:rFonts w:hint="eastAsia" w:ascii="宋体" w:hAnsi="宋体" w:cs="宋体"/>
                <w:kern w:val="0"/>
                <w:sz w:val="18"/>
                <w:szCs w:val="18"/>
              </w:rPr>
              <w:t>10≤X＜100</w:t>
            </w:r>
          </w:p>
        </w:tc>
        <w:tc>
          <w:tcPr>
            <w:tcW w:w="996" w:type="dxa"/>
            <w:tcBorders>
              <w:top w:val="nil"/>
              <w:left w:val="nil"/>
              <w:bottom w:val="single" w:color="auto" w:sz="4" w:space="0"/>
              <w:right w:val="single" w:color="auto" w:sz="4" w:space="0"/>
            </w:tcBorders>
            <w:vAlign w:val="center"/>
          </w:tcPr>
          <w:p w14:paraId="5253018C">
            <w:pPr>
              <w:widowControl/>
              <w:jc w:val="left"/>
              <w:rPr>
                <w:rFonts w:ascii="宋体" w:hAnsi="宋体" w:cs="宋体"/>
                <w:kern w:val="0"/>
                <w:sz w:val="18"/>
                <w:szCs w:val="18"/>
              </w:rPr>
            </w:pPr>
            <w:r>
              <w:rPr>
                <w:rFonts w:hint="eastAsia" w:ascii="宋体" w:hAnsi="宋体" w:cs="宋体"/>
                <w:kern w:val="0"/>
                <w:sz w:val="18"/>
                <w:szCs w:val="18"/>
              </w:rPr>
              <w:t>X＜10</w:t>
            </w:r>
          </w:p>
        </w:tc>
      </w:tr>
      <w:tr w14:paraId="0E653155">
        <w:tblPrEx>
          <w:tblCellMar>
            <w:top w:w="0" w:type="dxa"/>
            <w:left w:w="108" w:type="dxa"/>
            <w:bottom w:w="0" w:type="dxa"/>
            <w:right w:w="108" w:type="dxa"/>
          </w:tblCellMar>
        </w:tblPrEx>
        <w:trPr>
          <w:trHeight w:val="226" w:hRule="atLeast"/>
        </w:trPr>
        <w:tc>
          <w:tcPr>
            <w:tcW w:w="1831" w:type="dxa"/>
            <w:vMerge w:val="continue"/>
            <w:tcBorders>
              <w:top w:val="nil"/>
              <w:left w:val="single" w:color="auto" w:sz="4" w:space="0"/>
              <w:bottom w:val="single" w:color="auto" w:sz="4" w:space="0"/>
              <w:right w:val="single" w:color="auto" w:sz="4" w:space="0"/>
            </w:tcBorders>
            <w:vAlign w:val="center"/>
          </w:tcPr>
          <w:p w14:paraId="6D62D810">
            <w:pPr>
              <w:widowControl/>
              <w:jc w:val="left"/>
              <w:rPr>
                <w:rFonts w:ascii="宋体" w:hAnsi="宋体" w:cs="宋体"/>
                <w:b/>
                <w:bCs/>
                <w:kern w:val="0"/>
                <w:sz w:val="18"/>
                <w:szCs w:val="18"/>
              </w:rPr>
            </w:pPr>
          </w:p>
        </w:tc>
        <w:tc>
          <w:tcPr>
            <w:tcW w:w="1489" w:type="dxa"/>
            <w:tcBorders>
              <w:top w:val="nil"/>
              <w:left w:val="nil"/>
              <w:bottom w:val="single" w:color="auto" w:sz="4" w:space="0"/>
              <w:right w:val="single" w:color="auto" w:sz="4" w:space="0"/>
            </w:tcBorders>
            <w:vAlign w:val="center"/>
          </w:tcPr>
          <w:p w14:paraId="1156AF3B">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83" w:type="dxa"/>
            <w:tcBorders>
              <w:top w:val="nil"/>
              <w:left w:val="nil"/>
              <w:bottom w:val="single" w:color="auto" w:sz="4" w:space="0"/>
              <w:right w:val="single" w:color="auto" w:sz="4" w:space="0"/>
            </w:tcBorders>
            <w:vAlign w:val="center"/>
          </w:tcPr>
          <w:p w14:paraId="0031295F">
            <w:pPr>
              <w:widowControl/>
              <w:jc w:val="left"/>
              <w:rPr>
                <w:rFonts w:ascii="宋体" w:hAnsi="宋体" w:cs="宋体"/>
                <w:kern w:val="0"/>
                <w:sz w:val="18"/>
                <w:szCs w:val="18"/>
              </w:rPr>
            </w:pPr>
            <w:r>
              <w:rPr>
                <w:rFonts w:hint="eastAsia" w:ascii="宋体" w:hAnsi="宋体" w:cs="宋体"/>
                <w:kern w:val="0"/>
                <w:sz w:val="18"/>
                <w:szCs w:val="18"/>
              </w:rPr>
              <w:t>万元</w:t>
            </w:r>
          </w:p>
        </w:tc>
        <w:tc>
          <w:tcPr>
            <w:tcW w:w="1743" w:type="dxa"/>
            <w:tcBorders>
              <w:top w:val="nil"/>
              <w:left w:val="nil"/>
              <w:bottom w:val="single" w:color="auto" w:sz="4" w:space="0"/>
              <w:right w:val="single" w:color="auto" w:sz="4" w:space="0"/>
            </w:tcBorders>
            <w:vAlign w:val="center"/>
          </w:tcPr>
          <w:p w14:paraId="378C6E38">
            <w:pPr>
              <w:widowControl/>
              <w:jc w:val="left"/>
              <w:rPr>
                <w:rFonts w:ascii="宋体" w:hAnsi="宋体" w:cs="宋体"/>
                <w:kern w:val="0"/>
                <w:sz w:val="18"/>
                <w:szCs w:val="18"/>
              </w:rPr>
            </w:pPr>
            <w:r>
              <w:rPr>
                <w:rFonts w:hint="eastAsia" w:ascii="宋体" w:hAnsi="宋体" w:cs="宋体"/>
                <w:kern w:val="0"/>
                <w:sz w:val="18"/>
                <w:szCs w:val="18"/>
              </w:rPr>
              <w:t>8000≤Z＜120000</w:t>
            </w:r>
          </w:p>
        </w:tc>
        <w:tc>
          <w:tcPr>
            <w:tcW w:w="1549" w:type="dxa"/>
            <w:tcBorders>
              <w:top w:val="nil"/>
              <w:left w:val="nil"/>
              <w:bottom w:val="single" w:color="auto" w:sz="4" w:space="0"/>
              <w:right w:val="single" w:color="auto" w:sz="4" w:space="0"/>
            </w:tcBorders>
            <w:vAlign w:val="center"/>
          </w:tcPr>
          <w:p w14:paraId="6F4EBD46">
            <w:pPr>
              <w:widowControl/>
              <w:jc w:val="left"/>
              <w:rPr>
                <w:rFonts w:ascii="宋体" w:hAnsi="宋体" w:cs="宋体"/>
                <w:kern w:val="0"/>
                <w:sz w:val="18"/>
                <w:szCs w:val="18"/>
              </w:rPr>
            </w:pPr>
            <w:r>
              <w:rPr>
                <w:rFonts w:hint="eastAsia" w:ascii="宋体" w:hAnsi="宋体" w:cs="宋体"/>
                <w:kern w:val="0"/>
                <w:sz w:val="18"/>
                <w:szCs w:val="18"/>
              </w:rPr>
              <w:t>100≤Z＜8000</w:t>
            </w:r>
          </w:p>
        </w:tc>
        <w:tc>
          <w:tcPr>
            <w:tcW w:w="996" w:type="dxa"/>
            <w:tcBorders>
              <w:top w:val="nil"/>
              <w:left w:val="nil"/>
              <w:bottom w:val="single" w:color="auto" w:sz="4" w:space="0"/>
              <w:right w:val="single" w:color="auto" w:sz="4" w:space="0"/>
            </w:tcBorders>
            <w:vAlign w:val="center"/>
          </w:tcPr>
          <w:p w14:paraId="50AEB080">
            <w:pPr>
              <w:widowControl/>
              <w:jc w:val="left"/>
              <w:rPr>
                <w:rFonts w:ascii="宋体" w:hAnsi="宋体" w:cs="宋体"/>
                <w:kern w:val="0"/>
                <w:sz w:val="18"/>
                <w:szCs w:val="18"/>
              </w:rPr>
            </w:pPr>
            <w:r>
              <w:rPr>
                <w:rFonts w:hint="eastAsia" w:ascii="宋体" w:hAnsi="宋体" w:cs="宋体"/>
                <w:kern w:val="0"/>
                <w:sz w:val="18"/>
                <w:szCs w:val="18"/>
              </w:rPr>
              <w:t>Y＜100</w:t>
            </w:r>
          </w:p>
        </w:tc>
      </w:tr>
      <w:tr w14:paraId="1A94C60C">
        <w:tblPrEx>
          <w:tblCellMar>
            <w:top w:w="0" w:type="dxa"/>
            <w:left w:w="108" w:type="dxa"/>
            <w:bottom w:w="0" w:type="dxa"/>
            <w:right w:w="108" w:type="dxa"/>
          </w:tblCellMar>
        </w:tblPrEx>
        <w:trPr>
          <w:trHeight w:val="226" w:hRule="atLeast"/>
        </w:trPr>
        <w:tc>
          <w:tcPr>
            <w:tcW w:w="1831" w:type="dxa"/>
            <w:tcBorders>
              <w:top w:val="nil"/>
              <w:left w:val="single" w:color="auto" w:sz="4" w:space="0"/>
              <w:bottom w:val="single" w:color="auto" w:sz="4" w:space="0"/>
              <w:right w:val="single" w:color="auto" w:sz="4" w:space="0"/>
            </w:tcBorders>
            <w:vAlign w:val="bottom"/>
          </w:tcPr>
          <w:p w14:paraId="460D6C94">
            <w:pPr>
              <w:widowControl/>
              <w:jc w:val="center"/>
              <w:rPr>
                <w:rFonts w:ascii="宋体" w:hAnsi="宋体" w:cs="宋体"/>
                <w:b/>
                <w:bCs/>
                <w:kern w:val="0"/>
                <w:sz w:val="18"/>
                <w:szCs w:val="18"/>
              </w:rPr>
            </w:pPr>
            <w:r>
              <w:rPr>
                <w:rFonts w:hint="eastAsia" w:ascii="宋体" w:hAnsi="宋体" w:cs="宋体"/>
                <w:b/>
                <w:bCs/>
                <w:kern w:val="0"/>
                <w:sz w:val="18"/>
                <w:szCs w:val="18"/>
              </w:rPr>
              <w:t>其他未列明行业</w:t>
            </w:r>
          </w:p>
        </w:tc>
        <w:tc>
          <w:tcPr>
            <w:tcW w:w="1489" w:type="dxa"/>
            <w:tcBorders>
              <w:top w:val="nil"/>
              <w:left w:val="nil"/>
              <w:bottom w:val="single" w:color="auto" w:sz="4" w:space="0"/>
              <w:right w:val="single" w:color="auto" w:sz="4" w:space="0"/>
            </w:tcBorders>
            <w:vAlign w:val="center"/>
          </w:tcPr>
          <w:p w14:paraId="3F9E12FF">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83" w:type="dxa"/>
            <w:tcBorders>
              <w:top w:val="nil"/>
              <w:left w:val="nil"/>
              <w:bottom w:val="single" w:color="auto" w:sz="4" w:space="0"/>
              <w:right w:val="single" w:color="auto" w:sz="4" w:space="0"/>
            </w:tcBorders>
            <w:vAlign w:val="center"/>
          </w:tcPr>
          <w:p w14:paraId="17B9251A">
            <w:pPr>
              <w:widowControl/>
              <w:jc w:val="left"/>
              <w:rPr>
                <w:rFonts w:ascii="宋体" w:hAnsi="宋体" w:cs="宋体"/>
                <w:kern w:val="0"/>
                <w:sz w:val="18"/>
                <w:szCs w:val="18"/>
              </w:rPr>
            </w:pPr>
            <w:r>
              <w:rPr>
                <w:rFonts w:hint="eastAsia" w:ascii="宋体" w:hAnsi="宋体" w:cs="宋体"/>
                <w:kern w:val="0"/>
                <w:sz w:val="18"/>
                <w:szCs w:val="18"/>
              </w:rPr>
              <w:t>人</w:t>
            </w:r>
          </w:p>
        </w:tc>
        <w:tc>
          <w:tcPr>
            <w:tcW w:w="1743" w:type="dxa"/>
            <w:tcBorders>
              <w:top w:val="nil"/>
              <w:left w:val="nil"/>
              <w:bottom w:val="single" w:color="auto" w:sz="4" w:space="0"/>
              <w:right w:val="single" w:color="auto" w:sz="4" w:space="0"/>
            </w:tcBorders>
            <w:vAlign w:val="center"/>
          </w:tcPr>
          <w:p w14:paraId="2A1F7F53">
            <w:pPr>
              <w:widowControl/>
              <w:jc w:val="left"/>
              <w:rPr>
                <w:rFonts w:ascii="宋体" w:hAnsi="宋体" w:cs="宋体"/>
                <w:kern w:val="0"/>
                <w:sz w:val="18"/>
                <w:szCs w:val="18"/>
              </w:rPr>
            </w:pPr>
            <w:r>
              <w:rPr>
                <w:rFonts w:hint="eastAsia" w:ascii="宋体" w:hAnsi="宋体" w:cs="宋体"/>
                <w:kern w:val="0"/>
                <w:sz w:val="18"/>
                <w:szCs w:val="18"/>
              </w:rPr>
              <w:t>100≤X＜300</w:t>
            </w:r>
          </w:p>
        </w:tc>
        <w:tc>
          <w:tcPr>
            <w:tcW w:w="1549" w:type="dxa"/>
            <w:tcBorders>
              <w:top w:val="nil"/>
              <w:left w:val="nil"/>
              <w:bottom w:val="single" w:color="auto" w:sz="4" w:space="0"/>
              <w:right w:val="single" w:color="auto" w:sz="4" w:space="0"/>
            </w:tcBorders>
            <w:vAlign w:val="center"/>
          </w:tcPr>
          <w:p w14:paraId="1C78CD20">
            <w:pPr>
              <w:widowControl/>
              <w:jc w:val="left"/>
              <w:rPr>
                <w:rFonts w:ascii="宋体" w:hAnsi="宋体" w:cs="宋体"/>
                <w:kern w:val="0"/>
                <w:sz w:val="18"/>
                <w:szCs w:val="18"/>
              </w:rPr>
            </w:pPr>
            <w:r>
              <w:rPr>
                <w:rFonts w:hint="eastAsia" w:ascii="宋体" w:hAnsi="宋体" w:cs="宋体"/>
                <w:kern w:val="0"/>
                <w:sz w:val="18"/>
                <w:szCs w:val="18"/>
              </w:rPr>
              <w:t>10≤X＜100</w:t>
            </w:r>
          </w:p>
        </w:tc>
        <w:tc>
          <w:tcPr>
            <w:tcW w:w="996" w:type="dxa"/>
            <w:tcBorders>
              <w:top w:val="nil"/>
              <w:left w:val="nil"/>
              <w:bottom w:val="single" w:color="auto" w:sz="4" w:space="0"/>
              <w:right w:val="single" w:color="auto" w:sz="4" w:space="0"/>
            </w:tcBorders>
            <w:vAlign w:val="center"/>
          </w:tcPr>
          <w:p w14:paraId="4CC2512A">
            <w:pPr>
              <w:widowControl/>
              <w:jc w:val="left"/>
              <w:rPr>
                <w:rFonts w:ascii="宋体" w:hAnsi="宋体" w:cs="宋体"/>
                <w:kern w:val="0"/>
                <w:sz w:val="18"/>
                <w:szCs w:val="18"/>
              </w:rPr>
            </w:pPr>
            <w:r>
              <w:rPr>
                <w:rFonts w:hint="eastAsia" w:ascii="宋体" w:hAnsi="宋体" w:cs="宋体"/>
                <w:kern w:val="0"/>
                <w:sz w:val="18"/>
                <w:szCs w:val="18"/>
              </w:rPr>
              <w:t>X＜10</w:t>
            </w:r>
          </w:p>
        </w:tc>
      </w:tr>
    </w:tbl>
    <w:p w14:paraId="6C60C979">
      <w:pPr>
        <w:snapToGrid w:val="0"/>
        <w:spacing w:line="380" w:lineRule="exact"/>
        <w:ind w:firstLine="411" w:firstLineChars="196"/>
        <w:jc w:val="left"/>
        <w:rPr>
          <w:rFonts w:ascii="宋体"/>
          <w:sz w:val="18"/>
          <w:szCs w:val="18"/>
        </w:rPr>
      </w:pPr>
      <w:r>
        <w:rPr>
          <w:rFonts w:hint="eastAsia" w:ascii="宋体" w:hAnsi="宋体"/>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5596A709">
      <w:r>
        <w:br w:type="page"/>
      </w:r>
    </w:p>
    <w:p w14:paraId="1796857F">
      <w:pPr>
        <w:spacing w:line="720" w:lineRule="auto"/>
      </w:pPr>
      <w:r>
        <w:rPr>
          <w:rFonts w:hint="eastAsia"/>
        </w:rPr>
        <w:t>（</w:t>
      </w:r>
      <w:r>
        <w:t>19</w:t>
      </w:r>
      <w:r>
        <w:rPr>
          <w:rFonts w:hint="eastAsia"/>
        </w:rPr>
        <w:t>）</w:t>
      </w:r>
      <w:r>
        <w:rPr>
          <w:rFonts w:hint="eastAsia" w:ascii="宋体"/>
          <w:szCs w:val="21"/>
        </w:rPr>
        <w:t>本国产品适用政府采购政策相关资料。</w:t>
      </w:r>
      <w:r>
        <w:rPr>
          <w:rFonts w:hint="eastAsia" w:ascii="宋体"/>
          <w:b/>
          <w:bCs/>
          <w:szCs w:val="21"/>
          <w:lang w:eastAsia="zh-CN"/>
        </w:rPr>
        <w:t>（</w:t>
      </w:r>
      <w:r>
        <w:rPr>
          <w:rFonts w:hint="eastAsia" w:ascii="宋体"/>
          <w:b/>
          <w:bCs/>
          <w:szCs w:val="21"/>
        </w:rPr>
        <w:t>本项目不属于本国产品标准的适用范围。</w:t>
      </w:r>
      <w:r>
        <w:rPr>
          <w:rFonts w:hint="eastAsia" w:ascii="宋体"/>
          <w:b/>
          <w:bCs/>
          <w:szCs w:val="21"/>
          <w:lang w:eastAsia="zh-CN"/>
        </w:rPr>
        <w:t>）</w:t>
      </w:r>
    </w:p>
    <w:p w14:paraId="64DA347B">
      <w:pPr>
        <w:spacing w:line="720" w:lineRule="auto"/>
        <w:jc w:val="center"/>
        <w:rPr>
          <w:rFonts w:ascii="宋体" w:hAnsi="宋体" w:cs="宋体"/>
          <w:sz w:val="28"/>
          <w:szCs w:val="28"/>
        </w:rPr>
      </w:pPr>
      <w:r>
        <w:rPr>
          <w:rFonts w:ascii="宋体" w:hAnsi="宋体" w:cs="宋体"/>
          <w:sz w:val="28"/>
          <w:szCs w:val="28"/>
        </w:rPr>
        <w:t>1）关于符合本国产品标准的声明函</w:t>
      </w:r>
    </w:p>
    <w:p w14:paraId="730A69F0">
      <w:pPr>
        <w:pStyle w:val="44"/>
        <w:shd w:val="clear" w:color="auto" w:fill="FFFFFF"/>
        <w:spacing w:before="0" w:beforeAutospacing="0" w:after="0" w:afterAutospacing="0" w:line="480" w:lineRule="exact"/>
        <w:ind w:firstLine="420" w:firstLineChars="200"/>
        <w:rPr>
          <w:rFonts w:hAnsi="宋体" w:cs="宋体"/>
          <w:sz w:val="21"/>
          <w:szCs w:val="21"/>
        </w:rPr>
      </w:pPr>
      <w:r>
        <w:rPr>
          <w:rFonts w:hint="eastAsia" w:hAnsi="宋体" w:cs="宋体"/>
          <w:sz w:val="21"/>
          <w:szCs w:val="21"/>
          <w:shd w:val="clear" w:color="auto" w:fill="FFFFFF"/>
        </w:rPr>
        <w:t>本公司（单位）郑重声明，根据《国务院办公厅关于在政府采购中实施本国产品标准及相关政策的通知》（国办发〔</w:t>
      </w:r>
      <w:r>
        <w:rPr>
          <w:rFonts w:hAnsi="宋体" w:cs="宋体"/>
          <w:sz w:val="21"/>
          <w:szCs w:val="21"/>
          <w:shd w:val="clear" w:color="auto" w:fill="FFFFFF"/>
        </w:rPr>
        <w:t>2025〕34号）的规定，本公司（单位）提供的以下产品属于本国产品。具体情况如下：</w:t>
      </w:r>
    </w:p>
    <w:p w14:paraId="7A057024">
      <w:pPr>
        <w:pStyle w:val="44"/>
        <w:shd w:val="clear" w:color="auto" w:fill="FFFFFF"/>
        <w:spacing w:before="0" w:beforeAutospacing="0" w:after="0" w:afterAutospacing="0" w:line="480" w:lineRule="exact"/>
        <w:ind w:firstLine="420" w:firstLineChars="200"/>
        <w:rPr>
          <w:rFonts w:hAnsi="宋体" w:cs="宋体"/>
          <w:sz w:val="21"/>
          <w:szCs w:val="21"/>
        </w:rPr>
      </w:pPr>
      <w:r>
        <w:rPr>
          <w:rFonts w:hAnsi="宋体" w:cs="宋体"/>
          <w:sz w:val="21"/>
          <w:szCs w:val="21"/>
          <w:shd w:val="clear" w:color="auto" w:fill="FFFFFF"/>
        </w:rPr>
        <w:t>1.</w:t>
      </w:r>
      <w:r>
        <w:rPr>
          <w:rStyle w:val="55"/>
          <w:rFonts w:hint="eastAsia" w:hAnsi="宋体" w:cs="宋体"/>
          <w:color w:val="auto"/>
          <w:sz w:val="21"/>
          <w:szCs w:val="21"/>
          <w:shd w:val="clear" w:color="auto" w:fill="FFFFFF"/>
        </w:rPr>
        <w:t>（产品名称</w:t>
      </w:r>
      <w:r>
        <w:rPr>
          <w:rStyle w:val="55"/>
          <w:rFonts w:hAnsi="宋体" w:cs="宋体"/>
          <w:color w:val="auto"/>
          <w:sz w:val="21"/>
          <w:szCs w:val="21"/>
          <w:shd w:val="clear" w:color="auto" w:fill="FFFFFF"/>
        </w:rPr>
        <w:t>1）</w:t>
      </w:r>
      <w:r>
        <w:rPr>
          <w:rStyle w:val="55"/>
          <w:rFonts w:hAnsi="宋体" w:cs="宋体"/>
          <w:color w:val="auto"/>
          <w:sz w:val="21"/>
          <w:szCs w:val="21"/>
          <w:shd w:val="clear" w:color="auto" w:fill="FFFFFF"/>
          <w:vertAlign w:val="superscript"/>
        </w:rPr>
        <w:t>1</w:t>
      </w:r>
      <w:r>
        <w:rPr>
          <w:rFonts w:hint="eastAsia" w:hAnsi="宋体" w:cs="宋体"/>
          <w:sz w:val="21"/>
          <w:szCs w:val="21"/>
          <w:shd w:val="clear" w:color="auto" w:fill="FFFFFF"/>
        </w:rPr>
        <w:t>，生产厂为</w:t>
      </w:r>
      <w:r>
        <w:rPr>
          <w:rStyle w:val="55"/>
          <w:rFonts w:hint="eastAsia" w:hAnsi="宋体" w:cs="宋体"/>
          <w:color w:val="auto"/>
          <w:sz w:val="21"/>
          <w:szCs w:val="21"/>
          <w:shd w:val="clear" w:color="auto" w:fill="FFFFFF"/>
        </w:rPr>
        <w:t>（厂名）</w:t>
      </w:r>
      <w:r>
        <w:rPr>
          <w:rStyle w:val="55"/>
          <w:rFonts w:hAnsi="宋体" w:cs="宋体"/>
          <w:color w:val="auto"/>
          <w:sz w:val="21"/>
          <w:szCs w:val="21"/>
          <w:shd w:val="clear" w:color="auto" w:fill="FFFFFF"/>
          <w:vertAlign w:val="superscript"/>
        </w:rPr>
        <w:t>2</w:t>
      </w:r>
      <w:r>
        <w:rPr>
          <w:rFonts w:hint="eastAsia" w:hAnsi="宋体" w:cs="宋体"/>
          <w:sz w:val="21"/>
          <w:szCs w:val="21"/>
          <w:shd w:val="clear" w:color="auto" w:fill="FFFFFF"/>
        </w:rPr>
        <w:t>，厂址为</w:t>
      </w:r>
      <w:r>
        <w:rPr>
          <w:rStyle w:val="55"/>
          <w:rFonts w:hint="eastAsia" w:hAnsi="宋体" w:cs="宋体"/>
          <w:color w:val="auto"/>
          <w:sz w:val="21"/>
          <w:szCs w:val="21"/>
          <w:shd w:val="clear" w:color="auto" w:fill="FFFFFF"/>
        </w:rPr>
        <w:t>（生产厂址）</w:t>
      </w:r>
      <w:r>
        <w:rPr>
          <w:rFonts w:hint="eastAsia" w:hAnsi="宋体" w:cs="宋体"/>
          <w:sz w:val="21"/>
          <w:szCs w:val="21"/>
          <w:shd w:val="clear" w:color="auto" w:fill="FFFFFF"/>
        </w:rPr>
        <w:t>。</w:t>
      </w:r>
      <w:r>
        <w:rPr>
          <w:rStyle w:val="55"/>
          <w:rFonts w:hint="eastAsia" w:hAnsi="宋体" w:cs="宋体"/>
          <w:color w:val="auto"/>
          <w:sz w:val="21"/>
          <w:szCs w:val="21"/>
          <w:shd w:val="clear" w:color="auto" w:fill="FFFFFF"/>
        </w:rPr>
        <w:t>（产品名称</w:t>
      </w:r>
      <w:r>
        <w:rPr>
          <w:rStyle w:val="55"/>
          <w:rFonts w:hAnsi="宋体" w:cs="宋体"/>
          <w:color w:val="auto"/>
          <w:sz w:val="21"/>
          <w:szCs w:val="21"/>
          <w:shd w:val="clear" w:color="auto" w:fill="FFFFFF"/>
        </w:rPr>
        <w:t>1）</w:t>
      </w:r>
      <w:r>
        <w:rPr>
          <w:rFonts w:hint="eastAsia" w:hAnsi="宋体" w:cs="宋体"/>
          <w:sz w:val="21"/>
          <w:szCs w:val="21"/>
          <w:shd w:val="clear" w:color="auto" w:fill="FFFFFF"/>
        </w:rPr>
        <w:t>的中国境内生产的组件成本占比≥</w:t>
      </w:r>
      <w:r>
        <w:rPr>
          <w:rStyle w:val="55"/>
          <w:rFonts w:hint="eastAsia" w:hAnsi="宋体" w:cs="宋体"/>
          <w:color w:val="auto"/>
          <w:sz w:val="21"/>
          <w:szCs w:val="21"/>
          <w:shd w:val="clear" w:color="auto" w:fill="FFFFFF"/>
        </w:rPr>
        <w:t>（规定比例）</w:t>
      </w:r>
      <w:r>
        <w:rPr>
          <w:rStyle w:val="55"/>
          <w:rFonts w:hAnsi="宋体" w:cs="宋体"/>
          <w:color w:val="auto"/>
          <w:sz w:val="21"/>
          <w:szCs w:val="21"/>
          <w:shd w:val="clear" w:color="auto" w:fill="FFFFFF"/>
          <w:vertAlign w:val="superscript"/>
        </w:rPr>
        <w:t>3</w:t>
      </w:r>
      <w:r>
        <w:rPr>
          <w:rFonts w:hint="eastAsia" w:hAnsi="宋体" w:cs="宋体"/>
          <w:sz w:val="21"/>
          <w:szCs w:val="21"/>
          <w:shd w:val="clear" w:color="auto" w:fill="FFFFFF"/>
        </w:rPr>
        <w:t>。</w:t>
      </w:r>
      <w:r>
        <w:rPr>
          <w:rStyle w:val="55"/>
          <w:rFonts w:hint="eastAsia" w:hAnsi="宋体" w:cs="宋体"/>
          <w:color w:val="auto"/>
          <w:sz w:val="21"/>
          <w:szCs w:val="21"/>
          <w:shd w:val="clear" w:color="auto" w:fill="FFFFFF"/>
        </w:rPr>
        <w:t>（产品名称</w:t>
      </w:r>
      <w:r>
        <w:rPr>
          <w:rStyle w:val="55"/>
          <w:rFonts w:hAnsi="宋体" w:cs="宋体"/>
          <w:color w:val="auto"/>
          <w:sz w:val="21"/>
          <w:szCs w:val="21"/>
          <w:shd w:val="clear" w:color="auto" w:fill="FFFFFF"/>
        </w:rPr>
        <w:t>1）</w:t>
      </w:r>
      <w:r>
        <w:rPr>
          <w:rFonts w:hint="eastAsia" w:hAnsi="宋体" w:cs="宋体"/>
          <w:sz w:val="21"/>
          <w:szCs w:val="21"/>
          <w:shd w:val="clear" w:color="auto" w:fill="FFFFFF"/>
        </w:rPr>
        <w:t>的</w:t>
      </w:r>
      <w:r>
        <w:rPr>
          <w:rStyle w:val="55"/>
          <w:rFonts w:hint="eastAsia" w:hAnsi="宋体" w:cs="宋体"/>
          <w:color w:val="auto"/>
          <w:sz w:val="21"/>
          <w:szCs w:val="21"/>
          <w:shd w:val="clear" w:color="auto" w:fill="FFFFFF"/>
        </w:rPr>
        <w:t>（关键组件）</w:t>
      </w:r>
      <w:r>
        <w:rPr>
          <w:rStyle w:val="55"/>
          <w:rFonts w:hAnsi="宋体" w:cs="宋体"/>
          <w:color w:val="auto"/>
          <w:sz w:val="21"/>
          <w:szCs w:val="21"/>
          <w:shd w:val="clear" w:color="auto" w:fill="FFFFFF"/>
          <w:vertAlign w:val="superscript"/>
        </w:rPr>
        <w:t>4</w:t>
      </w:r>
      <w:r>
        <w:rPr>
          <w:rFonts w:hint="eastAsia" w:hAnsi="宋体" w:cs="宋体"/>
          <w:sz w:val="21"/>
          <w:szCs w:val="21"/>
          <w:shd w:val="clear" w:color="auto" w:fill="FFFFFF"/>
        </w:rPr>
        <w:t>在中国境内生产。</w:t>
      </w:r>
      <w:r>
        <w:rPr>
          <w:rStyle w:val="55"/>
          <w:rFonts w:hint="eastAsia" w:hAnsi="宋体" w:cs="宋体"/>
          <w:color w:val="auto"/>
          <w:sz w:val="21"/>
          <w:szCs w:val="21"/>
          <w:shd w:val="clear" w:color="auto" w:fill="FFFFFF"/>
        </w:rPr>
        <w:t>（产品名称</w:t>
      </w:r>
      <w:r>
        <w:rPr>
          <w:rStyle w:val="55"/>
          <w:rFonts w:hAnsi="宋体" w:cs="宋体"/>
          <w:color w:val="auto"/>
          <w:sz w:val="21"/>
          <w:szCs w:val="21"/>
          <w:shd w:val="clear" w:color="auto" w:fill="FFFFFF"/>
        </w:rPr>
        <w:t>1）</w:t>
      </w:r>
      <w:r>
        <w:rPr>
          <w:rFonts w:hint="eastAsia" w:hAnsi="宋体" w:cs="宋体"/>
          <w:sz w:val="21"/>
          <w:szCs w:val="21"/>
          <w:shd w:val="clear" w:color="auto" w:fill="FFFFFF"/>
        </w:rPr>
        <w:t>的</w:t>
      </w:r>
      <w:r>
        <w:rPr>
          <w:rStyle w:val="55"/>
          <w:rFonts w:hint="eastAsia" w:hAnsi="宋体" w:cs="宋体"/>
          <w:color w:val="auto"/>
          <w:sz w:val="21"/>
          <w:szCs w:val="21"/>
          <w:shd w:val="clear" w:color="auto" w:fill="FFFFFF"/>
        </w:rPr>
        <w:t>（关键工序）</w:t>
      </w:r>
      <w:r>
        <w:rPr>
          <w:rStyle w:val="55"/>
          <w:rFonts w:hAnsi="宋体" w:cs="宋体"/>
          <w:color w:val="auto"/>
          <w:sz w:val="21"/>
          <w:szCs w:val="21"/>
          <w:shd w:val="clear" w:color="auto" w:fill="FFFFFF"/>
          <w:vertAlign w:val="superscript"/>
        </w:rPr>
        <w:t>5</w:t>
      </w:r>
      <w:r>
        <w:rPr>
          <w:rFonts w:hint="eastAsia" w:hAnsi="宋体" w:cs="宋体"/>
          <w:sz w:val="21"/>
          <w:szCs w:val="21"/>
          <w:shd w:val="clear" w:color="auto" w:fill="FFFFFF"/>
        </w:rPr>
        <w:t>在中国境内完成。</w:t>
      </w:r>
    </w:p>
    <w:p w14:paraId="1E3B47BF">
      <w:pPr>
        <w:pStyle w:val="44"/>
        <w:shd w:val="clear" w:color="auto" w:fill="FFFFFF"/>
        <w:spacing w:before="0" w:beforeAutospacing="0" w:after="0" w:afterAutospacing="0" w:line="480" w:lineRule="exact"/>
        <w:ind w:firstLine="420" w:firstLineChars="200"/>
        <w:rPr>
          <w:rFonts w:hAnsi="宋体" w:cs="宋体"/>
          <w:sz w:val="21"/>
          <w:szCs w:val="21"/>
        </w:rPr>
      </w:pPr>
      <w:r>
        <w:rPr>
          <w:rFonts w:hAnsi="宋体" w:cs="宋体"/>
          <w:sz w:val="21"/>
          <w:szCs w:val="21"/>
          <w:shd w:val="clear" w:color="auto" w:fill="FFFFFF"/>
        </w:rPr>
        <w:t>2.</w:t>
      </w:r>
      <w:r>
        <w:rPr>
          <w:rStyle w:val="55"/>
          <w:rFonts w:hint="eastAsia" w:hAnsi="宋体" w:cs="宋体"/>
          <w:color w:val="auto"/>
          <w:sz w:val="21"/>
          <w:szCs w:val="21"/>
          <w:shd w:val="clear" w:color="auto" w:fill="FFFFFF"/>
        </w:rPr>
        <w:t>（产品名称</w:t>
      </w:r>
      <w:r>
        <w:rPr>
          <w:rStyle w:val="55"/>
          <w:rFonts w:hAnsi="宋体" w:cs="宋体"/>
          <w:color w:val="auto"/>
          <w:sz w:val="21"/>
          <w:szCs w:val="21"/>
          <w:shd w:val="clear" w:color="auto" w:fill="FFFFFF"/>
        </w:rPr>
        <w:t>2）</w:t>
      </w:r>
      <w:r>
        <w:rPr>
          <w:rFonts w:hint="eastAsia" w:hAnsi="宋体" w:cs="宋体"/>
          <w:sz w:val="21"/>
          <w:szCs w:val="21"/>
          <w:shd w:val="clear" w:color="auto" w:fill="FFFFFF"/>
        </w:rPr>
        <w:t>，生产厂为</w:t>
      </w:r>
      <w:r>
        <w:rPr>
          <w:rStyle w:val="55"/>
          <w:rFonts w:hint="eastAsia" w:hAnsi="宋体" w:cs="宋体"/>
          <w:color w:val="auto"/>
          <w:sz w:val="21"/>
          <w:szCs w:val="21"/>
          <w:shd w:val="clear" w:color="auto" w:fill="FFFFFF"/>
        </w:rPr>
        <w:t>（厂名）</w:t>
      </w:r>
      <w:r>
        <w:rPr>
          <w:rFonts w:hint="eastAsia" w:hAnsi="宋体" w:cs="宋体"/>
          <w:sz w:val="21"/>
          <w:szCs w:val="21"/>
          <w:shd w:val="clear" w:color="auto" w:fill="FFFFFF"/>
        </w:rPr>
        <w:t>，厂址为</w:t>
      </w:r>
      <w:r>
        <w:rPr>
          <w:rStyle w:val="55"/>
          <w:rFonts w:hint="eastAsia" w:hAnsi="宋体" w:cs="宋体"/>
          <w:color w:val="auto"/>
          <w:sz w:val="21"/>
          <w:szCs w:val="21"/>
          <w:shd w:val="clear" w:color="auto" w:fill="FFFFFF"/>
        </w:rPr>
        <w:t>（生产厂址）</w:t>
      </w:r>
      <w:r>
        <w:rPr>
          <w:rFonts w:hint="eastAsia" w:hAnsi="宋体" w:cs="宋体"/>
          <w:sz w:val="21"/>
          <w:szCs w:val="21"/>
          <w:shd w:val="clear" w:color="auto" w:fill="FFFFFF"/>
        </w:rPr>
        <w:t>。</w:t>
      </w:r>
      <w:r>
        <w:rPr>
          <w:rStyle w:val="55"/>
          <w:rFonts w:hint="eastAsia" w:hAnsi="宋体" w:cs="宋体"/>
          <w:color w:val="auto"/>
          <w:sz w:val="21"/>
          <w:szCs w:val="21"/>
          <w:shd w:val="clear" w:color="auto" w:fill="FFFFFF"/>
        </w:rPr>
        <w:t>（产品名称</w:t>
      </w:r>
      <w:r>
        <w:rPr>
          <w:rStyle w:val="55"/>
          <w:rFonts w:hAnsi="宋体" w:cs="宋体"/>
          <w:color w:val="auto"/>
          <w:sz w:val="21"/>
          <w:szCs w:val="21"/>
          <w:shd w:val="clear" w:color="auto" w:fill="FFFFFF"/>
        </w:rPr>
        <w:t>2）</w:t>
      </w:r>
      <w:r>
        <w:rPr>
          <w:rFonts w:hint="eastAsia" w:hAnsi="宋体" w:cs="宋体"/>
          <w:sz w:val="21"/>
          <w:szCs w:val="21"/>
          <w:shd w:val="clear" w:color="auto" w:fill="FFFFFF"/>
        </w:rPr>
        <w:t>的中国境内生产的组件成本占比≥</w:t>
      </w:r>
      <w:r>
        <w:rPr>
          <w:rStyle w:val="55"/>
          <w:rFonts w:hint="eastAsia" w:hAnsi="宋体" w:cs="宋体"/>
          <w:color w:val="auto"/>
          <w:sz w:val="21"/>
          <w:szCs w:val="21"/>
          <w:shd w:val="clear" w:color="auto" w:fill="FFFFFF"/>
        </w:rPr>
        <w:t>（规定比例）</w:t>
      </w:r>
      <w:r>
        <w:rPr>
          <w:rFonts w:hint="eastAsia" w:hAnsi="宋体" w:cs="宋体"/>
          <w:sz w:val="21"/>
          <w:szCs w:val="21"/>
          <w:shd w:val="clear" w:color="auto" w:fill="FFFFFF"/>
        </w:rPr>
        <w:t>。</w:t>
      </w:r>
      <w:r>
        <w:rPr>
          <w:rStyle w:val="55"/>
          <w:rFonts w:hint="eastAsia" w:hAnsi="宋体" w:cs="宋体"/>
          <w:color w:val="auto"/>
          <w:sz w:val="21"/>
          <w:szCs w:val="21"/>
          <w:shd w:val="clear" w:color="auto" w:fill="FFFFFF"/>
        </w:rPr>
        <w:t>（产品名称</w:t>
      </w:r>
      <w:r>
        <w:rPr>
          <w:rStyle w:val="55"/>
          <w:rFonts w:hAnsi="宋体" w:cs="宋体"/>
          <w:color w:val="auto"/>
          <w:sz w:val="21"/>
          <w:szCs w:val="21"/>
          <w:shd w:val="clear" w:color="auto" w:fill="FFFFFF"/>
        </w:rPr>
        <w:t>2）</w:t>
      </w:r>
      <w:r>
        <w:rPr>
          <w:rFonts w:hint="eastAsia" w:hAnsi="宋体" w:cs="宋体"/>
          <w:sz w:val="21"/>
          <w:szCs w:val="21"/>
          <w:shd w:val="clear" w:color="auto" w:fill="FFFFFF"/>
        </w:rPr>
        <w:t>的</w:t>
      </w:r>
      <w:r>
        <w:rPr>
          <w:rStyle w:val="55"/>
          <w:rFonts w:hint="eastAsia" w:hAnsi="宋体" w:cs="宋体"/>
          <w:color w:val="auto"/>
          <w:sz w:val="21"/>
          <w:szCs w:val="21"/>
          <w:shd w:val="clear" w:color="auto" w:fill="FFFFFF"/>
        </w:rPr>
        <w:t>（关键组件）</w:t>
      </w:r>
      <w:r>
        <w:rPr>
          <w:rFonts w:hint="eastAsia" w:hAnsi="宋体" w:cs="宋体"/>
          <w:sz w:val="21"/>
          <w:szCs w:val="21"/>
          <w:shd w:val="clear" w:color="auto" w:fill="FFFFFF"/>
        </w:rPr>
        <w:t>在中国境内生产。</w:t>
      </w:r>
      <w:r>
        <w:rPr>
          <w:rStyle w:val="55"/>
          <w:rFonts w:hint="eastAsia" w:hAnsi="宋体" w:cs="宋体"/>
          <w:color w:val="auto"/>
          <w:sz w:val="21"/>
          <w:szCs w:val="21"/>
          <w:shd w:val="clear" w:color="auto" w:fill="FFFFFF"/>
        </w:rPr>
        <w:t>（产品名称</w:t>
      </w:r>
      <w:r>
        <w:rPr>
          <w:rStyle w:val="55"/>
          <w:rFonts w:hAnsi="宋体" w:cs="宋体"/>
          <w:color w:val="auto"/>
          <w:sz w:val="21"/>
          <w:szCs w:val="21"/>
          <w:shd w:val="clear" w:color="auto" w:fill="FFFFFF"/>
        </w:rPr>
        <w:t>2）</w:t>
      </w:r>
      <w:r>
        <w:rPr>
          <w:rFonts w:hint="eastAsia" w:hAnsi="宋体" w:cs="宋体"/>
          <w:sz w:val="21"/>
          <w:szCs w:val="21"/>
          <w:shd w:val="clear" w:color="auto" w:fill="FFFFFF"/>
        </w:rPr>
        <w:t>的</w:t>
      </w:r>
      <w:r>
        <w:rPr>
          <w:rStyle w:val="55"/>
          <w:rFonts w:hint="eastAsia" w:hAnsi="宋体" w:cs="宋体"/>
          <w:color w:val="auto"/>
          <w:sz w:val="21"/>
          <w:szCs w:val="21"/>
          <w:shd w:val="clear" w:color="auto" w:fill="FFFFFF"/>
        </w:rPr>
        <w:t>（关键工序）</w:t>
      </w:r>
      <w:r>
        <w:rPr>
          <w:rFonts w:hint="eastAsia" w:hAnsi="宋体" w:cs="宋体"/>
          <w:sz w:val="21"/>
          <w:szCs w:val="21"/>
          <w:shd w:val="clear" w:color="auto" w:fill="FFFFFF"/>
        </w:rPr>
        <w:t>在中国境内完成。</w:t>
      </w:r>
    </w:p>
    <w:p w14:paraId="66E6DE10">
      <w:pPr>
        <w:pStyle w:val="44"/>
        <w:shd w:val="clear" w:color="auto" w:fill="FFFFFF"/>
        <w:spacing w:before="0" w:beforeAutospacing="0" w:after="0" w:afterAutospacing="0" w:line="480" w:lineRule="exact"/>
        <w:ind w:firstLine="420" w:firstLineChars="200"/>
        <w:rPr>
          <w:rFonts w:hAnsi="宋体" w:cs="宋体"/>
          <w:sz w:val="21"/>
          <w:szCs w:val="21"/>
        </w:rPr>
      </w:pPr>
      <w:r>
        <w:rPr>
          <w:rFonts w:hint="eastAsia" w:hAnsi="宋体" w:cs="宋体"/>
          <w:sz w:val="21"/>
          <w:szCs w:val="21"/>
          <w:shd w:val="clear" w:color="auto" w:fill="FFFFFF"/>
        </w:rPr>
        <w:t>……</w:t>
      </w:r>
    </w:p>
    <w:p w14:paraId="7E1754AD">
      <w:pPr>
        <w:pStyle w:val="44"/>
        <w:shd w:val="clear" w:color="auto" w:fill="FFFFFF"/>
        <w:spacing w:before="0" w:beforeAutospacing="0" w:after="0" w:afterAutospacing="0" w:line="480" w:lineRule="exact"/>
        <w:ind w:firstLine="420" w:firstLineChars="200"/>
        <w:rPr>
          <w:rFonts w:hAnsi="宋体" w:cs="宋体"/>
          <w:sz w:val="21"/>
          <w:szCs w:val="21"/>
        </w:rPr>
      </w:pPr>
      <w:r>
        <w:rPr>
          <w:rFonts w:hint="eastAsia" w:hAnsi="宋体" w:cs="宋体"/>
          <w:sz w:val="21"/>
          <w:szCs w:val="21"/>
          <w:shd w:val="clear" w:color="auto" w:fill="FFFFFF"/>
        </w:rPr>
        <w:t>本公司（单位）对上述声明内容的真实性负责。如有虚假，愿承担相应法律责任。</w:t>
      </w:r>
    </w:p>
    <w:p w14:paraId="3B816E05">
      <w:pPr>
        <w:pStyle w:val="44"/>
        <w:shd w:val="clear" w:color="auto" w:fill="FFFFFF"/>
        <w:spacing w:before="0" w:beforeAutospacing="0" w:after="0" w:afterAutospacing="0" w:line="480" w:lineRule="exact"/>
        <w:ind w:firstLine="420" w:firstLineChars="200"/>
        <w:rPr>
          <w:rFonts w:hAnsi="宋体" w:cs="宋体"/>
          <w:sz w:val="21"/>
          <w:szCs w:val="21"/>
          <w:shd w:val="clear" w:color="auto" w:fill="FFFFFF"/>
        </w:rPr>
      </w:pPr>
    </w:p>
    <w:p w14:paraId="6B87F825">
      <w:pPr>
        <w:pStyle w:val="44"/>
        <w:shd w:val="clear" w:color="auto" w:fill="FFFFFF"/>
        <w:spacing w:before="0" w:beforeAutospacing="0" w:after="0" w:afterAutospacing="0" w:line="480" w:lineRule="exact"/>
        <w:ind w:firstLine="420" w:firstLineChars="200"/>
        <w:rPr>
          <w:rFonts w:hAnsi="宋体" w:cs="宋体"/>
          <w:sz w:val="21"/>
          <w:szCs w:val="21"/>
        </w:rPr>
      </w:pPr>
      <w:r>
        <w:rPr>
          <w:rFonts w:hint="eastAsia" w:hAnsi="宋体" w:cs="宋体"/>
          <w:sz w:val="21"/>
          <w:szCs w:val="21"/>
          <w:shd w:val="clear" w:color="auto" w:fill="FFFFFF"/>
        </w:rPr>
        <w:t>公司（单位）名称（盖章）：</w:t>
      </w:r>
      <w:r>
        <w:rPr>
          <w:rFonts w:hAnsi="宋体" w:cs="宋体"/>
          <w:sz w:val="21"/>
          <w:szCs w:val="21"/>
          <w:shd w:val="clear" w:color="auto" w:fill="FFFFFF"/>
        </w:rPr>
        <w:t>      </w:t>
      </w:r>
    </w:p>
    <w:p w14:paraId="21BA5842">
      <w:pPr>
        <w:pStyle w:val="44"/>
        <w:shd w:val="clear" w:color="auto" w:fill="FFFFFF"/>
        <w:spacing w:before="0" w:beforeAutospacing="0" w:after="0" w:afterAutospacing="0" w:line="480" w:lineRule="exact"/>
        <w:ind w:firstLine="420" w:firstLineChars="200"/>
        <w:rPr>
          <w:rFonts w:hAnsi="宋体" w:cs="宋体"/>
          <w:sz w:val="21"/>
          <w:szCs w:val="21"/>
        </w:rPr>
      </w:pPr>
      <w:r>
        <w:rPr>
          <w:rFonts w:hint="eastAsia" w:hAnsi="宋体" w:cs="宋体"/>
          <w:sz w:val="21"/>
          <w:szCs w:val="21"/>
          <w:shd w:val="clear" w:color="auto" w:fill="FFFFFF"/>
        </w:rPr>
        <w:t>日期：　　　年　　月　日</w:t>
      </w:r>
      <w:r>
        <w:rPr>
          <w:rFonts w:hAnsi="宋体" w:cs="宋体"/>
          <w:sz w:val="21"/>
          <w:szCs w:val="21"/>
          <w:shd w:val="clear" w:color="auto" w:fill="FFFFFF"/>
        </w:rPr>
        <w:t>    </w:t>
      </w:r>
    </w:p>
    <w:p w14:paraId="4FC85B76">
      <w:pPr>
        <w:spacing w:line="400" w:lineRule="exact"/>
        <w:ind w:firstLine="420" w:firstLineChars="200"/>
        <w:jc w:val="left"/>
        <w:rPr>
          <w:rFonts w:ascii="宋体" w:hAnsi="宋体" w:cs="宋体"/>
          <w:szCs w:val="21"/>
        </w:rPr>
      </w:pPr>
    </w:p>
    <w:p w14:paraId="5DA6DF5D">
      <w:pPr>
        <w:spacing w:line="400" w:lineRule="exact"/>
        <w:ind w:firstLine="420" w:firstLineChars="200"/>
        <w:jc w:val="left"/>
        <w:rPr>
          <w:rFonts w:ascii="宋体" w:hAnsi="宋体" w:cs="宋体"/>
          <w:szCs w:val="21"/>
        </w:rPr>
      </w:pPr>
    </w:p>
    <w:p w14:paraId="3572A1C2">
      <w:pPr>
        <w:spacing w:line="480" w:lineRule="exact"/>
        <w:ind w:firstLine="420" w:firstLineChars="200"/>
        <w:jc w:val="left"/>
        <w:rPr>
          <w:rFonts w:ascii="宋体" w:hAnsi="宋体" w:cs="宋体"/>
          <w:szCs w:val="21"/>
        </w:rPr>
      </w:pPr>
      <w:r>
        <w:rPr>
          <w:rFonts w:hint="eastAsia" w:ascii="宋体" w:hAnsi="宋体" w:cs="宋体"/>
          <w:szCs w:val="21"/>
        </w:rPr>
        <w:t>关于符合本国产品标准的声明函说明：</w:t>
      </w:r>
      <w:r>
        <w:rPr>
          <w:rFonts w:ascii="宋体" w:hAnsi="宋体" w:cs="宋体"/>
          <w:szCs w:val="21"/>
        </w:rPr>
        <w:t xml:space="preserve"> </w:t>
      </w:r>
    </w:p>
    <w:p w14:paraId="2A0EF47A">
      <w:pPr>
        <w:pStyle w:val="44"/>
        <w:shd w:val="clear" w:color="auto" w:fill="FFFFFF"/>
        <w:spacing w:before="0" w:beforeAutospacing="0" w:after="0" w:afterAutospacing="0" w:line="480" w:lineRule="exact"/>
        <w:ind w:firstLine="420"/>
        <w:rPr>
          <w:rFonts w:hAnsi="宋体" w:cs="宋体"/>
          <w:sz w:val="21"/>
          <w:szCs w:val="21"/>
        </w:rPr>
      </w:pPr>
      <w:r>
        <w:rPr>
          <w:rFonts w:hAnsi="宋体" w:cs="宋体"/>
          <w:sz w:val="21"/>
          <w:szCs w:val="21"/>
          <w:shd w:val="clear" w:color="auto" w:fill="FFFFFF"/>
        </w:rPr>
        <w:t>1.产品如有型号，请在“产品名称”栏一并填写。</w:t>
      </w:r>
    </w:p>
    <w:p w14:paraId="046929FE">
      <w:pPr>
        <w:pStyle w:val="44"/>
        <w:shd w:val="clear" w:color="auto" w:fill="FFFFFF"/>
        <w:spacing w:before="0" w:beforeAutospacing="0" w:after="0" w:afterAutospacing="0" w:line="480" w:lineRule="exact"/>
        <w:ind w:firstLine="420"/>
        <w:rPr>
          <w:rFonts w:hAnsi="宋体" w:cs="宋体"/>
          <w:sz w:val="21"/>
          <w:szCs w:val="21"/>
        </w:rPr>
      </w:pPr>
      <w:r>
        <w:rPr>
          <w:rFonts w:hAnsi="宋体" w:cs="宋体"/>
          <w:sz w:val="21"/>
          <w:szCs w:val="21"/>
          <w:shd w:val="clear" w:color="auto" w:fill="FFFFFF"/>
        </w:rPr>
        <w:t>2.生产厂名与厂址应与生产厂营业执照载明的相关信息保持一致。</w:t>
      </w:r>
    </w:p>
    <w:p w14:paraId="12DB33A6">
      <w:pPr>
        <w:pStyle w:val="44"/>
        <w:shd w:val="clear" w:color="auto" w:fill="FFFFFF"/>
        <w:spacing w:before="0" w:beforeAutospacing="0" w:after="0" w:afterAutospacing="0" w:line="480" w:lineRule="exact"/>
        <w:ind w:firstLine="420"/>
        <w:rPr>
          <w:rFonts w:hAnsi="宋体" w:cs="宋体"/>
          <w:sz w:val="21"/>
          <w:szCs w:val="21"/>
        </w:rPr>
      </w:pPr>
      <w:r>
        <w:rPr>
          <w:rFonts w:hAnsi="宋体" w:cs="宋体"/>
          <w:sz w:val="21"/>
          <w:szCs w:val="21"/>
          <w:shd w:val="clear" w:color="auto" w:fill="FFFFFF"/>
        </w:rPr>
        <w:t>3.该产品的中国境内生产的组件成本占比相关要求实施前，“规定比例”栏可不填，下同。</w:t>
      </w:r>
    </w:p>
    <w:p w14:paraId="663CFACC">
      <w:pPr>
        <w:pStyle w:val="44"/>
        <w:shd w:val="clear" w:color="auto" w:fill="FFFFFF"/>
        <w:spacing w:before="0" w:beforeAutospacing="0" w:after="0" w:afterAutospacing="0" w:line="480" w:lineRule="exact"/>
        <w:ind w:firstLine="420"/>
        <w:rPr>
          <w:rFonts w:hAnsi="宋体" w:cs="宋体"/>
          <w:sz w:val="21"/>
          <w:szCs w:val="21"/>
        </w:rPr>
      </w:pPr>
      <w:r>
        <w:rPr>
          <w:rFonts w:hAnsi="宋体" w:cs="宋体"/>
          <w:sz w:val="21"/>
          <w:szCs w:val="21"/>
          <w:shd w:val="clear" w:color="auto" w:fill="FFFFFF"/>
        </w:rPr>
        <w:t>4.该产品的关键组件要求实施前，“关键组件”栏可不填，下同。</w:t>
      </w:r>
    </w:p>
    <w:p w14:paraId="28CB1DA5">
      <w:pPr>
        <w:pStyle w:val="44"/>
        <w:shd w:val="clear" w:color="auto" w:fill="FFFFFF"/>
        <w:spacing w:before="0" w:beforeAutospacing="0" w:after="0" w:afterAutospacing="0" w:line="480" w:lineRule="exact"/>
        <w:ind w:firstLine="420"/>
        <w:rPr>
          <w:rFonts w:hAnsi="宋体" w:cs="宋体"/>
          <w:sz w:val="21"/>
          <w:szCs w:val="21"/>
        </w:rPr>
      </w:pPr>
      <w:r>
        <w:rPr>
          <w:rFonts w:hAnsi="宋体" w:cs="宋体"/>
          <w:sz w:val="21"/>
          <w:szCs w:val="21"/>
          <w:shd w:val="clear" w:color="auto" w:fill="FFFFFF"/>
        </w:rPr>
        <w:t>5.该产品的关键工序要求实施前，“关键工序”栏可不填，下同。</w:t>
      </w:r>
    </w:p>
    <w:p w14:paraId="1A07809F">
      <w:pPr>
        <w:spacing w:line="720" w:lineRule="auto"/>
        <w:jc w:val="center"/>
        <w:rPr>
          <w:rFonts w:ascii="宋体" w:hAnsi="宋体" w:cs="宋体"/>
          <w:b/>
          <w:bCs/>
          <w:sz w:val="28"/>
          <w:szCs w:val="28"/>
        </w:rPr>
      </w:pPr>
      <w:r>
        <w:br w:type="page"/>
      </w:r>
      <w:r>
        <w:rPr>
          <w:rFonts w:ascii="宋体" w:hAnsi="宋体" w:cs="宋体"/>
          <w:b/>
          <w:bCs/>
          <w:sz w:val="28"/>
          <w:szCs w:val="28"/>
        </w:rPr>
        <w:t>2）关于本国产品比例的承诺函（如适用）</w:t>
      </w:r>
    </w:p>
    <w:p w14:paraId="4D38F156">
      <w:pPr>
        <w:spacing w:line="400" w:lineRule="exact"/>
        <w:ind w:firstLine="420" w:firstLineChars="200"/>
        <w:jc w:val="left"/>
        <w:rPr>
          <w:rFonts w:ascii="宋体" w:hAnsi="宋体" w:cs="宋体"/>
          <w:kern w:val="0"/>
          <w:szCs w:val="21"/>
          <w:shd w:val="clear" w:color="auto" w:fill="FFFFFF"/>
        </w:rPr>
      </w:pPr>
      <w:r>
        <w:rPr>
          <w:rFonts w:hint="eastAsia" w:ascii="宋体" w:hAnsi="宋体" w:cs="宋体"/>
          <w:kern w:val="0"/>
          <w:szCs w:val="21"/>
          <w:shd w:val="clear" w:color="auto" w:fill="FFFFFF"/>
        </w:rPr>
        <w:t>本公司</w:t>
      </w:r>
      <w:r>
        <w:rPr>
          <w:rFonts w:ascii="宋体" w:hAnsi="宋体" w:cs="宋体"/>
          <w:kern w:val="0"/>
          <w:szCs w:val="21"/>
          <w:shd w:val="clear" w:color="auto" w:fill="FFFFFF"/>
        </w:rPr>
        <w:t>(单位)郑重声明，根据《国务院办公厅关于在政府采购中实施本国产品标准及相关政策的通知》(国办发(2025)34号)的规定，本公司(单位)提供的符合本国产品标准的产品成本之和占提供的全部产品成本之和的比例达到 80%以上。</w:t>
      </w:r>
    </w:p>
    <w:p w14:paraId="607414EA">
      <w:pPr>
        <w:spacing w:line="400" w:lineRule="exact"/>
        <w:ind w:firstLine="420" w:firstLineChars="200"/>
        <w:jc w:val="left"/>
        <w:rPr>
          <w:rFonts w:ascii="宋体" w:hAnsi="宋体" w:cs="宋体"/>
          <w:kern w:val="0"/>
          <w:szCs w:val="21"/>
          <w:shd w:val="clear" w:color="auto" w:fill="FFFFFF"/>
        </w:rPr>
      </w:pPr>
      <w:r>
        <w:rPr>
          <w:rFonts w:hint="eastAsia" w:ascii="宋体" w:hAnsi="宋体" w:cs="宋体"/>
          <w:kern w:val="0"/>
          <w:szCs w:val="21"/>
          <w:shd w:val="clear" w:color="auto" w:fill="FFFFFF"/>
        </w:rPr>
        <w:t>本公司</w:t>
      </w:r>
      <w:r>
        <w:rPr>
          <w:rFonts w:ascii="宋体" w:hAnsi="宋体" w:cs="宋体"/>
          <w:kern w:val="0"/>
          <w:szCs w:val="21"/>
          <w:shd w:val="clear" w:color="auto" w:fill="FFFFFF"/>
        </w:rPr>
        <w:t>(单位)对上述承诺内容的真实性负责。如有虚假，愿承担相应法律责任。</w:t>
      </w:r>
    </w:p>
    <w:p w14:paraId="1E697A23">
      <w:pPr>
        <w:pStyle w:val="44"/>
        <w:shd w:val="clear" w:color="auto" w:fill="FFFFFF"/>
        <w:spacing w:before="0" w:beforeAutospacing="0" w:after="0" w:afterAutospacing="0" w:line="480" w:lineRule="exact"/>
        <w:rPr>
          <w:rFonts w:hAnsi="宋体" w:cs="宋体"/>
          <w:sz w:val="21"/>
          <w:szCs w:val="21"/>
          <w:shd w:val="clear" w:color="auto" w:fill="FFFFFF"/>
        </w:rPr>
      </w:pPr>
    </w:p>
    <w:p w14:paraId="16D9ADDF">
      <w:pPr>
        <w:pStyle w:val="44"/>
        <w:shd w:val="clear" w:color="auto" w:fill="FFFFFF"/>
        <w:spacing w:before="0" w:beforeAutospacing="0" w:after="0" w:afterAutospacing="0" w:line="480" w:lineRule="exact"/>
        <w:ind w:firstLine="210" w:firstLineChars="100"/>
        <w:rPr>
          <w:rFonts w:hAnsi="宋体" w:cs="宋体"/>
          <w:sz w:val="21"/>
          <w:szCs w:val="21"/>
        </w:rPr>
      </w:pPr>
      <w:r>
        <w:rPr>
          <w:rFonts w:hint="eastAsia" w:hAnsi="宋体" w:cs="宋体"/>
          <w:sz w:val="21"/>
          <w:szCs w:val="21"/>
          <w:shd w:val="clear" w:color="auto" w:fill="FFFFFF"/>
        </w:rPr>
        <w:t>公司（单位）名称（盖章）：</w:t>
      </w:r>
      <w:r>
        <w:rPr>
          <w:rFonts w:hAnsi="宋体" w:cs="宋体"/>
          <w:sz w:val="21"/>
          <w:szCs w:val="21"/>
          <w:shd w:val="clear" w:color="auto" w:fill="FFFFFF"/>
        </w:rPr>
        <w:t>      </w:t>
      </w:r>
    </w:p>
    <w:p w14:paraId="30FD738B">
      <w:pPr>
        <w:spacing w:line="720" w:lineRule="auto"/>
        <w:ind w:firstLine="210" w:firstLineChars="100"/>
        <w:rPr>
          <w:rFonts w:ascii="宋体" w:hAnsi="宋体" w:cs="宋体"/>
          <w:sz w:val="24"/>
        </w:rPr>
      </w:pPr>
      <w:r>
        <w:rPr>
          <w:rFonts w:hint="eastAsia" w:ascii="宋体" w:hAnsi="宋体" w:cs="宋体"/>
          <w:szCs w:val="21"/>
          <w:shd w:val="clear" w:color="auto" w:fill="FFFFFF"/>
        </w:rPr>
        <w:t>日期：　　　年　　</w:t>
      </w:r>
      <w:r>
        <w:rPr>
          <w:rFonts w:ascii="宋体" w:hAnsi="宋体" w:cs="宋体"/>
          <w:szCs w:val="21"/>
          <w:shd w:val="clear" w:color="auto" w:fill="FFFFFF"/>
        </w:rPr>
        <w:t xml:space="preserve"> </w:t>
      </w:r>
      <w:r>
        <w:rPr>
          <w:rFonts w:hint="eastAsia" w:ascii="宋体" w:hAnsi="宋体" w:cs="宋体"/>
          <w:szCs w:val="21"/>
          <w:shd w:val="clear" w:color="auto" w:fill="FFFFFF"/>
        </w:rPr>
        <w:t>月</w:t>
      </w:r>
      <w:r>
        <w:rPr>
          <w:rFonts w:ascii="宋体" w:hAnsi="宋体" w:cs="宋体"/>
          <w:szCs w:val="21"/>
          <w:shd w:val="clear" w:color="auto" w:fill="FFFFFF"/>
        </w:rPr>
        <w:t xml:space="preserve"> </w:t>
      </w:r>
      <w:r>
        <w:rPr>
          <w:rFonts w:hint="eastAsia" w:ascii="宋体" w:hAnsi="宋体" w:cs="宋体"/>
          <w:szCs w:val="21"/>
          <w:shd w:val="clear" w:color="auto" w:fill="FFFFFF"/>
        </w:rPr>
        <w:t>　日</w:t>
      </w:r>
      <w:r>
        <w:rPr>
          <w:rFonts w:ascii="宋体" w:hAnsi="宋体" w:cs="宋体"/>
          <w:szCs w:val="21"/>
          <w:shd w:val="clear" w:color="auto" w:fill="FFFFFF"/>
        </w:rPr>
        <w:t>   </w:t>
      </w:r>
    </w:p>
    <w:p w14:paraId="6DDCAA1B">
      <w:pPr>
        <w:spacing w:line="720" w:lineRule="auto"/>
        <w:rPr>
          <w:b/>
        </w:rPr>
      </w:pPr>
      <w:r>
        <w:rPr>
          <w:rFonts w:hint="eastAsia" w:ascii="宋体" w:hAnsi="宋体" w:cs="宋体"/>
          <w:kern w:val="0"/>
          <w:szCs w:val="21"/>
          <w:shd w:val="clear" w:color="auto" w:fill="FFFFFF"/>
        </w:rPr>
        <w:t>注：当采购项目或采购包中含有多种产品，符合有关政策的，供应商还应当提供本承诺函。</w:t>
      </w:r>
      <w:r>
        <w:rPr>
          <w:color w:val="FF0000"/>
        </w:rPr>
        <w:br w:type="page"/>
      </w:r>
      <w:r>
        <w:rPr>
          <w:rFonts w:hint="eastAsia"/>
          <w:b/>
        </w:rPr>
        <w:t>2.技术文件部分（格式）</w:t>
      </w:r>
    </w:p>
    <w:p w14:paraId="7DCEBBFF">
      <w:pPr>
        <w:snapToGrid w:val="0"/>
        <w:spacing w:line="380" w:lineRule="exact"/>
        <w:jc w:val="left"/>
        <w:rPr>
          <w:rFonts w:ascii="宋体"/>
          <w:szCs w:val="21"/>
        </w:rPr>
      </w:pPr>
      <w:r>
        <w:rPr>
          <w:rFonts w:hint="eastAsia" w:ascii="宋体"/>
          <w:szCs w:val="21"/>
        </w:rPr>
        <w:t xml:space="preserve">   （1）技术响应表格式： </w:t>
      </w:r>
    </w:p>
    <w:p w14:paraId="786BFDB6">
      <w:pPr>
        <w:wordWrap w:val="0"/>
        <w:snapToGrid w:val="0"/>
        <w:spacing w:line="360" w:lineRule="exact"/>
        <w:ind w:firstLine="420" w:firstLineChars="200"/>
        <w:jc w:val="left"/>
        <w:rPr>
          <w:rFonts w:ascii="宋体"/>
          <w:szCs w:val="21"/>
        </w:rPr>
      </w:pPr>
      <w:r>
        <w:rPr>
          <w:rFonts w:hint="eastAsia" w:ascii="宋体"/>
          <w:szCs w:val="21"/>
          <w:u w:val="single"/>
        </w:rPr>
        <w:t xml:space="preserve"> </w:t>
      </w:r>
      <w:r>
        <w:rPr>
          <w:rFonts w:ascii="宋体"/>
          <w:szCs w:val="21"/>
          <w:u w:val="single"/>
        </w:rPr>
        <w:t xml:space="preserve">     </w:t>
      </w:r>
      <w:r>
        <w:rPr>
          <w:rFonts w:hint="eastAsia" w:ascii="宋体"/>
          <w:szCs w:val="21"/>
        </w:rPr>
        <w:t>分标</w:t>
      </w:r>
    </w:p>
    <w:tbl>
      <w:tblPr>
        <w:tblStyle w:val="50"/>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3600"/>
        <w:gridCol w:w="3600"/>
        <w:gridCol w:w="1573"/>
      </w:tblGrid>
      <w:tr w14:paraId="6652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801" w:type="dxa"/>
            <w:tcBorders>
              <w:top w:val="single" w:color="auto" w:sz="4" w:space="0"/>
              <w:left w:val="single" w:color="auto" w:sz="4" w:space="0"/>
              <w:bottom w:val="single" w:color="auto" w:sz="4" w:space="0"/>
              <w:right w:val="single" w:color="auto" w:sz="4" w:space="0"/>
            </w:tcBorders>
            <w:vAlign w:val="center"/>
          </w:tcPr>
          <w:p w14:paraId="0BEBD0F9">
            <w:pPr>
              <w:pStyle w:val="26"/>
              <w:spacing w:line="400" w:lineRule="exact"/>
              <w:jc w:val="center"/>
              <w:rPr>
                <w:rFonts w:hAnsi="宋体" w:cs="Courier New"/>
              </w:rPr>
            </w:pPr>
            <w:r>
              <w:rPr>
                <w:rFonts w:hint="eastAsia" w:hAnsi="宋体" w:cs="Courier New"/>
              </w:rPr>
              <w:t>项号</w:t>
            </w:r>
          </w:p>
        </w:tc>
        <w:tc>
          <w:tcPr>
            <w:tcW w:w="3600" w:type="dxa"/>
            <w:tcBorders>
              <w:top w:val="single" w:color="auto" w:sz="4" w:space="0"/>
              <w:left w:val="single" w:color="auto" w:sz="4" w:space="0"/>
              <w:bottom w:val="single" w:color="auto" w:sz="4" w:space="0"/>
              <w:right w:val="single" w:color="auto" w:sz="4" w:space="0"/>
            </w:tcBorders>
            <w:vAlign w:val="center"/>
          </w:tcPr>
          <w:p w14:paraId="5833D5C4">
            <w:pPr>
              <w:pStyle w:val="26"/>
              <w:spacing w:line="400" w:lineRule="exact"/>
              <w:jc w:val="center"/>
              <w:rPr>
                <w:rFonts w:hAnsi="宋体" w:cs="Courier New"/>
              </w:rPr>
            </w:pPr>
            <w:r>
              <w:rPr>
                <w:rFonts w:hAnsi="宋体" w:cs="Courier New"/>
              </w:rPr>
              <w:t>招标要求</w:t>
            </w:r>
          </w:p>
        </w:tc>
        <w:tc>
          <w:tcPr>
            <w:tcW w:w="3600" w:type="dxa"/>
            <w:tcBorders>
              <w:top w:val="single" w:color="auto" w:sz="4" w:space="0"/>
              <w:left w:val="single" w:color="auto" w:sz="4" w:space="0"/>
              <w:bottom w:val="single" w:color="auto" w:sz="4" w:space="0"/>
              <w:right w:val="single" w:color="auto" w:sz="4" w:space="0"/>
            </w:tcBorders>
            <w:vAlign w:val="center"/>
          </w:tcPr>
          <w:p w14:paraId="321261D8">
            <w:pPr>
              <w:pStyle w:val="26"/>
              <w:spacing w:line="400" w:lineRule="exact"/>
              <w:jc w:val="center"/>
              <w:rPr>
                <w:rFonts w:hAnsi="宋体" w:cs="Courier New"/>
              </w:rPr>
            </w:pPr>
            <w:r>
              <w:rPr>
                <w:rFonts w:hAnsi="宋体" w:cs="Courier New"/>
              </w:rPr>
              <w:t>应标情况</w:t>
            </w:r>
          </w:p>
        </w:tc>
        <w:tc>
          <w:tcPr>
            <w:tcW w:w="1573" w:type="dxa"/>
            <w:tcBorders>
              <w:top w:val="single" w:color="auto" w:sz="4" w:space="0"/>
              <w:left w:val="single" w:color="auto" w:sz="4" w:space="0"/>
              <w:bottom w:val="single" w:color="auto" w:sz="4" w:space="0"/>
              <w:right w:val="single" w:color="auto" w:sz="4" w:space="0"/>
            </w:tcBorders>
            <w:vAlign w:val="center"/>
          </w:tcPr>
          <w:p w14:paraId="023F66E3">
            <w:pPr>
              <w:pStyle w:val="26"/>
              <w:spacing w:line="400" w:lineRule="exact"/>
              <w:jc w:val="center"/>
              <w:rPr>
                <w:rFonts w:hAnsi="宋体" w:cs="Courier New"/>
              </w:rPr>
            </w:pPr>
            <w:r>
              <w:rPr>
                <w:rFonts w:hAnsi="宋体" w:cs="Courier New"/>
              </w:rPr>
              <w:t>偏离说明</w:t>
            </w:r>
          </w:p>
        </w:tc>
      </w:tr>
      <w:tr w14:paraId="18B02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tcBorders>
              <w:top w:val="single" w:color="auto" w:sz="4" w:space="0"/>
              <w:left w:val="single" w:color="auto" w:sz="4" w:space="0"/>
              <w:bottom w:val="single" w:color="auto" w:sz="4" w:space="0"/>
              <w:right w:val="single" w:color="auto" w:sz="4" w:space="0"/>
            </w:tcBorders>
          </w:tcPr>
          <w:p w14:paraId="7B7E8966">
            <w:pPr>
              <w:pStyle w:val="26"/>
              <w:spacing w:line="600" w:lineRule="exact"/>
              <w:ind w:left="5250"/>
              <w:jc w:val="center"/>
              <w:rPr>
                <w:rFonts w:hAnsi="宋体" w:cs="Courier New"/>
              </w:rPr>
            </w:pPr>
          </w:p>
        </w:tc>
        <w:tc>
          <w:tcPr>
            <w:tcW w:w="3600" w:type="dxa"/>
            <w:tcBorders>
              <w:top w:val="single" w:color="auto" w:sz="4" w:space="0"/>
              <w:left w:val="single" w:color="auto" w:sz="4" w:space="0"/>
              <w:bottom w:val="single" w:color="auto" w:sz="4" w:space="0"/>
              <w:right w:val="single" w:color="auto" w:sz="4" w:space="0"/>
            </w:tcBorders>
            <w:vAlign w:val="center"/>
          </w:tcPr>
          <w:p w14:paraId="1CD236A8">
            <w:pPr>
              <w:pStyle w:val="26"/>
              <w:spacing w:line="600" w:lineRule="exact"/>
              <w:ind w:left="5250"/>
              <w:jc w:val="center"/>
              <w:rPr>
                <w:rFonts w:hAnsi="宋体" w:cs="Courier New"/>
              </w:rPr>
            </w:pPr>
          </w:p>
        </w:tc>
        <w:tc>
          <w:tcPr>
            <w:tcW w:w="3600" w:type="dxa"/>
            <w:tcBorders>
              <w:top w:val="single" w:color="auto" w:sz="4" w:space="0"/>
              <w:left w:val="single" w:color="auto" w:sz="4" w:space="0"/>
              <w:bottom w:val="single" w:color="auto" w:sz="4" w:space="0"/>
              <w:right w:val="single" w:color="auto" w:sz="4" w:space="0"/>
            </w:tcBorders>
            <w:vAlign w:val="center"/>
          </w:tcPr>
          <w:p w14:paraId="35012752">
            <w:pPr>
              <w:pStyle w:val="26"/>
              <w:spacing w:line="600" w:lineRule="exact"/>
              <w:ind w:left="5250"/>
              <w:jc w:val="center"/>
              <w:rPr>
                <w:rFonts w:hAnsi="宋体" w:cs="Courier New"/>
              </w:rPr>
            </w:pPr>
          </w:p>
        </w:tc>
        <w:tc>
          <w:tcPr>
            <w:tcW w:w="1573" w:type="dxa"/>
            <w:tcBorders>
              <w:top w:val="single" w:color="auto" w:sz="4" w:space="0"/>
              <w:left w:val="single" w:color="auto" w:sz="4" w:space="0"/>
              <w:bottom w:val="single" w:color="auto" w:sz="4" w:space="0"/>
              <w:right w:val="single" w:color="auto" w:sz="4" w:space="0"/>
            </w:tcBorders>
            <w:vAlign w:val="center"/>
          </w:tcPr>
          <w:p w14:paraId="784413DC">
            <w:pPr>
              <w:pStyle w:val="26"/>
              <w:spacing w:line="600" w:lineRule="exact"/>
              <w:ind w:left="5250"/>
              <w:jc w:val="center"/>
              <w:rPr>
                <w:rFonts w:hAnsi="宋体" w:cs="Courier New"/>
              </w:rPr>
            </w:pPr>
          </w:p>
        </w:tc>
      </w:tr>
      <w:tr w14:paraId="0A1F5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tcBorders>
              <w:top w:val="single" w:color="auto" w:sz="4" w:space="0"/>
              <w:left w:val="single" w:color="auto" w:sz="4" w:space="0"/>
              <w:bottom w:val="single" w:color="auto" w:sz="4" w:space="0"/>
              <w:right w:val="single" w:color="auto" w:sz="4" w:space="0"/>
            </w:tcBorders>
          </w:tcPr>
          <w:p w14:paraId="05A0DB54">
            <w:pPr>
              <w:pStyle w:val="26"/>
              <w:spacing w:line="600" w:lineRule="exact"/>
              <w:ind w:left="5250"/>
              <w:jc w:val="center"/>
              <w:rPr>
                <w:rFonts w:hAnsi="宋体" w:cs="Courier New"/>
              </w:rPr>
            </w:pPr>
          </w:p>
        </w:tc>
        <w:tc>
          <w:tcPr>
            <w:tcW w:w="3600" w:type="dxa"/>
            <w:tcBorders>
              <w:top w:val="single" w:color="auto" w:sz="4" w:space="0"/>
              <w:left w:val="single" w:color="auto" w:sz="4" w:space="0"/>
              <w:bottom w:val="single" w:color="auto" w:sz="4" w:space="0"/>
              <w:right w:val="single" w:color="auto" w:sz="4" w:space="0"/>
            </w:tcBorders>
            <w:vAlign w:val="center"/>
          </w:tcPr>
          <w:p w14:paraId="26DC7950">
            <w:pPr>
              <w:pStyle w:val="26"/>
              <w:spacing w:line="600" w:lineRule="exact"/>
              <w:ind w:left="5250"/>
              <w:jc w:val="center"/>
              <w:rPr>
                <w:rFonts w:hAnsi="宋体" w:cs="Courier New"/>
              </w:rPr>
            </w:pPr>
          </w:p>
        </w:tc>
        <w:tc>
          <w:tcPr>
            <w:tcW w:w="3600" w:type="dxa"/>
            <w:tcBorders>
              <w:top w:val="single" w:color="auto" w:sz="4" w:space="0"/>
              <w:left w:val="single" w:color="auto" w:sz="4" w:space="0"/>
              <w:bottom w:val="single" w:color="auto" w:sz="4" w:space="0"/>
              <w:right w:val="single" w:color="auto" w:sz="4" w:space="0"/>
            </w:tcBorders>
            <w:vAlign w:val="center"/>
          </w:tcPr>
          <w:p w14:paraId="411F0138">
            <w:pPr>
              <w:pStyle w:val="26"/>
              <w:spacing w:line="600" w:lineRule="exact"/>
              <w:ind w:left="5250"/>
              <w:jc w:val="center"/>
              <w:rPr>
                <w:rFonts w:hAnsi="宋体" w:cs="Courier New"/>
              </w:rPr>
            </w:pPr>
          </w:p>
        </w:tc>
        <w:tc>
          <w:tcPr>
            <w:tcW w:w="1573" w:type="dxa"/>
            <w:tcBorders>
              <w:top w:val="single" w:color="auto" w:sz="4" w:space="0"/>
              <w:left w:val="single" w:color="auto" w:sz="4" w:space="0"/>
              <w:bottom w:val="single" w:color="auto" w:sz="4" w:space="0"/>
              <w:right w:val="single" w:color="auto" w:sz="4" w:space="0"/>
            </w:tcBorders>
            <w:vAlign w:val="center"/>
          </w:tcPr>
          <w:p w14:paraId="4B16276D">
            <w:pPr>
              <w:pStyle w:val="26"/>
              <w:spacing w:line="600" w:lineRule="exact"/>
              <w:ind w:left="5250"/>
              <w:jc w:val="center"/>
              <w:rPr>
                <w:rFonts w:hAnsi="宋体" w:cs="Courier New"/>
              </w:rPr>
            </w:pPr>
          </w:p>
        </w:tc>
      </w:tr>
      <w:tr w14:paraId="6EE5C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tcBorders>
              <w:top w:val="single" w:color="auto" w:sz="4" w:space="0"/>
              <w:left w:val="single" w:color="auto" w:sz="4" w:space="0"/>
              <w:bottom w:val="single" w:color="auto" w:sz="4" w:space="0"/>
              <w:right w:val="single" w:color="auto" w:sz="4" w:space="0"/>
            </w:tcBorders>
          </w:tcPr>
          <w:p w14:paraId="0A6CA3F4">
            <w:pPr>
              <w:pStyle w:val="26"/>
              <w:spacing w:line="600" w:lineRule="exact"/>
              <w:ind w:left="5250"/>
              <w:rPr>
                <w:rFonts w:hAnsi="宋体" w:cs="Courier New"/>
              </w:rPr>
            </w:pPr>
          </w:p>
        </w:tc>
        <w:tc>
          <w:tcPr>
            <w:tcW w:w="3600" w:type="dxa"/>
            <w:tcBorders>
              <w:top w:val="single" w:color="auto" w:sz="4" w:space="0"/>
              <w:left w:val="single" w:color="auto" w:sz="4" w:space="0"/>
              <w:bottom w:val="single" w:color="auto" w:sz="4" w:space="0"/>
              <w:right w:val="single" w:color="auto" w:sz="4" w:space="0"/>
            </w:tcBorders>
          </w:tcPr>
          <w:p w14:paraId="028FDFF3">
            <w:pPr>
              <w:pStyle w:val="26"/>
              <w:spacing w:line="600" w:lineRule="exact"/>
              <w:ind w:left="5250"/>
              <w:rPr>
                <w:rFonts w:hAnsi="宋体" w:cs="Courier New"/>
              </w:rPr>
            </w:pPr>
          </w:p>
        </w:tc>
        <w:tc>
          <w:tcPr>
            <w:tcW w:w="3600" w:type="dxa"/>
            <w:tcBorders>
              <w:top w:val="single" w:color="auto" w:sz="4" w:space="0"/>
              <w:left w:val="single" w:color="auto" w:sz="4" w:space="0"/>
              <w:bottom w:val="single" w:color="auto" w:sz="4" w:space="0"/>
              <w:right w:val="single" w:color="auto" w:sz="4" w:space="0"/>
            </w:tcBorders>
          </w:tcPr>
          <w:p w14:paraId="3FCE2383">
            <w:pPr>
              <w:pStyle w:val="26"/>
              <w:spacing w:line="600" w:lineRule="exact"/>
              <w:ind w:left="5250"/>
              <w:rPr>
                <w:rFonts w:hAnsi="宋体" w:cs="Courier New"/>
              </w:rPr>
            </w:pPr>
          </w:p>
        </w:tc>
        <w:tc>
          <w:tcPr>
            <w:tcW w:w="1573" w:type="dxa"/>
            <w:tcBorders>
              <w:top w:val="single" w:color="auto" w:sz="4" w:space="0"/>
              <w:left w:val="single" w:color="auto" w:sz="4" w:space="0"/>
              <w:bottom w:val="single" w:color="auto" w:sz="4" w:space="0"/>
              <w:right w:val="single" w:color="auto" w:sz="4" w:space="0"/>
            </w:tcBorders>
          </w:tcPr>
          <w:p w14:paraId="771C480D">
            <w:pPr>
              <w:pStyle w:val="26"/>
              <w:spacing w:line="600" w:lineRule="exact"/>
              <w:ind w:left="5250"/>
              <w:rPr>
                <w:rFonts w:hAnsi="宋体" w:cs="Courier New"/>
              </w:rPr>
            </w:pPr>
          </w:p>
        </w:tc>
      </w:tr>
      <w:tr w14:paraId="29154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tcBorders>
              <w:top w:val="single" w:color="auto" w:sz="4" w:space="0"/>
              <w:left w:val="single" w:color="auto" w:sz="4" w:space="0"/>
              <w:bottom w:val="single" w:color="auto" w:sz="4" w:space="0"/>
              <w:right w:val="single" w:color="auto" w:sz="4" w:space="0"/>
            </w:tcBorders>
          </w:tcPr>
          <w:p w14:paraId="4FF27F57">
            <w:pPr>
              <w:pStyle w:val="26"/>
              <w:spacing w:line="600" w:lineRule="exact"/>
              <w:ind w:left="5250"/>
              <w:rPr>
                <w:rFonts w:hAnsi="宋体" w:cs="Courier New"/>
              </w:rPr>
            </w:pPr>
          </w:p>
        </w:tc>
        <w:tc>
          <w:tcPr>
            <w:tcW w:w="3600" w:type="dxa"/>
            <w:tcBorders>
              <w:top w:val="single" w:color="auto" w:sz="4" w:space="0"/>
              <w:left w:val="single" w:color="auto" w:sz="4" w:space="0"/>
              <w:bottom w:val="single" w:color="auto" w:sz="4" w:space="0"/>
              <w:right w:val="single" w:color="auto" w:sz="4" w:space="0"/>
            </w:tcBorders>
          </w:tcPr>
          <w:p w14:paraId="4A7F9567">
            <w:pPr>
              <w:pStyle w:val="26"/>
              <w:spacing w:line="600" w:lineRule="exact"/>
              <w:ind w:left="5250"/>
              <w:rPr>
                <w:rFonts w:hAnsi="宋体" w:cs="Courier New"/>
              </w:rPr>
            </w:pPr>
          </w:p>
        </w:tc>
        <w:tc>
          <w:tcPr>
            <w:tcW w:w="3600" w:type="dxa"/>
            <w:tcBorders>
              <w:top w:val="single" w:color="auto" w:sz="4" w:space="0"/>
              <w:left w:val="single" w:color="auto" w:sz="4" w:space="0"/>
              <w:bottom w:val="single" w:color="auto" w:sz="4" w:space="0"/>
              <w:right w:val="single" w:color="auto" w:sz="4" w:space="0"/>
            </w:tcBorders>
          </w:tcPr>
          <w:p w14:paraId="52CDD1F0">
            <w:pPr>
              <w:pStyle w:val="26"/>
              <w:spacing w:line="600" w:lineRule="exact"/>
              <w:ind w:left="5250"/>
              <w:rPr>
                <w:rFonts w:hAnsi="宋体" w:cs="Courier New"/>
              </w:rPr>
            </w:pPr>
          </w:p>
        </w:tc>
        <w:tc>
          <w:tcPr>
            <w:tcW w:w="1573" w:type="dxa"/>
            <w:tcBorders>
              <w:top w:val="single" w:color="auto" w:sz="4" w:space="0"/>
              <w:left w:val="single" w:color="auto" w:sz="4" w:space="0"/>
              <w:bottom w:val="single" w:color="auto" w:sz="4" w:space="0"/>
              <w:right w:val="single" w:color="auto" w:sz="4" w:space="0"/>
            </w:tcBorders>
          </w:tcPr>
          <w:p w14:paraId="1ACC12DD">
            <w:pPr>
              <w:pStyle w:val="26"/>
              <w:spacing w:line="600" w:lineRule="exact"/>
              <w:ind w:left="5250"/>
              <w:rPr>
                <w:rFonts w:hAnsi="宋体" w:cs="Courier New"/>
              </w:rPr>
            </w:pPr>
          </w:p>
        </w:tc>
      </w:tr>
      <w:tr w14:paraId="2E93F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tcBorders>
              <w:top w:val="single" w:color="auto" w:sz="4" w:space="0"/>
              <w:left w:val="single" w:color="auto" w:sz="4" w:space="0"/>
              <w:bottom w:val="single" w:color="auto" w:sz="4" w:space="0"/>
              <w:right w:val="single" w:color="auto" w:sz="4" w:space="0"/>
            </w:tcBorders>
          </w:tcPr>
          <w:p w14:paraId="3ED75B1D">
            <w:pPr>
              <w:pStyle w:val="26"/>
              <w:spacing w:line="600" w:lineRule="exact"/>
              <w:ind w:left="5250"/>
              <w:rPr>
                <w:rFonts w:hAnsi="宋体" w:cs="Courier New"/>
              </w:rPr>
            </w:pPr>
          </w:p>
        </w:tc>
        <w:tc>
          <w:tcPr>
            <w:tcW w:w="3600" w:type="dxa"/>
            <w:tcBorders>
              <w:top w:val="single" w:color="auto" w:sz="4" w:space="0"/>
              <w:left w:val="single" w:color="auto" w:sz="4" w:space="0"/>
              <w:bottom w:val="single" w:color="auto" w:sz="4" w:space="0"/>
              <w:right w:val="single" w:color="auto" w:sz="4" w:space="0"/>
            </w:tcBorders>
          </w:tcPr>
          <w:p w14:paraId="61D7C433">
            <w:pPr>
              <w:pStyle w:val="26"/>
              <w:spacing w:line="600" w:lineRule="exact"/>
              <w:ind w:left="5250"/>
              <w:rPr>
                <w:rFonts w:hAnsi="宋体" w:cs="Courier New"/>
              </w:rPr>
            </w:pPr>
          </w:p>
        </w:tc>
        <w:tc>
          <w:tcPr>
            <w:tcW w:w="3600" w:type="dxa"/>
            <w:tcBorders>
              <w:top w:val="single" w:color="auto" w:sz="4" w:space="0"/>
              <w:left w:val="single" w:color="auto" w:sz="4" w:space="0"/>
              <w:bottom w:val="single" w:color="auto" w:sz="4" w:space="0"/>
              <w:right w:val="single" w:color="auto" w:sz="4" w:space="0"/>
            </w:tcBorders>
          </w:tcPr>
          <w:p w14:paraId="12F30929">
            <w:pPr>
              <w:pStyle w:val="26"/>
              <w:spacing w:line="600" w:lineRule="exact"/>
              <w:ind w:left="5250"/>
              <w:rPr>
                <w:rFonts w:hAnsi="宋体" w:cs="Courier New"/>
              </w:rPr>
            </w:pPr>
          </w:p>
        </w:tc>
        <w:tc>
          <w:tcPr>
            <w:tcW w:w="1573" w:type="dxa"/>
            <w:tcBorders>
              <w:top w:val="single" w:color="auto" w:sz="4" w:space="0"/>
              <w:left w:val="single" w:color="auto" w:sz="4" w:space="0"/>
              <w:bottom w:val="single" w:color="auto" w:sz="4" w:space="0"/>
              <w:right w:val="single" w:color="auto" w:sz="4" w:space="0"/>
            </w:tcBorders>
          </w:tcPr>
          <w:p w14:paraId="1E96AF01">
            <w:pPr>
              <w:pStyle w:val="26"/>
              <w:spacing w:line="600" w:lineRule="exact"/>
              <w:ind w:left="5250"/>
              <w:rPr>
                <w:rFonts w:hAnsi="宋体" w:cs="Courier New"/>
              </w:rPr>
            </w:pPr>
          </w:p>
        </w:tc>
      </w:tr>
      <w:tr w14:paraId="30C37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tcBorders>
              <w:top w:val="single" w:color="auto" w:sz="4" w:space="0"/>
              <w:left w:val="single" w:color="auto" w:sz="4" w:space="0"/>
              <w:bottom w:val="single" w:color="auto" w:sz="4" w:space="0"/>
              <w:right w:val="single" w:color="auto" w:sz="4" w:space="0"/>
            </w:tcBorders>
          </w:tcPr>
          <w:p w14:paraId="5236A7F4">
            <w:pPr>
              <w:pStyle w:val="26"/>
              <w:spacing w:line="600" w:lineRule="exact"/>
              <w:ind w:left="5250"/>
              <w:rPr>
                <w:rFonts w:hAnsi="宋体" w:cs="Courier New"/>
              </w:rPr>
            </w:pPr>
          </w:p>
        </w:tc>
        <w:tc>
          <w:tcPr>
            <w:tcW w:w="3600" w:type="dxa"/>
            <w:tcBorders>
              <w:top w:val="single" w:color="auto" w:sz="4" w:space="0"/>
              <w:left w:val="single" w:color="auto" w:sz="4" w:space="0"/>
              <w:bottom w:val="single" w:color="auto" w:sz="4" w:space="0"/>
              <w:right w:val="single" w:color="auto" w:sz="4" w:space="0"/>
            </w:tcBorders>
          </w:tcPr>
          <w:p w14:paraId="765CE1FD">
            <w:pPr>
              <w:pStyle w:val="26"/>
              <w:spacing w:line="600" w:lineRule="exact"/>
              <w:ind w:left="5250"/>
              <w:rPr>
                <w:rFonts w:hAnsi="宋体" w:cs="Courier New"/>
              </w:rPr>
            </w:pPr>
          </w:p>
        </w:tc>
        <w:tc>
          <w:tcPr>
            <w:tcW w:w="3600" w:type="dxa"/>
            <w:tcBorders>
              <w:top w:val="single" w:color="auto" w:sz="4" w:space="0"/>
              <w:left w:val="single" w:color="auto" w:sz="4" w:space="0"/>
              <w:bottom w:val="single" w:color="auto" w:sz="4" w:space="0"/>
              <w:right w:val="single" w:color="auto" w:sz="4" w:space="0"/>
            </w:tcBorders>
          </w:tcPr>
          <w:p w14:paraId="134DC43E">
            <w:pPr>
              <w:pStyle w:val="26"/>
              <w:spacing w:line="600" w:lineRule="exact"/>
              <w:ind w:left="5250"/>
              <w:rPr>
                <w:rFonts w:hAnsi="宋体" w:cs="Courier New"/>
              </w:rPr>
            </w:pPr>
          </w:p>
        </w:tc>
        <w:tc>
          <w:tcPr>
            <w:tcW w:w="1573" w:type="dxa"/>
            <w:tcBorders>
              <w:top w:val="single" w:color="auto" w:sz="4" w:space="0"/>
              <w:left w:val="single" w:color="auto" w:sz="4" w:space="0"/>
              <w:bottom w:val="single" w:color="auto" w:sz="4" w:space="0"/>
              <w:right w:val="single" w:color="auto" w:sz="4" w:space="0"/>
            </w:tcBorders>
          </w:tcPr>
          <w:p w14:paraId="5C80B388">
            <w:pPr>
              <w:pStyle w:val="26"/>
              <w:spacing w:line="600" w:lineRule="exact"/>
              <w:ind w:left="5250"/>
              <w:rPr>
                <w:rFonts w:hAnsi="宋体" w:cs="Courier New"/>
              </w:rPr>
            </w:pPr>
          </w:p>
        </w:tc>
      </w:tr>
    </w:tbl>
    <w:p w14:paraId="6DBAE028">
      <w:pPr>
        <w:spacing w:line="400" w:lineRule="exact"/>
        <w:rPr>
          <w:rFonts w:ascii="宋体" w:hAnsi="宋体"/>
        </w:rPr>
      </w:pPr>
      <w:r>
        <w:rPr>
          <w:rFonts w:hint="eastAsia" w:ascii="宋体" w:hAnsi="宋体"/>
        </w:rPr>
        <w:t xml:space="preserve">   </w:t>
      </w:r>
    </w:p>
    <w:p w14:paraId="1CCBE502">
      <w:pPr>
        <w:spacing w:line="360" w:lineRule="exact"/>
        <w:rPr>
          <w:rFonts w:ascii="宋体" w:hAnsi="宋体"/>
          <w:b/>
          <w:szCs w:val="21"/>
        </w:rPr>
      </w:pPr>
      <w:r>
        <w:rPr>
          <w:rFonts w:hint="eastAsia" w:ascii="宋体" w:hAnsi="宋体"/>
          <w:b/>
          <w:szCs w:val="21"/>
        </w:rPr>
        <w:t>注：投标人应根据投标设备的性能指标、对照招标文件要求在技术响应表中详细列明招标要求及投标设备技术规格的响应情况，并填写“</w:t>
      </w:r>
      <w:r>
        <w:rPr>
          <w:rFonts w:ascii="宋体" w:hAnsi="宋体"/>
          <w:b/>
          <w:szCs w:val="21"/>
        </w:rPr>
        <w:t>偏离说明</w:t>
      </w:r>
      <w:r>
        <w:rPr>
          <w:rFonts w:hint="eastAsia" w:ascii="宋体" w:hAnsi="宋体"/>
          <w:b/>
          <w:szCs w:val="21"/>
        </w:rPr>
        <w:t>”。“偏离</w:t>
      </w:r>
      <w:r>
        <w:rPr>
          <w:rFonts w:ascii="宋体" w:hAnsi="宋体"/>
          <w:b/>
          <w:szCs w:val="21"/>
        </w:rPr>
        <w:t>说明</w:t>
      </w:r>
      <w:r>
        <w:rPr>
          <w:rFonts w:hint="eastAsia" w:ascii="宋体" w:hAnsi="宋体"/>
          <w:b/>
          <w:szCs w:val="21"/>
        </w:rPr>
        <w:t>”栏注明“正偏离”、“负偏离”或“无偏离”。投标技术规格与招标要求相同的为无偏离，投标技术规格高于招标要求的为正偏离，低于招标要求的为负偏离。</w:t>
      </w:r>
    </w:p>
    <w:p w14:paraId="6FEC911E">
      <w:pPr>
        <w:rPr>
          <w:rFonts w:ascii="宋体" w:hAnsi="宋体"/>
        </w:rPr>
      </w:pPr>
    </w:p>
    <w:p w14:paraId="492F0EC5">
      <w:pPr>
        <w:spacing w:line="400" w:lineRule="exact"/>
        <w:rPr>
          <w:rFonts w:ascii="宋体" w:hAnsi="宋体"/>
          <w:u w:val="single"/>
        </w:rPr>
      </w:pPr>
      <w:r>
        <w:rPr>
          <w:rFonts w:hint="eastAsia" w:ascii="宋体" w:hAnsi="宋体"/>
        </w:rPr>
        <w:t>法定代表人（负责人）或委托代理人签字或盖章：</w:t>
      </w:r>
      <w:r>
        <w:rPr>
          <w:rFonts w:hint="eastAsia" w:ascii="宋体" w:hAnsi="宋体"/>
          <w:u w:val="single"/>
        </w:rPr>
        <w:t xml:space="preserve">                 </w:t>
      </w:r>
    </w:p>
    <w:p w14:paraId="35AAC186">
      <w:pPr>
        <w:spacing w:line="400" w:lineRule="exact"/>
        <w:rPr>
          <w:rFonts w:ascii="宋体" w:hAnsi="宋体"/>
        </w:rPr>
      </w:pPr>
      <w:r>
        <w:rPr>
          <w:rFonts w:hint="eastAsia" w:ascii="宋体" w:hAnsi="宋体"/>
        </w:rPr>
        <w:t>投标人</w:t>
      </w:r>
      <w:r>
        <w:rPr>
          <w:rFonts w:hint="eastAsia"/>
        </w:rPr>
        <w:t>名称（</w:t>
      </w:r>
      <w:r>
        <w:rPr>
          <w:rFonts w:hint="eastAsia" w:ascii="宋体"/>
          <w:szCs w:val="21"/>
        </w:rPr>
        <w:t>盖章</w:t>
      </w:r>
      <w:r>
        <w:rPr>
          <w:rFonts w:hint="eastAsia"/>
        </w:rPr>
        <w:t>）</w:t>
      </w:r>
      <w:r>
        <w:rPr>
          <w:rFonts w:hint="eastAsia" w:ascii="宋体" w:hAnsi="宋体"/>
        </w:rPr>
        <w:t>：</w:t>
      </w:r>
      <w:r>
        <w:rPr>
          <w:rFonts w:hint="eastAsia" w:ascii="宋体" w:hAnsi="宋体"/>
          <w:u w:val="single"/>
        </w:rPr>
        <w:t xml:space="preserve">                </w:t>
      </w:r>
      <w:r>
        <w:rPr>
          <w:rFonts w:hint="eastAsia" w:ascii="宋体" w:hAnsi="宋体"/>
        </w:rPr>
        <w:t xml:space="preserve">          日 期：</w:t>
      </w:r>
      <w:r>
        <w:rPr>
          <w:rFonts w:hint="eastAsia" w:ascii="宋体" w:hAnsi="宋体"/>
          <w:u w:val="single"/>
        </w:rPr>
        <w:t xml:space="preserve">              </w:t>
      </w:r>
    </w:p>
    <w:p w14:paraId="6E4D0B75">
      <w:pPr>
        <w:rPr>
          <w:rFonts w:ascii="宋体" w:hAnsi="宋体"/>
        </w:rPr>
      </w:pPr>
    </w:p>
    <w:p w14:paraId="401F6B9C">
      <w:pPr>
        <w:spacing w:line="400" w:lineRule="exact"/>
        <w:ind w:firstLine="420"/>
        <w:rPr>
          <w:rFonts w:ascii="宋体" w:hAnsi="宋体"/>
        </w:rPr>
      </w:pPr>
      <w:r>
        <w:rPr>
          <w:rFonts w:hint="eastAsia" w:ascii="宋体" w:hAnsi="宋体"/>
        </w:rPr>
        <w:t>（2）设备配置清单格式：</w:t>
      </w:r>
    </w:p>
    <w:p w14:paraId="14DDD84F">
      <w:pPr>
        <w:wordWrap w:val="0"/>
        <w:snapToGrid w:val="0"/>
        <w:spacing w:line="360" w:lineRule="exact"/>
        <w:ind w:firstLine="420" w:firstLineChars="200"/>
        <w:jc w:val="left"/>
        <w:rPr>
          <w:rFonts w:ascii="宋体"/>
          <w:szCs w:val="21"/>
        </w:rPr>
      </w:pPr>
      <w:r>
        <w:rPr>
          <w:rFonts w:hint="eastAsia" w:ascii="宋体"/>
          <w:szCs w:val="21"/>
          <w:u w:val="single"/>
        </w:rPr>
        <w:t xml:space="preserve"> </w:t>
      </w:r>
      <w:r>
        <w:rPr>
          <w:rFonts w:ascii="宋体"/>
          <w:szCs w:val="21"/>
          <w:u w:val="single"/>
        </w:rPr>
        <w:t xml:space="preserve">     </w:t>
      </w:r>
      <w:r>
        <w:rPr>
          <w:rFonts w:hint="eastAsia" w:ascii="宋体"/>
          <w:szCs w:val="21"/>
        </w:rPr>
        <w:t>分标</w:t>
      </w:r>
    </w:p>
    <w:tbl>
      <w:tblPr>
        <w:tblStyle w:val="5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0"/>
        <w:gridCol w:w="1530"/>
        <w:gridCol w:w="890"/>
        <w:gridCol w:w="1588"/>
        <w:gridCol w:w="1718"/>
        <w:gridCol w:w="1918"/>
        <w:gridCol w:w="967"/>
      </w:tblGrid>
      <w:tr w14:paraId="4AF618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3"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5A5CDCC3">
            <w:pPr>
              <w:snapToGrid w:val="0"/>
              <w:spacing w:before="50" w:after="50" w:line="360" w:lineRule="exact"/>
              <w:jc w:val="center"/>
              <w:rPr>
                <w:rFonts w:ascii="宋体" w:hAnsi="宋体"/>
                <w:szCs w:val="21"/>
              </w:rPr>
            </w:pPr>
            <w:r>
              <w:rPr>
                <w:rFonts w:hint="eastAsia" w:ascii="宋体" w:hAnsi="宋体"/>
                <w:szCs w:val="21"/>
              </w:rPr>
              <w:t>序号</w:t>
            </w:r>
          </w:p>
        </w:tc>
        <w:tc>
          <w:tcPr>
            <w:tcW w:w="1530" w:type="dxa"/>
            <w:tcBorders>
              <w:top w:val="single" w:color="auto" w:sz="4" w:space="0"/>
              <w:left w:val="single" w:color="auto" w:sz="4" w:space="0"/>
              <w:bottom w:val="single" w:color="auto" w:sz="4" w:space="0"/>
              <w:right w:val="single" w:color="auto" w:sz="4" w:space="0"/>
            </w:tcBorders>
            <w:vAlign w:val="center"/>
          </w:tcPr>
          <w:p w14:paraId="2A9907F2">
            <w:pPr>
              <w:snapToGrid w:val="0"/>
              <w:spacing w:before="50" w:after="50" w:line="360" w:lineRule="exact"/>
              <w:jc w:val="center"/>
              <w:rPr>
                <w:rFonts w:ascii="宋体" w:hAnsi="宋体"/>
                <w:szCs w:val="21"/>
              </w:rPr>
            </w:pPr>
            <w:r>
              <w:rPr>
                <w:rFonts w:hint="eastAsia" w:ascii="宋体" w:hAnsi="宋体"/>
                <w:szCs w:val="21"/>
              </w:rPr>
              <w:t>设备名称</w:t>
            </w:r>
          </w:p>
        </w:tc>
        <w:tc>
          <w:tcPr>
            <w:tcW w:w="890" w:type="dxa"/>
            <w:tcBorders>
              <w:top w:val="single" w:color="auto" w:sz="4" w:space="0"/>
              <w:left w:val="single" w:color="auto" w:sz="4" w:space="0"/>
              <w:bottom w:val="single" w:color="auto" w:sz="4" w:space="0"/>
              <w:right w:val="single" w:color="auto" w:sz="4" w:space="0"/>
            </w:tcBorders>
            <w:vAlign w:val="center"/>
          </w:tcPr>
          <w:p w14:paraId="2E572E21">
            <w:pPr>
              <w:snapToGrid w:val="0"/>
              <w:spacing w:before="50" w:after="50" w:line="360" w:lineRule="exact"/>
              <w:jc w:val="center"/>
              <w:rPr>
                <w:rFonts w:ascii="宋体" w:hAnsi="宋体"/>
                <w:szCs w:val="21"/>
              </w:rPr>
            </w:pPr>
            <w:r>
              <w:rPr>
                <w:rFonts w:hint="eastAsia" w:ascii="宋体" w:hAnsi="宋体"/>
                <w:szCs w:val="21"/>
              </w:rPr>
              <w:t>品牌</w:t>
            </w:r>
          </w:p>
        </w:tc>
        <w:tc>
          <w:tcPr>
            <w:tcW w:w="1588" w:type="dxa"/>
            <w:tcBorders>
              <w:top w:val="single" w:color="auto" w:sz="4" w:space="0"/>
              <w:left w:val="single" w:color="auto" w:sz="4" w:space="0"/>
              <w:bottom w:val="single" w:color="auto" w:sz="4" w:space="0"/>
              <w:right w:val="single" w:color="auto" w:sz="4" w:space="0"/>
            </w:tcBorders>
            <w:vAlign w:val="center"/>
          </w:tcPr>
          <w:p w14:paraId="35B140A2">
            <w:pPr>
              <w:snapToGrid w:val="0"/>
              <w:spacing w:before="50" w:after="50" w:line="360" w:lineRule="exact"/>
              <w:jc w:val="center"/>
              <w:rPr>
                <w:rFonts w:ascii="宋体" w:hAnsi="宋体"/>
                <w:szCs w:val="21"/>
              </w:rPr>
            </w:pPr>
            <w:r>
              <w:rPr>
                <w:rFonts w:hint="eastAsia" w:ascii="宋体" w:hAnsi="宋体"/>
                <w:szCs w:val="21"/>
              </w:rPr>
              <w:t>规格型号</w:t>
            </w:r>
          </w:p>
        </w:tc>
        <w:tc>
          <w:tcPr>
            <w:tcW w:w="1718" w:type="dxa"/>
            <w:tcBorders>
              <w:top w:val="single" w:color="auto" w:sz="4" w:space="0"/>
              <w:left w:val="single" w:color="auto" w:sz="4" w:space="0"/>
              <w:bottom w:val="single" w:color="auto" w:sz="4" w:space="0"/>
              <w:right w:val="single" w:color="auto" w:sz="4" w:space="0"/>
            </w:tcBorders>
            <w:vAlign w:val="center"/>
          </w:tcPr>
          <w:p w14:paraId="751F3D29">
            <w:pPr>
              <w:snapToGrid w:val="0"/>
              <w:spacing w:before="50" w:after="50" w:line="360" w:lineRule="exact"/>
              <w:jc w:val="center"/>
              <w:rPr>
                <w:rFonts w:ascii="宋体" w:hAnsi="宋体"/>
                <w:szCs w:val="21"/>
              </w:rPr>
            </w:pPr>
            <w:r>
              <w:rPr>
                <w:rFonts w:hint="eastAsia" w:ascii="宋体" w:hAnsi="宋体"/>
                <w:szCs w:val="21"/>
              </w:rPr>
              <w:t>单位及数量</w:t>
            </w:r>
          </w:p>
        </w:tc>
        <w:tc>
          <w:tcPr>
            <w:tcW w:w="1918" w:type="dxa"/>
            <w:tcBorders>
              <w:top w:val="single" w:color="auto" w:sz="4" w:space="0"/>
              <w:left w:val="single" w:color="auto" w:sz="4" w:space="0"/>
              <w:bottom w:val="single" w:color="auto" w:sz="4" w:space="0"/>
              <w:right w:val="single" w:color="auto" w:sz="4" w:space="0"/>
            </w:tcBorders>
            <w:vAlign w:val="center"/>
          </w:tcPr>
          <w:p w14:paraId="68D3E88E">
            <w:pPr>
              <w:snapToGrid w:val="0"/>
              <w:spacing w:before="50" w:after="50" w:line="360" w:lineRule="exact"/>
              <w:jc w:val="center"/>
              <w:rPr>
                <w:rFonts w:ascii="宋体" w:hAnsi="宋体"/>
                <w:szCs w:val="21"/>
              </w:rPr>
            </w:pPr>
            <w:r>
              <w:rPr>
                <w:rFonts w:hint="eastAsia" w:ascii="宋体" w:hAnsi="宋体"/>
                <w:szCs w:val="21"/>
              </w:rPr>
              <w:t>性能及指标</w:t>
            </w:r>
          </w:p>
        </w:tc>
        <w:tc>
          <w:tcPr>
            <w:tcW w:w="967" w:type="dxa"/>
            <w:tcBorders>
              <w:top w:val="single" w:color="auto" w:sz="4" w:space="0"/>
              <w:left w:val="single" w:color="auto" w:sz="4" w:space="0"/>
              <w:bottom w:val="single" w:color="auto" w:sz="4" w:space="0"/>
              <w:right w:val="single" w:color="auto" w:sz="4" w:space="0"/>
            </w:tcBorders>
            <w:vAlign w:val="center"/>
          </w:tcPr>
          <w:p w14:paraId="159EEBDB">
            <w:pPr>
              <w:snapToGrid w:val="0"/>
              <w:spacing w:before="50" w:after="50" w:line="360" w:lineRule="exact"/>
              <w:jc w:val="center"/>
              <w:rPr>
                <w:rFonts w:ascii="宋体" w:hAnsi="宋体"/>
                <w:szCs w:val="21"/>
              </w:rPr>
            </w:pPr>
            <w:r>
              <w:rPr>
                <w:rFonts w:hint="eastAsia" w:ascii="宋体" w:hAnsi="宋体"/>
                <w:szCs w:val="21"/>
              </w:rPr>
              <w:t>产地</w:t>
            </w:r>
          </w:p>
        </w:tc>
      </w:tr>
      <w:tr w14:paraId="722C38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790EA0AE">
            <w:pPr>
              <w:snapToGrid w:val="0"/>
              <w:spacing w:before="50" w:after="50" w:line="360" w:lineRule="exact"/>
              <w:jc w:val="center"/>
              <w:rPr>
                <w:rFonts w:ascii="宋体" w:hAnsi="宋体"/>
                <w:szCs w:val="21"/>
              </w:rPr>
            </w:pPr>
          </w:p>
        </w:tc>
        <w:tc>
          <w:tcPr>
            <w:tcW w:w="1530" w:type="dxa"/>
            <w:tcBorders>
              <w:top w:val="single" w:color="auto" w:sz="4" w:space="0"/>
              <w:left w:val="single" w:color="auto" w:sz="4" w:space="0"/>
              <w:bottom w:val="single" w:color="auto" w:sz="4" w:space="0"/>
              <w:right w:val="single" w:color="auto" w:sz="4" w:space="0"/>
            </w:tcBorders>
            <w:vAlign w:val="center"/>
          </w:tcPr>
          <w:p w14:paraId="166FF7F7">
            <w:pPr>
              <w:snapToGrid w:val="0"/>
              <w:spacing w:before="50" w:after="50" w:line="360" w:lineRule="exact"/>
              <w:jc w:val="center"/>
              <w:rPr>
                <w:rFonts w:ascii="宋体" w:hAnsi="宋体"/>
                <w:szCs w:val="21"/>
              </w:rPr>
            </w:pPr>
          </w:p>
        </w:tc>
        <w:tc>
          <w:tcPr>
            <w:tcW w:w="890" w:type="dxa"/>
            <w:tcBorders>
              <w:top w:val="single" w:color="auto" w:sz="4" w:space="0"/>
              <w:left w:val="single" w:color="auto" w:sz="4" w:space="0"/>
              <w:bottom w:val="single" w:color="auto" w:sz="4" w:space="0"/>
              <w:right w:val="single" w:color="auto" w:sz="4" w:space="0"/>
            </w:tcBorders>
            <w:vAlign w:val="center"/>
          </w:tcPr>
          <w:p w14:paraId="156AF053">
            <w:pPr>
              <w:snapToGrid w:val="0"/>
              <w:spacing w:before="50" w:after="50" w:line="360" w:lineRule="exact"/>
              <w:jc w:val="center"/>
              <w:rPr>
                <w:rFonts w:ascii="宋体" w:hAnsi="宋体"/>
                <w:szCs w:val="21"/>
              </w:rPr>
            </w:pPr>
          </w:p>
        </w:tc>
        <w:tc>
          <w:tcPr>
            <w:tcW w:w="1588" w:type="dxa"/>
            <w:tcBorders>
              <w:top w:val="single" w:color="auto" w:sz="4" w:space="0"/>
              <w:left w:val="single" w:color="auto" w:sz="4" w:space="0"/>
              <w:bottom w:val="single" w:color="auto" w:sz="4" w:space="0"/>
              <w:right w:val="single" w:color="auto" w:sz="4" w:space="0"/>
            </w:tcBorders>
            <w:vAlign w:val="center"/>
          </w:tcPr>
          <w:p w14:paraId="670CDE0E">
            <w:pPr>
              <w:snapToGrid w:val="0"/>
              <w:spacing w:before="50" w:after="50" w:line="360" w:lineRule="exact"/>
              <w:jc w:val="center"/>
              <w:rPr>
                <w:rFonts w:ascii="宋体" w:hAnsi="宋体"/>
                <w:szCs w:val="21"/>
              </w:rPr>
            </w:pPr>
          </w:p>
        </w:tc>
        <w:tc>
          <w:tcPr>
            <w:tcW w:w="1718" w:type="dxa"/>
            <w:tcBorders>
              <w:top w:val="single" w:color="auto" w:sz="4" w:space="0"/>
              <w:left w:val="single" w:color="auto" w:sz="4" w:space="0"/>
              <w:bottom w:val="single" w:color="auto" w:sz="4" w:space="0"/>
              <w:right w:val="single" w:color="auto" w:sz="4" w:space="0"/>
            </w:tcBorders>
            <w:vAlign w:val="center"/>
          </w:tcPr>
          <w:p w14:paraId="22097741">
            <w:pPr>
              <w:snapToGrid w:val="0"/>
              <w:spacing w:before="50" w:after="50" w:line="360" w:lineRule="exact"/>
              <w:jc w:val="center"/>
              <w:rPr>
                <w:rFonts w:ascii="宋体" w:hAnsi="宋体"/>
                <w:szCs w:val="21"/>
              </w:rPr>
            </w:pPr>
          </w:p>
        </w:tc>
        <w:tc>
          <w:tcPr>
            <w:tcW w:w="1918" w:type="dxa"/>
            <w:tcBorders>
              <w:top w:val="single" w:color="auto" w:sz="4" w:space="0"/>
              <w:left w:val="single" w:color="auto" w:sz="4" w:space="0"/>
              <w:bottom w:val="single" w:color="auto" w:sz="4" w:space="0"/>
              <w:right w:val="single" w:color="auto" w:sz="4" w:space="0"/>
            </w:tcBorders>
            <w:vAlign w:val="center"/>
          </w:tcPr>
          <w:p w14:paraId="39952EFA">
            <w:pPr>
              <w:snapToGrid w:val="0"/>
              <w:spacing w:before="50" w:after="50" w:line="360" w:lineRule="exact"/>
              <w:jc w:val="center"/>
              <w:rPr>
                <w:rFonts w:ascii="宋体" w:hAnsi="宋体"/>
                <w:szCs w:val="21"/>
              </w:rPr>
            </w:pPr>
          </w:p>
        </w:tc>
        <w:tc>
          <w:tcPr>
            <w:tcW w:w="967" w:type="dxa"/>
            <w:tcBorders>
              <w:top w:val="single" w:color="auto" w:sz="4" w:space="0"/>
              <w:left w:val="single" w:color="auto" w:sz="4" w:space="0"/>
              <w:bottom w:val="single" w:color="auto" w:sz="4" w:space="0"/>
              <w:right w:val="single" w:color="auto" w:sz="4" w:space="0"/>
            </w:tcBorders>
            <w:vAlign w:val="center"/>
          </w:tcPr>
          <w:p w14:paraId="1A6C4070">
            <w:pPr>
              <w:snapToGrid w:val="0"/>
              <w:spacing w:before="50" w:after="50" w:line="360" w:lineRule="exact"/>
              <w:jc w:val="center"/>
              <w:rPr>
                <w:rFonts w:ascii="宋体" w:hAnsi="宋体"/>
                <w:szCs w:val="21"/>
              </w:rPr>
            </w:pPr>
          </w:p>
        </w:tc>
      </w:tr>
      <w:tr w14:paraId="6F3E71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4"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6077B67A">
            <w:pPr>
              <w:snapToGrid w:val="0"/>
              <w:spacing w:before="50" w:after="50" w:line="360" w:lineRule="exact"/>
              <w:jc w:val="center"/>
              <w:rPr>
                <w:rFonts w:ascii="宋体" w:hAnsi="宋体"/>
                <w:szCs w:val="21"/>
              </w:rPr>
            </w:pPr>
          </w:p>
        </w:tc>
        <w:tc>
          <w:tcPr>
            <w:tcW w:w="1530" w:type="dxa"/>
            <w:tcBorders>
              <w:top w:val="single" w:color="auto" w:sz="4" w:space="0"/>
              <w:left w:val="single" w:color="auto" w:sz="4" w:space="0"/>
              <w:bottom w:val="single" w:color="auto" w:sz="4" w:space="0"/>
              <w:right w:val="single" w:color="auto" w:sz="4" w:space="0"/>
            </w:tcBorders>
            <w:vAlign w:val="center"/>
          </w:tcPr>
          <w:p w14:paraId="42085786">
            <w:pPr>
              <w:snapToGrid w:val="0"/>
              <w:spacing w:before="50" w:after="50" w:line="360" w:lineRule="exact"/>
              <w:jc w:val="center"/>
              <w:rPr>
                <w:rFonts w:ascii="宋体" w:hAnsi="宋体"/>
                <w:szCs w:val="21"/>
              </w:rPr>
            </w:pPr>
          </w:p>
        </w:tc>
        <w:tc>
          <w:tcPr>
            <w:tcW w:w="890" w:type="dxa"/>
            <w:tcBorders>
              <w:top w:val="single" w:color="auto" w:sz="4" w:space="0"/>
              <w:left w:val="single" w:color="auto" w:sz="4" w:space="0"/>
              <w:bottom w:val="single" w:color="auto" w:sz="4" w:space="0"/>
              <w:right w:val="single" w:color="auto" w:sz="4" w:space="0"/>
            </w:tcBorders>
            <w:vAlign w:val="center"/>
          </w:tcPr>
          <w:p w14:paraId="0171FF64">
            <w:pPr>
              <w:snapToGrid w:val="0"/>
              <w:spacing w:before="50" w:after="50" w:line="360" w:lineRule="exact"/>
              <w:jc w:val="center"/>
              <w:rPr>
                <w:rFonts w:ascii="宋体" w:hAnsi="宋体"/>
                <w:szCs w:val="21"/>
              </w:rPr>
            </w:pPr>
          </w:p>
        </w:tc>
        <w:tc>
          <w:tcPr>
            <w:tcW w:w="1588" w:type="dxa"/>
            <w:tcBorders>
              <w:top w:val="single" w:color="auto" w:sz="4" w:space="0"/>
              <w:left w:val="single" w:color="auto" w:sz="4" w:space="0"/>
              <w:bottom w:val="single" w:color="auto" w:sz="4" w:space="0"/>
              <w:right w:val="single" w:color="auto" w:sz="4" w:space="0"/>
            </w:tcBorders>
            <w:vAlign w:val="center"/>
          </w:tcPr>
          <w:p w14:paraId="69A4C4B8">
            <w:pPr>
              <w:snapToGrid w:val="0"/>
              <w:spacing w:before="50" w:after="50" w:line="360" w:lineRule="exact"/>
              <w:jc w:val="center"/>
              <w:rPr>
                <w:rFonts w:ascii="宋体" w:hAnsi="宋体"/>
                <w:szCs w:val="21"/>
              </w:rPr>
            </w:pPr>
          </w:p>
        </w:tc>
        <w:tc>
          <w:tcPr>
            <w:tcW w:w="1718" w:type="dxa"/>
            <w:tcBorders>
              <w:top w:val="single" w:color="auto" w:sz="4" w:space="0"/>
              <w:left w:val="single" w:color="auto" w:sz="4" w:space="0"/>
              <w:bottom w:val="single" w:color="auto" w:sz="4" w:space="0"/>
              <w:right w:val="single" w:color="auto" w:sz="4" w:space="0"/>
            </w:tcBorders>
            <w:vAlign w:val="center"/>
          </w:tcPr>
          <w:p w14:paraId="687C1922">
            <w:pPr>
              <w:snapToGrid w:val="0"/>
              <w:spacing w:before="50" w:after="50" w:line="360" w:lineRule="exact"/>
              <w:jc w:val="center"/>
              <w:rPr>
                <w:rFonts w:ascii="宋体" w:hAnsi="宋体"/>
                <w:szCs w:val="21"/>
              </w:rPr>
            </w:pPr>
          </w:p>
        </w:tc>
        <w:tc>
          <w:tcPr>
            <w:tcW w:w="1918" w:type="dxa"/>
            <w:tcBorders>
              <w:top w:val="single" w:color="auto" w:sz="4" w:space="0"/>
              <w:left w:val="single" w:color="auto" w:sz="4" w:space="0"/>
              <w:bottom w:val="single" w:color="auto" w:sz="4" w:space="0"/>
              <w:right w:val="single" w:color="auto" w:sz="4" w:space="0"/>
            </w:tcBorders>
            <w:vAlign w:val="center"/>
          </w:tcPr>
          <w:p w14:paraId="05FEBDF0">
            <w:pPr>
              <w:snapToGrid w:val="0"/>
              <w:spacing w:before="50" w:after="50" w:line="360" w:lineRule="exact"/>
              <w:jc w:val="center"/>
              <w:rPr>
                <w:rFonts w:ascii="宋体" w:hAnsi="宋体"/>
                <w:szCs w:val="21"/>
              </w:rPr>
            </w:pPr>
          </w:p>
        </w:tc>
        <w:tc>
          <w:tcPr>
            <w:tcW w:w="967" w:type="dxa"/>
            <w:tcBorders>
              <w:top w:val="single" w:color="auto" w:sz="4" w:space="0"/>
              <w:left w:val="single" w:color="auto" w:sz="4" w:space="0"/>
              <w:bottom w:val="single" w:color="auto" w:sz="4" w:space="0"/>
              <w:right w:val="single" w:color="auto" w:sz="4" w:space="0"/>
            </w:tcBorders>
            <w:vAlign w:val="center"/>
          </w:tcPr>
          <w:p w14:paraId="4C10D3D1">
            <w:pPr>
              <w:snapToGrid w:val="0"/>
              <w:spacing w:before="50" w:after="50" w:line="360" w:lineRule="exact"/>
              <w:jc w:val="center"/>
              <w:rPr>
                <w:rFonts w:ascii="宋体" w:hAnsi="宋体"/>
                <w:szCs w:val="21"/>
              </w:rPr>
            </w:pPr>
          </w:p>
        </w:tc>
      </w:tr>
    </w:tbl>
    <w:p w14:paraId="60213395">
      <w:pPr>
        <w:snapToGrid w:val="0"/>
        <w:spacing w:before="50" w:after="50" w:line="360" w:lineRule="exact"/>
        <w:rPr>
          <w:rFonts w:ascii="宋体" w:hAnsi="宋体"/>
          <w:spacing w:val="20"/>
          <w:szCs w:val="21"/>
          <w:u w:val="single"/>
        </w:rPr>
      </w:pPr>
      <w:r>
        <w:rPr>
          <w:rFonts w:hint="eastAsia" w:ascii="宋体" w:hAnsi="宋体"/>
          <w:szCs w:val="21"/>
        </w:rPr>
        <w:t>法定代表人（负责人）或委托代理人签字或盖章</w:t>
      </w:r>
      <w:r>
        <w:rPr>
          <w:rFonts w:hint="eastAsia" w:ascii="宋体" w:hAnsi="宋体"/>
          <w:spacing w:val="20"/>
          <w:szCs w:val="21"/>
        </w:rPr>
        <w:t>：</w:t>
      </w:r>
      <w:r>
        <w:rPr>
          <w:rFonts w:hint="eastAsia" w:ascii="宋体" w:hAnsi="宋体"/>
          <w:spacing w:val="20"/>
          <w:szCs w:val="21"/>
          <w:u w:val="single"/>
        </w:rPr>
        <w:t xml:space="preserve">         </w:t>
      </w:r>
    </w:p>
    <w:p w14:paraId="41F551CC">
      <w:pPr>
        <w:snapToGrid w:val="0"/>
        <w:spacing w:before="50" w:afterLines="50" w:line="360" w:lineRule="exact"/>
        <w:jc w:val="left"/>
        <w:rPr>
          <w:rFonts w:ascii="宋体" w:hAnsi="宋体"/>
          <w:spacing w:val="20"/>
          <w:szCs w:val="21"/>
          <w:u w:val="single"/>
        </w:rPr>
      </w:pPr>
      <w:r>
        <w:rPr>
          <w:rFonts w:hint="eastAsia" w:ascii="宋体" w:hAnsi="宋体"/>
          <w:spacing w:val="20"/>
          <w:szCs w:val="21"/>
        </w:rPr>
        <w:t>投标人</w:t>
      </w:r>
      <w:r>
        <w:rPr>
          <w:rFonts w:hint="eastAsia"/>
        </w:rPr>
        <w:t>名称（</w:t>
      </w:r>
      <w:r>
        <w:rPr>
          <w:rFonts w:hint="eastAsia" w:ascii="宋体"/>
          <w:szCs w:val="21"/>
        </w:rPr>
        <w:t>盖章</w:t>
      </w:r>
      <w:r>
        <w:rPr>
          <w:rFonts w:hint="eastAsia"/>
        </w:rPr>
        <w:t>）</w:t>
      </w:r>
      <w:r>
        <w:rPr>
          <w:rFonts w:hint="eastAsia" w:ascii="宋体" w:hAnsi="宋体"/>
          <w:spacing w:val="20"/>
          <w:szCs w:val="21"/>
        </w:rPr>
        <w:t>：</w:t>
      </w:r>
      <w:r>
        <w:rPr>
          <w:rFonts w:hint="eastAsia" w:ascii="宋体" w:hAnsi="宋体"/>
          <w:spacing w:val="20"/>
          <w:szCs w:val="21"/>
          <w:u w:val="single"/>
        </w:rPr>
        <w:t xml:space="preserve">            </w:t>
      </w:r>
      <w:r>
        <w:rPr>
          <w:rFonts w:hint="eastAsia" w:ascii="宋体" w:hAnsi="宋体"/>
          <w:spacing w:val="20"/>
          <w:szCs w:val="21"/>
        </w:rPr>
        <w:t xml:space="preserve">              日  期：</w:t>
      </w:r>
      <w:r>
        <w:rPr>
          <w:rFonts w:hint="eastAsia" w:ascii="宋体" w:hAnsi="宋体"/>
          <w:spacing w:val="20"/>
          <w:szCs w:val="21"/>
          <w:u w:val="single"/>
        </w:rPr>
        <w:t xml:space="preserve">          </w:t>
      </w:r>
    </w:p>
    <w:p w14:paraId="34AAE968">
      <w:pPr>
        <w:spacing w:line="360" w:lineRule="exact"/>
        <w:rPr>
          <w:rFonts w:ascii="宋体" w:hAnsi="宋体"/>
        </w:rPr>
      </w:pPr>
    </w:p>
    <w:p w14:paraId="6F57DF0F">
      <w:pPr>
        <w:spacing w:line="360" w:lineRule="exact"/>
        <w:rPr>
          <w:rFonts w:ascii="宋体" w:hAnsi="宋体"/>
        </w:rPr>
      </w:pPr>
      <w:r>
        <w:rPr>
          <w:rFonts w:hint="eastAsia" w:ascii="宋体" w:hAnsi="宋体"/>
        </w:rPr>
        <w:t>非招标文件必须要求时可附：①原厂出厂配置表及原厂中文使用说明书（格式自拟）</w:t>
      </w:r>
    </w:p>
    <w:p w14:paraId="61AF7B57">
      <w:pPr>
        <w:spacing w:line="360" w:lineRule="exact"/>
        <w:rPr>
          <w:rFonts w:ascii="宋体" w:hAnsi="宋体"/>
        </w:rPr>
      </w:pPr>
      <w:r>
        <w:rPr>
          <w:rFonts w:hint="eastAsia" w:ascii="宋体" w:hAnsi="宋体"/>
        </w:rPr>
        <w:t xml:space="preserve">                           ②产品出厂标准、质量检测报告及精度检测报告或数据（格式自拟）</w:t>
      </w:r>
    </w:p>
    <w:p w14:paraId="0E021EFF">
      <w:pPr>
        <w:snapToGrid w:val="0"/>
        <w:spacing w:line="380" w:lineRule="exact"/>
        <w:jc w:val="left"/>
        <w:rPr>
          <w:rFonts w:ascii="宋体"/>
          <w:szCs w:val="21"/>
        </w:rPr>
      </w:pPr>
      <w:r>
        <w:br w:type="page"/>
      </w:r>
      <w:r>
        <w:rPr>
          <w:rFonts w:hint="eastAsia"/>
        </w:rPr>
        <w:t xml:space="preserve"> </w:t>
      </w:r>
      <w:r>
        <w:rPr>
          <w:rFonts w:hint="eastAsia" w:ascii="宋体"/>
          <w:szCs w:val="21"/>
        </w:rPr>
        <w:t xml:space="preserve">   （3）</w:t>
      </w:r>
      <w:r>
        <w:rPr>
          <w:rFonts w:hint="eastAsia"/>
        </w:rPr>
        <w:t>项目实施方案、售后服务承诺书</w:t>
      </w:r>
      <w:r>
        <w:rPr>
          <w:rFonts w:hint="eastAsia" w:ascii="宋体"/>
          <w:szCs w:val="21"/>
        </w:rPr>
        <w:t>；</w:t>
      </w:r>
      <w:r>
        <w:rPr>
          <w:rFonts w:hint="eastAsia" w:ascii="宋体" w:hAnsi="宋体"/>
          <w:b/>
          <w:szCs w:val="21"/>
        </w:rPr>
        <w:t>（格式自拟，</w:t>
      </w:r>
      <w:r>
        <w:rPr>
          <w:rFonts w:hint="eastAsia" w:ascii="宋体"/>
          <w:b/>
          <w:color w:val="000000"/>
          <w:szCs w:val="21"/>
        </w:rPr>
        <w:t>必须提供</w:t>
      </w:r>
      <w:r>
        <w:rPr>
          <w:rFonts w:hint="eastAsia" w:ascii="宋体" w:hAnsi="宋体"/>
          <w:b/>
          <w:szCs w:val="21"/>
        </w:rPr>
        <w:t>）</w:t>
      </w:r>
    </w:p>
    <w:p w14:paraId="13BD8474">
      <w:pPr>
        <w:snapToGrid w:val="0"/>
        <w:spacing w:line="380" w:lineRule="exact"/>
        <w:jc w:val="left"/>
        <w:rPr>
          <w:rFonts w:ascii="宋体"/>
          <w:szCs w:val="21"/>
        </w:rPr>
      </w:pPr>
    </w:p>
    <w:p w14:paraId="4165A129">
      <w:pPr>
        <w:snapToGrid w:val="0"/>
        <w:spacing w:line="380" w:lineRule="exact"/>
        <w:jc w:val="left"/>
        <w:rPr>
          <w:rFonts w:ascii="宋体"/>
          <w:szCs w:val="21"/>
        </w:rPr>
      </w:pPr>
      <w:r>
        <w:rPr>
          <w:rFonts w:hint="eastAsia" w:ascii="宋体"/>
          <w:szCs w:val="21"/>
        </w:rPr>
        <w:t xml:space="preserve">    （4）投标人拥有主要装备和检测设施的情况和现状（格式自拟）及项目实施人员一览表</w:t>
      </w:r>
    </w:p>
    <w:tbl>
      <w:tblPr>
        <w:tblStyle w:val="5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71"/>
        <w:gridCol w:w="900"/>
        <w:gridCol w:w="2160"/>
        <w:gridCol w:w="1516"/>
        <w:gridCol w:w="2084"/>
        <w:gridCol w:w="1980"/>
      </w:tblGrid>
      <w:tr w14:paraId="4CE9FC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1" w:type="dxa"/>
            <w:tcBorders>
              <w:top w:val="single" w:color="auto" w:sz="4" w:space="0"/>
              <w:left w:val="single" w:color="auto" w:sz="4" w:space="0"/>
              <w:bottom w:val="single" w:color="auto" w:sz="4" w:space="0"/>
              <w:right w:val="single" w:color="auto" w:sz="4" w:space="0"/>
            </w:tcBorders>
            <w:vAlign w:val="center"/>
          </w:tcPr>
          <w:p w14:paraId="22D39B00">
            <w:pPr>
              <w:snapToGrid w:val="0"/>
              <w:spacing w:beforeLines="50" w:after="50" w:line="360" w:lineRule="exact"/>
              <w:jc w:val="center"/>
              <w:rPr>
                <w:rFonts w:ascii="宋体"/>
                <w:szCs w:val="21"/>
              </w:rPr>
            </w:pPr>
            <w:r>
              <w:rPr>
                <w:rFonts w:hint="eastAsia" w:ascii="宋体"/>
                <w:szCs w:val="21"/>
              </w:rPr>
              <w:t>姓名</w:t>
            </w:r>
          </w:p>
        </w:tc>
        <w:tc>
          <w:tcPr>
            <w:tcW w:w="900" w:type="dxa"/>
            <w:tcBorders>
              <w:top w:val="single" w:color="auto" w:sz="4" w:space="0"/>
              <w:left w:val="single" w:color="auto" w:sz="4" w:space="0"/>
              <w:bottom w:val="single" w:color="auto" w:sz="4" w:space="0"/>
              <w:right w:val="single" w:color="auto" w:sz="4" w:space="0"/>
            </w:tcBorders>
            <w:vAlign w:val="center"/>
          </w:tcPr>
          <w:p w14:paraId="080CC21B">
            <w:pPr>
              <w:snapToGrid w:val="0"/>
              <w:spacing w:beforeLines="50" w:after="50" w:line="360" w:lineRule="exact"/>
              <w:jc w:val="center"/>
              <w:rPr>
                <w:rFonts w:ascii="宋体" w:hAnsi="Arial" w:eastAsia="黑体" w:cs="Arial"/>
                <w:szCs w:val="21"/>
              </w:rPr>
            </w:pPr>
            <w:r>
              <w:rPr>
                <w:rFonts w:hint="eastAsia" w:ascii="宋体"/>
                <w:szCs w:val="21"/>
              </w:rPr>
              <w:t>职务</w:t>
            </w:r>
          </w:p>
        </w:tc>
        <w:tc>
          <w:tcPr>
            <w:tcW w:w="2160" w:type="dxa"/>
            <w:tcBorders>
              <w:top w:val="single" w:color="auto" w:sz="4" w:space="0"/>
              <w:left w:val="single" w:color="auto" w:sz="4" w:space="0"/>
              <w:bottom w:val="single" w:color="auto" w:sz="4" w:space="0"/>
              <w:right w:val="single" w:color="auto" w:sz="4" w:space="0"/>
            </w:tcBorders>
            <w:vAlign w:val="center"/>
          </w:tcPr>
          <w:p w14:paraId="06D4E4D9">
            <w:pPr>
              <w:snapToGrid w:val="0"/>
              <w:spacing w:beforeLines="50" w:after="50" w:line="360" w:lineRule="exact"/>
              <w:jc w:val="center"/>
              <w:rPr>
                <w:rFonts w:ascii="宋体" w:hAnsi="Arial" w:eastAsia="黑体" w:cs="Arial"/>
                <w:szCs w:val="21"/>
              </w:rPr>
            </w:pPr>
            <w:r>
              <w:rPr>
                <w:rFonts w:hint="eastAsia" w:ascii="宋体"/>
                <w:szCs w:val="21"/>
              </w:rPr>
              <w:t>专业技术资格</w:t>
            </w:r>
          </w:p>
        </w:tc>
        <w:tc>
          <w:tcPr>
            <w:tcW w:w="1516" w:type="dxa"/>
            <w:tcBorders>
              <w:top w:val="single" w:color="auto" w:sz="4" w:space="0"/>
              <w:left w:val="single" w:color="auto" w:sz="4" w:space="0"/>
              <w:bottom w:val="single" w:color="auto" w:sz="4" w:space="0"/>
              <w:right w:val="single" w:color="auto" w:sz="4" w:space="0"/>
            </w:tcBorders>
            <w:vAlign w:val="center"/>
          </w:tcPr>
          <w:p w14:paraId="6280B604">
            <w:pPr>
              <w:snapToGrid w:val="0"/>
              <w:spacing w:beforeLines="50" w:after="50" w:line="360" w:lineRule="exact"/>
              <w:jc w:val="center"/>
              <w:rPr>
                <w:rFonts w:ascii="宋体" w:hAnsi="Arial" w:eastAsia="黑体" w:cs="Arial"/>
                <w:szCs w:val="21"/>
              </w:rPr>
            </w:pPr>
            <w:r>
              <w:rPr>
                <w:rFonts w:hint="eastAsia" w:ascii="宋体"/>
                <w:szCs w:val="21"/>
              </w:rPr>
              <w:t>证书编号</w:t>
            </w:r>
          </w:p>
        </w:tc>
        <w:tc>
          <w:tcPr>
            <w:tcW w:w="2084" w:type="dxa"/>
            <w:tcBorders>
              <w:top w:val="single" w:color="auto" w:sz="4" w:space="0"/>
              <w:left w:val="single" w:color="auto" w:sz="4" w:space="0"/>
              <w:bottom w:val="single" w:color="auto" w:sz="4" w:space="0"/>
              <w:right w:val="single" w:color="auto" w:sz="4" w:space="0"/>
            </w:tcBorders>
            <w:vAlign w:val="center"/>
          </w:tcPr>
          <w:p w14:paraId="4A319EFE">
            <w:pPr>
              <w:snapToGrid w:val="0"/>
              <w:spacing w:beforeLines="50" w:after="50" w:line="200" w:lineRule="exact"/>
              <w:jc w:val="center"/>
              <w:rPr>
                <w:rFonts w:ascii="宋体" w:hAnsi="Arial" w:eastAsia="黑体" w:cs="Arial"/>
                <w:bCs/>
                <w:szCs w:val="21"/>
              </w:rPr>
            </w:pPr>
            <w:r>
              <w:rPr>
                <w:rFonts w:hint="eastAsia" w:ascii="宋体"/>
                <w:bCs/>
                <w:szCs w:val="21"/>
              </w:rPr>
              <w:t>参加本单位</w:t>
            </w:r>
          </w:p>
          <w:p w14:paraId="38073F71">
            <w:pPr>
              <w:snapToGrid w:val="0"/>
              <w:spacing w:beforeLines="50" w:after="50" w:line="200" w:lineRule="exact"/>
              <w:jc w:val="center"/>
              <w:rPr>
                <w:rFonts w:ascii="宋体" w:hAnsi="Arial" w:eastAsia="黑体" w:cs="Arial"/>
                <w:bCs/>
                <w:szCs w:val="21"/>
              </w:rPr>
            </w:pPr>
            <w:r>
              <w:rPr>
                <w:rFonts w:hint="eastAsia" w:ascii="宋体"/>
                <w:bCs/>
                <w:szCs w:val="21"/>
              </w:rPr>
              <w:t>工作时间</w:t>
            </w:r>
          </w:p>
        </w:tc>
        <w:tc>
          <w:tcPr>
            <w:tcW w:w="1980" w:type="dxa"/>
            <w:tcBorders>
              <w:top w:val="single" w:color="auto" w:sz="4" w:space="0"/>
              <w:left w:val="single" w:color="auto" w:sz="4" w:space="0"/>
              <w:bottom w:val="single" w:color="auto" w:sz="4" w:space="0"/>
              <w:right w:val="single" w:color="auto" w:sz="4" w:space="0"/>
            </w:tcBorders>
            <w:vAlign w:val="center"/>
          </w:tcPr>
          <w:p w14:paraId="0598D247">
            <w:pPr>
              <w:snapToGrid w:val="0"/>
              <w:spacing w:beforeLines="50" w:after="50" w:line="360" w:lineRule="exact"/>
              <w:jc w:val="center"/>
              <w:rPr>
                <w:rFonts w:ascii="宋体" w:hAnsi="Arial" w:eastAsia="黑体" w:cs="Arial"/>
                <w:bCs/>
                <w:szCs w:val="21"/>
              </w:rPr>
            </w:pPr>
            <w:r>
              <w:rPr>
                <w:rFonts w:hint="eastAsia" w:ascii="宋体"/>
                <w:bCs/>
                <w:szCs w:val="21"/>
              </w:rPr>
              <w:t>劳动合同编号</w:t>
            </w:r>
          </w:p>
        </w:tc>
      </w:tr>
      <w:tr w14:paraId="1F2BFD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1" w:type="dxa"/>
            <w:tcBorders>
              <w:top w:val="single" w:color="auto" w:sz="4" w:space="0"/>
              <w:left w:val="single" w:color="auto" w:sz="4" w:space="0"/>
              <w:bottom w:val="single" w:color="auto" w:sz="4" w:space="0"/>
              <w:right w:val="single" w:color="auto" w:sz="4" w:space="0"/>
            </w:tcBorders>
          </w:tcPr>
          <w:p w14:paraId="64DEDA17">
            <w:pPr>
              <w:snapToGrid w:val="0"/>
              <w:spacing w:beforeLines="50" w:after="50" w:line="360" w:lineRule="exact"/>
              <w:rPr>
                <w:rFonts w:ascii="宋体"/>
                <w:szCs w:val="21"/>
              </w:rPr>
            </w:pPr>
          </w:p>
        </w:tc>
        <w:tc>
          <w:tcPr>
            <w:tcW w:w="900" w:type="dxa"/>
            <w:tcBorders>
              <w:top w:val="single" w:color="auto" w:sz="4" w:space="0"/>
              <w:left w:val="single" w:color="auto" w:sz="4" w:space="0"/>
              <w:bottom w:val="single" w:color="auto" w:sz="4" w:space="0"/>
              <w:right w:val="single" w:color="auto" w:sz="4" w:space="0"/>
            </w:tcBorders>
          </w:tcPr>
          <w:p w14:paraId="160FC4C7">
            <w:pPr>
              <w:snapToGrid w:val="0"/>
              <w:spacing w:beforeLines="50" w:after="50" w:line="360" w:lineRule="exact"/>
              <w:rPr>
                <w:rFonts w:ascii="宋体"/>
                <w:szCs w:val="21"/>
              </w:rPr>
            </w:pPr>
          </w:p>
        </w:tc>
        <w:tc>
          <w:tcPr>
            <w:tcW w:w="2160" w:type="dxa"/>
            <w:tcBorders>
              <w:top w:val="single" w:color="auto" w:sz="4" w:space="0"/>
              <w:left w:val="single" w:color="auto" w:sz="4" w:space="0"/>
              <w:bottom w:val="single" w:color="auto" w:sz="4" w:space="0"/>
              <w:right w:val="single" w:color="auto" w:sz="4" w:space="0"/>
            </w:tcBorders>
          </w:tcPr>
          <w:p w14:paraId="450B80F3">
            <w:pPr>
              <w:snapToGrid w:val="0"/>
              <w:spacing w:beforeLines="50" w:after="50" w:line="360" w:lineRule="exact"/>
              <w:rPr>
                <w:rFonts w:ascii="宋体"/>
                <w:szCs w:val="21"/>
              </w:rPr>
            </w:pPr>
          </w:p>
        </w:tc>
        <w:tc>
          <w:tcPr>
            <w:tcW w:w="1516" w:type="dxa"/>
            <w:tcBorders>
              <w:top w:val="single" w:color="auto" w:sz="4" w:space="0"/>
              <w:left w:val="single" w:color="auto" w:sz="4" w:space="0"/>
              <w:bottom w:val="single" w:color="auto" w:sz="4" w:space="0"/>
              <w:right w:val="single" w:color="auto" w:sz="4" w:space="0"/>
            </w:tcBorders>
          </w:tcPr>
          <w:p w14:paraId="7684FC6F">
            <w:pPr>
              <w:snapToGrid w:val="0"/>
              <w:spacing w:beforeLines="50" w:after="50" w:line="360" w:lineRule="exact"/>
              <w:rPr>
                <w:rFonts w:ascii="宋体"/>
                <w:szCs w:val="21"/>
              </w:rPr>
            </w:pPr>
          </w:p>
        </w:tc>
        <w:tc>
          <w:tcPr>
            <w:tcW w:w="2084" w:type="dxa"/>
            <w:tcBorders>
              <w:top w:val="single" w:color="auto" w:sz="4" w:space="0"/>
              <w:left w:val="single" w:color="auto" w:sz="4" w:space="0"/>
              <w:bottom w:val="single" w:color="auto" w:sz="4" w:space="0"/>
              <w:right w:val="single" w:color="auto" w:sz="4" w:space="0"/>
            </w:tcBorders>
          </w:tcPr>
          <w:p w14:paraId="00CDEB06">
            <w:pPr>
              <w:snapToGrid w:val="0"/>
              <w:spacing w:beforeLines="50" w:after="50" w:line="360" w:lineRule="exact"/>
              <w:rPr>
                <w:rFonts w:ascii="宋体"/>
                <w:szCs w:val="21"/>
              </w:rPr>
            </w:pPr>
          </w:p>
        </w:tc>
        <w:tc>
          <w:tcPr>
            <w:tcW w:w="1980" w:type="dxa"/>
            <w:tcBorders>
              <w:top w:val="single" w:color="auto" w:sz="4" w:space="0"/>
              <w:left w:val="single" w:color="auto" w:sz="4" w:space="0"/>
              <w:bottom w:val="single" w:color="auto" w:sz="4" w:space="0"/>
              <w:right w:val="single" w:color="auto" w:sz="4" w:space="0"/>
            </w:tcBorders>
          </w:tcPr>
          <w:p w14:paraId="1927B752">
            <w:pPr>
              <w:snapToGrid w:val="0"/>
              <w:spacing w:beforeLines="50" w:after="50" w:line="360" w:lineRule="exact"/>
              <w:rPr>
                <w:rFonts w:ascii="宋体"/>
                <w:szCs w:val="21"/>
              </w:rPr>
            </w:pPr>
          </w:p>
        </w:tc>
      </w:tr>
      <w:tr w14:paraId="009E88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1" w:type="dxa"/>
            <w:tcBorders>
              <w:top w:val="single" w:color="auto" w:sz="4" w:space="0"/>
              <w:left w:val="single" w:color="auto" w:sz="4" w:space="0"/>
              <w:bottom w:val="single" w:color="auto" w:sz="4" w:space="0"/>
              <w:right w:val="single" w:color="auto" w:sz="4" w:space="0"/>
            </w:tcBorders>
          </w:tcPr>
          <w:p w14:paraId="3426393B">
            <w:pPr>
              <w:snapToGrid w:val="0"/>
              <w:spacing w:beforeLines="50" w:after="50" w:line="360" w:lineRule="exact"/>
              <w:rPr>
                <w:rFonts w:ascii="宋体"/>
                <w:szCs w:val="21"/>
              </w:rPr>
            </w:pPr>
          </w:p>
        </w:tc>
        <w:tc>
          <w:tcPr>
            <w:tcW w:w="900" w:type="dxa"/>
            <w:tcBorders>
              <w:top w:val="single" w:color="auto" w:sz="4" w:space="0"/>
              <w:left w:val="single" w:color="auto" w:sz="4" w:space="0"/>
              <w:bottom w:val="single" w:color="auto" w:sz="4" w:space="0"/>
              <w:right w:val="single" w:color="auto" w:sz="4" w:space="0"/>
            </w:tcBorders>
          </w:tcPr>
          <w:p w14:paraId="404C0257">
            <w:pPr>
              <w:snapToGrid w:val="0"/>
              <w:spacing w:beforeLines="50" w:after="50" w:line="360" w:lineRule="exact"/>
              <w:rPr>
                <w:rFonts w:ascii="宋体"/>
                <w:szCs w:val="21"/>
              </w:rPr>
            </w:pPr>
          </w:p>
        </w:tc>
        <w:tc>
          <w:tcPr>
            <w:tcW w:w="2160" w:type="dxa"/>
            <w:tcBorders>
              <w:top w:val="single" w:color="auto" w:sz="4" w:space="0"/>
              <w:left w:val="single" w:color="auto" w:sz="4" w:space="0"/>
              <w:bottom w:val="single" w:color="auto" w:sz="4" w:space="0"/>
              <w:right w:val="single" w:color="auto" w:sz="4" w:space="0"/>
            </w:tcBorders>
          </w:tcPr>
          <w:p w14:paraId="75DBB339">
            <w:pPr>
              <w:snapToGrid w:val="0"/>
              <w:spacing w:beforeLines="50" w:after="50" w:line="360" w:lineRule="exact"/>
              <w:rPr>
                <w:rFonts w:ascii="宋体"/>
                <w:szCs w:val="21"/>
              </w:rPr>
            </w:pPr>
          </w:p>
        </w:tc>
        <w:tc>
          <w:tcPr>
            <w:tcW w:w="1516" w:type="dxa"/>
            <w:tcBorders>
              <w:top w:val="single" w:color="auto" w:sz="4" w:space="0"/>
              <w:left w:val="single" w:color="auto" w:sz="4" w:space="0"/>
              <w:bottom w:val="single" w:color="auto" w:sz="4" w:space="0"/>
              <w:right w:val="single" w:color="auto" w:sz="4" w:space="0"/>
            </w:tcBorders>
          </w:tcPr>
          <w:p w14:paraId="11917416">
            <w:pPr>
              <w:snapToGrid w:val="0"/>
              <w:spacing w:beforeLines="50" w:after="50" w:line="360" w:lineRule="exact"/>
              <w:rPr>
                <w:rFonts w:ascii="宋体"/>
                <w:szCs w:val="21"/>
              </w:rPr>
            </w:pPr>
          </w:p>
        </w:tc>
        <w:tc>
          <w:tcPr>
            <w:tcW w:w="2084" w:type="dxa"/>
            <w:tcBorders>
              <w:top w:val="single" w:color="auto" w:sz="4" w:space="0"/>
              <w:left w:val="single" w:color="auto" w:sz="4" w:space="0"/>
              <w:bottom w:val="single" w:color="auto" w:sz="4" w:space="0"/>
              <w:right w:val="single" w:color="auto" w:sz="4" w:space="0"/>
            </w:tcBorders>
          </w:tcPr>
          <w:p w14:paraId="060A4E30">
            <w:pPr>
              <w:snapToGrid w:val="0"/>
              <w:spacing w:beforeLines="50" w:after="50" w:line="360" w:lineRule="exact"/>
              <w:rPr>
                <w:rFonts w:ascii="宋体"/>
                <w:szCs w:val="21"/>
              </w:rPr>
            </w:pPr>
          </w:p>
        </w:tc>
        <w:tc>
          <w:tcPr>
            <w:tcW w:w="1980" w:type="dxa"/>
            <w:tcBorders>
              <w:top w:val="single" w:color="auto" w:sz="4" w:space="0"/>
              <w:left w:val="single" w:color="auto" w:sz="4" w:space="0"/>
              <w:bottom w:val="single" w:color="auto" w:sz="4" w:space="0"/>
              <w:right w:val="single" w:color="auto" w:sz="4" w:space="0"/>
            </w:tcBorders>
          </w:tcPr>
          <w:p w14:paraId="110DEC86">
            <w:pPr>
              <w:snapToGrid w:val="0"/>
              <w:spacing w:beforeLines="50" w:after="50" w:line="360" w:lineRule="exact"/>
              <w:rPr>
                <w:rFonts w:ascii="宋体"/>
                <w:szCs w:val="21"/>
              </w:rPr>
            </w:pPr>
          </w:p>
        </w:tc>
      </w:tr>
      <w:tr w14:paraId="2BD1E9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1" w:type="dxa"/>
            <w:tcBorders>
              <w:top w:val="single" w:color="auto" w:sz="4" w:space="0"/>
              <w:left w:val="single" w:color="auto" w:sz="4" w:space="0"/>
              <w:bottom w:val="single" w:color="auto" w:sz="4" w:space="0"/>
              <w:right w:val="single" w:color="auto" w:sz="4" w:space="0"/>
            </w:tcBorders>
          </w:tcPr>
          <w:p w14:paraId="30D8A6AD">
            <w:pPr>
              <w:snapToGrid w:val="0"/>
              <w:spacing w:beforeLines="50" w:after="50" w:line="360" w:lineRule="exact"/>
              <w:rPr>
                <w:rFonts w:ascii="宋体"/>
                <w:szCs w:val="21"/>
              </w:rPr>
            </w:pPr>
          </w:p>
        </w:tc>
        <w:tc>
          <w:tcPr>
            <w:tcW w:w="900" w:type="dxa"/>
            <w:tcBorders>
              <w:top w:val="single" w:color="auto" w:sz="4" w:space="0"/>
              <w:left w:val="single" w:color="auto" w:sz="4" w:space="0"/>
              <w:bottom w:val="single" w:color="auto" w:sz="4" w:space="0"/>
              <w:right w:val="single" w:color="auto" w:sz="4" w:space="0"/>
            </w:tcBorders>
          </w:tcPr>
          <w:p w14:paraId="1EDE9624">
            <w:pPr>
              <w:snapToGrid w:val="0"/>
              <w:spacing w:beforeLines="50" w:after="50" w:line="360" w:lineRule="exact"/>
              <w:rPr>
                <w:rFonts w:ascii="宋体"/>
                <w:szCs w:val="21"/>
              </w:rPr>
            </w:pPr>
          </w:p>
        </w:tc>
        <w:tc>
          <w:tcPr>
            <w:tcW w:w="2160" w:type="dxa"/>
            <w:tcBorders>
              <w:top w:val="single" w:color="auto" w:sz="4" w:space="0"/>
              <w:left w:val="single" w:color="auto" w:sz="4" w:space="0"/>
              <w:bottom w:val="single" w:color="auto" w:sz="4" w:space="0"/>
              <w:right w:val="single" w:color="auto" w:sz="4" w:space="0"/>
            </w:tcBorders>
          </w:tcPr>
          <w:p w14:paraId="616BB82B">
            <w:pPr>
              <w:pStyle w:val="28"/>
              <w:snapToGrid w:val="0"/>
              <w:spacing w:beforeLines="50" w:after="50" w:line="360" w:lineRule="exact"/>
              <w:ind w:left="5250"/>
            </w:pPr>
          </w:p>
        </w:tc>
        <w:tc>
          <w:tcPr>
            <w:tcW w:w="1516" w:type="dxa"/>
            <w:tcBorders>
              <w:top w:val="single" w:color="auto" w:sz="4" w:space="0"/>
              <w:left w:val="single" w:color="auto" w:sz="4" w:space="0"/>
              <w:bottom w:val="single" w:color="auto" w:sz="4" w:space="0"/>
              <w:right w:val="single" w:color="auto" w:sz="4" w:space="0"/>
            </w:tcBorders>
          </w:tcPr>
          <w:p w14:paraId="139F9AB6">
            <w:pPr>
              <w:snapToGrid w:val="0"/>
              <w:spacing w:beforeLines="50" w:after="50" w:line="360" w:lineRule="exact"/>
              <w:rPr>
                <w:rFonts w:ascii="宋体"/>
                <w:szCs w:val="21"/>
              </w:rPr>
            </w:pPr>
          </w:p>
        </w:tc>
        <w:tc>
          <w:tcPr>
            <w:tcW w:w="2084" w:type="dxa"/>
            <w:tcBorders>
              <w:top w:val="single" w:color="auto" w:sz="4" w:space="0"/>
              <w:left w:val="single" w:color="auto" w:sz="4" w:space="0"/>
              <w:bottom w:val="single" w:color="auto" w:sz="4" w:space="0"/>
              <w:right w:val="single" w:color="auto" w:sz="4" w:space="0"/>
            </w:tcBorders>
          </w:tcPr>
          <w:p w14:paraId="05079CC5">
            <w:pPr>
              <w:snapToGrid w:val="0"/>
              <w:spacing w:beforeLines="50" w:after="50" w:line="360" w:lineRule="exact"/>
              <w:rPr>
                <w:rFonts w:ascii="宋体"/>
                <w:szCs w:val="21"/>
              </w:rPr>
            </w:pPr>
          </w:p>
        </w:tc>
        <w:tc>
          <w:tcPr>
            <w:tcW w:w="1980" w:type="dxa"/>
            <w:tcBorders>
              <w:top w:val="single" w:color="auto" w:sz="4" w:space="0"/>
              <w:left w:val="single" w:color="auto" w:sz="4" w:space="0"/>
              <w:bottom w:val="single" w:color="auto" w:sz="4" w:space="0"/>
              <w:right w:val="single" w:color="auto" w:sz="4" w:space="0"/>
            </w:tcBorders>
          </w:tcPr>
          <w:p w14:paraId="67488EBC">
            <w:pPr>
              <w:snapToGrid w:val="0"/>
              <w:spacing w:beforeLines="50" w:after="50" w:line="360" w:lineRule="exact"/>
              <w:rPr>
                <w:rFonts w:ascii="宋体"/>
                <w:szCs w:val="21"/>
              </w:rPr>
            </w:pPr>
          </w:p>
        </w:tc>
      </w:tr>
    </w:tbl>
    <w:p w14:paraId="1937BD60">
      <w:pPr>
        <w:snapToGrid w:val="0"/>
        <w:spacing w:before="50" w:after="50" w:line="360" w:lineRule="exact"/>
        <w:rPr>
          <w:rFonts w:ascii="宋体"/>
          <w:spacing w:val="20"/>
          <w:szCs w:val="21"/>
          <w:u w:val="single"/>
        </w:rPr>
      </w:pPr>
      <w:r>
        <w:rPr>
          <w:rFonts w:hint="eastAsia" w:ascii="宋体"/>
          <w:szCs w:val="21"/>
        </w:rPr>
        <w:t>法定代表人（负责人）或委托代理人签字或盖章</w:t>
      </w:r>
      <w:r>
        <w:rPr>
          <w:rFonts w:hint="eastAsia" w:ascii="宋体"/>
          <w:spacing w:val="20"/>
          <w:szCs w:val="21"/>
        </w:rPr>
        <w:t>：</w:t>
      </w:r>
      <w:r>
        <w:rPr>
          <w:rFonts w:hint="eastAsia" w:ascii="宋体"/>
          <w:spacing w:val="20"/>
          <w:szCs w:val="21"/>
          <w:u w:val="single"/>
        </w:rPr>
        <w:t xml:space="preserve">        </w:t>
      </w:r>
    </w:p>
    <w:p w14:paraId="40F73826">
      <w:pPr>
        <w:snapToGrid w:val="0"/>
        <w:spacing w:before="50" w:after="50" w:line="360" w:lineRule="exact"/>
        <w:rPr>
          <w:rFonts w:ascii="宋体"/>
          <w:szCs w:val="21"/>
        </w:rPr>
      </w:pPr>
      <w:r>
        <w:rPr>
          <w:rFonts w:hint="eastAsia" w:ascii="宋体"/>
          <w:spacing w:val="20"/>
          <w:szCs w:val="21"/>
        </w:rPr>
        <w:t>投标人</w:t>
      </w:r>
      <w:r>
        <w:rPr>
          <w:rFonts w:hint="eastAsia"/>
        </w:rPr>
        <w:t>名称（</w:t>
      </w:r>
      <w:r>
        <w:rPr>
          <w:rFonts w:hint="eastAsia" w:ascii="宋体"/>
          <w:szCs w:val="21"/>
        </w:rPr>
        <w:t>盖章</w:t>
      </w:r>
      <w:r>
        <w:rPr>
          <w:rFonts w:hint="eastAsia"/>
        </w:rPr>
        <w:t>）</w:t>
      </w:r>
      <w:r>
        <w:rPr>
          <w:rFonts w:hint="eastAsia" w:ascii="宋体"/>
          <w:spacing w:val="20"/>
          <w:szCs w:val="21"/>
        </w:rPr>
        <w:t>：</w:t>
      </w:r>
      <w:r>
        <w:rPr>
          <w:rFonts w:hint="eastAsia" w:ascii="宋体"/>
          <w:spacing w:val="20"/>
          <w:szCs w:val="21"/>
          <w:u w:val="single"/>
        </w:rPr>
        <w:t xml:space="preserve">            </w:t>
      </w:r>
      <w:r>
        <w:rPr>
          <w:rFonts w:hint="eastAsia" w:ascii="宋体"/>
          <w:spacing w:val="20"/>
          <w:szCs w:val="21"/>
        </w:rPr>
        <w:t xml:space="preserve">            日 期：</w:t>
      </w:r>
      <w:r>
        <w:rPr>
          <w:rFonts w:hint="eastAsia" w:ascii="宋体"/>
          <w:spacing w:val="20"/>
          <w:szCs w:val="21"/>
          <w:u w:val="single"/>
        </w:rPr>
        <w:t xml:space="preserve">            </w:t>
      </w:r>
    </w:p>
    <w:p w14:paraId="25DA3850"/>
    <w:p w14:paraId="61A971A0"/>
    <w:p w14:paraId="0ED63FC6">
      <w:pPr>
        <w:spacing w:line="360" w:lineRule="exact"/>
      </w:pPr>
      <w:r>
        <w:rPr>
          <w:rFonts w:hint="eastAsia"/>
        </w:rPr>
        <w:t xml:space="preserve">    </w:t>
      </w:r>
      <w:r>
        <w:rPr>
          <w:rFonts w:hint="eastAsia" w:ascii="宋体"/>
          <w:szCs w:val="21"/>
        </w:rPr>
        <w:t>（5）投标人承诺给予招标人的各种优惠条件，包括备品备件、专用耗材、售后服务等方面的优惠；</w:t>
      </w:r>
    </w:p>
    <w:p w14:paraId="72D550FC">
      <w:pPr>
        <w:snapToGrid w:val="0"/>
        <w:spacing w:before="50" w:afterLines="50" w:line="360" w:lineRule="exact"/>
        <w:jc w:val="left"/>
        <w:rPr>
          <w:rFonts w:ascii="宋体"/>
          <w:szCs w:val="21"/>
        </w:rPr>
      </w:pPr>
      <w:r>
        <w:rPr>
          <w:rFonts w:hint="eastAsia" w:ascii="宋体"/>
          <w:szCs w:val="21"/>
        </w:rPr>
        <w:t>备品备件、专用耗材、售后服务优惠表格式：</w:t>
      </w:r>
    </w:p>
    <w:p w14:paraId="6EDB42D2">
      <w:pPr>
        <w:wordWrap w:val="0"/>
        <w:snapToGrid w:val="0"/>
        <w:spacing w:line="360" w:lineRule="exact"/>
        <w:ind w:firstLine="420" w:firstLineChars="200"/>
        <w:jc w:val="left"/>
        <w:rPr>
          <w:rFonts w:ascii="宋体"/>
          <w:szCs w:val="21"/>
        </w:rPr>
      </w:pPr>
      <w:r>
        <w:rPr>
          <w:rFonts w:hint="eastAsia" w:ascii="宋体"/>
          <w:szCs w:val="21"/>
          <w:u w:val="single"/>
        </w:rPr>
        <w:t xml:space="preserve"> </w:t>
      </w:r>
      <w:r>
        <w:rPr>
          <w:rFonts w:ascii="宋体"/>
          <w:szCs w:val="21"/>
          <w:u w:val="single"/>
        </w:rPr>
        <w:t xml:space="preserve">     </w:t>
      </w:r>
      <w:r>
        <w:rPr>
          <w:rFonts w:hint="eastAsia" w:ascii="宋体"/>
          <w:szCs w:val="21"/>
        </w:rPr>
        <w:t>分标</w:t>
      </w:r>
    </w:p>
    <w:tbl>
      <w:tblPr>
        <w:tblStyle w:val="5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906"/>
        <w:gridCol w:w="3269"/>
        <w:gridCol w:w="1440"/>
        <w:gridCol w:w="1488"/>
        <w:gridCol w:w="2281"/>
      </w:tblGrid>
      <w:tr w14:paraId="258E6E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10" w:hRule="exact"/>
          <w:jc w:val="center"/>
        </w:trPr>
        <w:tc>
          <w:tcPr>
            <w:tcW w:w="90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21172D3">
            <w:pPr>
              <w:pStyle w:val="26"/>
              <w:snapToGrid w:val="0"/>
              <w:spacing w:before="295" w:after="295" w:line="300" w:lineRule="exact"/>
              <w:jc w:val="center"/>
              <w:rPr>
                <w:rFonts w:cs="Courier New"/>
              </w:rPr>
            </w:pPr>
            <w:r>
              <w:rPr>
                <w:rFonts w:hint="eastAsia" w:cs="Courier New"/>
              </w:rPr>
              <w:t>序号</w:t>
            </w:r>
          </w:p>
        </w:tc>
        <w:tc>
          <w:tcPr>
            <w:tcW w:w="3269" w:type="dxa"/>
            <w:tcBorders>
              <w:top w:val="single" w:color="auto" w:sz="4" w:space="0"/>
              <w:left w:val="single" w:color="auto" w:sz="4" w:space="0"/>
              <w:bottom w:val="single" w:color="auto" w:sz="2" w:space="0"/>
              <w:right w:val="single" w:color="auto" w:sz="4" w:space="0"/>
            </w:tcBorders>
            <w:vAlign w:val="center"/>
          </w:tcPr>
          <w:p w14:paraId="06AE8F3E">
            <w:pPr>
              <w:pStyle w:val="26"/>
              <w:snapToGrid w:val="0"/>
              <w:spacing w:before="295" w:after="295" w:line="300" w:lineRule="exact"/>
              <w:jc w:val="center"/>
              <w:rPr>
                <w:rFonts w:cs="Courier New"/>
              </w:rPr>
            </w:pPr>
            <w:r>
              <w:rPr>
                <w:rFonts w:hint="eastAsia" w:cs="Courier New"/>
              </w:rPr>
              <w:t>优惠内容</w:t>
            </w:r>
          </w:p>
        </w:tc>
        <w:tc>
          <w:tcPr>
            <w:tcW w:w="1440" w:type="dxa"/>
            <w:tcBorders>
              <w:top w:val="single" w:color="auto" w:sz="4" w:space="0"/>
              <w:left w:val="single" w:color="auto" w:sz="4" w:space="0"/>
              <w:bottom w:val="single" w:color="auto" w:sz="2" w:space="0"/>
              <w:right w:val="single" w:color="auto" w:sz="4" w:space="0"/>
            </w:tcBorders>
            <w:vAlign w:val="center"/>
          </w:tcPr>
          <w:p w14:paraId="49161AED">
            <w:pPr>
              <w:pStyle w:val="26"/>
              <w:snapToGrid w:val="0"/>
              <w:spacing w:before="295" w:after="295" w:line="300" w:lineRule="exact"/>
              <w:jc w:val="center"/>
              <w:rPr>
                <w:rFonts w:cs="Courier New"/>
              </w:rPr>
            </w:pPr>
            <w:r>
              <w:rPr>
                <w:rFonts w:hint="eastAsia" w:cs="Courier New"/>
              </w:rPr>
              <w:t>适用机型</w:t>
            </w:r>
          </w:p>
        </w:tc>
        <w:tc>
          <w:tcPr>
            <w:tcW w:w="1488" w:type="dxa"/>
            <w:tcBorders>
              <w:top w:val="single" w:color="auto" w:sz="4" w:space="0"/>
              <w:left w:val="single" w:color="auto" w:sz="4" w:space="0"/>
              <w:bottom w:val="single" w:color="auto" w:sz="2" w:space="0"/>
              <w:right w:val="single" w:color="auto" w:sz="4" w:space="0"/>
            </w:tcBorders>
            <w:tcMar>
              <w:top w:w="15" w:type="dxa"/>
              <w:left w:w="15" w:type="dxa"/>
              <w:right w:w="15" w:type="dxa"/>
            </w:tcMar>
            <w:vAlign w:val="center"/>
          </w:tcPr>
          <w:p w14:paraId="7DDE9A4D">
            <w:pPr>
              <w:pStyle w:val="26"/>
              <w:snapToGrid w:val="0"/>
              <w:spacing w:before="295" w:after="295" w:line="300" w:lineRule="exact"/>
              <w:jc w:val="center"/>
              <w:rPr>
                <w:rFonts w:cs="Courier New"/>
              </w:rPr>
            </w:pPr>
            <w:r>
              <w:rPr>
                <w:rFonts w:hint="eastAsia" w:cs="Courier New"/>
              </w:rPr>
              <w:t>单价</w:t>
            </w:r>
          </w:p>
        </w:tc>
        <w:tc>
          <w:tcPr>
            <w:tcW w:w="2281" w:type="dxa"/>
            <w:tcBorders>
              <w:top w:val="single" w:color="auto" w:sz="4" w:space="0"/>
              <w:left w:val="single" w:color="auto" w:sz="4" w:space="0"/>
              <w:bottom w:val="single" w:color="auto" w:sz="2" w:space="0"/>
              <w:right w:val="single" w:color="auto" w:sz="4" w:space="0"/>
            </w:tcBorders>
            <w:vAlign w:val="center"/>
          </w:tcPr>
          <w:p w14:paraId="3E92D026">
            <w:pPr>
              <w:jc w:val="center"/>
            </w:pPr>
            <w:r>
              <w:rPr>
                <w:rFonts w:hint="eastAsia"/>
              </w:rPr>
              <w:t>比市场价优惠率</w:t>
            </w:r>
          </w:p>
        </w:tc>
      </w:tr>
      <w:tr w14:paraId="5ACF01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37" w:hRule="exact"/>
          <w:jc w:val="center"/>
        </w:trPr>
        <w:tc>
          <w:tcPr>
            <w:tcW w:w="906" w:type="dxa"/>
            <w:tcBorders>
              <w:top w:val="single" w:color="auto" w:sz="4" w:space="0"/>
              <w:left w:val="single" w:color="auto" w:sz="4" w:space="0"/>
              <w:bottom w:val="single" w:color="auto" w:sz="4" w:space="0"/>
              <w:right w:val="single" w:color="auto" w:sz="2" w:space="0"/>
            </w:tcBorders>
            <w:tcMar>
              <w:top w:w="15" w:type="dxa"/>
              <w:left w:w="15" w:type="dxa"/>
              <w:right w:w="15" w:type="dxa"/>
            </w:tcMar>
            <w:vAlign w:val="center"/>
          </w:tcPr>
          <w:p w14:paraId="1870748D">
            <w:pPr>
              <w:pStyle w:val="26"/>
              <w:snapToGrid w:val="0"/>
              <w:spacing w:before="295" w:after="295" w:line="360" w:lineRule="exact"/>
              <w:jc w:val="center"/>
              <w:rPr>
                <w:rFonts w:cs="Courier New"/>
              </w:rPr>
            </w:pPr>
          </w:p>
        </w:tc>
        <w:tc>
          <w:tcPr>
            <w:tcW w:w="3269" w:type="dxa"/>
            <w:tcBorders>
              <w:top w:val="single" w:color="auto" w:sz="2" w:space="0"/>
              <w:left w:val="single" w:color="auto" w:sz="2" w:space="0"/>
              <w:bottom w:val="single" w:color="auto" w:sz="6" w:space="0"/>
              <w:right w:val="single" w:color="auto" w:sz="4" w:space="0"/>
            </w:tcBorders>
            <w:vAlign w:val="center"/>
          </w:tcPr>
          <w:p w14:paraId="0FA95083">
            <w:pPr>
              <w:pStyle w:val="26"/>
              <w:snapToGrid w:val="0"/>
              <w:spacing w:before="295" w:after="295" w:line="360" w:lineRule="exact"/>
              <w:jc w:val="center"/>
              <w:rPr>
                <w:rFonts w:cs="Courier New"/>
              </w:rPr>
            </w:pPr>
          </w:p>
        </w:tc>
        <w:tc>
          <w:tcPr>
            <w:tcW w:w="1440" w:type="dxa"/>
            <w:tcBorders>
              <w:top w:val="single" w:color="auto" w:sz="2" w:space="0"/>
              <w:left w:val="single" w:color="auto" w:sz="4" w:space="0"/>
              <w:bottom w:val="single" w:color="auto" w:sz="6" w:space="0"/>
              <w:right w:val="single" w:color="auto" w:sz="6" w:space="0"/>
            </w:tcBorders>
            <w:vAlign w:val="center"/>
          </w:tcPr>
          <w:p w14:paraId="6C7C82F8">
            <w:pPr>
              <w:pStyle w:val="26"/>
              <w:snapToGrid w:val="0"/>
              <w:spacing w:before="295" w:after="295" w:line="360" w:lineRule="exact"/>
              <w:jc w:val="center"/>
              <w:rPr>
                <w:rFonts w:cs="Courier New"/>
              </w:rPr>
            </w:pPr>
          </w:p>
        </w:tc>
        <w:tc>
          <w:tcPr>
            <w:tcW w:w="1488" w:type="dxa"/>
            <w:tcBorders>
              <w:top w:val="single" w:color="auto" w:sz="2" w:space="0"/>
              <w:left w:val="single" w:color="auto" w:sz="6" w:space="0"/>
              <w:bottom w:val="single" w:color="auto" w:sz="6" w:space="0"/>
              <w:right w:val="single" w:color="auto" w:sz="6" w:space="0"/>
            </w:tcBorders>
            <w:tcMar>
              <w:top w:w="15" w:type="dxa"/>
              <w:left w:w="15" w:type="dxa"/>
              <w:right w:w="15" w:type="dxa"/>
            </w:tcMar>
            <w:vAlign w:val="center"/>
          </w:tcPr>
          <w:p w14:paraId="12B650C2">
            <w:pPr>
              <w:pStyle w:val="26"/>
              <w:snapToGrid w:val="0"/>
              <w:spacing w:before="295" w:after="295" w:line="360" w:lineRule="exact"/>
              <w:jc w:val="center"/>
              <w:rPr>
                <w:rFonts w:cs="Courier New"/>
              </w:rPr>
            </w:pPr>
          </w:p>
        </w:tc>
        <w:tc>
          <w:tcPr>
            <w:tcW w:w="2281" w:type="dxa"/>
            <w:tcBorders>
              <w:top w:val="single" w:color="auto" w:sz="2" w:space="0"/>
              <w:left w:val="single" w:color="auto" w:sz="6" w:space="0"/>
              <w:bottom w:val="single" w:color="auto" w:sz="6" w:space="0"/>
              <w:right w:val="single" w:color="auto" w:sz="2" w:space="0"/>
            </w:tcBorders>
            <w:vAlign w:val="center"/>
          </w:tcPr>
          <w:p w14:paraId="2C3A990C">
            <w:pPr>
              <w:pStyle w:val="26"/>
              <w:snapToGrid w:val="0"/>
              <w:spacing w:before="295" w:after="295" w:line="360" w:lineRule="exact"/>
              <w:jc w:val="center"/>
              <w:rPr>
                <w:rFonts w:cs="Courier New"/>
              </w:rPr>
            </w:pPr>
            <w:r>
              <w:rPr>
                <w:rFonts w:hint="eastAsia" w:cs="Courier New"/>
                <w:u w:val="single"/>
              </w:rPr>
              <w:t xml:space="preserve">          </w:t>
            </w:r>
            <w:r>
              <w:rPr>
                <w:rFonts w:hint="eastAsia" w:cs="Courier New"/>
              </w:rPr>
              <w:t>%</w:t>
            </w:r>
          </w:p>
        </w:tc>
      </w:tr>
      <w:tr w14:paraId="370959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37" w:hRule="exact"/>
          <w:jc w:val="center"/>
        </w:trPr>
        <w:tc>
          <w:tcPr>
            <w:tcW w:w="906" w:type="dxa"/>
            <w:tcBorders>
              <w:top w:val="single" w:color="auto" w:sz="4" w:space="0"/>
              <w:left w:val="single" w:color="auto" w:sz="4" w:space="0"/>
              <w:bottom w:val="single" w:color="auto" w:sz="4" w:space="0"/>
              <w:right w:val="single" w:color="auto" w:sz="2" w:space="0"/>
            </w:tcBorders>
            <w:tcMar>
              <w:top w:w="15" w:type="dxa"/>
              <w:left w:w="15" w:type="dxa"/>
              <w:right w:w="15" w:type="dxa"/>
            </w:tcMar>
            <w:vAlign w:val="center"/>
          </w:tcPr>
          <w:p w14:paraId="7B2C14A1">
            <w:pPr>
              <w:pStyle w:val="26"/>
              <w:snapToGrid w:val="0"/>
              <w:spacing w:before="295" w:after="295" w:line="360" w:lineRule="exact"/>
              <w:jc w:val="center"/>
              <w:rPr>
                <w:rFonts w:cs="Courier New"/>
              </w:rPr>
            </w:pPr>
          </w:p>
        </w:tc>
        <w:tc>
          <w:tcPr>
            <w:tcW w:w="3269" w:type="dxa"/>
            <w:tcBorders>
              <w:top w:val="single" w:color="auto" w:sz="6" w:space="0"/>
              <w:left w:val="single" w:color="auto" w:sz="2" w:space="0"/>
              <w:bottom w:val="single" w:color="auto" w:sz="6" w:space="0"/>
              <w:right w:val="single" w:color="auto" w:sz="4" w:space="0"/>
            </w:tcBorders>
            <w:vAlign w:val="center"/>
          </w:tcPr>
          <w:p w14:paraId="1A926622">
            <w:pPr>
              <w:pStyle w:val="26"/>
              <w:snapToGrid w:val="0"/>
              <w:spacing w:before="295" w:after="295" w:line="360" w:lineRule="exact"/>
              <w:jc w:val="center"/>
              <w:rPr>
                <w:rFonts w:cs="Courier New"/>
              </w:rPr>
            </w:pPr>
          </w:p>
        </w:tc>
        <w:tc>
          <w:tcPr>
            <w:tcW w:w="1440" w:type="dxa"/>
            <w:tcBorders>
              <w:top w:val="single" w:color="auto" w:sz="6" w:space="0"/>
              <w:left w:val="single" w:color="auto" w:sz="4" w:space="0"/>
              <w:bottom w:val="single" w:color="auto" w:sz="6" w:space="0"/>
              <w:right w:val="single" w:color="auto" w:sz="6" w:space="0"/>
            </w:tcBorders>
            <w:vAlign w:val="center"/>
          </w:tcPr>
          <w:p w14:paraId="0D1B0069">
            <w:pPr>
              <w:pStyle w:val="26"/>
              <w:snapToGrid w:val="0"/>
              <w:spacing w:before="295" w:after="295" w:line="360" w:lineRule="exact"/>
              <w:jc w:val="center"/>
              <w:rPr>
                <w:rFonts w:cs="Courier New"/>
              </w:rPr>
            </w:pPr>
          </w:p>
        </w:tc>
        <w:tc>
          <w:tcPr>
            <w:tcW w:w="1488" w:type="dxa"/>
            <w:tcBorders>
              <w:top w:val="single" w:color="auto" w:sz="6" w:space="0"/>
              <w:left w:val="single" w:color="auto" w:sz="6" w:space="0"/>
              <w:bottom w:val="single" w:color="auto" w:sz="6" w:space="0"/>
              <w:right w:val="single" w:color="auto" w:sz="6" w:space="0"/>
            </w:tcBorders>
            <w:tcMar>
              <w:top w:w="15" w:type="dxa"/>
              <w:left w:w="15" w:type="dxa"/>
              <w:right w:w="15" w:type="dxa"/>
            </w:tcMar>
            <w:vAlign w:val="center"/>
          </w:tcPr>
          <w:p w14:paraId="1E63122F">
            <w:pPr>
              <w:pStyle w:val="26"/>
              <w:snapToGrid w:val="0"/>
              <w:spacing w:before="295" w:after="295" w:line="360" w:lineRule="exact"/>
              <w:jc w:val="center"/>
              <w:rPr>
                <w:rFonts w:cs="Courier New"/>
              </w:rPr>
            </w:pPr>
          </w:p>
        </w:tc>
        <w:tc>
          <w:tcPr>
            <w:tcW w:w="2281" w:type="dxa"/>
            <w:tcBorders>
              <w:top w:val="single" w:color="auto" w:sz="6" w:space="0"/>
              <w:left w:val="single" w:color="auto" w:sz="6" w:space="0"/>
              <w:bottom w:val="single" w:color="auto" w:sz="6" w:space="0"/>
              <w:right w:val="single" w:color="auto" w:sz="2" w:space="0"/>
            </w:tcBorders>
            <w:vAlign w:val="center"/>
          </w:tcPr>
          <w:p w14:paraId="4F70791F">
            <w:pPr>
              <w:pStyle w:val="26"/>
              <w:snapToGrid w:val="0"/>
              <w:spacing w:before="295" w:after="295" w:line="360" w:lineRule="exact"/>
              <w:jc w:val="center"/>
              <w:rPr>
                <w:rFonts w:cs="Courier New"/>
              </w:rPr>
            </w:pPr>
            <w:r>
              <w:rPr>
                <w:rFonts w:hint="eastAsia" w:cs="Courier New"/>
                <w:u w:val="single"/>
              </w:rPr>
              <w:t xml:space="preserve">          </w:t>
            </w:r>
            <w:r>
              <w:rPr>
                <w:rFonts w:hint="eastAsia" w:cs="Courier New"/>
              </w:rPr>
              <w:t>%</w:t>
            </w:r>
          </w:p>
        </w:tc>
      </w:tr>
      <w:tr w14:paraId="3580B7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37" w:hRule="exact"/>
          <w:jc w:val="center"/>
        </w:trPr>
        <w:tc>
          <w:tcPr>
            <w:tcW w:w="906" w:type="dxa"/>
            <w:tcBorders>
              <w:top w:val="single" w:color="auto" w:sz="4" w:space="0"/>
              <w:left w:val="single" w:color="auto" w:sz="4" w:space="0"/>
              <w:bottom w:val="single" w:color="auto" w:sz="4" w:space="0"/>
              <w:right w:val="single" w:color="auto" w:sz="2" w:space="0"/>
            </w:tcBorders>
            <w:tcMar>
              <w:top w:w="15" w:type="dxa"/>
              <w:left w:w="15" w:type="dxa"/>
              <w:right w:w="15" w:type="dxa"/>
            </w:tcMar>
            <w:vAlign w:val="center"/>
          </w:tcPr>
          <w:p w14:paraId="0A9DDB10">
            <w:pPr>
              <w:pStyle w:val="26"/>
              <w:snapToGrid w:val="0"/>
              <w:spacing w:before="295" w:after="295" w:line="360" w:lineRule="exact"/>
              <w:jc w:val="center"/>
              <w:rPr>
                <w:rFonts w:cs="Courier New"/>
              </w:rPr>
            </w:pPr>
          </w:p>
        </w:tc>
        <w:tc>
          <w:tcPr>
            <w:tcW w:w="3269" w:type="dxa"/>
            <w:tcBorders>
              <w:top w:val="single" w:color="auto" w:sz="6" w:space="0"/>
              <w:left w:val="single" w:color="auto" w:sz="2" w:space="0"/>
              <w:bottom w:val="single" w:color="auto" w:sz="6" w:space="0"/>
              <w:right w:val="single" w:color="auto" w:sz="4" w:space="0"/>
            </w:tcBorders>
            <w:vAlign w:val="center"/>
          </w:tcPr>
          <w:p w14:paraId="20E7CEB5">
            <w:pPr>
              <w:pStyle w:val="26"/>
              <w:snapToGrid w:val="0"/>
              <w:spacing w:before="295" w:after="295" w:line="360" w:lineRule="exact"/>
              <w:jc w:val="center"/>
              <w:rPr>
                <w:rFonts w:cs="Courier New"/>
              </w:rPr>
            </w:pPr>
          </w:p>
        </w:tc>
        <w:tc>
          <w:tcPr>
            <w:tcW w:w="1440" w:type="dxa"/>
            <w:tcBorders>
              <w:top w:val="single" w:color="auto" w:sz="6" w:space="0"/>
              <w:left w:val="single" w:color="auto" w:sz="4" w:space="0"/>
              <w:bottom w:val="single" w:color="auto" w:sz="6" w:space="0"/>
              <w:right w:val="single" w:color="auto" w:sz="6" w:space="0"/>
            </w:tcBorders>
            <w:vAlign w:val="center"/>
          </w:tcPr>
          <w:p w14:paraId="0D55D6CD">
            <w:pPr>
              <w:pStyle w:val="26"/>
              <w:snapToGrid w:val="0"/>
              <w:spacing w:before="295" w:after="295" w:line="360" w:lineRule="exact"/>
              <w:jc w:val="center"/>
              <w:rPr>
                <w:rFonts w:cs="Courier New"/>
              </w:rPr>
            </w:pPr>
          </w:p>
        </w:tc>
        <w:tc>
          <w:tcPr>
            <w:tcW w:w="1488" w:type="dxa"/>
            <w:tcBorders>
              <w:top w:val="single" w:color="auto" w:sz="6" w:space="0"/>
              <w:left w:val="single" w:color="auto" w:sz="6" w:space="0"/>
              <w:bottom w:val="single" w:color="auto" w:sz="6" w:space="0"/>
              <w:right w:val="single" w:color="auto" w:sz="6" w:space="0"/>
            </w:tcBorders>
            <w:tcMar>
              <w:top w:w="15" w:type="dxa"/>
              <w:left w:w="15" w:type="dxa"/>
              <w:right w:w="15" w:type="dxa"/>
            </w:tcMar>
            <w:vAlign w:val="center"/>
          </w:tcPr>
          <w:p w14:paraId="7F8F39F5">
            <w:pPr>
              <w:pStyle w:val="26"/>
              <w:snapToGrid w:val="0"/>
              <w:spacing w:before="295" w:after="295" w:line="360" w:lineRule="exact"/>
              <w:jc w:val="center"/>
              <w:rPr>
                <w:rFonts w:cs="Courier New"/>
              </w:rPr>
            </w:pPr>
          </w:p>
        </w:tc>
        <w:tc>
          <w:tcPr>
            <w:tcW w:w="2281" w:type="dxa"/>
            <w:tcBorders>
              <w:top w:val="single" w:color="auto" w:sz="6" w:space="0"/>
              <w:left w:val="single" w:color="auto" w:sz="6" w:space="0"/>
              <w:bottom w:val="single" w:color="auto" w:sz="6" w:space="0"/>
              <w:right w:val="single" w:color="auto" w:sz="2" w:space="0"/>
            </w:tcBorders>
            <w:vAlign w:val="center"/>
          </w:tcPr>
          <w:p w14:paraId="48A2AAD1">
            <w:pPr>
              <w:pStyle w:val="26"/>
              <w:snapToGrid w:val="0"/>
              <w:spacing w:before="295" w:after="295" w:line="360" w:lineRule="exact"/>
              <w:jc w:val="center"/>
              <w:rPr>
                <w:rFonts w:cs="Courier New"/>
              </w:rPr>
            </w:pPr>
            <w:r>
              <w:rPr>
                <w:rFonts w:hint="eastAsia" w:cs="Courier New"/>
                <w:u w:val="single"/>
              </w:rPr>
              <w:t xml:space="preserve">          </w:t>
            </w:r>
            <w:r>
              <w:rPr>
                <w:rFonts w:hint="eastAsia" w:cs="Courier New"/>
              </w:rPr>
              <w:t>%</w:t>
            </w:r>
          </w:p>
        </w:tc>
      </w:tr>
    </w:tbl>
    <w:p w14:paraId="2682DE3B">
      <w:pPr>
        <w:snapToGrid w:val="0"/>
        <w:spacing w:before="50" w:after="50" w:line="360" w:lineRule="exact"/>
        <w:rPr>
          <w:rFonts w:ascii="宋体"/>
          <w:spacing w:val="20"/>
          <w:szCs w:val="21"/>
        </w:rPr>
      </w:pPr>
    </w:p>
    <w:p w14:paraId="6BC38BB0">
      <w:pPr>
        <w:snapToGrid w:val="0"/>
        <w:spacing w:before="50" w:after="50" w:line="360" w:lineRule="exact"/>
        <w:rPr>
          <w:rFonts w:ascii="宋体"/>
          <w:spacing w:val="20"/>
          <w:szCs w:val="21"/>
          <w:u w:val="single"/>
        </w:rPr>
      </w:pPr>
      <w:r>
        <w:rPr>
          <w:rFonts w:hint="eastAsia" w:ascii="宋体"/>
          <w:szCs w:val="21"/>
        </w:rPr>
        <w:t>法定代表人（负责人）或委托代理人签字或盖章</w:t>
      </w:r>
      <w:r>
        <w:rPr>
          <w:rFonts w:hint="eastAsia" w:ascii="宋体"/>
          <w:spacing w:val="20"/>
          <w:szCs w:val="21"/>
        </w:rPr>
        <w:t>：</w:t>
      </w:r>
      <w:r>
        <w:rPr>
          <w:rFonts w:hint="eastAsia" w:ascii="宋体"/>
          <w:spacing w:val="20"/>
          <w:szCs w:val="21"/>
          <w:u w:val="single"/>
        </w:rPr>
        <w:t xml:space="preserve">        </w:t>
      </w:r>
    </w:p>
    <w:p w14:paraId="5FDBE67D">
      <w:pPr>
        <w:snapToGrid w:val="0"/>
        <w:spacing w:before="50" w:after="50" w:line="360" w:lineRule="exact"/>
        <w:rPr>
          <w:rFonts w:ascii="宋体"/>
          <w:szCs w:val="21"/>
        </w:rPr>
      </w:pPr>
      <w:r>
        <w:rPr>
          <w:rFonts w:hint="eastAsia" w:ascii="宋体"/>
          <w:spacing w:val="20"/>
          <w:szCs w:val="21"/>
        </w:rPr>
        <w:t>投标人</w:t>
      </w:r>
      <w:r>
        <w:rPr>
          <w:rFonts w:hint="eastAsia"/>
        </w:rPr>
        <w:t>名称（</w:t>
      </w:r>
      <w:r>
        <w:rPr>
          <w:rFonts w:hint="eastAsia" w:ascii="宋体"/>
          <w:szCs w:val="21"/>
        </w:rPr>
        <w:t>盖章</w:t>
      </w:r>
      <w:r>
        <w:rPr>
          <w:rFonts w:hint="eastAsia"/>
        </w:rPr>
        <w:t>）</w:t>
      </w:r>
      <w:r>
        <w:rPr>
          <w:rFonts w:hint="eastAsia" w:ascii="宋体"/>
          <w:spacing w:val="20"/>
          <w:szCs w:val="21"/>
        </w:rPr>
        <w:t>：</w:t>
      </w:r>
      <w:r>
        <w:rPr>
          <w:rFonts w:hint="eastAsia" w:ascii="宋体"/>
          <w:spacing w:val="20"/>
          <w:szCs w:val="21"/>
          <w:u w:val="single"/>
        </w:rPr>
        <w:t xml:space="preserve">            </w:t>
      </w:r>
      <w:r>
        <w:rPr>
          <w:rFonts w:hint="eastAsia" w:ascii="宋体"/>
          <w:spacing w:val="20"/>
          <w:szCs w:val="21"/>
        </w:rPr>
        <w:t xml:space="preserve">            日 期：</w:t>
      </w:r>
      <w:r>
        <w:rPr>
          <w:rFonts w:hint="eastAsia" w:ascii="宋体"/>
          <w:spacing w:val="20"/>
          <w:szCs w:val="21"/>
          <w:u w:val="single"/>
        </w:rPr>
        <w:t xml:space="preserve">            </w:t>
      </w:r>
    </w:p>
    <w:p w14:paraId="6DE36F58"/>
    <w:p w14:paraId="22325B35"/>
    <w:p w14:paraId="66CF581E">
      <w:pPr>
        <w:spacing w:line="360" w:lineRule="exact"/>
        <w:rPr>
          <w:rFonts w:ascii="宋体"/>
          <w:szCs w:val="21"/>
        </w:rPr>
      </w:pPr>
      <w:r>
        <w:rPr>
          <w:rFonts w:hint="eastAsia" w:ascii="宋体"/>
          <w:szCs w:val="21"/>
        </w:rPr>
        <w:t xml:space="preserve">    （6）投标人对本项目的合理化建议和改进措施（格式自拟）</w:t>
      </w:r>
    </w:p>
    <w:p w14:paraId="4D702BC4">
      <w:pPr>
        <w:spacing w:line="360" w:lineRule="exact"/>
        <w:rPr>
          <w:rFonts w:ascii="宋体"/>
          <w:szCs w:val="21"/>
        </w:rPr>
      </w:pPr>
    </w:p>
    <w:p w14:paraId="0CBB677D">
      <w:pPr>
        <w:spacing w:line="360" w:lineRule="exact"/>
        <w:rPr>
          <w:rFonts w:ascii="宋体"/>
          <w:szCs w:val="21"/>
        </w:rPr>
      </w:pPr>
      <w:r>
        <w:rPr>
          <w:rFonts w:hint="eastAsia" w:ascii="宋体"/>
          <w:szCs w:val="21"/>
        </w:rPr>
        <w:t xml:space="preserve">    （7）投标人认为需要提供的其他材料（格式自拟）</w:t>
      </w:r>
    </w:p>
    <w:p w14:paraId="36D17A29"/>
    <w:p w14:paraId="39BE57C1">
      <w:pPr>
        <w:spacing w:line="360" w:lineRule="exact"/>
      </w:pPr>
      <w:r>
        <w:rPr>
          <w:rFonts w:hint="eastAsia"/>
        </w:rPr>
        <w:t xml:space="preserve"> </w:t>
      </w:r>
      <w:r>
        <w:rPr>
          <w:rFonts w:hint="eastAsia" w:ascii="宋体"/>
          <w:szCs w:val="21"/>
        </w:rPr>
        <w:t xml:space="preserve">   （8）招标项目采购需求中要求必须提供的材料（招标项目采购需求中要求必须提供的材料，据实提供）</w:t>
      </w:r>
    </w:p>
    <w:p w14:paraId="77D742EA">
      <w:pPr>
        <w:spacing w:line="720" w:lineRule="auto"/>
        <w:rPr>
          <w:b/>
        </w:rPr>
      </w:pPr>
      <w:r>
        <w:br w:type="page"/>
      </w:r>
      <w:r>
        <w:rPr>
          <w:rFonts w:hint="eastAsia"/>
          <w:b/>
        </w:rPr>
        <w:t>三）报价文件部分 （格式）</w:t>
      </w:r>
    </w:p>
    <w:p w14:paraId="5DF1E35D">
      <w:pPr>
        <w:spacing w:line="360" w:lineRule="exact"/>
      </w:pPr>
      <w:r>
        <w:rPr>
          <w:rFonts w:hint="eastAsia"/>
        </w:rPr>
        <w:t xml:space="preserve">    </w:t>
      </w:r>
      <w:r>
        <w:rPr>
          <w:rFonts w:hint="eastAsia" w:ascii="宋体"/>
          <w:szCs w:val="21"/>
        </w:rPr>
        <w:t>（1）投标函格式</w:t>
      </w:r>
    </w:p>
    <w:p w14:paraId="782841AC">
      <w:pPr>
        <w:snapToGrid w:val="0"/>
        <w:spacing w:beforeLines="50" w:after="50" w:line="360" w:lineRule="exact"/>
        <w:jc w:val="center"/>
        <w:rPr>
          <w:rFonts w:ascii="宋体"/>
          <w:b/>
          <w:sz w:val="24"/>
          <w:szCs w:val="21"/>
        </w:rPr>
      </w:pPr>
      <w:r>
        <w:rPr>
          <w:rFonts w:hint="eastAsia" w:ascii="宋体"/>
          <w:b/>
          <w:sz w:val="24"/>
          <w:szCs w:val="21"/>
        </w:rPr>
        <w:t>投 标 函</w:t>
      </w:r>
    </w:p>
    <w:p w14:paraId="0EFD9615">
      <w:pPr>
        <w:snapToGrid w:val="0"/>
        <w:spacing w:line="400" w:lineRule="exact"/>
        <w:rPr>
          <w:rFonts w:ascii="宋体" w:hAnsi="宋体"/>
          <w:szCs w:val="21"/>
        </w:rPr>
      </w:pPr>
      <w:r>
        <w:rPr>
          <w:rFonts w:hint="eastAsia" w:ascii="宋体" w:hAnsi="宋体"/>
          <w:szCs w:val="21"/>
        </w:rPr>
        <w:t>致：</w:t>
      </w:r>
      <w:r>
        <w:rPr>
          <w:rFonts w:hint="eastAsia" w:ascii="宋体" w:hAnsi="宋体"/>
          <w:szCs w:val="21"/>
          <w:u w:val="single"/>
        </w:rPr>
        <w:t xml:space="preserve"> </w:t>
      </w:r>
      <w:r>
        <w:rPr>
          <w:rFonts w:hint="eastAsia" w:ascii="宋体" w:hAnsi="宋体"/>
          <w:u w:val="single"/>
        </w:rPr>
        <w:t xml:space="preserve">广西国力招标有限公司 </w:t>
      </w:r>
    </w:p>
    <w:p w14:paraId="784C8FDC">
      <w:pPr>
        <w:snapToGrid w:val="0"/>
        <w:spacing w:line="400" w:lineRule="exact"/>
        <w:rPr>
          <w:rFonts w:ascii="宋体" w:hAnsi="宋体"/>
          <w:szCs w:val="21"/>
        </w:rPr>
      </w:pPr>
      <w:r>
        <w:rPr>
          <w:rFonts w:hint="eastAsia" w:ascii="宋体" w:hAnsi="宋体"/>
          <w:szCs w:val="21"/>
        </w:rPr>
        <w:t xml:space="preserve">    根据贵方为</w:t>
      </w:r>
      <w:r>
        <w:rPr>
          <w:rFonts w:hint="eastAsia" w:ascii="宋体" w:hAnsi="宋体"/>
          <w:szCs w:val="21"/>
          <w:u w:val="single"/>
        </w:rPr>
        <w:t xml:space="preserve">               </w:t>
      </w:r>
      <w:r>
        <w:rPr>
          <w:rFonts w:hint="eastAsia" w:ascii="宋体" w:hAnsi="宋体"/>
          <w:szCs w:val="21"/>
        </w:rPr>
        <w:t>项目的招标公告（项目编号：</w:t>
      </w:r>
      <w:r>
        <w:rPr>
          <w:rFonts w:hint="eastAsia" w:ascii="宋体" w:hAnsi="宋体"/>
          <w:szCs w:val="21"/>
          <w:u w:val="single"/>
        </w:rPr>
        <w:t xml:space="preserve">            </w:t>
      </w:r>
      <w:r>
        <w:rPr>
          <w:rFonts w:hint="eastAsia" w:ascii="宋体" w:hAnsi="宋体"/>
          <w:szCs w:val="21"/>
        </w:rPr>
        <w:t>），签字代表</w:t>
      </w:r>
      <w:r>
        <w:rPr>
          <w:rFonts w:hint="eastAsia" w:ascii="宋体" w:hAnsi="宋体"/>
          <w:szCs w:val="21"/>
          <w:u w:val="single"/>
        </w:rPr>
        <w:t xml:space="preserve">        </w:t>
      </w:r>
      <w:r>
        <w:rPr>
          <w:rFonts w:hint="eastAsia" w:ascii="宋体" w:hAnsi="宋体"/>
          <w:szCs w:val="21"/>
        </w:rPr>
        <w:t>（全名）经正式授权并代表投标人</w:t>
      </w:r>
      <w:r>
        <w:rPr>
          <w:rFonts w:hint="eastAsia" w:ascii="宋体" w:hAnsi="宋体"/>
          <w:szCs w:val="21"/>
          <w:u w:val="single"/>
        </w:rPr>
        <w:t xml:space="preserve">                      </w:t>
      </w:r>
      <w:r>
        <w:rPr>
          <w:rFonts w:hint="eastAsia" w:ascii="宋体" w:hAnsi="宋体"/>
          <w:szCs w:val="21"/>
        </w:rPr>
        <w:t>（投标人名称）上传并提交加密的电子投标文件一份。</w:t>
      </w:r>
    </w:p>
    <w:p w14:paraId="022F73F3">
      <w:pPr>
        <w:snapToGrid w:val="0"/>
        <w:spacing w:line="400" w:lineRule="exact"/>
        <w:rPr>
          <w:rFonts w:ascii="宋体" w:hAnsi="宋体"/>
          <w:szCs w:val="21"/>
        </w:rPr>
      </w:pPr>
      <w:r>
        <w:rPr>
          <w:rFonts w:hint="eastAsia" w:ascii="宋体" w:hAnsi="宋体"/>
          <w:szCs w:val="21"/>
        </w:rPr>
        <w:t xml:space="preserve">    据此函，签字代表宣布同意如下：</w:t>
      </w:r>
    </w:p>
    <w:p w14:paraId="2E5E9F81">
      <w:pPr>
        <w:snapToGrid w:val="0"/>
        <w:spacing w:line="400" w:lineRule="exact"/>
        <w:rPr>
          <w:rFonts w:ascii="宋体" w:hAnsi="宋体"/>
          <w:szCs w:val="21"/>
        </w:rPr>
      </w:pPr>
      <w:r>
        <w:rPr>
          <w:rFonts w:hint="eastAsia" w:ascii="宋体" w:hAnsi="宋体"/>
          <w:szCs w:val="21"/>
        </w:rPr>
        <w:t xml:space="preserve">    1.投标人已详细审查全部“招标文件”，包括修改文件（如有的话）以及全部参考资料和有关附件，已经了解我方对于招标文件、采购过程、采购结果有依法进行询问、质疑、投诉的权利及相关渠道和要求。</w:t>
      </w:r>
    </w:p>
    <w:p w14:paraId="0AC2CC00">
      <w:pPr>
        <w:snapToGrid w:val="0"/>
        <w:spacing w:line="400" w:lineRule="exact"/>
        <w:rPr>
          <w:rFonts w:ascii="宋体" w:hAnsi="宋体"/>
          <w:szCs w:val="21"/>
        </w:rPr>
      </w:pPr>
      <w:r>
        <w:rPr>
          <w:rFonts w:hint="eastAsia" w:ascii="宋体" w:hAnsi="宋体"/>
          <w:szCs w:val="21"/>
        </w:rPr>
        <w:t xml:space="preserve">    2.投标人在投标之前已经与贵方进行了充分的沟通，完全理解并接受招标文件的各项规定和要求，对招标文件的合理性、合法性不再有异议。</w:t>
      </w:r>
    </w:p>
    <w:p w14:paraId="3A4F6A4F">
      <w:pPr>
        <w:snapToGrid w:val="0"/>
        <w:spacing w:line="400" w:lineRule="exact"/>
        <w:rPr>
          <w:rFonts w:ascii="宋体" w:hAnsi="宋体"/>
          <w:szCs w:val="21"/>
        </w:rPr>
      </w:pPr>
      <w:r>
        <w:rPr>
          <w:rFonts w:hint="eastAsia" w:ascii="宋体" w:hAnsi="宋体"/>
          <w:szCs w:val="21"/>
        </w:rPr>
        <w:t xml:space="preserve">    3.本投标有效期自提交投标文件截止之日起</w:t>
      </w:r>
      <w:r>
        <w:rPr>
          <w:rFonts w:hint="eastAsia" w:ascii="宋体" w:hAnsi="宋体"/>
          <w:szCs w:val="21"/>
          <w:u w:val="single"/>
        </w:rPr>
        <w:t xml:space="preserve">         </w:t>
      </w:r>
      <w:r>
        <w:rPr>
          <w:rFonts w:hint="eastAsia" w:ascii="宋体" w:hAnsi="宋体"/>
          <w:szCs w:val="21"/>
        </w:rPr>
        <w:t>天。</w:t>
      </w:r>
    </w:p>
    <w:p w14:paraId="670A2B4A">
      <w:pPr>
        <w:snapToGrid w:val="0"/>
        <w:spacing w:line="400" w:lineRule="exact"/>
        <w:rPr>
          <w:rFonts w:ascii="宋体" w:hAnsi="宋体"/>
          <w:szCs w:val="21"/>
        </w:rPr>
      </w:pPr>
      <w:r>
        <w:rPr>
          <w:rFonts w:hint="eastAsia" w:ascii="宋体" w:hAnsi="宋体"/>
          <w:szCs w:val="21"/>
        </w:rPr>
        <w:t xml:space="preserve">    4.如中标，本投标文件至本项目合同履行完毕止均保持有效，本投标人将按“招标文件”及政府采购法律、法规的规定履行合同责任和义务。</w:t>
      </w:r>
    </w:p>
    <w:p w14:paraId="026050AD">
      <w:pPr>
        <w:snapToGrid w:val="0"/>
        <w:spacing w:line="400" w:lineRule="exact"/>
        <w:rPr>
          <w:rFonts w:ascii="宋体" w:hAnsi="宋体"/>
          <w:szCs w:val="21"/>
        </w:rPr>
      </w:pPr>
      <w:r>
        <w:rPr>
          <w:rFonts w:hint="eastAsia" w:ascii="宋体" w:hAnsi="宋体"/>
          <w:szCs w:val="21"/>
        </w:rPr>
        <w:t xml:space="preserve">    5.投标人同意按照贵方要求提供与投标有关的一切数据或资料。</w:t>
      </w:r>
    </w:p>
    <w:p w14:paraId="764829CE">
      <w:pPr>
        <w:snapToGrid w:val="0"/>
        <w:spacing w:line="400" w:lineRule="exact"/>
        <w:rPr>
          <w:rFonts w:ascii="宋体" w:hAnsi="宋体"/>
          <w:szCs w:val="21"/>
        </w:rPr>
      </w:pPr>
      <w:r>
        <w:rPr>
          <w:rFonts w:hint="eastAsia" w:ascii="宋体" w:hAnsi="宋体"/>
          <w:szCs w:val="21"/>
        </w:rPr>
        <w:t xml:space="preserve">    6.与本投标有关的一切正式往来信函请寄：</w:t>
      </w:r>
    </w:p>
    <w:p w14:paraId="72D072BF">
      <w:pPr>
        <w:snapToGrid w:val="0"/>
        <w:spacing w:line="400" w:lineRule="exact"/>
        <w:rPr>
          <w:rFonts w:ascii="宋体" w:hAnsi="宋体"/>
          <w:szCs w:val="21"/>
        </w:rPr>
      </w:pPr>
    </w:p>
    <w:p w14:paraId="0C423552">
      <w:pPr>
        <w:snapToGrid w:val="0"/>
        <w:spacing w:line="400" w:lineRule="exact"/>
        <w:rPr>
          <w:rFonts w:ascii="宋体"/>
          <w:szCs w:val="21"/>
          <w:u w:val="single"/>
        </w:rPr>
      </w:pPr>
      <w:r>
        <w:rPr>
          <w:rFonts w:hint="eastAsia" w:ascii="宋体"/>
          <w:szCs w:val="21"/>
        </w:rPr>
        <w:t>地址：</w:t>
      </w:r>
      <w:r>
        <w:rPr>
          <w:rFonts w:hint="eastAsia" w:ascii="宋体"/>
          <w:szCs w:val="21"/>
          <w:u w:val="single"/>
        </w:rPr>
        <w:t xml:space="preserve">                         </w:t>
      </w:r>
      <w:r>
        <w:rPr>
          <w:rFonts w:hint="eastAsia" w:ascii="宋体"/>
          <w:szCs w:val="21"/>
        </w:rPr>
        <w:t>邮编：</w:t>
      </w:r>
      <w:r>
        <w:rPr>
          <w:rFonts w:hint="eastAsia" w:ascii="宋体"/>
          <w:szCs w:val="21"/>
          <w:u w:val="single"/>
        </w:rPr>
        <w:t xml:space="preserve">            </w:t>
      </w:r>
      <w:r>
        <w:rPr>
          <w:rFonts w:hint="eastAsia" w:ascii="宋体"/>
          <w:szCs w:val="21"/>
        </w:rPr>
        <w:t xml:space="preserve">   电话：</w:t>
      </w:r>
      <w:r>
        <w:rPr>
          <w:rFonts w:hint="eastAsia" w:ascii="宋体"/>
          <w:szCs w:val="21"/>
          <w:u w:val="single"/>
        </w:rPr>
        <w:t xml:space="preserve">               </w:t>
      </w:r>
    </w:p>
    <w:p w14:paraId="6685AC14">
      <w:pPr>
        <w:snapToGrid w:val="0"/>
        <w:spacing w:line="400" w:lineRule="exact"/>
        <w:rPr>
          <w:rFonts w:ascii="宋体"/>
          <w:szCs w:val="21"/>
          <w:u w:val="single"/>
        </w:rPr>
      </w:pPr>
      <w:r>
        <w:rPr>
          <w:rFonts w:hint="eastAsia" w:ascii="宋体"/>
          <w:szCs w:val="21"/>
        </w:rPr>
        <w:t>传真：</w:t>
      </w:r>
      <w:r>
        <w:rPr>
          <w:rFonts w:hint="eastAsia" w:ascii="宋体"/>
          <w:szCs w:val="21"/>
          <w:u w:val="single"/>
        </w:rPr>
        <w:t xml:space="preserve">               </w:t>
      </w:r>
      <w:r>
        <w:rPr>
          <w:rFonts w:hint="eastAsia" w:ascii="宋体"/>
          <w:szCs w:val="21"/>
        </w:rPr>
        <w:t>投标人代表姓名：</w:t>
      </w:r>
      <w:r>
        <w:rPr>
          <w:rFonts w:hint="eastAsia" w:ascii="宋体"/>
          <w:szCs w:val="21"/>
          <w:u w:val="single"/>
        </w:rPr>
        <w:t xml:space="preserve">            </w:t>
      </w:r>
      <w:r>
        <w:rPr>
          <w:rFonts w:hint="eastAsia" w:ascii="宋体"/>
          <w:szCs w:val="21"/>
        </w:rPr>
        <w:t xml:space="preserve">  职务：</w:t>
      </w:r>
      <w:r>
        <w:rPr>
          <w:rFonts w:hint="eastAsia" w:ascii="宋体"/>
          <w:szCs w:val="21"/>
          <w:u w:val="single"/>
        </w:rPr>
        <w:t xml:space="preserve">               </w:t>
      </w:r>
    </w:p>
    <w:p w14:paraId="679020F7">
      <w:pPr>
        <w:snapToGrid w:val="0"/>
        <w:spacing w:line="400" w:lineRule="exact"/>
        <w:rPr>
          <w:rFonts w:ascii="宋体"/>
          <w:szCs w:val="21"/>
        </w:rPr>
      </w:pPr>
      <w:r>
        <w:rPr>
          <w:rFonts w:hint="eastAsia" w:ascii="宋体"/>
          <w:szCs w:val="21"/>
        </w:rPr>
        <w:t>开户银行：</w:t>
      </w:r>
      <w:r>
        <w:rPr>
          <w:rFonts w:hint="eastAsia" w:ascii="宋体"/>
          <w:szCs w:val="21"/>
          <w:u w:val="single"/>
        </w:rPr>
        <w:t xml:space="preserve">                      </w:t>
      </w:r>
      <w:r>
        <w:rPr>
          <w:rFonts w:hint="eastAsia" w:ascii="宋体"/>
          <w:szCs w:val="21"/>
        </w:rPr>
        <w:t xml:space="preserve">   银行账号：</w:t>
      </w:r>
      <w:r>
        <w:rPr>
          <w:rFonts w:hint="eastAsia" w:ascii="宋体"/>
          <w:szCs w:val="21"/>
          <w:u w:val="single"/>
        </w:rPr>
        <w:t xml:space="preserve">                    </w:t>
      </w:r>
      <w:r>
        <w:rPr>
          <w:rFonts w:hint="eastAsia" w:ascii="宋体"/>
          <w:szCs w:val="21"/>
        </w:rPr>
        <w:t xml:space="preserve"> </w:t>
      </w:r>
    </w:p>
    <w:p w14:paraId="29B3A1F7">
      <w:pPr>
        <w:snapToGrid w:val="0"/>
        <w:spacing w:line="400" w:lineRule="exact"/>
        <w:rPr>
          <w:rFonts w:ascii="宋体"/>
          <w:szCs w:val="21"/>
        </w:rPr>
      </w:pPr>
    </w:p>
    <w:p w14:paraId="5503C050">
      <w:pPr>
        <w:snapToGrid w:val="0"/>
        <w:spacing w:line="400" w:lineRule="exact"/>
        <w:rPr>
          <w:rFonts w:ascii="宋体"/>
          <w:szCs w:val="21"/>
        </w:rPr>
      </w:pPr>
      <w:r>
        <w:rPr>
          <w:rFonts w:hint="eastAsia" w:ascii="宋体"/>
          <w:szCs w:val="21"/>
        </w:rPr>
        <w:t>法定代表人（负责人）或委托代理人签字或盖章:</w:t>
      </w:r>
      <w:r>
        <w:rPr>
          <w:rFonts w:hint="eastAsia" w:ascii="宋体"/>
          <w:szCs w:val="21"/>
          <w:u w:val="single"/>
        </w:rPr>
        <w:t xml:space="preserve">                </w:t>
      </w:r>
      <w:r>
        <w:rPr>
          <w:rFonts w:hint="eastAsia" w:ascii="宋体"/>
          <w:szCs w:val="21"/>
        </w:rPr>
        <w:t xml:space="preserve">      </w:t>
      </w:r>
    </w:p>
    <w:p w14:paraId="4DAC16CA">
      <w:pPr>
        <w:snapToGrid w:val="0"/>
        <w:spacing w:line="400" w:lineRule="exact"/>
        <w:rPr>
          <w:rFonts w:ascii="宋体"/>
          <w:szCs w:val="21"/>
        </w:rPr>
      </w:pPr>
      <w:r>
        <w:rPr>
          <w:rFonts w:hint="eastAsia"/>
        </w:rPr>
        <w:t>投标人名称（</w:t>
      </w:r>
      <w:r>
        <w:rPr>
          <w:rFonts w:hint="eastAsia" w:ascii="宋体"/>
          <w:szCs w:val="21"/>
        </w:rPr>
        <w:t>盖章</w:t>
      </w:r>
      <w:r>
        <w:rPr>
          <w:rFonts w:hint="eastAsia"/>
        </w:rPr>
        <w:t>）</w:t>
      </w:r>
      <w:r>
        <w:rPr>
          <w:rFonts w:hint="eastAsia" w:ascii="宋体"/>
          <w:szCs w:val="21"/>
        </w:rPr>
        <w:t>:</w:t>
      </w:r>
      <w:r>
        <w:rPr>
          <w:rFonts w:hint="eastAsia" w:ascii="宋体"/>
          <w:szCs w:val="21"/>
          <w:u w:val="single"/>
        </w:rPr>
        <w:t xml:space="preserve">              </w:t>
      </w:r>
    </w:p>
    <w:p w14:paraId="571D1996">
      <w:pPr>
        <w:snapToGrid w:val="0"/>
        <w:spacing w:line="400" w:lineRule="exact"/>
        <w:jc w:val="left"/>
        <w:rPr>
          <w:rFonts w:ascii="宋体" w:hAnsi="宋体"/>
          <w:szCs w:val="21"/>
        </w:rPr>
      </w:pPr>
      <w:r>
        <w:rPr>
          <w:rFonts w:hint="eastAsia" w:ascii="宋体"/>
          <w:szCs w:val="21"/>
        </w:rPr>
        <w:t>日期:</w:t>
      </w:r>
      <w:r>
        <w:rPr>
          <w:rFonts w:hint="eastAsia" w:ascii="宋体"/>
          <w:szCs w:val="21"/>
          <w:u w:val="single"/>
        </w:rPr>
        <w:t xml:space="preserve">       </w:t>
      </w:r>
      <w:r>
        <w:rPr>
          <w:rFonts w:hint="eastAsia" w:ascii="宋体"/>
          <w:szCs w:val="21"/>
        </w:rPr>
        <w:t>年</w:t>
      </w:r>
      <w:r>
        <w:rPr>
          <w:rFonts w:hint="eastAsia" w:ascii="宋体"/>
          <w:szCs w:val="21"/>
          <w:u w:val="single"/>
        </w:rPr>
        <w:t xml:space="preserve">    </w:t>
      </w:r>
      <w:r>
        <w:rPr>
          <w:rFonts w:hint="eastAsia" w:ascii="宋体"/>
          <w:szCs w:val="21"/>
        </w:rPr>
        <w:t>月</w:t>
      </w:r>
      <w:r>
        <w:rPr>
          <w:rFonts w:hint="eastAsia" w:ascii="宋体"/>
          <w:szCs w:val="21"/>
          <w:u w:val="single"/>
        </w:rPr>
        <w:t xml:space="preserve">    </w:t>
      </w:r>
      <w:r>
        <w:rPr>
          <w:rFonts w:hint="eastAsia" w:ascii="宋体"/>
          <w:szCs w:val="21"/>
        </w:rPr>
        <w:t>日</w:t>
      </w:r>
    </w:p>
    <w:p w14:paraId="0B693D69"/>
    <w:p w14:paraId="0CC1EB84"/>
    <w:p w14:paraId="65193A06"/>
    <w:p w14:paraId="6D9D3A88">
      <w:pPr>
        <w:spacing w:line="360" w:lineRule="exact"/>
      </w:pPr>
      <w:r>
        <w:br w:type="page"/>
      </w:r>
      <w:r>
        <w:rPr>
          <w:rFonts w:hint="eastAsia" w:ascii="宋体"/>
          <w:szCs w:val="21"/>
        </w:rPr>
        <w:t xml:space="preserve">    （2）投标报价明细表格式</w:t>
      </w:r>
    </w:p>
    <w:p w14:paraId="69FE83AF">
      <w:pPr>
        <w:spacing w:line="360" w:lineRule="exact"/>
        <w:jc w:val="center"/>
        <w:rPr>
          <w:b/>
        </w:rPr>
      </w:pPr>
      <w:r>
        <w:rPr>
          <w:rFonts w:hint="eastAsia"/>
          <w:b/>
        </w:rPr>
        <w:t>投标报价明细表</w:t>
      </w:r>
    </w:p>
    <w:p w14:paraId="65768C5B">
      <w:pPr>
        <w:wordWrap w:val="0"/>
        <w:snapToGrid w:val="0"/>
        <w:spacing w:line="360" w:lineRule="exact"/>
        <w:ind w:firstLine="420" w:firstLineChars="200"/>
        <w:jc w:val="left"/>
        <w:rPr>
          <w:szCs w:val="21"/>
        </w:rPr>
      </w:pPr>
      <w:r>
        <w:rPr>
          <w:rFonts w:hint="eastAsia"/>
        </w:rPr>
        <w:t xml:space="preserve"> 分标号： </w:t>
      </w:r>
      <w:r>
        <w:rPr>
          <w:rFonts w:hint="eastAsia" w:ascii="宋体"/>
          <w:szCs w:val="21"/>
          <w:u w:val="single"/>
        </w:rPr>
        <w:t xml:space="preserve"> </w:t>
      </w:r>
      <w:r>
        <w:rPr>
          <w:rFonts w:ascii="宋体"/>
          <w:szCs w:val="21"/>
          <w:u w:val="single"/>
        </w:rPr>
        <w:t xml:space="preserve">     </w:t>
      </w:r>
      <w:r>
        <w:rPr>
          <w:rFonts w:hint="eastAsia"/>
          <w:szCs w:val="21"/>
        </w:rPr>
        <w:t xml:space="preserve">                                                    金额单位：人民币（元）</w:t>
      </w:r>
    </w:p>
    <w:tbl>
      <w:tblPr>
        <w:tblStyle w:val="50"/>
        <w:tblW w:w="94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700"/>
        <w:gridCol w:w="5400"/>
      </w:tblGrid>
      <w:tr w14:paraId="3A547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1368" w:type="dxa"/>
            <w:tcBorders>
              <w:bottom w:val="single" w:color="auto" w:sz="4" w:space="0"/>
            </w:tcBorders>
            <w:vAlign w:val="center"/>
          </w:tcPr>
          <w:p w14:paraId="60603A03">
            <w:pPr>
              <w:spacing w:line="360" w:lineRule="auto"/>
              <w:jc w:val="center"/>
              <w:rPr>
                <w:rFonts w:ascii="宋体" w:hAnsi="Courier New" w:cs="Courier New"/>
                <w:szCs w:val="21"/>
              </w:rPr>
            </w:pPr>
            <w:r>
              <w:rPr>
                <w:rFonts w:hint="eastAsia" w:ascii="宋体" w:hAnsi="Courier New" w:cs="Courier New"/>
                <w:szCs w:val="21"/>
              </w:rPr>
              <w:t>项号</w:t>
            </w:r>
          </w:p>
        </w:tc>
        <w:tc>
          <w:tcPr>
            <w:tcW w:w="2700" w:type="dxa"/>
            <w:tcBorders>
              <w:bottom w:val="single" w:color="auto" w:sz="4" w:space="0"/>
            </w:tcBorders>
            <w:vAlign w:val="center"/>
          </w:tcPr>
          <w:p w14:paraId="378CC3AD">
            <w:pPr>
              <w:spacing w:line="360" w:lineRule="auto"/>
              <w:jc w:val="center"/>
              <w:rPr>
                <w:rFonts w:ascii="宋体" w:hAnsi="Courier New" w:cs="Courier New"/>
                <w:szCs w:val="21"/>
              </w:rPr>
            </w:pPr>
            <w:r>
              <w:rPr>
                <w:rFonts w:hint="eastAsia" w:ascii="宋体" w:hAnsi="Courier New" w:cs="Courier New"/>
                <w:szCs w:val="21"/>
              </w:rPr>
              <w:t>货物名称</w:t>
            </w:r>
          </w:p>
        </w:tc>
        <w:tc>
          <w:tcPr>
            <w:tcW w:w="5400" w:type="dxa"/>
            <w:tcBorders>
              <w:bottom w:val="single" w:color="auto" w:sz="4" w:space="0"/>
            </w:tcBorders>
            <w:vAlign w:val="center"/>
          </w:tcPr>
          <w:p w14:paraId="6A694292">
            <w:pPr>
              <w:spacing w:line="360" w:lineRule="auto"/>
              <w:jc w:val="center"/>
              <w:rPr>
                <w:rFonts w:ascii="宋体" w:hAnsi="Courier New" w:cs="Courier New"/>
                <w:szCs w:val="21"/>
              </w:rPr>
            </w:pPr>
            <w:r>
              <w:rPr>
                <w:rFonts w:hint="eastAsia" w:ascii="宋体" w:hAnsi="Courier New" w:cs="Courier New"/>
                <w:szCs w:val="21"/>
              </w:rPr>
              <w:t>折扣率（%）</w:t>
            </w:r>
          </w:p>
        </w:tc>
      </w:tr>
      <w:tr w14:paraId="17883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9" w:hRule="atLeast"/>
        </w:trPr>
        <w:tc>
          <w:tcPr>
            <w:tcW w:w="1368" w:type="dxa"/>
            <w:vAlign w:val="center"/>
          </w:tcPr>
          <w:p w14:paraId="4E69EB8E">
            <w:pPr>
              <w:spacing w:line="360" w:lineRule="auto"/>
              <w:jc w:val="center"/>
              <w:rPr>
                <w:szCs w:val="21"/>
              </w:rPr>
            </w:pPr>
            <w:r>
              <w:rPr>
                <w:rFonts w:hint="eastAsia"/>
                <w:szCs w:val="21"/>
              </w:rPr>
              <w:t>1</w:t>
            </w:r>
          </w:p>
        </w:tc>
        <w:tc>
          <w:tcPr>
            <w:tcW w:w="2700" w:type="dxa"/>
            <w:vAlign w:val="center"/>
          </w:tcPr>
          <w:p w14:paraId="5F20B287">
            <w:pPr>
              <w:spacing w:line="360" w:lineRule="auto"/>
              <w:jc w:val="center"/>
              <w:rPr>
                <w:szCs w:val="21"/>
              </w:rPr>
            </w:pPr>
          </w:p>
        </w:tc>
        <w:tc>
          <w:tcPr>
            <w:tcW w:w="5400" w:type="dxa"/>
            <w:vAlign w:val="center"/>
          </w:tcPr>
          <w:p w14:paraId="65B84A90">
            <w:pPr>
              <w:spacing w:line="360" w:lineRule="auto"/>
              <w:jc w:val="center"/>
              <w:rPr>
                <w:rFonts w:ascii="宋体" w:hAnsi="Courier New" w:cs="Courier New"/>
                <w:szCs w:val="21"/>
              </w:rPr>
            </w:pPr>
          </w:p>
        </w:tc>
      </w:tr>
      <w:tr w14:paraId="3B209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468" w:type="dxa"/>
            <w:gridSpan w:val="3"/>
            <w:vAlign w:val="center"/>
          </w:tcPr>
          <w:p w14:paraId="6FF066A2">
            <w:pPr>
              <w:spacing w:line="360" w:lineRule="auto"/>
              <w:jc w:val="left"/>
              <w:rPr>
                <w:rFonts w:ascii="宋体" w:hAnsi="Courier New" w:cs="Courier New"/>
                <w:b/>
                <w:szCs w:val="21"/>
              </w:rPr>
            </w:pPr>
            <w:r>
              <w:rPr>
                <w:rFonts w:hint="eastAsia" w:ascii="宋体" w:hAnsi="宋体" w:cs="宋体"/>
                <w:szCs w:val="21"/>
              </w:rPr>
              <w:t>交货时间</w:t>
            </w:r>
            <w:r>
              <w:rPr>
                <w:rFonts w:hint="eastAsia" w:ascii="宋体" w:hAnsi="Courier New" w:cs="Courier New"/>
                <w:szCs w:val="21"/>
              </w:rPr>
              <w:t>：</w:t>
            </w:r>
          </w:p>
        </w:tc>
      </w:tr>
      <w:tr w14:paraId="65486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468" w:type="dxa"/>
            <w:gridSpan w:val="3"/>
            <w:vAlign w:val="center"/>
          </w:tcPr>
          <w:p w14:paraId="450070F0">
            <w:pPr>
              <w:spacing w:line="360" w:lineRule="auto"/>
              <w:rPr>
                <w:rFonts w:ascii="宋体" w:hAnsi="Courier New" w:cs="Courier New"/>
                <w:spacing w:val="-6"/>
                <w:szCs w:val="21"/>
              </w:rPr>
            </w:pPr>
            <w:r>
              <w:rPr>
                <w:rFonts w:hint="eastAsia" w:hAnsi="宋体" w:cs="Courier New"/>
                <w:b/>
                <w:szCs w:val="21"/>
              </w:rPr>
              <w:t>折扣率报价：</w:t>
            </w:r>
            <w:r>
              <w:rPr>
                <w:rFonts w:hint="eastAsia" w:hAnsi="宋体" w:cs="Courier New"/>
                <w:szCs w:val="21"/>
              </w:rPr>
              <w:t>投标人根据自身投标总成本（指图书成本、加工成本、运抵指定交货地点的各种费用、售后服务、税金及其他所有成本费用的总和）的情况，报出本项目中文纸质图书的最终折扣率，采购时间内所有中文纸质图书采购均按实洋价付款，图书出版的标价为码洋价，</w:t>
            </w:r>
            <w:r>
              <w:rPr>
                <w:rFonts w:hint="eastAsia" w:hAnsi="宋体" w:cs="Courier New"/>
                <w:b/>
                <w:szCs w:val="21"/>
              </w:rPr>
              <w:t>实洋价合计值＝图书码洋价合计值</w:t>
            </w:r>
            <w:r>
              <w:rPr>
                <w:rFonts w:hAnsi="宋体" w:cs="Courier New"/>
                <w:b/>
                <w:szCs w:val="21"/>
              </w:rPr>
              <w:t>×</w:t>
            </w:r>
            <w:r>
              <w:rPr>
                <w:rFonts w:hint="eastAsia" w:hAnsi="宋体" w:cs="Courier New"/>
                <w:b/>
                <w:szCs w:val="21"/>
              </w:rPr>
              <w:t>折扣率。</w:t>
            </w:r>
          </w:p>
        </w:tc>
      </w:tr>
    </w:tbl>
    <w:p w14:paraId="24A3FCCD"/>
    <w:p w14:paraId="78B46EE7">
      <w:pPr>
        <w:snapToGrid w:val="0"/>
        <w:spacing w:before="50" w:after="50" w:line="360" w:lineRule="exact"/>
        <w:rPr>
          <w:rFonts w:ascii="宋体"/>
          <w:spacing w:val="20"/>
          <w:szCs w:val="21"/>
          <w:u w:val="single"/>
        </w:rPr>
      </w:pPr>
      <w:r>
        <w:rPr>
          <w:rFonts w:hint="eastAsia" w:ascii="宋体"/>
          <w:szCs w:val="21"/>
        </w:rPr>
        <w:t>法定代表人（负责人）或委托代理人签字或盖章</w:t>
      </w:r>
      <w:r>
        <w:rPr>
          <w:rFonts w:hint="eastAsia" w:ascii="宋体"/>
          <w:spacing w:val="20"/>
          <w:szCs w:val="21"/>
        </w:rPr>
        <w:t>：</w:t>
      </w:r>
      <w:r>
        <w:rPr>
          <w:rFonts w:hint="eastAsia" w:ascii="宋体"/>
          <w:spacing w:val="20"/>
          <w:szCs w:val="21"/>
          <w:u w:val="single"/>
        </w:rPr>
        <w:t xml:space="preserve">            </w:t>
      </w:r>
    </w:p>
    <w:p w14:paraId="64D22DE2">
      <w:r>
        <w:rPr>
          <w:rFonts w:hint="eastAsia"/>
        </w:rPr>
        <w:t>投标人名称（</w:t>
      </w:r>
      <w:r>
        <w:rPr>
          <w:rFonts w:hint="eastAsia" w:ascii="宋体"/>
          <w:szCs w:val="21"/>
        </w:rPr>
        <w:t>盖章</w:t>
      </w:r>
      <w:r>
        <w:rPr>
          <w:rFonts w:hint="eastAsia"/>
        </w:rPr>
        <w:t>）：</w:t>
      </w:r>
      <w:r>
        <w:rPr>
          <w:rFonts w:hint="eastAsia"/>
          <w:u w:val="single"/>
        </w:rPr>
        <w:t xml:space="preserve">                        </w:t>
      </w:r>
      <w:r>
        <w:rPr>
          <w:rFonts w:hint="eastAsia"/>
        </w:rPr>
        <w:t xml:space="preserve">           日  期：</w:t>
      </w:r>
      <w:r>
        <w:rPr>
          <w:rFonts w:hint="eastAsia"/>
          <w:u w:val="single"/>
        </w:rPr>
        <w:t xml:space="preserve">                    </w:t>
      </w:r>
    </w:p>
    <w:p w14:paraId="5D11D988"/>
    <w:p w14:paraId="3354EA89"/>
    <w:p w14:paraId="74EF0067">
      <w:pPr>
        <w:spacing w:line="360" w:lineRule="exact"/>
        <w:rPr>
          <w:rFonts w:ascii="宋体"/>
          <w:szCs w:val="21"/>
        </w:rPr>
      </w:pPr>
      <w:r>
        <w:rPr>
          <w:rFonts w:hint="eastAsia"/>
        </w:rPr>
        <w:t xml:space="preserve">  </w:t>
      </w:r>
      <w:r>
        <w:rPr>
          <w:rFonts w:hint="eastAsia" w:ascii="宋体"/>
          <w:szCs w:val="21"/>
        </w:rPr>
        <w:t xml:space="preserve">  （3）投标人针对报价需要说明的其他文件和说明；（格式自拟）</w:t>
      </w:r>
    </w:p>
    <w:p w14:paraId="7A963199"/>
    <w:p w14:paraId="6A642FBA">
      <w:pPr>
        <w:spacing w:line="720" w:lineRule="auto"/>
        <w:rPr>
          <w:rFonts w:ascii="宋体" w:hAnsi="宋体"/>
          <w:b/>
        </w:rPr>
      </w:pPr>
      <w:r>
        <w:br w:type="page"/>
      </w:r>
      <w:r>
        <w:rPr>
          <w:rFonts w:hint="eastAsia"/>
        </w:rPr>
        <w:t xml:space="preserve">    </w:t>
      </w:r>
      <w:r>
        <w:rPr>
          <w:rFonts w:hint="eastAsia" w:ascii="宋体" w:hAnsi="宋体"/>
          <w:b/>
        </w:rPr>
        <w:t>（4）开标一览表</w:t>
      </w:r>
    </w:p>
    <w:p w14:paraId="4D520600">
      <w:pPr>
        <w:jc w:val="center"/>
        <w:rPr>
          <w:rFonts w:ascii="宋体" w:hAnsi="宋体"/>
          <w:b/>
        </w:rPr>
      </w:pPr>
      <w:r>
        <w:rPr>
          <w:rFonts w:hint="eastAsia" w:ascii="宋体" w:hAnsi="宋体"/>
          <w:b/>
        </w:rPr>
        <w:t>开标一览表</w:t>
      </w:r>
    </w:p>
    <w:p w14:paraId="148B6CBB">
      <w:pPr>
        <w:spacing w:line="360" w:lineRule="exact"/>
        <w:rPr>
          <w:rFonts w:ascii="宋体" w:hAnsi="宋体"/>
          <w:szCs w:val="21"/>
        </w:rPr>
      </w:pPr>
      <w:r>
        <w:rPr>
          <w:rFonts w:hint="eastAsia" w:ascii="宋体" w:hAnsi="宋体"/>
          <w:szCs w:val="21"/>
        </w:rPr>
        <w:t xml:space="preserve">采购项目名称： </w:t>
      </w:r>
      <w:r>
        <w:rPr>
          <w:rFonts w:ascii="宋体" w:hAnsi="宋体"/>
          <w:szCs w:val="21"/>
        </w:rPr>
        <w:t xml:space="preserve">                                                   </w:t>
      </w:r>
    </w:p>
    <w:p w14:paraId="4783C027">
      <w:pPr>
        <w:spacing w:line="360" w:lineRule="exact"/>
        <w:rPr>
          <w:rFonts w:ascii="宋体" w:hAnsi="宋体"/>
          <w:szCs w:val="21"/>
        </w:rPr>
      </w:pPr>
      <w:r>
        <w:rPr>
          <w:rFonts w:hint="eastAsia" w:ascii="宋体" w:hAnsi="宋体"/>
          <w:szCs w:val="21"/>
        </w:rPr>
        <w:t xml:space="preserve">采购项目编号：                                                       </w:t>
      </w:r>
    </w:p>
    <w:p w14:paraId="66A708CA">
      <w:pPr>
        <w:spacing w:line="360" w:lineRule="exact"/>
        <w:rPr>
          <w:rFonts w:ascii="宋体" w:hAnsi="宋体"/>
          <w:szCs w:val="21"/>
        </w:rPr>
      </w:pPr>
      <w:r>
        <w:rPr>
          <w:rFonts w:hint="eastAsia"/>
        </w:rPr>
        <w:t xml:space="preserve">分标号： </w:t>
      </w:r>
      <w:r>
        <w:rPr>
          <w:rFonts w:hint="eastAsia" w:ascii="宋体"/>
          <w:szCs w:val="21"/>
          <w:u w:val="single"/>
        </w:rPr>
        <w:t xml:space="preserve"> </w:t>
      </w:r>
      <w:r>
        <w:rPr>
          <w:rFonts w:ascii="宋体"/>
          <w:szCs w:val="21"/>
          <w:u w:val="single"/>
        </w:rPr>
        <w:t xml:space="preserve">     </w:t>
      </w:r>
      <w:r>
        <w:rPr>
          <w:rFonts w:hint="eastAsia"/>
          <w:szCs w:val="21"/>
        </w:rPr>
        <w:t xml:space="preserve">                                               </w:t>
      </w:r>
      <w:r>
        <w:rPr>
          <w:rFonts w:hint="eastAsia" w:ascii="宋体" w:hAnsi="宋体"/>
          <w:szCs w:val="21"/>
        </w:rPr>
        <w:t>金额单位：人民币（元）</w:t>
      </w:r>
    </w:p>
    <w:p w14:paraId="255EB173">
      <w:pPr>
        <w:spacing w:line="360" w:lineRule="exact"/>
        <w:rPr>
          <w:rFonts w:ascii="宋体" w:hAnsi="宋体"/>
          <w:szCs w:val="21"/>
        </w:rPr>
      </w:pPr>
    </w:p>
    <w:tbl>
      <w:tblPr>
        <w:tblStyle w:val="50"/>
        <w:tblW w:w="94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700"/>
        <w:gridCol w:w="5400"/>
      </w:tblGrid>
      <w:tr w14:paraId="015C7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1368" w:type="dxa"/>
            <w:tcBorders>
              <w:bottom w:val="single" w:color="auto" w:sz="4" w:space="0"/>
            </w:tcBorders>
            <w:vAlign w:val="center"/>
          </w:tcPr>
          <w:p w14:paraId="53AF9E59">
            <w:pPr>
              <w:spacing w:line="360" w:lineRule="auto"/>
              <w:jc w:val="center"/>
              <w:rPr>
                <w:rFonts w:ascii="宋体" w:hAnsi="Courier New" w:cs="Courier New"/>
                <w:szCs w:val="21"/>
              </w:rPr>
            </w:pPr>
            <w:r>
              <w:rPr>
                <w:rFonts w:hint="eastAsia" w:ascii="宋体" w:hAnsi="Courier New" w:cs="Courier New"/>
                <w:szCs w:val="21"/>
              </w:rPr>
              <w:t>项号</w:t>
            </w:r>
          </w:p>
        </w:tc>
        <w:tc>
          <w:tcPr>
            <w:tcW w:w="2700" w:type="dxa"/>
            <w:tcBorders>
              <w:bottom w:val="single" w:color="auto" w:sz="4" w:space="0"/>
            </w:tcBorders>
            <w:vAlign w:val="center"/>
          </w:tcPr>
          <w:p w14:paraId="5695E0B1">
            <w:pPr>
              <w:spacing w:line="360" w:lineRule="auto"/>
              <w:jc w:val="center"/>
              <w:rPr>
                <w:rFonts w:ascii="宋体" w:hAnsi="Courier New" w:cs="Courier New"/>
                <w:szCs w:val="21"/>
              </w:rPr>
            </w:pPr>
            <w:r>
              <w:rPr>
                <w:rFonts w:hint="eastAsia" w:ascii="宋体" w:hAnsi="Courier New" w:cs="Courier New"/>
                <w:szCs w:val="21"/>
              </w:rPr>
              <w:t>货物名称</w:t>
            </w:r>
          </w:p>
        </w:tc>
        <w:tc>
          <w:tcPr>
            <w:tcW w:w="5400" w:type="dxa"/>
            <w:tcBorders>
              <w:bottom w:val="single" w:color="auto" w:sz="4" w:space="0"/>
            </w:tcBorders>
            <w:vAlign w:val="center"/>
          </w:tcPr>
          <w:p w14:paraId="580F9FAB">
            <w:pPr>
              <w:spacing w:line="360" w:lineRule="auto"/>
              <w:jc w:val="center"/>
              <w:rPr>
                <w:rFonts w:ascii="宋体" w:hAnsi="Courier New" w:cs="Courier New"/>
                <w:szCs w:val="21"/>
              </w:rPr>
            </w:pPr>
            <w:r>
              <w:rPr>
                <w:rFonts w:hint="eastAsia" w:ascii="宋体" w:hAnsi="Courier New" w:cs="Courier New"/>
                <w:szCs w:val="21"/>
              </w:rPr>
              <w:t>折扣率（%）</w:t>
            </w:r>
          </w:p>
        </w:tc>
      </w:tr>
      <w:tr w14:paraId="09FD0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9" w:hRule="atLeast"/>
        </w:trPr>
        <w:tc>
          <w:tcPr>
            <w:tcW w:w="1368" w:type="dxa"/>
            <w:vAlign w:val="center"/>
          </w:tcPr>
          <w:p w14:paraId="67B00ADC">
            <w:pPr>
              <w:spacing w:line="360" w:lineRule="auto"/>
              <w:jc w:val="center"/>
              <w:rPr>
                <w:szCs w:val="21"/>
              </w:rPr>
            </w:pPr>
            <w:r>
              <w:rPr>
                <w:rFonts w:hint="eastAsia"/>
                <w:szCs w:val="21"/>
              </w:rPr>
              <w:t>1</w:t>
            </w:r>
          </w:p>
        </w:tc>
        <w:tc>
          <w:tcPr>
            <w:tcW w:w="2700" w:type="dxa"/>
            <w:vAlign w:val="center"/>
          </w:tcPr>
          <w:p w14:paraId="5234BA67">
            <w:pPr>
              <w:spacing w:line="360" w:lineRule="auto"/>
              <w:jc w:val="center"/>
              <w:rPr>
                <w:szCs w:val="21"/>
              </w:rPr>
            </w:pPr>
          </w:p>
        </w:tc>
        <w:tc>
          <w:tcPr>
            <w:tcW w:w="5400" w:type="dxa"/>
            <w:vAlign w:val="center"/>
          </w:tcPr>
          <w:p w14:paraId="64A3FA25">
            <w:pPr>
              <w:spacing w:line="360" w:lineRule="auto"/>
              <w:jc w:val="center"/>
              <w:rPr>
                <w:rFonts w:ascii="宋体" w:hAnsi="Courier New" w:cs="Courier New"/>
                <w:szCs w:val="21"/>
              </w:rPr>
            </w:pPr>
          </w:p>
        </w:tc>
      </w:tr>
      <w:tr w14:paraId="782E3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468" w:type="dxa"/>
            <w:gridSpan w:val="3"/>
            <w:vAlign w:val="center"/>
          </w:tcPr>
          <w:p w14:paraId="4D8C090B">
            <w:pPr>
              <w:spacing w:line="360" w:lineRule="auto"/>
              <w:jc w:val="left"/>
              <w:rPr>
                <w:rFonts w:ascii="宋体" w:hAnsi="Courier New" w:cs="Courier New"/>
                <w:b/>
                <w:szCs w:val="21"/>
              </w:rPr>
            </w:pPr>
            <w:r>
              <w:rPr>
                <w:rFonts w:hint="eastAsia" w:ascii="宋体" w:hAnsi="宋体" w:cs="宋体"/>
                <w:szCs w:val="21"/>
              </w:rPr>
              <w:t>交货时间</w:t>
            </w:r>
            <w:r>
              <w:rPr>
                <w:rFonts w:hint="eastAsia" w:ascii="宋体" w:hAnsi="Courier New" w:cs="Courier New"/>
                <w:szCs w:val="21"/>
              </w:rPr>
              <w:t>：</w:t>
            </w:r>
          </w:p>
        </w:tc>
      </w:tr>
      <w:tr w14:paraId="6D60C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468" w:type="dxa"/>
            <w:gridSpan w:val="3"/>
            <w:vAlign w:val="center"/>
          </w:tcPr>
          <w:p w14:paraId="54AA4DFA">
            <w:pPr>
              <w:spacing w:line="360" w:lineRule="auto"/>
              <w:rPr>
                <w:rFonts w:ascii="宋体" w:hAnsi="Courier New" w:cs="Courier New"/>
                <w:spacing w:val="-6"/>
                <w:szCs w:val="21"/>
              </w:rPr>
            </w:pPr>
            <w:r>
              <w:rPr>
                <w:rFonts w:hint="eastAsia" w:hAnsi="宋体" w:cs="Courier New"/>
                <w:b/>
                <w:szCs w:val="21"/>
              </w:rPr>
              <w:t>折扣率报价：</w:t>
            </w:r>
            <w:r>
              <w:rPr>
                <w:rFonts w:hint="eastAsia" w:hAnsi="宋体" w:cs="Courier New"/>
                <w:szCs w:val="21"/>
              </w:rPr>
              <w:t>投标人根据自身投标总成本（指图书成本、加工成本、运抵指定交货地点的各种费用、售后服务、税金及其他所有成本费用的总和）的情况，报出本项目中文纸质图书的最终折扣率，采购时间内所有中文纸质图书采购均按实洋价付款，图书出版的标价为码洋价，</w:t>
            </w:r>
            <w:r>
              <w:rPr>
                <w:rFonts w:hint="eastAsia" w:hAnsi="宋体" w:cs="Courier New"/>
                <w:b/>
                <w:szCs w:val="21"/>
              </w:rPr>
              <w:t>实洋价合计值＝图书码洋价合计值</w:t>
            </w:r>
            <w:r>
              <w:rPr>
                <w:rFonts w:hAnsi="宋体" w:cs="Courier New"/>
                <w:b/>
                <w:szCs w:val="21"/>
              </w:rPr>
              <w:t>×</w:t>
            </w:r>
            <w:r>
              <w:rPr>
                <w:rFonts w:hint="eastAsia" w:hAnsi="宋体" w:cs="Courier New"/>
                <w:b/>
                <w:szCs w:val="21"/>
              </w:rPr>
              <w:t>折扣率。</w:t>
            </w:r>
          </w:p>
        </w:tc>
      </w:tr>
    </w:tbl>
    <w:p w14:paraId="41B0F5A2">
      <w:pPr>
        <w:spacing w:line="360" w:lineRule="exact"/>
        <w:rPr>
          <w:rFonts w:ascii="宋体" w:hAnsi="宋体"/>
          <w:szCs w:val="21"/>
        </w:rPr>
      </w:pPr>
      <w:r>
        <w:rPr>
          <w:rFonts w:hint="eastAsia" w:ascii="宋体" w:hAnsi="宋体"/>
          <w:szCs w:val="21"/>
        </w:rPr>
        <w:t>注：1.报价一经涂改，应在涂改处加盖单位公章或者由法定代表人（负责人）或授权委托人签字或盖章，否则其投标作无效标处理。</w:t>
      </w:r>
    </w:p>
    <w:p w14:paraId="027DA8A5">
      <w:pPr>
        <w:spacing w:line="360" w:lineRule="exact"/>
        <w:rPr>
          <w:rFonts w:ascii="宋体" w:hAnsi="宋体"/>
          <w:szCs w:val="21"/>
        </w:rPr>
      </w:pPr>
      <w:r>
        <w:rPr>
          <w:rFonts w:hint="eastAsia" w:ascii="宋体" w:hAnsi="宋体"/>
          <w:szCs w:val="21"/>
        </w:rPr>
        <w:t xml:space="preserve">    2.凡需用专用辅材、耗材的专用设备类采购项目，应按招标文件规定的辅材、耗材量或按耗材的常规试用量提供报价。</w:t>
      </w:r>
    </w:p>
    <w:p w14:paraId="186FC747">
      <w:pPr>
        <w:spacing w:line="360" w:lineRule="exact"/>
        <w:rPr>
          <w:rFonts w:ascii="宋体" w:hAnsi="宋体"/>
          <w:szCs w:val="21"/>
        </w:rPr>
      </w:pPr>
      <w:r>
        <w:rPr>
          <w:rFonts w:hint="eastAsia" w:ascii="宋体" w:hAnsi="宋体"/>
          <w:szCs w:val="21"/>
        </w:rPr>
        <w:t xml:space="preserve">    3.开标一览表中的“设备名称”、“数量”、“单价”、“投标报价”列必须填写；设备类项目“品牌及厂家”和“规格型号”列必须填写（定制产品和服务除外）。</w:t>
      </w:r>
    </w:p>
    <w:p w14:paraId="2D8CE918">
      <w:pPr>
        <w:spacing w:line="360" w:lineRule="exact"/>
        <w:rPr>
          <w:rFonts w:ascii="宋体" w:hAnsi="宋体"/>
          <w:szCs w:val="21"/>
        </w:rPr>
      </w:pPr>
      <w:r>
        <w:rPr>
          <w:rFonts w:hint="eastAsia" w:ascii="宋体" w:hAnsi="宋体"/>
          <w:szCs w:val="21"/>
        </w:rPr>
        <w:t xml:space="preserve">    4.投标费用包括项目实施所需的人工费、服务费、运输费、搬运费、加工费、获取及制作标书费、税费及其他一切费用。</w:t>
      </w:r>
    </w:p>
    <w:p w14:paraId="6F1D06F4">
      <w:pPr>
        <w:spacing w:line="360" w:lineRule="exact"/>
        <w:rPr>
          <w:rFonts w:ascii="宋体" w:hAnsi="宋体"/>
          <w:szCs w:val="21"/>
        </w:rPr>
      </w:pPr>
      <w:r>
        <w:rPr>
          <w:rFonts w:hint="eastAsia" w:ascii="宋体" w:hAnsi="宋体"/>
          <w:szCs w:val="21"/>
        </w:rPr>
        <w:t xml:space="preserve">    5.以上报价应与“投标报价明细表”中的“投标总价”相一致。</w:t>
      </w:r>
    </w:p>
    <w:p w14:paraId="518A00B8">
      <w:pPr>
        <w:spacing w:line="360" w:lineRule="exact"/>
        <w:rPr>
          <w:rFonts w:ascii="宋体" w:hAnsi="宋体"/>
          <w:szCs w:val="21"/>
        </w:rPr>
      </w:pPr>
      <w:r>
        <w:rPr>
          <w:rFonts w:hint="eastAsia" w:ascii="宋体" w:hAnsi="宋体"/>
          <w:szCs w:val="21"/>
        </w:rPr>
        <w:t xml:space="preserve">    6.联合体投标时，开标一览表中投标人名称必须注明联合体并加盖联合体各方公章，同时须提供联合协议。</w:t>
      </w:r>
    </w:p>
    <w:p w14:paraId="1B0135DF">
      <w:pPr>
        <w:spacing w:line="360" w:lineRule="exact"/>
        <w:rPr>
          <w:rFonts w:ascii="宋体" w:hAnsi="宋体"/>
          <w:szCs w:val="21"/>
        </w:rPr>
      </w:pPr>
      <w:r>
        <w:rPr>
          <w:rFonts w:hint="eastAsia" w:ascii="宋体" w:hAnsi="宋体"/>
          <w:szCs w:val="21"/>
        </w:rPr>
        <w:t xml:space="preserve">    7.项目中如有多个分标的，每一分标的开标一览表必须分别按格式要求填写并签字、盖章。</w:t>
      </w:r>
    </w:p>
    <w:p w14:paraId="47F26D64">
      <w:pPr>
        <w:snapToGrid w:val="0"/>
        <w:spacing w:before="50" w:after="50" w:line="360" w:lineRule="exact"/>
        <w:ind w:left="-2" w:leftChars="-1" w:right="-816" w:rightChars="-389" w:firstLine="420" w:firstLineChars="200"/>
        <w:rPr>
          <w:rFonts w:ascii="宋体" w:hAnsi="宋体"/>
          <w:szCs w:val="21"/>
        </w:rPr>
      </w:pPr>
      <w:r>
        <w:rPr>
          <w:rFonts w:hint="eastAsia" w:ascii="宋体" w:hAnsi="宋体"/>
          <w:szCs w:val="21"/>
        </w:rPr>
        <w:t>法定代表人(负责人)或委托代理人（签字或盖章）：</w:t>
      </w:r>
      <w:r>
        <w:rPr>
          <w:rFonts w:hint="eastAsia" w:ascii="宋体" w:hAnsi="宋体"/>
          <w:szCs w:val="21"/>
          <w:u w:val="single"/>
        </w:rPr>
        <w:t xml:space="preserve">                   </w:t>
      </w:r>
    </w:p>
    <w:p w14:paraId="7E4DD4B1">
      <w:pPr>
        <w:snapToGrid w:val="0"/>
        <w:spacing w:before="50" w:after="50" w:line="360" w:lineRule="exact"/>
        <w:ind w:right="-816" w:rightChars="-389" w:firstLine="420" w:firstLineChars="200"/>
        <w:rPr>
          <w:rFonts w:ascii="宋体" w:hAnsi="宋体"/>
          <w:szCs w:val="21"/>
        </w:rPr>
      </w:pPr>
      <w:r>
        <w:rPr>
          <w:rFonts w:hint="eastAsia" w:ascii="宋体" w:hAnsi="宋体"/>
          <w:szCs w:val="21"/>
        </w:rPr>
        <w:t>投标人名称（盖章）：</w:t>
      </w:r>
      <w:r>
        <w:rPr>
          <w:rFonts w:hint="eastAsia" w:ascii="宋体" w:hAnsi="宋体"/>
          <w:szCs w:val="21"/>
          <w:u w:val="single"/>
        </w:rPr>
        <w:t xml:space="preserve">                               </w:t>
      </w:r>
    </w:p>
    <w:p w14:paraId="5B0E747D">
      <w:pPr>
        <w:snapToGrid w:val="0"/>
        <w:spacing w:before="50" w:after="50" w:line="360" w:lineRule="exact"/>
        <w:ind w:right="-816" w:rightChars="-389" w:firstLine="420"/>
        <w:rPr>
          <w:rFonts w:ascii="宋体" w:hAnsi="宋体"/>
          <w:szCs w:val="21"/>
        </w:rPr>
      </w:pPr>
      <w:r>
        <w:rPr>
          <w:rFonts w:hint="eastAsia" w:ascii="宋体" w:hAnsi="宋体"/>
          <w:szCs w:val="21"/>
        </w:rPr>
        <w:t>日期：    年    月    日</w:t>
      </w:r>
    </w:p>
    <w:p w14:paraId="137BE833">
      <w:pPr>
        <w:snapToGrid w:val="0"/>
        <w:spacing w:before="50" w:after="50" w:line="340" w:lineRule="exact"/>
        <w:ind w:right="-816" w:rightChars="-389"/>
        <w:rPr>
          <w:rFonts w:ascii="宋体"/>
          <w:szCs w:val="21"/>
        </w:rPr>
      </w:pPr>
    </w:p>
    <w:p w14:paraId="6D8E9881">
      <w:pPr>
        <w:snapToGrid w:val="0"/>
        <w:spacing w:before="50" w:after="50" w:line="340" w:lineRule="exact"/>
        <w:ind w:right="-816" w:rightChars="-389"/>
        <w:rPr>
          <w:rFonts w:ascii="宋体"/>
          <w:szCs w:val="21"/>
        </w:rPr>
      </w:pPr>
    </w:p>
    <w:sectPr>
      <w:headerReference r:id="rId5" w:type="default"/>
      <w:footerReference r:id="rId6" w:type="default"/>
      <w:pgSz w:w="11906" w:h="16838"/>
      <w:pgMar w:top="1134" w:right="1134" w:bottom="1134" w:left="1134" w:header="851" w:footer="992" w:gutter="0"/>
      <w:pgNumType w:start="1"/>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FB45E08-0E23-4752-A851-AE50FDD4A899}"/>
  </w:font>
  <w:font w:name="黑体">
    <w:panose1 w:val="02010609060101010101"/>
    <w:charset w:val="86"/>
    <w:family w:val="auto"/>
    <w:pitch w:val="default"/>
    <w:sig w:usb0="800002BF" w:usb1="38CF7CFA" w:usb2="00000016" w:usb3="00000000" w:csb0="00040001" w:csb1="00000000"/>
    <w:embedRegular r:id="rId2" w:fontKey="{D8B9F198-8CC9-4615-B163-2033ECE293AB}"/>
  </w:font>
  <w:font w:name="Courier New">
    <w:panose1 w:val="02070309020205020404"/>
    <w:charset w:val="01"/>
    <w:family w:val="modern"/>
    <w:pitch w:val="default"/>
    <w:sig w:usb0="E0002EFF" w:usb1="C0007843" w:usb2="00000009" w:usb3="00000000" w:csb0="400001FF" w:csb1="FFFF0000"/>
    <w:embedRegular r:id="rId3" w:fontKey="{3F9EA55B-1966-4D7D-A61E-A5D44FE5C4E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760F984E-14C9-4B46-AFDF-2FC26324C1C1}"/>
  </w:font>
  <w:font w:name="仿宋_GB2312">
    <w:altName w:val="仿宋"/>
    <w:panose1 w:val="02010609030101010101"/>
    <w:charset w:val="86"/>
    <w:family w:val="modern"/>
    <w:pitch w:val="default"/>
    <w:sig w:usb0="00000001" w:usb1="080E0000" w:usb2="00000000" w:usb3="00000000" w:csb0="00040000" w:csb1="00000000"/>
    <w:embedRegular r:id="rId5" w:fontKey="{8F83F3E8-09BB-456E-8680-5C50798A36A7}"/>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创艺简黑体">
    <w:altName w:val="Times New Roman"/>
    <w:panose1 w:val="00000000000000000000"/>
    <w:charset w:val="00"/>
    <w:family w:val="auto"/>
    <w:pitch w:val="default"/>
    <w:sig w:usb0="00000000" w:usb1="00000000" w:usb2="00000000"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6" w:fontKey="{7F254B41-BB23-473C-B279-2E025A0476EA}"/>
  </w:font>
  <w:font w:name="华文新魏">
    <w:panose1 w:val="02010800040101010101"/>
    <w:charset w:val="86"/>
    <w:family w:val="auto"/>
    <w:pitch w:val="default"/>
    <w:sig w:usb0="00000001" w:usb1="080F0000" w:usb2="00000000" w:usb3="00000000" w:csb0="00040000" w:csb1="00000000"/>
    <w:embedRegular r:id="rId7" w:fontKey="{A6E302B8-F858-4753-AF6A-58709F9515E2}"/>
  </w:font>
  <w:font w:name="新宋体">
    <w:panose1 w:val="02010609030101010101"/>
    <w:charset w:val="86"/>
    <w:family w:val="modern"/>
    <w:pitch w:val="default"/>
    <w:sig w:usb0="00000203" w:usb1="288F0000" w:usb2="00000006" w:usb3="00000000" w:csb0="00040001" w:csb1="00000000"/>
    <w:embedRegular r:id="rId8" w:fontKey="{26F3DF5A-0E46-40E1-8CC4-A58DDB188BCC}"/>
  </w:font>
  <w:font w:name="仿宋">
    <w:panose1 w:val="02010609060101010101"/>
    <w:charset w:val="86"/>
    <w:family w:val="modern"/>
    <w:pitch w:val="default"/>
    <w:sig w:usb0="800002BF" w:usb1="38CF7CFA" w:usb2="00000016" w:usb3="00000000" w:csb0="00040001" w:csb1="00000000"/>
    <w:embedRegular r:id="rId9" w:fontKey="{1412A99B-5C7A-4256-885A-6BD6E0E28A03}"/>
  </w:font>
  <w:font w:name="Arial Unicode MS">
    <w:panose1 w:val="020B0604020202020204"/>
    <w:charset w:val="86"/>
    <w:family w:val="roman"/>
    <w:pitch w:val="default"/>
    <w:sig w:usb0="FFFFFFFF" w:usb1="E9FFFFFF" w:usb2="0000003F" w:usb3="00000000" w:csb0="603F01FF" w:csb1="FFFF0000"/>
    <w:embedRegular r:id="rId10" w:fontKey="{D513954E-8BC0-4115-97C5-05ED29791CFC}"/>
  </w:font>
  <w:font w:name="微软雅黑">
    <w:panose1 w:val="020B0503020204020204"/>
    <w:charset w:val="86"/>
    <w:family w:val="swiss"/>
    <w:pitch w:val="default"/>
    <w:sig w:usb0="80000287" w:usb1="2ACF3C50" w:usb2="00000016" w:usb3="00000000" w:csb0="0004001F" w:csb1="00000000"/>
    <w:embedRegular r:id="rId11" w:fontKey="{277F1C77-CC31-461E-9A37-D2F0692847F0}"/>
  </w:font>
  <w:font w:name="方正大标宋简体">
    <w:altName w:val="微软雅黑"/>
    <w:panose1 w:val="00000000000000000000"/>
    <w:charset w:val="86"/>
    <w:family w:val="auto"/>
    <w:pitch w:val="default"/>
    <w:sig w:usb0="00000000" w:usb1="00000000" w:usb2="00000012" w:usb3="00000000" w:csb0="00040001" w:csb1="00000000"/>
    <w:embedRegular r:id="rId12" w:fontKey="{249EDE68-80B7-40E1-9DAD-166207229EAA}"/>
  </w:font>
  <w:font w:name="方正公文小标宋">
    <w:panose1 w:val="02000500000000000000"/>
    <w:charset w:val="86"/>
    <w:family w:val="auto"/>
    <w:pitch w:val="default"/>
    <w:sig w:usb0="A00002BF" w:usb1="38CF7CFA" w:usb2="00000016" w:usb3="00000000" w:csb0="00040001" w:csb1="00000000"/>
    <w:embedRegular r:id="rId13" w:fontKey="{2249308D-986E-41FB-A388-E39B65437240}"/>
  </w:font>
  <w:font w:name="WPSEMBED1">
    <w:panose1 w:val="02010609030101010101"/>
    <w:charset w:val="86"/>
    <w:family w:val="auto"/>
    <w:pitch w:val="default"/>
    <w:sig w:usb0="00000001" w:usb1="080E0000" w:usb2="00000000" w:usb3="00000000" w:csb0="00040000" w:csb1="00000000"/>
  </w:font>
  <w:font w:name="WPSEMBED2">
    <w:panose1 w:val="020B0604020202020204"/>
    <w:charset w:val="86"/>
    <w:family w:val="auto"/>
    <w:pitch w:val="default"/>
    <w:sig w:usb0="FFFFFFFF" w:usb1="E9FFFFFF" w:usb2="0000003F" w:usb3="00000000" w:csb0="603F01FF" w:csb1="FFFF0000"/>
  </w:font>
  <w:font w:name="WPSEMBED3">
    <w:panose1 w:val="02000500000000000000"/>
    <w:charset w:val="86"/>
    <w:family w:val="auto"/>
    <w:pitch w:val="default"/>
    <w:sig w:usb0="A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79CCD">
    <w:pPr>
      <w:pStyle w:val="32"/>
      <w:framePr w:wrap="around" w:vAnchor="text" w:hAnchor="margin" w:xAlign="center" w:y="1"/>
      <w:rPr>
        <w:rStyle w:val="53"/>
      </w:rPr>
    </w:pPr>
    <w:r>
      <w:fldChar w:fldCharType="begin"/>
    </w:r>
    <w:r>
      <w:rPr>
        <w:rStyle w:val="53"/>
      </w:rPr>
      <w:instrText xml:space="preserve">PAGE  </w:instrText>
    </w:r>
    <w:r>
      <w:fldChar w:fldCharType="separate"/>
    </w:r>
    <w:r>
      <w:t xml:space="preserve"> </w:t>
    </w:r>
    <w:r>
      <w:fldChar w:fldCharType="end"/>
    </w:r>
  </w:p>
  <w:p w14:paraId="7A789E33">
    <w:pPr>
      <w:pStyle w:val="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6B7A1">
    <w:pPr>
      <w:pStyle w:val="32"/>
      <w:ind w:right="360"/>
      <w:jc w:val="both"/>
    </w:pPr>
    <w:r>
      <w:rPr>
        <w:rFonts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13967">
    <w:pPr>
      <w:pStyle w:val="32"/>
      <w:framePr w:wrap="around" w:vAnchor="text" w:hAnchor="margin" w:xAlign="center" w:y="1"/>
      <w:rPr>
        <w:rStyle w:val="53"/>
      </w:rPr>
    </w:pPr>
    <w:r>
      <w:fldChar w:fldCharType="begin"/>
    </w:r>
    <w:r>
      <w:rPr>
        <w:rStyle w:val="53"/>
      </w:rPr>
      <w:instrText xml:space="preserve">PAGE  </w:instrText>
    </w:r>
    <w:r>
      <w:fldChar w:fldCharType="separate"/>
    </w:r>
    <w:r>
      <w:rPr>
        <w:rStyle w:val="53"/>
      </w:rPr>
      <w:t>1</w:t>
    </w:r>
    <w:r>
      <w:fldChar w:fldCharType="end"/>
    </w:r>
  </w:p>
  <w:p w14:paraId="2E179C57">
    <w:pPr>
      <w:pStyle w:val="3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270C2">
    <w:pPr>
      <w:pStyle w:val="33"/>
      <w:wordWrap w:val="0"/>
      <w:jc w:val="right"/>
    </w:pPr>
    <w:r>
      <w:rPr>
        <w:rFonts w:hint="eastAsia"/>
      </w:rPr>
      <w:t>广西医科大学2026-2028年纸质图书采购（GXZC2026-G1-000611-GLZB）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11461B3"/>
    <w:multiLevelType w:val="multilevel"/>
    <w:tmpl w:val="711461B3"/>
    <w:lvl w:ilvl="0" w:tentative="0">
      <w:start w:val="1"/>
      <w:numFmt w:val="decimal"/>
      <w:suff w:val="nothing"/>
      <w:lvlText w:val="%1"/>
      <w:lvlJc w:val="center"/>
      <w:pPr>
        <w:tabs>
          <w:tab w:val="left" w:pos="0"/>
        </w:tabs>
        <w:ind w:left="0" w:firstLine="0"/>
      </w:pPr>
      <w:rPr>
        <w:rFonts w:hint="eastAsia"/>
      </w:rPr>
    </w:lvl>
    <w:lvl w:ilvl="1" w:tentative="0">
      <w:start w:val="1"/>
      <w:numFmt w:val="lowerLetter"/>
      <w:lvlText w:val="%2)"/>
      <w:lvlJc w:val="left"/>
      <w:pPr>
        <w:tabs>
          <w:tab w:val="left" w:pos="0"/>
        </w:tabs>
        <w:ind w:left="840" w:hanging="420"/>
      </w:pPr>
      <w:rPr>
        <w:rFonts w:hint="eastAsia"/>
      </w:rPr>
    </w:lvl>
    <w:lvl w:ilvl="2" w:tentative="0">
      <w:start w:val="1"/>
      <w:numFmt w:val="lowerRoman"/>
      <w:lvlText w:val="%3."/>
      <w:lvlJc w:val="right"/>
      <w:pPr>
        <w:tabs>
          <w:tab w:val="left" w:pos="0"/>
        </w:tabs>
        <w:ind w:left="1260" w:hanging="420"/>
      </w:pPr>
      <w:rPr>
        <w:rFonts w:hint="eastAsia"/>
      </w:rPr>
    </w:lvl>
    <w:lvl w:ilvl="3" w:tentative="0">
      <w:start w:val="1"/>
      <w:numFmt w:val="decimal"/>
      <w:lvlText w:val="%4."/>
      <w:lvlJc w:val="left"/>
      <w:pPr>
        <w:tabs>
          <w:tab w:val="left" w:pos="0"/>
        </w:tabs>
        <w:ind w:left="1680" w:hanging="420"/>
      </w:pPr>
      <w:rPr>
        <w:rFonts w:hint="eastAsia"/>
      </w:rPr>
    </w:lvl>
    <w:lvl w:ilvl="4" w:tentative="0">
      <w:start w:val="1"/>
      <w:numFmt w:val="lowerLetter"/>
      <w:lvlText w:val="%5)"/>
      <w:lvlJc w:val="left"/>
      <w:pPr>
        <w:tabs>
          <w:tab w:val="left" w:pos="0"/>
        </w:tabs>
        <w:ind w:left="2100" w:hanging="420"/>
      </w:pPr>
      <w:rPr>
        <w:rFonts w:hint="eastAsia"/>
      </w:rPr>
    </w:lvl>
    <w:lvl w:ilvl="5" w:tentative="0">
      <w:start w:val="1"/>
      <w:numFmt w:val="lowerRoman"/>
      <w:lvlText w:val="%6."/>
      <w:lvlJc w:val="right"/>
      <w:pPr>
        <w:tabs>
          <w:tab w:val="left" w:pos="0"/>
        </w:tabs>
        <w:ind w:left="2520" w:hanging="420"/>
      </w:pPr>
      <w:rPr>
        <w:rFonts w:hint="eastAsia"/>
      </w:rPr>
    </w:lvl>
    <w:lvl w:ilvl="6" w:tentative="0">
      <w:start w:val="1"/>
      <w:numFmt w:val="decimal"/>
      <w:lvlText w:val="%7."/>
      <w:lvlJc w:val="left"/>
      <w:pPr>
        <w:tabs>
          <w:tab w:val="left" w:pos="0"/>
        </w:tabs>
        <w:ind w:left="2940" w:hanging="420"/>
      </w:pPr>
      <w:rPr>
        <w:rFonts w:hint="eastAsia"/>
      </w:rPr>
    </w:lvl>
    <w:lvl w:ilvl="7" w:tentative="0">
      <w:start w:val="1"/>
      <w:numFmt w:val="lowerLetter"/>
      <w:lvlText w:val="%8)"/>
      <w:lvlJc w:val="left"/>
      <w:pPr>
        <w:tabs>
          <w:tab w:val="left" w:pos="0"/>
        </w:tabs>
        <w:ind w:left="3360" w:hanging="420"/>
      </w:pPr>
      <w:rPr>
        <w:rFonts w:hint="eastAsia"/>
      </w:rPr>
    </w:lvl>
    <w:lvl w:ilvl="8" w:tentative="0">
      <w:start w:val="1"/>
      <w:numFmt w:val="lowerRoman"/>
      <w:lvlText w:val="%9."/>
      <w:lvlJc w:val="right"/>
      <w:pPr>
        <w:tabs>
          <w:tab w:val="left" w:pos="0"/>
        </w:tabs>
        <w:ind w:left="3780" w:hanging="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HorizontalSpacing w:val="1"/>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DA8"/>
    <w:rsid w:val="00004EB4"/>
    <w:rsid w:val="00005B8D"/>
    <w:rsid w:val="00006DFF"/>
    <w:rsid w:val="00007922"/>
    <w:rsid w:val="00010092"/>
    <w:rsid w:val="00010513"/>
    <w:rsid w:val="00012D3F"/>
    <w:rsid w:val="00014EEC"/>
    <w:rsid w:val="00017F2D"/>
    <w:rsid w:val="00020359"/>
    <w:rsid w:val="00020EFF"/>
    <w:rsid w:val="00020FB4"/>
    <w:rsid w:val="000211AC"/>
    <w:rsid w:val="00022FA6"/>
    <w:rsid w:val="000244FE"/>
    <w:rsid w:val="0002539D"/>
    <w:rsid w:val="00025763"/>
    <w:rsid w:val="00025D70"/>
    <w:rsid w:val="00026B2F"/>
    <w:rsid w:val="00026F26"/>
    <w:rsid w:val="00035D91"/>
    <w:rsid w:val="00036520"/>
    <w:rsid w:val="0003723B"/>
    <w:rsid w:val="00037494"/>
    <w:rsid w:val="0003778A"/>
    <w:rsid w:val="000379C9"/>
    <w:rsid w:val="000419CA"/>
    <w:rsid w:val="00042107"/>
    <w:rsid w:val="0004468F"/>
    <w:rsid w:val="00045C1C"/>
    <w:rsid w:val="00046808"/>
    <w:rsid w:val="00047434"/>
    <w:rsid w:val="0004795F"/>
    <w:rsid w:val="000500E7"/>
    <w:rsid w:val="00050A62"/>
    <w:rsid w:val="00051C50"/>
    <w:rsid w:val="00051F20"/>
    <w:rsid w:val="00053DCB"/>
    <w:rsid w:val="000569A2"/>
    <w:rsid w:val="00056D63"/>
    <w:rsid w:val="0005759C"/>
    <w:rsid w:val="00057E74"/>
    <w:rsid w:val="000630BA"/>
    <w:rsid w:val="00063C06"/>
    <w:rsid w:val="00064446"/>
    <w:rsid w:val="00064A97"/>
    <w:rsid w:val="000655C3"/>
    <w:rsid w:val="000661DB"/>
    <w:rsid w:val="000662F5"/>
    <w:rsid w:val="00066522"/>
    <w:rsid w:val="0006704E"/>
    <w:rsid w:val="0006767F"/>
    <w:rsid w:val="00070221"/>
    <w:rsid w:val="00071B1E"/>
    <w:rsid w:val="00073425"/>
    <w:rsid w:val="00073D30"/>
    <w:rsid w:val="00074A79"/>
    <w:rsid w:val="000768BD"/>
    <w:rsid w:val="00080601"/>
    <w:rsid w:val="000813FD"/>
    <w:rsid w:val="00084084"/>
    <w:rsid w:val="000843DD"/>
    <w:rsid w:val="00087535"/>
    <w:rsid w:val="00087D17"/>
    <w:rsid w:val="000914DA"/>
    <w:rsid w:val="00092EC1"/>
    <w:rsid w:val="00093575"/>
    <w:rsid w:val="00094C78"/>
    <w:rsid w:val="00095E01"/>
    <w:rsid w:val="000A1D20"/>
    <w:rsid w:val="000A233D"/>
    <w:rsid w:val="000A233E"/>
    <w:rsid w:val="000A584A"/>
    <w:rsid w:val="000A621A"/>
    <w:rsid w:val="000B1062"/>
    <w:rsid w:val="000B1C06"/>
    <w:rsid w:val="000B2A35"/>
    <w:rsid w:val="000B2B2C"/>
    <w:rsid w:val="000B6D29"/>
    <w:rsid w:val="000B7584"/>
    <w:rsid w:val="000B7FB9"/>
    <w:rsid w:val="000C0AFA"/>
    <w:rsid w:val="000C1933"/>
    <w:rsid w:val="000C2779"/>
    <w:rsid w:val="000C311D"/>
    <w:rsid w:val="000C493D"/>
    <w:rsid w:val="000C5014"/>
    <w:rsid w:val="000C5B63"/>
    <w:rsid w:val="000C66D4"/>
    <w:rsid w:val="000C76CF"/>
    <w:rsid w:val="000D3D1B"/>
    <w:rsid w:val="000D66EB"/>
    <w:rsid w:val="000E20AF"/>
    <w:rsid w:val="000E239F"/>
    <w:rsid w:val="000E350C"/>
    <w:rsid w:val="000E463B"/>
    <w:rsid w:val="000E62B1"/>
    <w:rsid w:val="000E7A8C"/>
    <w:rsid w:val="000F0ADD"/>
    <w:rsid w:val="000F182B"/>
    <w:rsid w:val="000F3606"/>
    <w:rsid w:val="000F3E19"/>
    <w:rsid w:val="000F547D"/>
    <w:rsid w:val="00100097"/>
    <w:rsid w:val="00100BD5"/>
    <w:rsid w:val="0010397C"/>
    <w:rsid w:val="001044E9"/>
    <w:rsid w:val="001065E6"/>
    <w:rsid w:val="00107D09"/>
    <w:rsid w:val="00111A73"/>
    <w:rsid w:val="00112A1C"/>
    <w:rsid w:val="001138BF"/>
    <w:rsid w:val="00114407"/>
    <w:rsid w:val="001148E0"/>
    <w:rsid w:val="00114C4A"/>
    <w:rsid w:val="00114E0F"/>
    <w:rsid w:val="001174BE"/>
    <w:rsid w:val="001177E9"/>
    <w:rsid w:val="00117D82"/>
    <w:rsid w:val="00121016"/>
    <w:rsid w:val="001216CE"/>
    <w:rsid w:val="00122239"/>
    <w:rsid w:val="001226C8"/>
    <w:rsid w:val="00122E85"/>
    <w:rsid w:val="0012506E"/>
    <w:rsid w:val="00125351"/>
    <w:rsid w:val="001255E9"/>
    <w:rsid w:val="001303A5"/>
    <w:rsid w:val="00131D59"/>
    <w:rsid w:val="00133AA9"/>
    <w:rsid w:val="00134908"/>
    <w:rsid w:val="00134A3B"/>
    <w:rsid w:val="00136D11"/>
    <w:rsid w:val="001409D6"/>
    <w:rsid w:val="001417A5"/>
    <w:rsid w:val="00143AF3"/>
    <w:rsid w:val="00145A14"/>
    <w:rsid w:val="00145BA3"/>
    <w:rsid w:val="001466CA"/>
    <w:rsid w:val="00147D58"/>
    <w:rsid w:val="001520B8"/>
    <w:rsid w:val="001556F2"/>
    <w:rsid w:val="00155F65"/>
    <w:rsid w:val="00157EB3"/>
    <w:rsid w:val="00157EB5"/>
    <w:rsid w:val="00161124"/>
    <w:rsid w:val="00162E03"/>
    <w:rsid w:val="00163523"/>
    <w:rsid w:val="00163942"/>
    <w:rsid w:val="00163BD1"/>
    <w:rsid w:val="00164E6F"/>
    <w:rsid w:val="00166592"/>
    <w:rsid w:val="00166A71"/>
    <w:rsid w:val="0017064D"/>
    <w:rsid w:val="00172A27"/>
    <w:rsid w:val="001756B2"/>
    <w:rsid w:val="00175DFC"/>
    <w:rsid w:val="00181184"/>
    <w:rsid w:val="001817F5"/>
    <w:rsid w:val="00182D5A"/>
    <w:rsid w:val="001841E0"/>
    <w:rsid w:val="001845AE"/>
    <w:rsid w:val="00185ECD"/>
    <w:rsid w:val="00186604"/>
    <w:rsid w:val="00186E59"/>
    <w:rsid w:val="00187776"/>
    <w:rsid w:val="00187B29"/>
    <w:rsid w:val="001900DE"/>
    <w:rsid w:val="001914CD"/>
    <w:rsid w:val="00191A16"/>
    <w:rsid w:val="00191DBF"/>
    <w:rsid w:val="00193CF0"/>
    <w:rsid w:val="0019418C"/>
    <w:rsid w:val="001943B7"/>
    <w:rsid w:val="0019444C"/>
    <w:rsid w:val="00194E38"/>
    <w:rsid w:val="00196F36"/>
    <w:rsid w:val="00197515"/>
    <w:rsid w:val="001A10C1"/>
    <w:rsid w:val="001A1CC6"/>
    <w:rsid w:val="001A2640"/>
    <w:rsid w:val="001A2972"/>
    <w:rsid w:val="001A345E"/>
    <w:rsid w:val="001A490C"/>
    <w:rsid w:val="001A4ADC"/>
    <w:rsid w:val="001A58A2"/>
    <w:rsid w:val="001A5F81"/>
    <w:rsid w:val="001A7BA4"/>
    <w:rsid w:val="001B006F"/>
    <w:rsid w:val="001B3B8F"/>
    <w:rsid w:val="001B4224"/>
    <w:rsid w:val="001B52A5"/>
    <w:rsid w:val="001B5B4B"/>
    <w:rsid w:val="001B603A"/>
    <w:rsid w:val="001C1CB4"/>
    <w:rsid w:val="001C2EAF"/>
    <w:rsid w:val="001C3D6C"/>
    <w:rsid w:val="001C5686"/>
    <w:rsid w:val="001C597D"/>
    <w:rsid w:val="001C681C"/>
    <w:rsid w:val="001C705F"/>
    <w:rsid w:val="001D1614"/>
    <w:rsid w:val="001D1845"/>
    <w:rsid w:val="001D2C9E"/>
    <w:rsid w:val="001D5C5B"/>
    <w:rsid w:val="001D7ADB"/>
    <w:rsid w:val="001E1EC5"/>
    <w:rsid w:val="001E52AC"/>
    <w:rsid w:val="001E55E4"/>
    <w:rsid w:val="001F02DA"/>
    <w:rsid w:val="001F0EB0"/>
    <w:rsid w:val="001F185F"/>
    <w:rsid w:val="001F294C"/>
    <w:rsid w:val="001F2A48"/>
    <w:rsid w:val="001F2D3E"/>
    <w:rsid w:val="001F3BCC"/>
    <w:rsid w:val="001F4862"/>
    <w:rsid w:val="001F6B4A"/>
    <w:rsid w:val="00200431"/>
    <w:rsid w:val="00201A34"/>
    <w:rsid w:val="00202AEC"/>
    <w:rsid w:val="00202CD3"/>
    <w:rsid w:val="002035E5"/>
    <w:rsid w:val="00204A5E"/>
    <w:rsid w:val="00205FAF"/>
    <w:rsid w:val="002105C3"/>
    <w:rsid w:val="00212B61"/>
    <w:rsid w:val="002132C4"/>
    <w:rsid w:val="00214C3F"/>
    <w:rsid w:val="002152CF"/>
    <w:rsid w:val="002158B8"/>
    <w:rsid w:val="00216A0D"/>
    <w:rsid w:val="0022049E"/>
    <w:rsid w:val="00220624"/>
    <w:rsid w:val="00225529"/>
    <w:rsid w:val="0022660E"/>
    <w:rsid w:val="00227BB3"/>
    <w:rsid w:val="00230FB4"/>
    <w:rsid w:val="00231B59"/>
    <w:rsid w:val="00232652"/>
    <w:rsid w:val="00232D64"/>
    <w:rsid w:val="00233845"/>
    <w:rsid w:val="00233AC8"/>
    <w:rsid w:val="00234C80"/>
    <w:rsid w:val="002366A4"/>
    <w:rsid w:val="0024096B"/>
    <w:rsid w:val="00243A7D"/>
    <w:rsid w:val="002457F0"/>
    <w:rsid w:val="002459C3"/>
    <w:rsid w:val="00247466"/>
    <w:rsid w:val="00247B63"/>
    <w:rsid w:val="0025074E"/>
    <w:rsid w:val="00250E8A"/>
    <w:rsid w:val="002529A6"/>
    <w:rsid w:val="0025404F"/>
    <w:rsid w:val="00254063"/>
    <w:rsid w:val="0025435C"/>
    <w:rsid w:val="00260664"/>
    <w:rsid w:val="0026072F"/>
    <w:rsid w:val="002617F4"/>
    <w:rsid w:val="00262FFA"/>
    <w:rsid w:val="002643D1"/>
    <w:rsid w:val="002658F8"/>
    <w:rsid w:val="00266F8C"/>
    <w:rsid w:val="00271A46"/>
    <w:rsid w:val="00271C1E"/>
    <w:rsid w:val="002754FE"/>
    <w:rsid w:val="0027639B"/>
    <w:rsid w:val="00281651"/>
    <w:rsid w:val="002818D7"/>
    <w:rsid w:val="0028503E"/>
    <w:rsid w:val="0028738B"/>
    <w:rsid w:val="00291823"/>
    <w:rsid w:val="00291C34"/>
    <w:rsid w:val="0029219A"/>
    <w:rsid w:val="002937DB"/>
    <w:rsid w:val="00295D9E"/>
    <w:rsid w:val="00296378"/>
    <w:rsid w:val="002A0308"/>
    <w:rsid w:val="002A3EE5"/>
    <w:rsid w:val="002A5404"/>
    <w:rsid w:val="002A5627"/>
    <w:rsid w:val="002A703D"/>
    <w:rsid w:val="002A7C89"/>
    <w:rsid w:val="002A7D08"/>
    <w:rsid w:val="002B000B"/>
    <w:rsid w:val="002B1563"/>
    <w:rsid w:val="002B24DA"/>
    <w:rsid w:val="002B7B93"/>
    <w:rsid w:val="002C2A89"/>
    <w:rsid w:val="002C3AFF"/>
    <w:rsid w:val="002C3EC8"/>
    <w:rsid w:val="002C4310"/>
    <w:rsid w:val="002C4D69"/>
    <w:rsid w:val="002C680D"/>
    <w:rsid w:val="002C718E"/>
    <w:rsid w:val="002D2BBC"/>
    <w:rsid w:val="002D2F55"/>
    <w:rsid w:val="002D3683"/>
    <w:rsid w:val="002D5DE0"/>
    <w:rsid w:val="002D6F59"/>
    <w:rsid w:val="002E10B3"/>
    <w:rsid w:val="002E186A"/>
    <w:rsid w:val="002E3CBE"/>
    <w:rsid w:val="002E55CD"/>
    <w:rsid w:val="002E6BF9"/>
    <w:rsid w:val="002E6F6A"/>
    <w:rsid w:val="002F0BDB"/>
    <w:rsid w:val="002F3539"/>
    <w:rsid w:val="002F7157"/>
    <w:rsid w:val="003008E6"/>
    <w:rsid w:val="00301C29"/>
    <w:rsid w:val="0030487E"/>
    <w:rsid w:val="0030506E"/>
    <w:rsid w:val="0030588E"/>
    <w:rsid w:val="00305DD1"/>
    <w:rsid w:val="00307CB2"/>
    <w:rsid w:val="0031410D"/>
    <w:rsid w:val="003141AD"/>
    <w:rsid w:val="003175AA"/>
    <w:rsid w:val="00322903"/>
    <w:rsid w:val="00322A37"/>
    <w:rsid w:val="003233FE"/>
    <w:rsid w:val="00325CB2"/>
    <w:rsid w:val="003302EF"/>
    <w:rsid w:val="00330337"/>
    <w:rsid w:val="00330EC2"/>
    <w:rsid w:val="0033160B"/>
    <w:rsid w:val="003317DE"/>
    <w:rsid w:val="00333F8C"/>
    <w:rsid w:val="00334868"/>
    <w:rsid w:val="00335FD2"/>
    <w:rsid w:val="00335FD5"/>
    <w:rsid w:val="0033766F"/>
    <w:rsid w:val="003412B4"/>
    <w:rsid w:val="003439FA"/>
    <w:rsid w:val="0034470E"/>
    <w:rsid w:val="00347F54"/>
    <w:rsid w:val="00351D87"/>
    <w:rsid w:val="0035289C"/>
    <w:rsid w:val="00353FC5"/>
    <w:rsid w:val="00354A34"/>
    <w:rsid w:val="003550B2"/>
    <w:rsid w:val="0035514C"/>
    <w:rsid w:val="00355517"/>
    <w:rsid w:val="003558B5"/>
    <w:rsid w:val="00355B3A"/>
    <w:rsid w:val="00355E7D"/>
    <w:rsid w:val="0035789C"/>
    <w:rsid w:val="00357F22"/>
    <w:rsid w:val="003600E3"/>
    <w:rsid w:val="00360226"/>
    <w:rsid w:val="003604BA"/>
    <w:rsid w:val="0036120B"/>
    <w:rsid w:val="00361A05"/>
    <w:rsid w:val="00362B0D"/>
    <w:rsid w:val="00363442"/>
    <w:rsid w:val="003643BB"/>
    <w:rsid w:val="00365244"/>
    <w:rsid w:val="003667D1"/>
    <w:rsid w:val="003669E9"/>
    <w:rsid w:val="00367C08"/>
    <w:rsid w:val="00370EEC"/>
    <w:rsid w:val="00373DB1"/>
    <w:rsid w:val="00382022"/>
    <w:rsid w:val="003825A8"/>
    <w:rsid w:val="0038269A"/>
    <w:rsid w:val="0038284B"/>
    <w:rsid w:val="00383249"/>
    <w:rsid w:val="00384D5B"/>
    <w:rsid w:val="00384D77"/>
    <w:rsid w:val="00387579"/>
    <w:rsid w:val="003875AD"/>
    <w:rsid w:val="003914D3"/>
    <w:rsid w:val="00391D36"/>
    <w:rsid w:val="00391D40"/>
    <w:rsid w:val="00392712"/>
    <w:rsid w:val="00393BBE"/>
    <w:rsid w:val="003941D0"/>
    <w:rsid w:val="00394519"/>
    <w:rsid w:val="0039730E"/>
    <w:rsid w:val="003A026B"/>
    <w:rsid w:val="003A0C97"/>
    <w:rsid w:val="003A1226"/>
    <w:rsid w:val="003A13D1"/>
    <w:rsid w:val="003A413E"/>
    <w:rsid w:val="003A432D"/>
    <w:rsid w:val="003A458F"/>
    <w:rsid w:val="003A464F"/>
    <w:rsid w:val="003B0269"/>
    <w:rsid w:val="003B0887"/>
    <w:rsid w:val="003B0E1B"/>
    <w:rsid w:val="003B0E47"/>
    <w:rsid w:val="003B27F1"/>
    <w:rsid w:val="003B44EC"/>
    <w:rsid w:val="003B5BE1"/>
    <w:rsid w:val="003B6D52"/>
    <w:rsid w:val="003B78E8"/>
    <w:rsid w:val="003B7A4A"/>
    <w:rsid w:val="003C361E"/>
    <w:rsid w:val="003C3D44"/>
    <w:rsid w:val="003C6C12"/>
    <w:rsid w:val="003C7280"/>
    <w:rsid w:val="003C7530"/>
    <w:rsid w:val="003D3885"/>
    <w:rsid w:val="003D4971"/>
    <w:rsid w:val="003D5369"/>
    <w:rsid w:val="003D6070"/>
    <w:rsid w:val="003D6BD1"/>
    <w:rsid w:val="003D6E13"/>
    <w:rsid w:val="003E04C2"/>
    <w:rsid w:val="003E2C6D"/>
    <w:rsid w:val="003E32A2"/>
    <w:rsid w:val="003E3BE0"/>
    <w:rsid w:val="003E468E"/>
    <w:rsid w:val="003F05BE"/>
    <w:rsid w:val="003F1745"/>
    <w:rsid w:val="003F2678"/>
    <w:rsid w:val="003F295F"/>
    <w:rsid w:val="003F3C8A"/>
    <w:rsid w:val="003F500B"/>
    <w:rsid w:val="003F51AD"/>
    <w:rsid w:val="004021C6"/>
    <w:rsid w:val="00403AB3"/>
    <w:rsid w:val="0040590F"/>
    <w:rsid w:val="00406F9A"/>
    <w:rsid w:val="00410365"/>
    <w:rsid w:val="0041110C"/>
    <w:rsid w:val="0041230D"/>
    <w:rsid w:val="00412633"/>
    <w:rsid w:val="00414CD5"/>
    <w:rsid w:val="004156A5"/>
    <w:rsid w:val="00420AED"/>
    <w:rsid w:val="00420B3E"/>
    <w:rsid w:val="00420EAD"/>
    <w:rsid w:val="00422AA6"/>
    <w:rsid w:val="004251E1"/>
    <w:rsid w:val="004260B9"/>
    <w:rsid w:val="00430ACD"/>
    <w:rsid w:val="00430E37"/>
    <w:rsid w:val="00432BE3"/>
    <w:rsid w:val="0043302C"/>
    <w:rsid w:val="0043611E"/>
    <w:rsid w:val="004373A4"/>
    <w:rsid w:val="004403BA"/>
    <w:rsid w:val="00442725"/>
    <w:rsid w:val="0044313A"/>
    <w:rsid w:val="00443BA8"/>
    <w:rsid w:val="004444F7"/>
    <w:rsid w:val="00447028"/>
    <w:rsid w:val="00447093"/>
    <w:rsid w:val="00450AD3"/>
    <w:rsid w:val="004511B1"/>
    <w:rsid w:val="00452D19"/>
    <w:rsid w:val="00453B4C"/>
    <w:rsid w:val="00455EF3"/>
    <w:rsid w:val="00455F4C"/>
    <w:rsid w:val="00460FB3"/>
    <w:rsid w:val="00461EAE"/>
    <w:rsid w:val="004621F2"/>
    <w:rsid w:val="004622AE"/>
    <w:rsid w:val="004636A7"/>
    <w:rsid w:val="00465CA4"/>
    <w:rsid w:val="00466420"/>
    <w:rsid w:val="00467852"/>
    <w:rsid w:val="00467979"/>
    <w:rsid w:val="004713AD"/>
    <w:rsid w:val="00473985"/>
    <w:rsid w:val="0047499E"/>
    <w:rsid w:val="00474F1B"/>
    <w:rsid w:val="00475295"/>
    <w:rsid w:val="00475EA3"/>
    <w:rsid w:val="004768F6"/>
    <w:rsid w:val="004772DD"/>
    <w:rsid w:val="00480C6D"/>
    <w:rsid w:val="00481C6D"/>
    <w:rsid w:val="00482192"/>
    <w:rsid w:val="00482199"/>
    <w:rsid w:val="00485AD1"/>
    <w:rsid w:val="0048731E"/>
    <w:rsid w:val="00487A0F"/>
    <w:rsid w:val="0049185B"/>
    <w:rsid w:val="00492734"/>
    <w:rsid w:val="00494FAC"/>
    <w:rsid w:val="00495A82"/>
    <w:rsid w:val="00495B97"/>
    <w:rsid w:val="004963AE"/>
    <w:rsid w:val="00497DF9"/>
    <w:rsid w:val="004A2BDE"/>
    <w:rsid w:val="004A32BB"/>
    <w:rsid w:val="004A364B"/>
    <w:rsid w:val="004A6434"/>
    <w:rsid w:val="004B0CA4"/>
    <w:rsid w:val="004B1A6C"/>
    <w:rsid w:val="004B2C97"/>
    <w:rsid w:val="004B32F5"/>
    <w:rsid w:val="004B3995"/>
    <w:rsid w:val="004B6D6C"/>
    <w:rsid w:val="004B784A"/>
    <w:rsid w:val="004B7E3D"/>
    <w:rsid w:val="004C0083"/>
    <w:rsid w:val="004C314E"/>
    <w:rsid w:val="004C34AC"/>
    <w:rsid w:val="004C48EE"/>
    <w:rsid w:val="004C4C3B"/>
    <w:rsid w:val="004C5BDA"/>
    <w:rsid w:val="004C6382"/>
    <w:rsid w:val="004D00EB"/>
    <w:rsid w:val="004D11D5"/>
    <w:rsid w:val="004D19C0"/>
    <w:rsid w:val="004D238E"/>
    <w:rsid w:val="004D42F6"/>
    <w:rsid w:val="004D4B57"/>
    <w:rsid w:val="004D4FB2"/>
    <w:rsid w:val="004D6055"/>
    <w:rsid w:val="004D7456"/>
    <w:rsid w:val="004D76A1"/>
    <w:rsid w:val="004E09F9"/>
    <w:rsid w:val="004E1698"/>
    <w:rsid w:val="004E1DB7"/>
    <w:rsid w:val="004E1F59"/>
    <w:rsid w:val="004E2B60"/>
    <w:rsid w:val="004E4842"/>
    <w:rsid w:val="004E4ABA"/>
    <w:rsid w:val="004E5AF7"/>
    <w:rsid w:val="004F149F"/>
    <w:rsid w:val="004F2974"/>
    <w:rsid w:val="004F4BD9"/>
    <w:rsid w:val="00501C66"/>
    <w:rsid w:val="00501F3E"/>
    <w:rsid w:val="0050258E"/>
    <w:rsid w:val="0050362F"/>
    <w:rsid w:val="005052FE"/>
    <w:rsid w:val="00507D5D"/>
    <w:rsid w:val="0051126E"/>
    <w:rsid w:val="00513221"/>
    <w:rsid w:val="005139E9"/>
    <w:rsid w:val="00515CE7"/>
    <w:rsid w:val="00515D4A"/>
    <w:rsid w:val="005209BE"/>
    <w:rsid w:val="00522CE9"/>
    <w:rsid w:val="00522F4B"/>
    <w:rsid w:val="00523068"/>
    <w:rsid w:val="00530D79"/>
    <w:rsid w:val="005328A6"/>
    <w:rsid w:val="00534466"/>
    <w:rsid w:val="005348F8"/>
    <w:rsid w:val="005351F6"/>
    <w:rsid w:val="00540762"/>
    <w:rsid w:val="00541A9F"/>
    <w:rsid w:val="00544926"/>
    <w:rsid w:val="00546CE5"/>
    <w:rsid w:val="00546D5B"/>
    <w:rsid w:val="005517EF"/>
    <w:rsid w:val="00554B89"/>
    <w:rsid w:val="005561EB"/>
    <w:rsid w:val="00556423"/>
    <w:rsid w:val="0055750D"/>
    <w:rsid w:val="00560F48"/>
    <w:rsid w:val="0056108C"/>
    <w:rsid w:val="005632A5"/>
    <w:rsid w:val="00564747"/>
    <w:rsid w:val="005658E0"/>
    <w:rsid w:val="00567CE0"/>
    <w:rsid w:val="00570CF7"/>
    <w:rsid w:val="00572815"/>
    <w:rsid w:val="00574CB9"/>
    <w:rsid w:val="005822C0"/>
    <w:rsid w:val="00583342"/>
    <w:rsid w:val="005839DD"/>
    <w:rsid w:val="00584D36"/>
    <w:rsid w:val="0058515D"/>
    <w:rsid w:val="00587118"/>
    <w:rsid w:val="00587136"/>
    <w:rsid w:val="00587D46"/>
    <w:rsid w:val="0059234C"/>
    <w:rsid w:val="005932A1"/>
    <w:rsid w:val="00595737"/>
    <w:rsid w:val="00596219"/>
    <w:rsid w:val="0059712F"/>
    <w:rsid w:val="005A101E"/>
    <w:rsid w:val="005A22CD"/>
    <w:rsid w:val="005A2684"/>
    <w:rsid w:val="005A3104"/>
    <w:rsid w:val="005A48DB"/>
    <w:rsid w:val="005B25C8"/>
    <w:rsid w:val="005B3677"/>
    <w:rsid w:val="005B3E98"/>
    <w:rsid w:val="005B57EB"/>
    <w:rsid w:val="005B5D28"/>
    <w:rsid w:val="005B6A9A"/>
    <w:rsid w:val="005C43D7"/>
    <w:rsid w:val="005C512C"/>
    <w:rsid w:val="005C5AB0"/>
    <w:rsid w:val="005C6F8E"/>
    <w:rsid w:val="005C7D47"/>
    <w:rsid w:val="005D0CA5"/>
    <w:rsid w:val="005D25B4"/>
    <w:rsid w:val="005D3507"/>
    <w:rsid w:val="005D3D4F"/>
    <w:rsid w:val="005D6C0A"/>
    <w:rsid w:val="005D7EDF"/>
    <w:rsid w:val="005E0A1C"/>
    <w:rsid w:val="005E161C"/>
    <w:rsid w:val="005E16D6"/>
    <w:rsid w:val="005E34D0"/>
    <w:rsid w:val="005E4670"/>
    <w:rsid w:val="005E4AC3"/>
    <w:rsid w:val="005E5351"/>
    <w:rsid w:val="005E6649"/>
    <w:rsid w:val="005E7B55"/>
    <w:rsid w:val="005F05DF"/>
    <w:rsid w:val="005F063E"/>
    <w:rsid w:val="005F2D14"/>
    <w:rsid w:val="005F3799"/>
    <w:rsid w:val="005F517D"/>
    <w:rsid w:val="005F57A6"/>
    <w:rsid w:val="005F7C6C"/>
    <w:rsid w:val="00600574"/>
    <w:rsid w:val="00602C3A"/>
    <w:rsid w:val="00603274"/>
    <w:rsid w:val="006041E6"/>
    <w:rsid w:val="0060484E"/>
    <w:rsid w:val="00607511"/>
    <w:rsid w:val="006079B4"/>
    <w:rsid w:val="00610EF9"/>
    <w:rsid w:val="00611336"/>
    <w:rsid w:val="00612B52"/>
    <w:rsid w:val="006144A1"/>
    <w:rsid w:val="00616B5D"/>
    <w:rsid w:val="0062156A"/>
    <w:rsid w:val="006234DB"/>
    <w:rsid w:val="00631EA8"/>
    <w:rsid w:val="00632941"/>
    <w:rsid w:val="00633165"/>
    <w:rsid w:val="006415C3"/>
    <w:rsid w:val="00641A56"/>
    <w:rsid w:val="00642D40"/>
    <w:rsid w:val="006445A1"/>
    <w:rsid w:val="00645B6E"/>
    <w:rsid w:val="006465DB"/>
    <w:rsid w:val="00652796"/>
    <w:rsid w:val="00652CF4"/>
    <w:rsid w:val="006542D3"/>
    <w:rsid w:val="00655038"/>
    <w:rsid w:val="00662342"/>
    <w:rsid w:val="00663496"/>
    <w:rsid w:val="006642AF"/>
    <w:rsid w:val="00672CD0"/>
    <w:rsid w:val="00673045"/>
    <w:rsid w:val="00673AA6"/>
    <w:rsid w:val="00674F0A"/>
    <w:rsid w:val="00680118"/>
    <w:rsid w:val="00683A07"/>
    <w:rsid w:val="00684A36"/>
    <w:rsid w:val="00686554"/>
    <w:rsid w:val="00686AFC"/>
    <w:rsid w:val="00691969"/>
    <w:rsid w:val="006929CF"/>
    <w:rsid w:val="00694FCD"/>
    <w:rsid w:val="006967C6"/>
    <w:rsid w:val="006A0D26"/>
    <w:rsid w:val="006A1CD1"/>
    <w:rsid w:val="006A4B65"/>
    <w:rsid w:val="006B0A69"/>
    <w:rsid w:val="006B14F8"/>
    <w:rsid w:val="006B40ED"/>
    <w:rsid w:val="006B4D15"/>
    <w:rsid w:val="006B5652"/>
    <w:rsid w:val="006B6C7D"/>
    <w:rsid w:val="006B7BE4"/>
    <w:rsid w:val="006C05A7"/>
    <w:rsid w:val="006C31F7"/>
    <w:rsid w:val="006C48B6"/>
    <w:rsid w:val="006C6E98"/>
    <w:rsid w:val="006D547F"/>
    <w:rsid w:val="006D5B44"/>
    <w:rsid w:val="006D6E5C"/>
    <w:rsid w:val="006E0BAA"/>
    <w:rsid w:val="006E1D7A"/>
    <w:rsid w:val="006E247A"/>
    <w:rsid w:val="006E3B0E"/>
    <w:rsid w:val="006E6468"/>
    <w:rsid w:val="006F0478"/>
    <w:rsid w:val="006F232B"/>
    <w:rsid w:val="006F4042"/>
    <w:rsid w:val="006F4401"/>
    <w:rsid w:val="006F4713"/>
    <w:rsid w:val="006F4EAF"/>
    <w:rsid w:val="006F6FC1"/>
    <w:rsid w:val="006F7B1D"/>
    <w:rsid w:val="00700E93"/>
    <w:rsid w:val="0070299F"/>
    <w:rsid w:val="00702E13"/>
    <w:rsid w:val="00704263"/>
    <w:rsid w:val="00705B28"/>
    <w:rsid w:val="00711777"/>
    <w:rsid w:val="00711BB8"/>
    <w:rsid w:val="00713E1B"/>
    <w:rsid w:val="00714148"/>
    <w:rsid w:val="00714A33"/>
    <w:rsid w:val="00715F04"/>
    <w:rsid w:val="00720A28"/>
    <w:rsid w:val="00724320"/>
    <w:rsid w:val="007252D1"/>
    <w:rsid w:val="00725ACD"/>
    <w:rsid w:val="00727992"/>
    <w:rsid w:val="007309D6"/>
    <w:rsid w:val="007310F7"/>
    <w:rsid w:val="00731E90"/>
    <w:rsid w:val="0073204F"/>
    <w:rsid w:val="00732B81"/>
    <w:rsid w:val="0073380D"/>
    <w:rsid w:val="007340A5"/>
    <w:rsid w:val="00735AAF"/>
    <w:rsid w:val="00736559"/>
    <w:rsid w:val="00736EC6"/>
    <w:rsid w:val="007375A8"/>
    <w:rsid w:val="00737797"/>
    <w:rsid w:val="007418B4"/>
    <w:rsid w:val="00743F5D"/>
    <w:rsid w:val="007456C0"/>
    <w:rsid w:val="0074628C"/>
    <w:rsid w:val="00746B7F"/>
    <w:rsid w:val="00747610"/>
    <w:rsid w:val="00750F3B"/>
    <w:rsid w:val="00753337"/>
    <w:rsid w:val="007567FB"/>
    <w:rsid w:val="007619B3"/>
    <w:rsid w:val="007619C0"/>
    <w:rsid w:val="007633C2"/>
    <w:rsid w:val="00764FD6"/>
    <w:rsid w:val="0076553A"/>
    <w:rsid w:val="00771550"/>
    <w:rsid w:val="00771847"/>
    <w:rsid w:val="00772E9D"/>
    <w:rsid w:val="00772EBC"/>
    <w:rsid w:val="007765F8"/>
    <w:rsid w:val="00780933"/>
    <w:rsid w:val="007817DC"/>
    <w:rsid w:val="00782673"/>
    <w:rsid w:val="00782E3B"/>
    <w:rsid w:val="00783449"/>
    <w:rsid w:val="00786389"/>
    <w:rsid w:val="007864B4"/>
    <w:rsid w:val="007867E4"/>
    <w:rsid w:val="00787CFE"/>
    <w:rsid w:val="0079283B"/>
    <w:rsid w:val="0079342F"/>
    <w:rsid w:val="00793FC4"/>
    <w:rsid w:val="00794BF9"/>
    <w:rsid w:val="00794C67"/>
    <w:rsid w:val="00796371"/>
    <w:rsid w:val="00796AE5"/>
    <w:rsid w:val="0079717C"/>
    <w:rsid w:val="0079783B"/>
    <w:rsid w:val="007A0ED9"/>
    <w:rsid w:val="007A2540"/>
    <w:rsid w:val="007A26DE"/>
    <w:rsid w:val="007A3F90"/>
    <w:rsid w:val="007A576D"/>
    <w:rsid w:val="007A642D"/>
    <w:rsid w:val="007A773C"/>
    <w:rsid w:val="007B05F2"/>
    <w:rsid w:val="007B21C3"/>
    <w:rsid w:val="007C0832"/>
    <w:rsid w:val="007C085B"/>
    <w:rsid w:val="007C0E06"/>
    <w:rsid w:val="007C1C6A"/>
    <w:rsid w:val="007C1D0A"/>
    <w:rsid w:val="007C2F2F"/>
    <w:rsid w:val="007C3E16"/>
    <w:rsid w:val="007C7A94"/>
    <w:rsid w:val="007D01F5"/>
    <w:rsid w:val="007D1C86"/>
    <w:rsid w:val="007D53C5"/>
    <w:rsid w:val="007D5CA9"/>
    <w:rsid w:val="007D66F0"/>
    <w:rsid w:val="007E1F11"/>
    <w:rsid w:val="007E314E"/>
    <w:rsid w:val="007E4014"/>
    <w:rsid w:val="007E41CB"/>
    <w:rsid w:val="007E6BC7"/>
    <w:rsid w:val="007F08AE"/>
    <w:rsid w:val="007F0BBA"/>
    <w:rsid w:val="007F20E0"/>
    <w:rsid w:val="007F2318"/>
    <w:rsid w:val="007F31C5"/>
    <w:rsid w:val="007F4C4A"/>
    <w:rsid w:val="00800BFC"/>
    <w:rsid w:val="0080169E"/>
    <w:rsid w:val="008019BC"/>
    <w:rsid w:val="00802A46"/>
    <w:rsid w:val="008049AE"/>
    <w:rsid w:val="0081011F"/>
    <w:rsid w:val="00811058"/>
    <w:rsid w:val="0081232B"/>
    <w:rsid w:val="00812D12"/>
    <w:rsid w:val="0081586A"/>
    <w:rsid w:val="00816FB9"/>
    <w:rsid w:val="00817600"/>
    <w:rsid w:val="0081786F"/>
    <w:rsid w:val="00821170"/>
    <w:rsid w:val="00821CB9"/>
    <w:rsid w:val="00822D15"/>
    <w:rsid w:val="00824E62"/>
    <w:rsid w:val="008272EB"/>
    <w:rsid w:val="00827678"/>
    <w:rsid w:val="00827816"/>
    <w:rsid w:val="0083039D"/>
    <w:rsid w:val="00830878"/>
    <w:rsid w:val="00830A5C"/>
    <w:rsid w:val="00830BB1"/>
    <w:rsid w:val="00830D9D"/>
    <w:rsid w:val="00831742"/>
    <w:rsid w:val="00833D19"/>
    <w:rsid w:val="0083513A"/>
    <w:rsid w:val="00835765"/>
    <w:rsid w:val="008406AB"/>
    <w:rsid w:val="00840B43"/>
    <w:rsid w:val="00841B7F"/>
    <w:rsid w:val="0084212A"/>
    <w:rsid w:val="008443BF"/>
    <w:rsid w:val="00845E9D"/>
    <w:rsid w:val="008477C1"/>
    <w:rsid w:val="00847BBE"/>
    <w:rsid w:val="00847DAB"/>
    <w:rsid w:val="00850DE2"/>
    <w:rsid w:val="00850DF8"/>
    <w:rsid w:val="00851795"/>
    <w:rsid w:val="008528A6"/>
    <w:rsid w:val="0085346D"/>
    <w:rsid w:val="00853A2B"/>
    <w:rsid w:val="0085714C"/>
    <w:rsid w:val="0086091A"/>
    <w:rsid w:val="008635E5"/>
    <w:rsid w:val="00863EFF"/>
    <w:rsid w:val="00866047"/>
    <w:rsid w:val="00870208"/>
    <w:rsid w:val="00873B4C"/>
    <w:rsid w:val="00874531"/>
    <w:rsid w:val="0087476D"/>
    <w:rsid w:val="008751E5"/>
    <w:rsid w:val="00875AE1"/>
    <w:rsid w:val="0088295F"/>
    <w:rsid w:val="00885098"/>
    <w:rsid w:val="00886EC4"/>
    <w:rsid w:val="008871C8"/>
    <w:rsid w:val="008874DF"/>
    <w:rsid w:val="00891DEC"/>
    <w:rsid w:val="0089395D"/>
    <w:rsid w:val="008960B4"/>
    <w:rsid w:val="008A0694"/>
    <w:rsid w:val="008A1CD1"/>
    <w:rsid w:val="008A2AD4"/>
    <w:rsid w:val="008A583F"/>
    <w:rsid w:val="008A6051"/>
    <w:rsid w:val="008A6E9F"/>
    <w:rsid w:val="008A7BCD"/>
    <w:rsid w:val="008B07BC"/>
    <w:rsid w:val="008B18D2"/>
    <w:rsid w:val="008B68C0"/>
    <w:rsid w:val="008C1C28"/>
    <w:rsid w:val="008C32A1"/>
    <w:rsid w:val="008C3AAC"/>
    <w:rsid w:val="008C4703"/>
    <w:rsid w:val="008C5FD5"/>
    <w:rsid w:val="008D0761"/>
    <w:rsid w:val="008D2047"/>
    <w:rsid w:val="008D4458"/>
    <w:rsid w:val="008D5698"/>
    <w:rsid w:val="008D7ED1"/>
    <w:rsid w:val="008E0116"/>
    <w:rsid w:val="008E220C"/>
    <w:rsid w:val="008E411B"/>
    <w:rsid w:val="008E4CC1"/>
    <w:rsid w:val="008E5BA0"/>
    <w:rsid w:val="008E6E11"/>
    <w:rsid w:val="008F2DA9"/>
    <w:rsid w:val="008F547D"/>
    <w:rsid w:val="008F679F"/>
    <w:rsid w:val="008F74B8"/>
    <w:rsid w:val="008F7E0D"/>
    <w:rsid w:val="0090204E"/>
    <w:rsid w:val="00902D88"/>
    <w:rsid w:val="009051C4"/>
    <w:rsid w:val="00913758"/>
    <w:rsid w:val="009137CE"/>
    <w:rsid w:val="00920B77"/>
    <w:rsid w:val="009220DC"/>
    <w:rsid w:val="00923F2B"/>
    <w:rsid w:val="00923F2C"/>
    <w:rsid w:val="00925F16"/>
    <w:rsid w:val="00927426"/>
    <w:rsid w:val="00927CF3"/>
    <w:rsid w:val="00933B90"/>
    <w:rsid w:val="0093546F"/>
    <w:rsid w:val="00937641"/>
    <w:rsid w:val="009419E4"/>
    <w:rsid w:val="009420FD"/>
    <w:rsid w:val="00943308"/>
    <w:rsid w:val="00943502"/>
    <w:rsid w:val="0094511C"/>
    <w:rsid w:val="00945FD9"/>
    <w:rsid w:val="009462D7"/>
    <w:rsid w:val="009522AA"/>
    <w:rsid w:val="00952396"/>
    <w:rsid w:val="00955913"/>
    <w:rsid w:val="00955B02"/>
    <w:rsid w:val="00956D38"/>
    <w:rsid w:val="00957C77"/>
    <w:rsid w:val="00957FB2"/>
    <w:rsid w:val="009605EC"/>
    <w:rsid w:val="00960ECA"/>
    <w:rsid w:val="009667E7"/>
    <w:rsid w:val="0096695C"/>
    <w:rsid w:val="00967565"/>
    <w:rsid w:val="00970EA2"/>
    <w:rsid w:val="00970FC7"/>
    <w:rsid w:val="00972898"/>
    <w:rsid w:val="00974128"/>
    <w:rsid w:val="00975236"/>
    <w:rsid w:val="00976532"/>
    <w:rsid w:val="0098353D"/>
    <w:rsid w:val="00983621"/>
    <w:rsid w:val="00983E58"/>
    <w:rsid w:val="00985EDF"/>
    <w:rsid w:val="00987C73"/>
    <w:rsid w:val="00991217"/>
    <w:rsid w:val="00992A54"/>
    <w:rsid w:val="009945E6"/>
    <w:rsid w:val="00997069"/>
    <w:rsid w:val="009971E3"/>
    <w:rsid w:val="009A109B"/>
    <w:rsid w:val="009A274B"/>
    <w:rsid w:val="009A45D0"/>
    <w:rsid w:val="009A63CF"/>
    <w:rsid w:val="009A7A22"/>
    <w:rsid w:val="009B4BF9"/>
    <w:rsid w:val="009B7EB9"/>
    <w:rsid w:val="009C1659"/>
    <w:rsid w:val="009C1C79"/>
    <w:rsid w:val="009C3BE3"/>
    <w:rsid w:val="009C641C"/>
    <w:rsid w:val="009D024D"/>
    <w:rsid w:val="009D2FA3"/>
    <w:rsid w:val="009D4516"/>
    <w:rsid w:val="009D654F"/>
    <w:rsid w:val="009D6DC1"/>
    <w:rsid w:val="009E0D7B"/>
    <w:rsid w:val="009E1261"/>
    <w:rsid w:val="009E1351"/>
    <w:rsid w:val="009E34B4"/>
    <w:rsid w:val="009E4859"/>
    <w:rsid w:val="009E7494"/>
    <w:rsid w:val="009F202B"/>
    <w:rsid w:val="009F2BDD"/>
    <w:rsid w:val="009F429B"/>
    <w:rsid w:val="009F5C42"/>
    <w:rsid w:val="009F6CEA"/>
    <w:rsid w:val="009F7BFD"/>
    <w:rsid w:val="00A0000E"/>
    <w:rsid w:val="00A00333"/>
    <w:rsid w:val="00A0129F"/>
    <w:rsid w:val="00A02173"/>
    <w:rsid w:val="00A05918"/>
    <w:rsid w:val="00A069E3"/>
    <w:rsid w:val="00A11057"/>
    <w:rsid w:val="00A11AC4"/>
    <w:rsid w:val="00A151BB"/>
    <w:rsid w:val="00A154B6"/>
    <w:rsid w:val="00A17BF0"/>
    <w:rsid w:val="00A22BED"/>
    <w:rsid w:val="00A252FA"/>
    <w:rsid w:val="00A2548C"/>
    <w:rsid w:val="00A25723"/>
    <w:rsid w:val="00A27612"/>
    <w:rsid w:val="00A32A34"/>
    <w:rsid w:val="00A33F71"/>
    <w:rsid w:val="00A40370"/>
    <w:rsid w:val="00A40611"/>
    <w:rsid w:val="00A4452C"/>
    <w:rsid w:val="00A44BA2"/>
    <w:rsid w:val="00A45D0D"/>
    <w:rsid w:val="00A45D9B"/>
    <w:rsid w:val="00A46608"/>
    <w:rsid w:val="00A471C2"/>
    <w:rsid w:val="00A471DF"/>
    <w:rsid w:val="00A47712"/>
    <w:rsid w:val="00A47B97"/>
    <w:rsid w:val="00A50FC8"/>
    <w:rsid w:val="00A511E1"/>
    <w:rsid w:val="00A54228"/>
    <w:rsid w:val="00A5689E"/>
    <w:rsid w:val="00A603B2"/>
    <w:rsid w:val="00A60DE4"/>
    <w:rsid w:val="00A63769"/>
    <w:rsid w:val="00A65A7F"/>
    <w:rsid w:val="00A65CF8"/>
    <w:rsid w:val="00A66585"/>
    <w:rsid w:val="00A6669C"/>
    <w:rsid w:val="00A7014C"/>
    <w:rsid w:val="00A70593"/>
    <w:rsid w:val="00A70A74"/>
    <w:rsid w:val="00A71246"/>
    <w:rsid w:val="00A71A49"/>
    <w:rsid w:val="00A71AE8"/>
    <w:rsid w:val="00A7213A"/>
    <w:rsid w:val="00A7287B"/>
    <w:rsid w:val="00A72DA7"/>
    <w:rsid w:val="00A74084"/>
    <w:rsid w:val="00A746DB"/>
    <w:rsid w:val="00A75424"/>
    <w:rsid w:val="00A75C3C"/>
    <w:rsid w:val="00A76CC3"/>
    <w:rsid w:val="00A80BEF"/>
    <w:rsid w:val="00A81974"/>
    <w:rsid w:val="00A81B4F"/>
    <w:rsid w:val="00A82B99"/>
    <w:rsid w:val="00A83E09"/>
    <w:rsid w:val="00A90619"/>
    <w:rsid w:val="00A90F7A"/>
    <w:rsid w:val="00A93933"/>
    <w:rsid w:val="00A94148"/>
    <w:rsid w:val="00A96C9A"/>
    <w:rsid w:val="00AA22D1"/>
    <w:rsid w:val="00AA301D"/>
    <w:rsid w:val="00AA3C04"/>
    <w:rsid w:val="00AA4EDA"/>
    <w:rsid w:val="00AB17D8"/>
    <w:rsid w:val="00AB3DC1"/>
    <w:rsid w:val="00AB5FEB"/>
    <w:rsid w:val="00AB7908"/>
    <w:rsid w:val="00AC0574"/>
    <w:rsid w:val="00AC077B"/>
    <w:rsid w:val="00AC0C2A"/>
    <w:rsid w:val="00AC119E"/>
    <w:rsid w:val="00AC4C6B"/>
    <w:rsid w:val="00AC4C97"/>
    <w:rsid w:val="00AC56E5"/>
    <w:rsid w:val="00AC57B8"/>
    <w:rsid w:val="00AC6BEC"/>
    <w:rsid w:val="00AD755F"/>
    <w:rsid w:val="00AE014F"/>
    <w:rsid w:val="00AE10A9"/>
    <w:rsid w:val="00AE1DC2"/>
    <w:rsid w:val="00AE67C0"/>
    <w:rsid w:val="00AF19D0"/>
    <w:rsid w:val="00AF1CFB"/>
    <w:rsid w:val="00AF33B6"/>
    <w:rsid w:val="00AF7F0F"/>
    <w:rsid w:val="00B0157C"/>
    <w:rsid w:val="00B01786"/>
    <w:rsid w:val="00B02731"/>
    <w:rsid w:val="00B050FC"/>
    <w:rsid w:val="00B070D1"/>
    <w:rsid w:val="00B0733C"/>
    <w:rsid w:val="00B10616"/>
    <w:rsid w:val="00B12C32"/>
    <w:rsid w:val="00B12EB5"/>
    <w:rsid w:val="00B13F14"/>
    <w:rsid w:val="00B1488E"/>
    <w:rsid w:val="00B14EE8"/>
    <w:rsid w:val="00B21399"/>
    <w:rsid w:val="00B23B1F"/>
    <w:rsid w:val="00B23F49"/>
    <w:rsid w:val="00B26A79"/>
    <w:rsid w:val="00B27AE5"/>
    <w:rsid w:val="00B27C1E"/>
    <w:rsid w:val="00B3032E"/>
    <w:rsid w:val="00B3181B"/>
    <w:rsid w:val="00B334C3"/>
    <w:rsid w:val="00B368F6"/>
    <w:rsid w:val="00B37179"/>
    <w:rsid w:val="00B45131"/>
    <w:rsid w:val="00B46075"/>
    <w:rsid w:val="00B47178"/>
    <w:rsid w:val="00B47BFA"/>
    <w:rsid w:val="00B47DF0"/>
    <w:rsid w:val="00B54B18"/>
    <w:rsid w:val="00B54BE7"/>
    <w:rsid w:val="00B55BA9"/>
    <w:rsid w:val="00B56134"/>
    <w:rsid w:val="00B56CA2"/>
    <w:rsid w:val="00B60162"/>
    <w:rsid w:val="00B62312"/>
    <w:rsid w:val="00B62B38"/>
    <w:rsid w:val="00B63132"/>
    <w:rsid w:val="00B6397D"/>
    <w:rsid w:val="00B63CE3"/>
    <w:rsid w:val="00B650DC"/>
    <w:rsid w:val="00B66AC2"/>
    <w:rsid w:val="00B71D1B"/>
    <w:rsid w:val="00B72FFC"/>
    <w:rsid w:val="00B730D7"/>
    <w:rsid w:val="00B753BC"/>
    <w:rsid w:val="00B80777"/>
    <w:rsid w:val="00B84A03"/>
    <w:rsid w:val="00B84C38"/>
    <w:rsid w:val="00B8518D"/>
    <w:rsid w:val="00B907A5"/>
    <w:rsid w:val="00B91131"/>
    <w:rsid w:val="00B917C5"/>
    <w:rsid w:val="00B9475F"/>
    <w:rsid w:val="00B9545B"/>
    <w:rsid w:val="00B95697"/>
    <w:rsid w:val="00B95F2D"/>
    <w:rsid w:val="00BA1563"/>
    <w:rsid w:val="00BA16E3"/>
    <w:rsid w:val="00BA22E6"/>
    <w:rsid w:val="00BA2880"/>
    <w:rsid w:val="00BA3659"/>
    <w:rsid w:val="00BA3927"/>
    <w:rsid w:val="00BB004F"/>
    <w:rsid w:val="00BB25A0"/>
    <w:rsid w:val="00BB2F54"/>
    <w:rsid w:val="00BB3F40"/>
    <w:rsid w:val="00BB445A"/>
    <w:rsid w:val="00BB6AE4"/>
    <w:rsid w:val="00BC16EB"/>
    <w:rsid w:val="00BC18BD"/>
    <w:rsid w:val="00BC4747"/>
    <w:rsid w:val="00BC6874"/>
    <w:rsid w:val="00BD0C7E"/>
    <w:rsid w:val="00BD24F1"/>
    <w:rsid w:val="00BD5379"/>
    <w:rsid w:val="00BD7507"/>
    <w:rsid w:val="00BD756C"/>
    <w:rsid w:val="00BD7A9D"/>
    <w:rsid w:val="00BE1917"/>
    <w:rsid w:val="00BE45C8"/>
    <w:rsid w:val="00BE5242"/>
    <w:rsid w:val="00BE71BE"/>
    <w:rsid w:val="00BE75CA"/>
    <w:rsid w:val="00BF1C1E"/>
    <w:rsid w:val="00BF20E2"/>
    <w:rsid w:val="00BF4F34"/>
    <w:rsid w:val="00BF5FB2"/>
    <w:rsid w:val="00BF72C5"/>
    <w:rsid w:val="00BF7C11"/>
    <w:rsid w:val="00C012A0"/>
    <w:rsid w:val="00C03549"/>
    <w:rsid w:val="00C04113"/>
    <w:rsid w:val="00C05EE7"/>
    <w:rsid w:val="00C11195"/>
    <w:rsid w:val="00C12022"/>
    <w:rsid w:val="00C12EEA"/>
    <w:rsid w:val="00C13E80"/>
    <w:rsid w:val="00C14C95"/>
    <w:rsid w:val="00C15C4A"/>
    <w:rsid w:val="00C1730D"/>
    <w:rsid w:val="00C17FB5"/>
    <w:rsid w:val="00C206B1"/>
    <w:rsid w:val="00C24E82"/>
    <w:rsid w:val="00C301DE"/>
    <w:rsid w:val="00C30A85"/>
    <w:rsid w:val="00C30D01"/>
    <w:rsid w:val="00C31A79"/>
    <w:rsid w:val="00C32376"/>
    <w:rsid w:val="00C32509"/>
    <w:rsid w:val="00C33C6F"/>
    <w:rsid w:val="00C34B48"/>
    <w:rsid w:val="00C36E99"/>
    <w:rsid w:val="00C422DA"/>
    <w:rsid w:val="00C45E6B"/>
    <w:rsid w:val="00C45FA1"/>
    <w:rsid w:val="00C463F7"/>
    <w:rsid w:val="00C51FA3"/>
    <w:rsid w:val="00C52ECC"/>
    <w:rsid w:val="00C553D7"/>
    <w:rsid w:val="00C5634C"/>
    <w:rsid w:val="00C56428"/>
    <w:rsid w:val="00C56A57"/>
    <w:rsid w:val="00C574C2"/>
    <w:rsid w:val="00C61D4F"/>
    <w:rsid w:val="00C61EC4"/>
    <w:rsid w:val="00C62636"/>
    <w:rsid w:val="00C64774"/>
    <w:rsid w:val="00C64815"/>
    <w:rsid w:val="00C655CF"/>
    <w:rsid w:val="00C6757E"/>
    <w:rsid w:val="00C75B90"/>
    <w:rsid w:val="00C76228"/>
    <w:rsid w:val="00C77EBE"/>
    <w:rsid w:val="00C828A8"/>
    <w:rsid w:val="00C82CD8"/>
    <w:rsid w:val="00C845C5"/>
    <w:rsid w:val="00C85DCF"/>
    <w:rsid w:val="00C8720F"/>
    <w:rsid w:val="00C90894"/>
    <w:rsid w:val="00C908F8"/>
    <w:rsid w:val="00C9183E"/>
    <w:rsid w:val="00C926D2"/>
    <w:rsid w:val="00C95353"/>
    <w:rsid w:val="00C95FD5"/>
    <w:rsid w:val="00C96856"/>
    <w:rsid w:val="00C96B0E"/>
    <w:rsid w:val="00C96D6B"/>
    <w:rsid w:val="00C96FB6"/>
    <w:rsid w:val="00C9708E"/>
    <w:rsid w:val="00C9718D"/>
    <w:rsid w:val="00CA05B1"/>
    <w:rsid w:val="00CA0D1F"/>
    <w:rsid w:val="00CA3A0B"/>
    <w:rsid w:val="00CA3D70"/>
    <w:rsid w:val="00CB15D5"/>
    <w:rsid w:val="00CB1A41"/>
    <w:rsid w:val="00CB5F6C"/>
    <w:rsid w:val="00CC49EB"/>
    <w:rsid w:val="00CC5321"/>
    <w:rsid w:val="00CC569E"/>
    <w:rsid w:val="00CD4E1E"/>
    <w:rsid w:val="00CD5FC2"/>
    <w:rsid w:val="00CD60E8"/>
    <w:rsid w:val="00CD6404"/>
    <w:rsid w:val="00CD78AA"/>
    <w:rsid w:val="00CE03E8"/>
    <w:rsid w:val="00CE0FFB"/>
    <w:rsid w:val="00CE37DB"/>
    <w:rsid w:val="00CE50F8"/>
    <w:rsid w:val="00CE5CB5"/>
    <w:rsid w:val="00CE756E"/>
    <w:rsid w:val="00CE7EED"/>
    <w:rsid w:val="00CF2833"/>
    <w:rsid w:val="00CF3FBF"/>
    <w:rsid w:val="00CF4099"/>
    <w:rsid w:val="00CF440C"/>
    <w:rsid w:val="00CF4CD3"/>
    <w:rsid w:val="00CF53F5"/>
    <w:rsid w:val="00CF55C0"/>
    <w:rsid w:val="00CF76AB"/>
    <w:rsid w:val="00D019E9"/>
    <w:rsid w:val="00D02B24"/>
    <w:rsid w:val="00D032B4"/>
    <w:rsid w:val="00D04C4B"/>
    <w:rsid w:val="00D051FB"/>
    <w:rsid w:val="00D07086"/>
    <w:rsid w:val="00D11F62"/>
    <w:rsid w:val="00D14799"/>
    <w:rsid w:val="00D153B5"/>
    <w:rsid w:val="00D15F21"/>
    <w:rsid w:val="00D15F2C"/>
    <w:rsid w:val="00D234FC"/>
    <w:rsid w:val="00D23AAB"/>
    <w:rsid w:val="00D24900"/>
    <w:rsid w:val="00D251C3"/>
    <w:rsid w:val="00D33295"/>
    <w:rsid w:val="00D3381C"/>
    <w:rsid w:val="00D33954"/>
    <w:rsid w:val="00D33FBF"/>
    <w:rsid w:val="00D353FF"/>
    <w:rsid w:val="00D35BAD"/>
    <w:rsid w:val="00D3672D"/>
    <w:rsid w:val="00D413A7"/>
    <w:rsid w:val="00D41C1A"/>
    <w:rsid w:val="00D4376A"/>
    <w:rsid w:val="00D4378C"/>
    <w:rsid w:val="00D437DF"/>
    <w:rsid w:val="00D46FEE"/>
    <w:rsid w:val="00D51A4C"/>
    <w:rsid w:val="00D52E36"/>
    <w:rsid w:val="00D5398A"/>
    <w:rsid w:val="00D560B4"/>
    <w:rsid w:val="00D5682A"/>
    <w:rsid w:val="00D606CD"/>
    <w:rsid w:val="00D618B9"/>
    <w:rsid w:val="00D62E13"/>
    <w:rsid w:val="00D63A91"/>
    <w:rsid w:val="00D63B41"/>
    <w:rsid w:val="00D64ED9"/>
    <w:rsid w:val="00D713F4"/>
    <w:rsid w:val="00D72342"/>
    <w:rsid w:val="00D72EF5"/>
    <w:rsid w:val="00D73D1D"/>
    <w:rsid w:val="00D74705"/>
    <w:rsid w:val="00D74C32"/>
    <w:rsid w:val="00D77746"/>
    <w:rsid w:val="00D81FD5"/>
    <w:rsid w:val="00D82E46"/>
    <w:rsid w:val="00D83F3D"/>
    <w:rsid w:val="00D84FD5"/>
    <w:rsid w:val="00D931B5"/>
    <w:rsid w:val="00D93C97"/>
    <w:rsid w:val="00D93CB7"/>
    <w:rsid w:val="00D94DE7"/>
    <w:rsid w:val="00DA300C"/>
    <w:rsid w:val="00DA4F20"/>
    <w:rsid w:val="00DA5F91"/>
    <w:rsid w:val="00DA6E2B"/>
    <w:rsid w:val="00DB1443"/>
    <w:rsid w:val="00DB1615"/>
    <w:rsid w:val="00DB1C9D"/>
    <w:rsid w:val="00DB2475"/>
    <w:rsid w:val="00DB316B"/>
    <w:rsid w:val="00DC15FA"/>
    <w:rsid w:val="00DC308D"/>
    <w:rsid w:val="00DC38E8"/>
    <w:rsid w:val="00DC4563"/>
    <w:rsid w:val="00DD32DF"/>
    <w:rsid w:val="00DD36A5"/>
    <w:rsid w:val="00DD395B"/>
    <w:rsid w:val="00DD3D34"/>
    <w:rsid w:val="00DD4EB5"/>
    <w:rsid w:val="00DD5177"/>
    <w:rsid w:val="00DD5ACF"/>
    <w:rsid w:val="00DD7F17"/>
    <w:rsid w:val="00DE0AED"/>
    <w:rsid w:val="00DE0ECA"/>
    <w:rsid w:val="00DE2FF1"/>
    <w:rsid w:val="00DE57CD"/>
    <w:rsid w:val="00DE66B5"/>
    <w:rsid w:val="00DE7145"/>
    <w:rsid w:val="00DE7A49"/>
    <w:rsid w:val="00DF0B80"/>
    <w:rsid w:val="00DF127E"/>
    <w:rsid w:val="00DF18E9"/>
    <w:rsid w:val="00DF3A68"/>
    <w:rsid w:val="00DF4006"/>
    <w:rsid w:val="00DF5AB1"/>
    <w:rsid w:val="00DF5CAB"/>
    <w:rsid w:val="00E0276D"/>
    <w:rsid w:val="00E031C3"/>
    <w:rsid w:val="00E038EF"/>
    <w:rsid w:val="00E05540"/>
    <w:rsid w:val="00E057DC"/>
    <w:rsid w:val="00E06C11"/>
    <w:rsid w:val="00E119D4"/>
    <w:rsid w:val="00E122AB"/>
    <w:rsid w:val="00E13977"/>
    <w:rsid w:val="00E13FE6"/>
    <w:rsid w:val="00E14B5E"/>
    <w:rsid w:val="00E17090"/>
    <w:rsid w:val="00E212E4"/>
    <w:rsid w:val="00E24B33"/>
    <w:rsid w:val="00E2666F"/>
    <w:rsid w:val="00E318E6"/>
    <w:rsid w:val="00E3382F"/>
    <w:rsid w:val="00E342B0"/>
    <w:rsid w:val="00E34FB5"/>
    <w:rsid w:val="00E35954"/>
    <w:rsid w:val="00E359E9"/>
    <w:rsid w:val="00E409D4"/>
    <w:rsid w:val="00E40F57"/>
    <w:rsid w:val="00E41BA9"/>
    <w:rsid w:val="00E445F8"/>
    <w:rsid w:val="00E449BC"/>
    <w:rsid w:val="00E45983"/>
    <w:rsid w:val="00E476DD"/>
    <w:rsid w:val="00E512BC"/>
    <w:rsid w:val="00E521C4"/>
    <w:rsid w:val="00E565E6"/>
    <w:rsid w:val="00E57580"/>
    <w:rsid w:val="00E6165B"/>
    <w:rsid w:val="00E61689"/>
    <w:rsid w:val="00E61E0E"/>
    <w:rsid w:val="00E63460"/>
    <w:rsid w:val="00E65ACC"/>
    <w:rsid w:val="00E664AA"/>
    <w:rsid w:val="00E672FE"/>
    <w:rsid w:val="00E710CB"/>
    <w:rsid w:val="00E72A49"/>
    <w:rsid w:val="00E72D85"/>
    <w:rsid w:val="00E76D00"/>
    <w:rsid w:val="00E80BFF"/>
    <w:rsid w:val="00E84BD5"/>
    <w:rsid w:val="00E905EF"/>
    <w:rsid w:val="00E909F3"/>
    <w:rsid w:val="00E91FA4"/>
    <w:rsid w:val="00E928CD"/>
    <w:rsid w:val="00E96E92"/>
    <w:rsid w:val="00E977B2"/>
    <w:rsid w:val="00EA1902"/>
    <w:rsid w:val="00EA2677"/>
    <w:rsid w:val="00EA4DA6"/>
    <w:rsid w:val="00EA743E"/>
    <w:rsid w:val="00EB0D67"/>
    <w:rsid w:val="00EB1E4B"/>
    <w:rsid w:val="00EB39D3"/>
    <w:rsid w:val="00EB3A1D"/>
    <w:rsid w:val="00EC1F40"/>
    <w:rsid w:val="00EC4161"/>
    <w:rsid w:val="00EC4FB9"/>
    <w:rsid w:val="00EC7267"/>
    <w:rsid w:val="00ED0025"/>
    <w:rsid w:val="00ED0268"/>
    <w:rsid w:val="00ED0975"/>
    <w:rsid w:val="00ED0D79"/>
    <w:rsid w:val="00ED4CCF"/>
    <w:rsid w:val="00ED5DB4"/>
    <w:rsid w:val="00ED639D"/>
    <w:rsid w:val="00ED71B7"/>
    <w:rsid w:val="00ED7836"/>
    <w:rsid w:val="00EE2DAB"/>
    <w:rsid w:val="00EE40DF"/>
    <w:rsid w:val="00EE43F0"/>
    <w:rsid w:val="00EE5C6D"/>
    <w:rsid w:val="00EE7A33"/>
    <w:rsid w:val="00EE7BA9"/>
    <w:rsid w:val="00EF0F78"/>
    <w:rsid w:val="00EF4234"/>
    <w:rsid w:val="00EF66B5"/>
    <w:rsid w:val="00F00349"/>
    <w:rsid w:val="00F00455"/>
    <w:rsid w:val="00F0102B"/>
    <w:rsid w:val="00F019D5"/>
    <w:rsid w:val="00F04699"/>
    <w:rsid w:val="00F04F0F"/>
    <w:rsid w:val="00F053BC"/>
    <w:rsid w:val="00F06E86"/>
    <w:rsid w:val="00F074F7"/>
    <w:rsid w:val="00F105E7"/>
    <w:rsid w:val="00F10908"/>
    <w:rsid w:val="00F11052"/>
    <w:rsid w:val="00F12CB2"/>
    <w:rsid w:val="00F1403D"/>
    <w:rsid w:val="00F143BA"/>
    <w:rsid w:val="00F147F1"/>
    <w:rsid w:val="00F17515"/>
    <w:rsid w:val="00F17C91"/>
    <w:rsid w:val="00F2056B"/>
    <w:rsid w:val="00F2376D"/>
    <w:rsid w:val="00F262B8"/>
    <w:rsid w:val="00F27593"/>
    <w:rsid w:val="00F27799"/>
    <w:rsid w:val="00F33D66"/>
    <w:rsid w:val="00F371D2"/>
    <w:rsid w:val="00F37CF6"/>
    <w:rsid w:val="00F37D5F"/>
    <w:rsid w:val="00F37E79"/>
    <w:rsid w:val="00F4171C"/>
    <w:rsid w:val="00F436A6"/>
    <w:rsid w:val="00F43D47"/>
    <w:rsid w:val="00F44371"/>
    <w:rsid w:val="00F45496"/>
    <w:rsid w:val="00F45595"/>
    <w:rsid w:val="00F46177"/>
    <w:rsid w:val="00F46A65"/>
    <w:rsid w:val="00F4787F"/>
    <w:rsid w:val="00F47DB8"/>
    <w:rsid w:val="00F52C36"/>
    <w:rsid w:val="00F536A2"/>
    <w:rsid w:val="00F56B5C"/>
    <w:rsid w:val="00F5711B"/>
    <w:rsid w:val="00F57406"/>
    <w:rsid w:val="00F60666"/>
    <w:rsid w:val="00F60BE8"/>
    <w:rsid w:val="00F63060"/>
    <w:rsid w:val="00F64875"/>
    <w:rsid w:val="00F658EC"/>
    <w:rsid w:val="00F65E60"/>
    <w:rsid w:val="00F67374"/>
    <w:rsid w:val="00F67C42"/>
    <w:rsid w:val="00F707FE"/>
    <w:rsid w:val="00F72943"/>
    <w:rsid w:val="00F72FAB"/>
    <w:rsid w:val="00F73AEA"/>
    <w:rsid w:val="00F760B9"/>
    <w:rsid w:val="00F761E8"/>
    <w:rsid w:val="00F8035C"/>
    <w:rsid w:val="00F8142F"/>
    <w:rsid w:val="00F816CD"/>
    <w:rsid w:val="00F82146"/>
    <w:rsid w:val="00F831B3"/>
    <w:rsid w:val="00F834FA"/>
    <w:rsid w:val="00F83F8A"/>
    <w:rsid w:val="00F8497D"/>
    <w:rsid w:val="00F84B59"/>
    <w:rsid w:val="00F851DC"/>
    <w:rsid w:val="00F86E18"/>
    <w:rsid w:val="00F872DB"/>
    <w:rsid w:val="00F929DB"/>
    <w:rsid w:val="00F92CD7"/>
    <w:rsid w:val="00F937EC"/>
    <w:rsid w:val="00F94225"/>
    <w:rsid w:val="00F9652F"/>
    <w:rsid w:val="00F967EE"/>
    <w:rsid w:val="00FA1ABF"/>
    <w:rsid w:val="00FA1AC2"/>
    <w:rsid w:val="00FA2B24"/>
    <w:rsid w:val="00FA4A29"/>
    <w:rsid w:val="00FA54C9"/>
    <w:rsid w:val="00FB17BD"/>
    <w:rsid w:val="00FB42A9"/>
    <w:rsid w:val="00FB569B"/>
    <w:rsid w:val="00FB5BA1"/>
    <w:rsid w:val="00FC11CD"/>
    <w:rsid w:val="00FC17B0"/>
    <w:rsid w:val="00FC37AC"/>
    <w:rsid w:val="00FC4536"/>
    <w:rsid w:val="00FC7108"/>
    <w:rsid w:val="00FD1546"/>
    <w:rsid w:val="00FD1C43"/>
    <w:rsid w:val="00FD2801"/>
    <w:rsid w:val="00FD325C"/>
    <w:rsid w:val="00FD3E40"/>
    <w:rsid w:val="00FD44A7"/>
    <w:rsid w:val="00FD7481"/>
    <w:rsid w:val="00FD7D8D"/>
    <w:rsid w:val="00FE49AA"/>
    <w:rsid w:val="00FF2484"/>
    <w:rsid w:val="00FF4C93"/>
    <w:rsid w:val="00FF4FEC"/>
    <w:rsid w:val="00FF7216"/>
    <w:rsid w:val="0103281D"/>
    <w:rsid w:val="028D388F"/>
    <w:rsid w:val="029B7790"/>
    <w:rsid w:val="036836E5"/>
    <w:rsid w:val="03F41E93"/>
    <w:rsid w:val="048F7422"/>
    <w:rsid w:val="04E2668C"/>
    <w:rsid w:val="05F71895"/>
    <w:rsid w:val="071F6AA9"/>
    <w:rsid w:val="09FC6591"/>
    <w:rsid w:val="0A3E5960"/>
    <w:rsid w:val="0B81568F"/>
    <w:rsid w:val="0CA84E57"/>
    <w:rsid w:val="0DFE4179"/>
    <w:rsid w:val="0E742F83"/>
    <w:rsid w:val="0F76307C"/>
    <w:rsid w:val="0F847C52"/>
    <w:rsid w:val="10853E2D"/>
    <w:rsid w:val="108C6F6A"/>
    <w:rsid w:val="10FC0A7D"/>
    <w:rsid w:val="114E47C4"/>
    <w:rsid w:val="11800151"/>
    <w:rsid w:val="11C37984"/>
    <w:rsid w:val="15095874"/>
    <w:rsid w:val="155B0AA5"/>
    <w:rsid w:val="160222AF"/>
    <w:rsid w:val="16DB2B04"/>
    <w:rsid w:val="171078F0"/>
    <w:rsid w:val="187D7DF8"/>
    <w:rsid w:val="18870011"/>
    <w:rsid w:val="1ADD6257"/>
    <w:rsid w:val="1D754BE0"/>
    <w:rsid w:val="1EAC3458"/>
    <w:rsid w:val="1FE558A6"/>
    <w:rsid w:val="203A1E84"/>
    <w:rsid w:val="20A41195"/>
    <w:rsid w:val="20A42459"/>
    <w:rsid w:val="210E7C4B"/>
    <w:rsid w:val="23404B4F"/>
    <w:rsid w:val="23505233"/>
    <w:rsid w:val="24680CDC"/>
    <w:rsid w:val="272F69CE"/>
    <w:rsid w:val="27D972D8"/>
    <w:rsid w:val="27EB662A"/>
    <w:rsid w:val="29467B8F"/>
    <w:rsid w:val="2AD738B7"/>
    <w:rsid w:val="2B4C77B1"/>
    <w:rsid w:val="2B79566F"/>
    <w:rsid w:val="2B9411B4"/>
    <w:rsid w:val="2C110AE2"/>
    <w:rsid w:val="2C23181A"/>
    <w:rsid w:val="2C592401"/>
    <w:rsid w:val="2CD8259B"/>
    <w:rsid w:val="2D9A3185"/>
    <w:rsid w:val="2E36450D"/>
    <w:rsid w:val="2E461023"/>
    <w:rsid w:val="2EB14F54"/>
    <w:rsid w:val="300D47A1"/>
    <w:rsid w:val="30211C3F"/>
    <w:rsid w:val="307D0A7B"/>
    <w:rsid w:val="30867E83"/>
    <w:rsid w:val="32EA0106"/>
    <w:rsid w:val="32F82D62"/>
    <w:rsid w:val="33901F2A"/>
    <w:rsid w:val="340F4E45"/>
    <w:rsid w:val="34314E53"/>
    <w:rsid w:val="344F2ECF"/>
    <w:rsid w:val="346E2139"/>
    <w:rsid w:val="349145DA"/>
    <w:rsid w:val="3497243E"/>
    <w:rsid w:val="354D3B1D"/>
    <w:rsid w:val="35FC33A7"/>
    <w:rsid w:val="360D62C1"/>
    <w:rsid w:val="36BF5992"/>
    <w:rsid w:val="375B6AE7"/>
    <w:rsid w:val="37D41B81"/>
    <w:rsid w:val="38371198"/>
    <w:rsid w:val="38435E47"/>
    <w:rsid w:val="38DB41ED"/>
    <w:rsid w:val="3A302271"/>
    <w:rsid w:val="3B7B4247"/>
    <w:rsid w:val="3C0C2277"/>
    <w:rsid w:val="3C1A0BAC"/>
    <w:rsid w:val="3C4B02F4"/>
    <w:rsid w:val="3C8F414C"/>
    <w:rsid w:val="3C9921B4"/>
    <w:rsid w:val="3CEF6354"/>
    <w:rsid w:val="3E183C0B"/>
    <w:rsid w:val="3E4510E5"/>
    <w:rsid w:val="3E6A29F9"/>
    <w:rsid w:val="3E7111C4"/>
    <w:rsid w:val="3E740E90"/>
    <w:rsid w:val="3F2D33E2"/>
    <w:rsid w:val="3FFE1E84"/>
    <w:rsid w:val="405C5913"/>
    <w:rsid w:val="41055061"/>
    <w:rsid w:val="450F60AC"/>
    <w:rsid w:val="49AE6013"/>
    <w:rsid w:val="4AA37AF9"/>
    <w:rsid w:val="4B074E64"/>
    <w:rsid w:val="4C0C73A8"/>
    <w:rsid w:val="4C0F374A"/>
    <w:rsid w:val="4C3F1C02"/>
    <w:rsid w:val="4D15467C"/>
    <w:rsid w:val="4DAE3030"/>
    <w:rsid w:val="4DD62A61"/>
    <w:rsid w:val="4E6D6A01"/>
    <w:rsid w:val="4EA53B47"/>
    <w:rsid w:val="4FF91545"/>
    <w:rsid w:val="51285AD8"/>
    <w:rsid w:val="519A3CE5"/>
    <w:rsid w:val="51B26E5B"/>
    <w:rsid w:val="52D9750B"/>
    <w:rsid w:val="547E6D63"/>
    <w:rsid w:val="552009C8"/>
    <w:rsid w:val="57EF2F07"/>
    <w:rsid w:val="58896EB8"/>
    <w:rsid w:val="59F37510"/>
    <w:rsid w:val="5ADE2363"/>
    <w:rsid w:val="5BE7580E"/>
    <w:rsid w:val="5C8A3E57"/>
    <w:rsid w:val="5C8A4BE0"/>
    <w:rsid w:val="5C8F2EBF"/>
    <w:rsid w:val="5D3B47E9"/>
    <w:rsid w:val="5D960D63"/>
    <w:rsid w:val="5EAA353D"/>
    <w:rsid w:val="5F900FAC"/>
    <w:rsid w:val="622F074E"/>
    <w:rsid w:val="62704C71"/>
    <w:rsid w:val="62975313"/>
    <w:rsid w:val="62A648D5"/>
    <w:rsid w:val="66910E93"/>
    <w:rsid w:val="671B1D7F"/>
    <w:rsid w:val="67D40EEA"/>
    <w:rsid w:val="681E2C88"/>
    <w:rsid w:val="68AC4020"/>
    <w:rsid w:val="6B397730"/>
    <w:rsid w:val="6BC015E2"/>
    <w:rsid w:val="6CD97FB6"/>
    <w:rsid w:val="6D185A0C"/>
    <w:rsid w:val="6DC404C1"/>
    <w:rsid w:val="6E606C6A"/>
    <w:rsid w:val="6F212EC1"/>
    <w:rsid w:val="6F315F51"/>
    <w:rsid w:val="72057679"/>
    <w:rsid w:val="72176456"/>
    <w:rsid w:val="72211184"/>
    <w:rsid w:val="72926649"/>
    <w:rsid w:val="72B2213B"/>
    <w:rsid w:val="735D4590"/>
    <w:rsid w:val="7445550A"/>
    <w:rsid w:val="75002222"/>
    <w:rsid w:val="75224B21"/>
    <w:rsid w:val="758F334C"/>
    <w:rsid w:val="75DE468D"/>
    <w:rsid w:val="75E702FE"/>
    <w:rsid w:val="76070232"/>
    <w:rsid w:val="789706D7"/>
    <w:rsid w:val="78A374D7"/>
    <w:rsid w:val="795F1053"/>
    <w:rsid w:val="7A673265"/>
    <w:rsid w:val="7AE42828"/>
    <w:rsid w:val="7AF00C32"/>
    <w:rsid w:val="7AF36A5C"/>
    <w:rsid w:val="7B98773F"/>
    <w:rsid w:val="7C08085E"/>
    <w:rsid w:val="7C5939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nhideWhenUsed="0" w:uiPriority="0"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iPriority="99"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qFormat="1" w:uiPriority="99" w:semiHidden="0"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9"/>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bCs/>
      <w:kern w:val="0"/>
      <w:sz w:val="32"/>
      <w:szCs w:val="32"/>
    </w:rPr>
  </w:style>
  <w:style w:type="paragraph" w:styleId="4">
    <w:name w:val="heading 3"/>
    <w:basedOn w:val="1"/>
    <w:next w:val="1"/>
    <w:qFormat/>
    <w:uiPriority w:val="0"/>
    <w:pPr>
      <w:keepNext/>
      <w:keepLines/>
      <w:spacing w:before="260" w:after="260" w:line="415" w:lineRule="auto"/>
      <w:outlineLvl w:val="2"/>
    </w:pPr>
    <w:rPr>
      <w:b/>
      <w:bCs/>
      <w:kern w:val="0"/>
      <w:sz w:val="32"/>
      <w:szCs w:val="32"/>
    </w:rPr>
  </w:style>
  <w:style w:type="paragraph" w:styleId="5">
    <w:name w:val="heading 4"/>
    <w:basedOn w:val="1"/>
    <w:next w:val="1"/>
    <w:qFormat/>
    <w:uiPriority w:val="0"/>
    <w:pPr>
      <w:keepNext/>
      <w:keepLines/>
      <w:widowControl/>
      <w:spacing w:before="120" w:after="120" w:line="360" w:lineRule="auto"/>
      <w:jc w:val="center"/>
      <w:outlineLvl w:val="3"/>
    </w:pPr>
    <w:rPr>
      <w:rFonts w:ascii="Arial" w:hAnsi="Arial" w:eastAsia="黑体"/>
      <w:kern w:val="0"/>
      <w:sz w:val="28"/>
      <w:szCs w:val="20"/>
    </w:rPr>
  </w:style>
  <w:style w:type="paragraph" w:styleId="6">
    <w:name w:val="heading 5"/>
    <w:basedOn w:val="1"/>
    <w:next w:val="7"/>
    <w:qFormat/>
    <w:uiPriority w:val="0"/>
    <w:pPr>
      <w:keepNext/>
      <w:keepLines/>
      <w:spacing w:before="280" w:after="290" w:line="376" w:lineRule="auto"/>
      <w:outlineLvl w:val="4"/>
    </w:pPr>
    <w:rPr>
      <w:b/>
      <w:sz w:val="28"/>
    </w:rPr>
  </w:style>
  <w:style w:type="paragraph" w:styleId="8">
    <w:name w:val="heading 6"/>
    <w:basedOn w:val="1"/>
    <w:next w:val="7"/>
    <w:qFormat/>
    <w:uiPriority w:val="0"/>
    <w:pPr>
      <w:keepNext/>
      <w:keepLines/>
      <w:spacing w:before="240" w:after="64" w:line="319" w:lineRule="auto"/>
      <w:outlineLvl w:val="5"/>
    </w:pPr>
    <w:rPr>
      <w:rFonts w:ascii="Arial" w:hAnsi="Arial" w:eastAsia="黑体"/>
      <w:b/>
      <w:sz w:val="24"/>
    </w:rPr>
  </w:style>
  <w:style w:type="paragraph" w:styleId="9">
    <w:name w:val="heading 7"/>
    <w:basedOn w:val="1"/>
    <w:next w:val="7"/>
    <w:qFormat/>
    <w:uiPriority w:val="0"/>
    <w:pPr>
      <w:keepNext/>
      <w:keepLines/>
      <w:spacing w:before="240" w:after="64" w:line="319" w:lineRule="auto"/>
      <w:outlineLvl w:val="6"/>
    </w:pPr>
    <w:rPr>
      <w:b/>
      <w:sz w:val="24"/>
    </w:rPr>
  </w:style>
  <w:style w:type="paragraph" w:styleId="10">
    <w:name w:val="heading 8"/>
    <w:basedOn w:val="1"/>
    <w:next w:val="7"/>
    <w:qFormat/>
    <w:uiPriority w:val="0"/>
    <w:pPr>
      <w:keepNext/>
      <w:keepLines/>
      <w:spacing w:before="240" w:after="64" w:line="319" w:lineRule="auto"/>
      <w:outlineLvl w:val="7"/>
    </w:pPr>
    <w:rPr>
      <w:rFonts w:ascii="Arial" w:hAnsi="Arial" w:eastAsia="黑体"/>
      <w:sz w:val="24"/>
    </w:rPr>
  </w:style>
  <w:style w:type="paragraph" w:styleId="11">
    <w:name w:val="heading 9"/>
    <w:basedOn w:val="1"/>
    <w:next w:val="7"/>
    <w:qFormat/>
    <w:uiPriority w:val="0"/>
    <w:pPr>
      <w:keepNext/>
      <w:keepLines/>
      <w:spacing w:before="240" w:after="64" w:line="319" w:lineRule="auto"/>
      <w:outlineLvl w:val="8"/>
    </w:pPr>
    <w:rPr>
      <w:rFonts w:ascii="Arial" w:hAnsi="Arial" w:eastAsia="黑体"/>
    </w:rPr>
  </w:style>
  <w:style w:type="character" w:default="1" w:styleId="51">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12">
    <w:name w:val="toc 7"/>
    <w:basedOn w:val="1"/>
    <w:next w:val="1"/>
    <w:qFormat/>
    <w:uiPriority w:val="0"/>
    <w:pPr>
      <w:tabs>
        <w:tab w:val="right" w:leader="dot" w:pos="9185"/>
      </w:tabs>
      <w:adjustRightInd w:val="0"/>
      <w:spacing w:line="312" w:lineRule="atLeast"/>
      <w:ind w:left="2520"/>
      <w:textAlignment w:val="baseline"/>
    </w:pPr>
    <w:rPr>
      <w:kern w:val="0"/>
      <w:szCs w:val="20"/>
    </w:rPr>
  </w:style>
  <w:style w:type="paragraph" w:styleId="13">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4">
    <w:name w:val="caption"/>
    <w:basedOn w:val="1"/>
    <w:next w:val="1"/>
    <w:qFormat/>
    <w:uiPriority w:val="0"/>
    <w:pPr>
      <w:spacing w:before="152" w:after="160"/>
    </w:pPr>
    <w:rPr>
      <w:rFonts w:ascii="Arial" w:hAnsi="Arial" w:eastAsia="黑体" w:cs="Arial"/>
      <w:sz w:val="20"/>
      <w:szCs w:val="20"/>
    </w:rPr>
  </w:style>
  <w:style w:type="paragraph" w:styleId="15">
    <w:name w:val="Document Map"/>
    <w:basedOn w:val="1"/>
    <w:qFormat/>
    <w:uiPriority w:val="0"/>
    <w:pPr>
      <w:shd w:val="clear" w:color="auto" w:fill="000080"/>
    </w:pPr>
  </w:style>
  <w:style w:type="paragraph" w:styleId="16">
    <w:name w:val="annotation text"/>
    <w:basedOn w:val="1"/>
    <w:link w:val="60"/>
    <w:qFormat/>
    <w:uiPriority w:val="0"/>
    <w:pPr>
      <w:adjustRightInd w:val="0"/>
      <w:spacing w:line="360" w:lineRule="atLeast"/>
      <w:jc w:val="left"/>
      <w:textAlignment w:val="baseline"/>
    </w:pPr>
    <w:rPr>
      <w:kern w:val="0"/>
      <w:sz w:val="24"/>
      <w:szCs w:val="20"/>
    </w:rPr>
  </w:style>
  <w:style w:type="paragraph" w:styleId="17">
    <w:name w:val="Salutation"/>
    <w:basedOn w:val="1"/>
    <w:next w:val="1"/>
    <w:qFormat/>
    <w:uiPriority w:val="0"/>
    <w:rPr>
      <w:sz w:val="28"/>
    </w:rPr>
  </w:style>
  <w:style w:type="paragraph" w:styleId="18">
    <w:name w:val="Body Text 3"/>
    <w:basedOn w:val="1"/>
    <w:qFormat/>
    <w:uiPriority w:val="0"/>
    <w:pPr>
      <w:spacing w:line="500" w:lineRule="exact"/>
    </w:pPr>
    <w:rPr>
      <w:b/>
      <w:bCs/>
      <w:sz w:val="24"/>
    </w:rPr>
  </w:style>
  <w:style w:type="paragraph" w:styleId="19">
    <w:name w:val="Body Text"/>
    <w:basedOn w:val="1"/>
    <w:next w:val="1"/>
    <w:qFormat/>
    <w:uiPriority w:val="0"/>
    <w:pPr>
      <w:spacing w:line="380" w:lineRule="exact"/>
    </w:pPr>
    <w:rPr>
      <w:sz w:val="24"/>
    </w:rPr>
  </w:style>
  <w:style w:type="paragraph" w:styleId="20">
    <w:name w:val="Body Text Indent"/>
    <w:basedOn w:val="1"/>
    <w:qFormat/>
    <w:uiPriority w:val="0"/>
    <w:pPr>
      <w:ind w:firstLine="352" w:firstLineChars="352"/>
    </w:pPr>
    <w:rPr>
      <w:rFonts w:ascii="仿宋_GB2312" w:eastAsia="仿宋_GB2312"/>
      <w:sz w:val="32"/>
      <w:szCs w:val="20"/>
    </w:rPr>
  </w:style>
  <w:style w:type="paragraph" w:styleId="21">
    <w:name w:val="List Number 3"/>
    <w:basedOn w:val="1"/>
    <w:qFormat/>
    <w:uiPriority w:val="0"/>
    <w:pPr>
      <w:tabs>
        <w:tab w:val="left" w:pos="360"/>
      </w:tabs>
      <w:ind w:left="360" w:hanging="360"/>
    </w:pPr>
  </w:style>
  <w:style w:type="paragraph" w:styleId="22">
    <w:name w:val="List 2"/>
    <w:basedOn w:val="1"/>
    <w:qFormat/>
    <w:uiPriority w:val="0"/>
    <w:pPr>
      <w:ind w:left="400" w:leftChars="200" w:hanging="200" w:hangingChars="200"/>
    </w:pPr>
    <w:rPr>
      <w:sz w:val="28"/>
    </w:rPr>
  </w:style>
  <w:style w:type="paragraph" w:styleId="23">
    <w:name w:val="Block Text"/>
    <w:basedOn w:val="1"/>
    <w:qFormat/>
    <w:uiPriority w:val="0"/>
    <w:pPr>
      <w:adjustRightInd w:val="0"/>
      <w:ind w:left="420" w:right="33"/>
      <w:jc w:val="left"/>
      <w:textAlignment w:val="baseline"/>
    </w:pPr>
    <w:rPr>
      <w:kern w:val="0"/>
      <w:sz w:val="24"/>
      <w:szCs w:val="20"/>
    </w:rPr>
  </w:style>
  <w:style w:type="paragraph" w:styleId="24">
    <w:name w:val="toc 5"/>
    <w:basedOn w:val="1"/>
    <w:next w:val="1"/>
    <w:qFormat/>
    <w:uiPriority w:val="0"/>
    <w:pPr>
      <w:tabs>
        <w:tab w:val="right" w:leader="dot" w:pos="9185"/>
      </w:tabs>
      <w:adjustRightInd w:val="0"/>
      <w:spacing w:line="312" w:lineRule="atLeast"/>
      <w:ind w:left="1680"/>
      <w:textAlignment w:val="baseline"/>
    </w:pPr>
    <w:rPr>
      <w:kern w:val="0"/>
      <w:szCs w:val="20"/>
    </w:rPr>
  </w:style>
  <w:style w:type="paragraph" w:styleId="25">
    <w:name w:val="toc 3"/>
    <w:basedOn w:val="1"/>
    <w:next w:val="1"/>
    <w:qFormat/>
    <w:uiPriority w:val="0"/>
    <w:pPr>
      <w:ind w:left="400" w:leftChars="400"/>
    </w:pPr>
  </w:style>
  <w:style w:type="paragraph" w:styleId="26">
    <w:name w:val="Plain Text"/>
    <w:basedOn w:val="1"/>
    <w:next w:val="5"/>
    <w:link w:val="61"/>
    <w:qFormat/>
    <w:uiPriority w:val="0"/>
    <w:rPr>
      <w:rFonts w:ascii="宋体"/>
      <w:szCs w:val="21"/>
    </w:rPr>
  </w:style>
  <w:style w:type="paragraph" w:styleId="27">
    <w:name w:val="toc 8"/>
    <w:basedOn w:val="1"/>
    <w:next w:val="1"/>
    <w:qFormat/>
    <w:uiPriority w:val="0"/>
    <w:pPr>
      <w:tabs>
        <w:tab w:val="right" w:leader="dot" w:pos="9185"/>
      </w:tabs>
      <w:adjustRightInd w:val="0"/>
      <w:spacing w:line="312" w:lineRule="atLeast"/>
      <w:ind w:left="2940"/>
      <w:textAlignment w:val="baseline"/>
    </w:pPr>
    <w:rPr>
      <w:kern w:val="0"/>
      <w:szCs w:val="20"/>
    </w:rPr>
  </w:style>
  <w:style w:type="paragraph" w:styleId="28">
    <w:name w:val="Date"/>
    <w:basedOn w:val="1"/>
    <w:next w:val="1"/>
    <w:qFormat/>
    <w:uiPriority w:val="0"/>
    <w:pPr>
      <w:ind w:left="2500" w:leftChars="2500"/>
    </w:pPr>
    <w:rPr>
      <w:rFonts w:ascii="宋体" w:cs="Courier New"/>
      <w:szCs w:val="21"/>
    </w:rPr>
  </w:style>
  <w:style w:type="paragraph" w:styleId="29">
    <w:name w:val="Body Text Indent 2"/>
    <w:basedOn w:val="1"/>
    <w:qFormat/>
    <w:uiPriority w:val="0"/>
    <w:pPr>
      <w:ind w:firstLine="630"/>
    </w:pPr>
    <w:rPr>
      <w:sz w:val="32"/>
      <w:szCs w:val="20"/>
    </w:rPr>
  </w:style>
  <w:style w:type="paragraph" w:styleId="30">
    <w:name w:val="endnote text"/>
    <w:basedOn w:val="1"/>
    <w:qFormat/>
    <w:uiPriority w:val="0"/>
    <w:pPr>
      <w:snapToGrid w:val="0"/>
      <w:jc w:val="left"/>
    </w:pPr>
    <w:rPr>
      <w:rFonts w:ascii="Calibri" w:hAnsi="Calibri"/>
      <w:szCs w:val="22"/>
    </w:rPr>
  </w:style>
  <w:style w:type="paragraph" w:styleId="31">
    <w:name w:val="Balloon Text"/>
    <w:basedOn w:val="1"/>
    <w:qFormat/>
    <w:uiPriority w:val="0"/>
    <w:rPr>
      <w:sz w:val="18"/>
      <w:szCs w:val="18"/>
    </w:rPr>
  </w:style>
  <w:style w:type="paragraph" w:styleId="32">
    <w:name w:val="footer"/>
    <w:basedOn w:val="1"/>
    <w:qFormat/>
    <w:uiPriority w:val="0"/>
    <w:pPr>
      <w:tabs>
        <w:tab w:val="center" w:pos="4153"/>
        <w:tab w:val="right" w:pos="8306"/>
      </w:tabs>
      <w:snapToGrid w:val="0"/>
      <w:jc w:val="left"/>
    </w:pPr>
    <w:rPr>
      <w:sz w:val="18"/>
      <w:szCs w:val="18"/>
    </w:rPr>
  </w:style>
  <w:style w:type="paragraph" w:styleId="3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0"/>
    <w:pPr>
      <w:tabs>
        <w:tab w:val="right" w:leader="dot" w:pos="8296"/>
        <w:tab w:val="right" w:leader="dot" w:pos="8398"/>
      </w:tabs>
      <w:spacing w:before="120" w:after="120" w:line="320" w:lineRule="exact"/>
      <w:ind w:firstLine="400" w:firstLineChars="400"/>
      <w:jc w:val="left"/>
    </w:pPr>
    <w:rPr>
      <w:rFonts w:ascii="仿宋_GB2312" w:eastAsia="仿宋_GB2312" w:cs="Courier New"/>
      <w:bCs/>
      <w:caps/>
      <w:szCs w:val="21"/>
    </w:rPr>
  </w:style>
  <w:style w:type="paragraph" w:styleId="35">
    <w:name w:val="toc 4"/>
    <w:basedOn w:val="1"/>
    <w:next w:val="1"/>
    <w:qFormat/>
    <w:uiPriority w:val="0"/>
    <w:pPr>
      <w:tabs>
        <w:tab w:val="right" w:leader="dot" w:pos="9185"/>
      </w:tabs>
      <w:adjustRightInd w:val="0"/>
      <w:spacing w:line="312" w:lineRule="atLeast"/>
      <w:ind w:left="1260"/>
      <w:textAlignment w:val="baseline"/>
    </w:pPr>
    <w:rPr>
      <w:kern w:val="0"/>
      <w:szCs w:val="20"/>
    </w:rPr>
  </w:style>
  <w:style w:type="paragraph" w:styleId="36">
    <w:name w:val="List"/>
    <w:basedOn w:val="1"/>
    <w:qFormat/>
    <w:uiPriority w:val="0"/>
    <w:pPr>
      <w:ind w:left="200" w:hanging="200" w:hangingChars="200"/>
    </w:pPr>
    <w:rPr>
      <w:sz w:val="28"/>
    </w:rPr>
  </w:style>
  <w:style w:type="paragraph" w:styleId="37">
    <w:name w:val="toc 6"/>
    <w:basedOn w:val="1"/>
    <w:next w:val="1"/>
    <w:qFormat/>
    <w:uiPriority w:val="0"/>
    <w:pPr>
      <w:tabs>
        <w:tab w:val="right" w:leader="dot" w:pos="9185"/>
      </w:tabs>
      <w:adjustRightInd w:val="0"/>
      <w:spacing w:line="312" w:lineRule="atLeast"/>
      <w:ind w:left="2100"/>
      <w:textAlignment w:val="baseline"/>
    </w:pPr>
    <w:rPr>
      <w:kern w:val="0"/>
      <w:szCs w:val="20"/>
    </w:rPr>
  </w:style>
  <w:style w:type="paragraph" w:styleId="38">
    <w:name w:val="List 5"/>
    <w:basedOn w:val="1"/>
    <w:qFormat/>
    <w:uiPriority w:val="0"/>
    <w:pPr>
      <w:ind w:left="2100" w:hanging="420"/>
    </w:pPr>
    <w:rPr>
      <w:szCs w:val="20"/>
    </w:rPr>
  </w:style>
  <w:style w:type="paragraph" w:styleId="39">
    <w:name w:val="Body Text Indent 3"/>
    <w:basedOn w:val="1"/>
    <w:qFormat/>
    <w:uiPriority w:val="0"/>
    <w:pPr>
      <w:spacing w:after="120"/>
      <w:ind w:left="200" w:leftChars="200"/>
    </w:pPr>
    <w:rPr>
      <w:sz w:val="16"/>
      <w:szCs w:val="16"/>
    </w:rPr>
  </w:style>
  <w:style w:type="paragraph" w:styleId="40">
    <w:name w:val="toc 2"/>
    <w:basedOn w:val="1"/>
    <w:next w:val="1"/>
    <w:qFormat/>
    <w:uiPriority w:val="0"/>
    <w:pPr>
      <w:ind w:left="200" w:leftChars="200"/>
    </w:pPr>
  </w:style>
  <w:style w:type="paragraph" w:styleId="41">
    <w:name w:val="toc 9"/>
    <w:basedOn w:val="1"/>
    <w:next w:val="1"/>
    <w:qFormat/>
    <w:uiPriority w:val="0"/>
    <w:pPr>
      <w:tabs>
        <w:tab w:val="right" w:leader="dot" w:pos="9185"/>
      </w:tabs>
      <w:adjustRightInd w:val="0"/>
      <w:spacing w:line="312" w:lineRule="atLeast"/>
      <w:ind w:left="3360"/>
      <w:textAlignment w:val="baseline"/>
    </w:pPr>
    <w:rPr>
      <w:kern w:val="0"/>
      <w:szCs w:val="20"/>
    </w:rPr>
  </w:style>
  <w:style w:type="paragraph" w:styleId="42">
    <w:name w:val="Body Text 2"/>
    <w:basedOn w:val="1"/>
    <w:qFormat/>
    <w:uiPriority w:val="0"/>
    <w:pPr>
      <w:spacing w:after="120" w:line="480" w:lineRule="auto"/>
    </w:pPr>
  </w:style>
  <w:style w:type="paragraph" w:styleId="4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cs="Courier New"/>
      <w:kern w:val="0"/>
      <w:sz w:val="20"/>
      <w:szCs w:val="20"/>
    </w:rPr>
  </w:style>
  <w:style w:type="paragraph" w:styleId="44">
    <w:name w:val="Normal (Web)"/>
    <w:basedOn w:val="1"/>
    <w:qFormat/>
    <w:uiPriority w:val="0"/>
    <w:pPr>
      <w:widowControl/>
      <w:spacing w:before="100" w:beforeAutospacing="1" w:after="100" w:afterAutospacing="1"/>
      <w:jc w:val="left"/>
    </w:pPr>
    <w:rPr>
      <w:rFonts w:ascii="宋体"/>
      <w:kern w:val="0"/>
      <w:sz w:val="24"/>
    </w:rPr>
  </w:style>
  <w:style w:type="paragraph" w:styleId="45">
    <w:name w:val="index 1"/>
    <w:basedOn w:val="1"/>
    <w:next w:val="1"/>
    <w:qFormat/>
    <w:uiPriority w:val="0"/>
    <w:pPr>
      <w:spacing w:line="400" w:lineRule="exact"/>
      <w:ind w:firstLine="200" w:firstLineChars="200"/>
    </w:pPr>
    <w:rPr>
      <w:rFonts w:ascii="宋体"/>
      <w:b/>
      <w:szCs w:val="20"/>
    </w:rPr>
  </w:style>
  <w:style w:type="paragraph" w:styleId="46">
    <w:name w:val="Title"/>
    <w:basedOn w:val="1"/>
    <w:next w:val="1"/>
    <w:qFormat/>
    <w:uiPriority w:val="0"/>
    <w:pPr>
      <w:spacing w:before="240" w:after="60"/>
      <w:jc w:val="center"/>
      <w:outlineLvl w:val="0"/>
    </w:pPr>
    <w:rPr>
      <w:rFonts w:ascii="Arial" w:hAnsi="Arial"/>
      <w:b/>
      <w:bCs/>
      <w:sz w:val="32"/>
      <w:szCs w:val="32"/>
    </w:rPr>
  </w:style>
  <w:style w:type="paragraph" w:styleId="47">
    <w:name w:val="annotation subject"/>
    <w:basedOn w:val="16"/>
    <w:next w:val="1"/>
    <w:qFormat/>
    <w:uiPriority w:val="0"/>
    <w:pPr>
      <w:adjustRightInd/>
      <w:spacing w:line="240" w:lineRule="auto"/>
      <w:textAlignment w:val="auto"/>
    </w:pPr>
    <w:rPr>
      <w:b/>
      <w:bCs/>
      <w:kern w:val="2"/>
      <w:sz w:val="21"/>
      <w:szCs w:val="24"/>
    </w:rPr>
  </w:style>
  <w:style w:type="paragraph" w:styleId="48">
    <w:name w:val="Body Text First Indent"/>
    <w:basedOn w:val="19"/>
    <w:next w:val="37"/>
    <w:unhideWhenUsed/>
    <w:qFormat/>
    <w:uiPriority w:val="99"/>
    <w:pPr>
      <w:ind w:firstLine="420" w:firstLineChars="100"/>
    </w:pPr>
  </w:style>
  <w:style w:type="paragraph" w:styleId="49">
    <w:name w:val="Body Text First Indent 2"/>
    <w:basedOn w:val="20"/>
    <w:unhideWhenUsed/>
    <w:qFormat/>
    <w:uiPriority w:val="99"/>
    <w:pPr>
      <w:ind w:firstLine="420" w:firstLineChars="200"/>
    </w:pPr>
  </w:style>
  <w:style w:type="character" w:styleId="52">
    <w:name w:val="Strong"/>
    <w:basedOn w:val="51"/>
    <w:qFormat/>
    <w:uiPriority w:val="0"/>
    <w:rPr>
      <w:b/>
      <w:bCs/>
    </w:rPr>
  </w:style>
  <w:style w:type="character" w:styleId="53">
    <w:name w:val="page number"/>
    <w:basedOn w:val="51"/>
    <w:qFormat/>
    <w:uiPriority w:val="0"/>
  </w:style>
  <w:style w:type="character" w:styleId="54">
    <w:name w:val="FollowedHyperlink"/>
    <w:qFormat/>
    <w:uiPriority w:val="0"/>
    <w:rPr>
      <w:color w:val="800080"/>
      <w:u w:val="single"/>
    </w:rPr>
  </w:style>
  <w:style w:type="character" w:styleId="55">
    <w:name w:val="Emphasis"/>
    <w:qFormat/>
    <w:uiPriority w:val="0"/>
    <w:rPr>
      <w:color w:val="CC0000"/>
    </w:rPr>
  </w:style>
  <w:style w:type="character" w:styleId="56">
    <w:name w:val="Hyperlink"/>
    <w:qFormat/>
    <w:uiPriority w:val="0"/>
    <w:rPr>
      <w:color w:val="0000FF"/>
      <w:u w:val="single"/>
    </w:rPr>
  </w:style>
  <w:style w:type="character" w:styleId="57">
    <w:name w:val="annotation reference"/>
    <w:qFormat/>
    <w:uiPriority w:val="0"/>
    <w:rPr>
      <w:sz w:val="21"/>
      <w:szCs w:val="21"/>
    </w:rPr>
  </w:style>
  <w:style w:type="character" w:styleId="58">
    <w:name w:val="HTML Sample"/>
    <w:basedOn w:val="51"/>
    <w:unhideWhenUsed/>
    <w:qFormat/>
    <w:uiPriority w:val="99"/>
    <w:rPr>
      <w:rFonts w:ascii="Courier New" w:hAnsi="Courier New"/>
    </w:rPr>
  </w:style>
  <w:style w:type="character" w:customStyle="1" w:styleId="59">
    <w:name w:val="标题 1 Char"/>
    <w:basedOn w:val="51"/>
    <w:link w:val="2"/>
    <w:qFormat/>
    <w:uiPriority w:val="9"/>
    <w:rPr>
      <w:b/>
      <w:bCs/>
      <w:kern w:val="44"/>
      <w:sz w:val="44"/>
      <w:szCs w:val="44"/>
    </w:rPr>
  </w:style>
  <w:style w:type="character" w:customStyle="1" w:styleId="60">
    <w:name w:val="批注文字 Char"/>
    <w:link w:val="16"/>
    <w:qFormat/>
    <w:uiPriority w:val="0"/>
    <w:rPr>
      <w:sz w:val="24"/>
    </w:rPr>
  </w:style>
  <w:style w:type="character" w:customStyle="1" w:styleId="61">
    <w:name w:val="纯文本 Char"/>
    <w:link w:val="26"/>
    <w:qFormat/>
    <w:uiPriority w:val="0"/>
    <w:rPr>
      <w:rFonts w:ascii="宋体" w:eastAsia="宋体" w:cs="Courier New"/>
      <w:kern w:val="2"/>
      <w:sz w:val="21"/>
      <w:szCs w:val="21"/>
    </w:rPr>
  </w:style>
  <w:style w:type="character" w:customStyle="1" w:styleId="62">
    <w:name w:val="普通文字 Char Char4"/>
    <w:qFormat/>
    <w:uiPriority w:val="0"/>
    <w:rPr>
      <w:rFonts w:ascii="宋体" w:eastAsia="宋体" w:cs="Courier New"/>
      <w:kern w:val="2"/>
      <w:sz w:val="21"/>
      <w:szCs w:val="21"/>
      <w:lang w:val="en-US" w:eastAsia="zh-CN" w:bidi="ar-SA"/>
    </w:rPr>
  </w:style>
  <w:style w:type="character" w:customStyle="1" w:styleId="63">
    <w:name w:val="Char Char Char Char Char"/>
    <w:qFormat/>
    <w:uiPriority w:val="0"/>
    <w:rPr>
      <w:rFonts w:eastAsia="宋体"/>
      <w:b/>
      <w:bCs/>
      <w:kern w:val="44"/>
      <w:sz w:val="44"/>
      <w:szCs w:val="44"/>
      <w:lang w:val="en-US" w:eastAsia="zh-CN" w:bidi="ar-SA"/>
    </w:rPr>
  </w:style>
  <w:style w:type="character" w:customStyle="1" w:styleId="64">
    <w:name w:val="Char Char23"/>
    <w:qFormat/>
    <w:uiPriority w:val="0"/>
    <w:rPr>
      <w:rFonts w:ascii="Times New Roman" w:hAnsi="Times New Roman" w:eastAsia="宋体" w:cs="Times New Roman"/>
      <w:b/>
      <w:bCs/>
      <w:kern w:val="44"/>
      <w:sz w:val="44"/>
      <w:szCs w:val="44"/>
      <w:lang w:bidi="ar-SA"/>
    </w:rPr>
  </w:style>
  <w:style w:type="character" w:customStyle="1" w:styleId="65">
    <w:name w:val="标题 Char1"/>
    <w:qFormat/>
    <w:uiPriority w:val="0"/>
    <w:rPr>
      <w:rFonts w:ascii="Cambria" w:hAnsi="Cambria" w:cs="Times New Roman"/>
      <w:b/>
      <w:bCs/>
      <w:kern w:val="2"/>
      <w:sz w:val="32"/>
      <w:szCs w:val="32"/>
      <w:lang w:bidi="ar-SA"/>
    </w:rPr>
  </w:style>
  <w:style w:type="character" w:customStyle="1" w:styleId="66">
    <w:name w:val="cubane_hilight1"/>
    <w:qFormat/>
    <w:uiPriority w:val="0"/>
    <w:rPr>
      <w:color w:val="CC0000"/>
    </w:rPr>
  </w:style>
  <w:style w:type="character" w:customStyle="1" w:styleId="67">
    <w:name w:val="纯文本 Char1"/>
    <w:qFormat/>
    <w:uiPriority w:val="0"/>
    <w:rPr>
      <w:rFonts w:ascii="宋体" w:eastAsia="宋体" w:cs="Courier New"/>
      <w:kern w:val="2"/>
      <w:sz w:val="21"/>
      <w:szCs w:val="21"/>
      <w:lang w:val="en-US" w:eastAsia="zh-CN" w:bidi="ar-SA"/>
    </w:rPr>
  </w:style>
  <w:style w:type="character" w:customStyle="1" w:styleId="68">
    <w:name w:val="H1 Char1"/>
    <w:qFormat/>
    <w:uiPriority w:val="0"/>
    <w:rPr>
      <w:rFonts w:eastAsia="宋体"/>
      <w:b/>
      <w:bCs/>
      <w:kern w:val="44"/>
      <w:sz w:val="44"/>
      <w:szCs w:val="44"/>
      <w:lang w:val="en-US" w:eastAsia="zh-CN" w:bidi="ar-SA"/>
    </w:rPr>
  </w:style>
  <w:style w:type="character" w:customStyle="1" w:styleId="69">
    <w:name w:val="style31"/>
    <w:qFormat/>
    <w:uiPriority w:val="0"/>
    <w:rPr>
      <w:sz w:val="18"/>
      <w:szCs w:val="18"/>
    </w:rPr>
  </w:style>
  <w:style w:type="character" w:customStyle="1" w:styleId="70">
    <w:name w:val="Char Char14"/>
    <w:qFormat/>
    <w:uiPriority w:val="0"/>
    <w:rPr>
      <w:sz w:val="18"/>
      <w:szCs w:val="18"/>
    </w:rPr>
  </w:style>
  <w:style w:type="character" w:customStyle="1" w:styleId="71">
    <w:name w:val="llyf92"/>
    <w:qFormat/>
    <w:uiPriority w:val="0"/>
    <w:rPr>
      <w:sz w:val="18"/>
      <w:szCs w:val="18"/>
    </w:rPr>
  </w:style>
  <w:style w:type="character" w:customStyle="1" w:styleId="72">
    <w:name w:val="Char Char11"/>
    <w:qFormat/>
    <w:uiPriority w:val="0"/>
    <w:rPr>
      <w:rFonts w:ascii="Times New Roman" w:hAnsi="Times New Roman" w:eastAsia="宋体" w:cs="Times New Roman"/>
      <w:sz w:val="30"/>
      <w:szCs w:val="24"/>
      <w:lang w:bidi="ar-SA"/>
    </w:rPr>
  </w:style>
  <w:style w:type="character" w:customStyle="1" w:styleId="73">
    <w:name w:val="style21"/>
    <w:qFormat/>
    <w:uiPriority w:val="0"/>
    <w:rPr>
      <w:sz w:val="18"/>
      <w:szCs w:val="18"/>
    </w:rPr>
  </w:style>
  <w:style w:type="character" w:customStyle="1" w:styleId="74">
    <w:name w:val="Char Char17"/>
    <w:qFormat/>
    <w:uiPriority w:val="0"/>
    <w:rPr>
      <w:rFonts w:ascii="Times New Roman" w:hAnsi="Times New Roman" w:cs="Times New Roman"/>
      <w:b/>
      <w:bCs/>
      <w:kern w:val="2"/>
      <w:sz w:val="21"/>
      <w:szCs w:val="24"/>
      <w:lang w:bidi="ar-SA"/>
    </w:rPr>
  </w:style>
  <w:style w:type="character" w:customStyle="1" w:styleId="75">
    <w:name w:val="Char Char15"/>
    <w:qFormat/>
    <w:uiPriority w:val="0"/>
    <w:rPr>
      <w:sz w:val="18"/>
      <w:szCs w:val="18"/>
    </w:rPr>
  </w:style>
  <w:style w:type="character" w:customStyle="1" w:styleId="76">
    <w:name w:val="无间隔 Char Char"/>
    <w:qFormat/>
    <w:uiPriority w:val="0"/>
    <w:rPr>
      <w:rFonts w:ascii="Calibri" w:hAnsi="Calibri" w:eastAsia="宋体"/>
      <w:sz w:val="22"/>
      <w:szCs w:val="22"/>
      <w:lang w:val="en-US" w:eastAsia="zh-CN" w:bidi="ar-SA"/>
    </w:rPr>
  </w:style>
  <w:style w:type="character" w:customStyle="1" w:styleId="77">
    <w:name w:val="正文文本缩进 Char1"/>
    <w:qFormat/>
    <w:uiPriority w:val="0"/>
    <w:rPr>
      <w:kern w:val="2"/>
      <w:sz w:val="21"/>
      <w:szCs w:val="22"/>
    </w:rPr>
  </w:style>
  <w:style w:type="character" w:customStyle="1" w:styleId="78">
    <w:name w:val="正文文字首行缩进 Char"/>
    <w:qFormat/>
    <w:uiPriority w:val="0"/>
    <w:rPr>
      <w:rFonts w:ascii="仿宋_GB2312" w:eastAsia="仿宋_GB2312"/>
      <w:kern w:val="2"/>
      <w:sz w:val="32"/>
    </w:rPr>
  </w:style>
  <w:style w:type="character" w:customStyle="1" w:styleId="79">
    <w:name w:val="H1 Char"/>
    <w:qFormat/>
    <w:uiPriority w:val="0"/>
    <w:rPr>
      <w:rFonts w:eastAsia="宋体"/>
      <w:b/>
      <w:bCs/>
      <w:kern w:val="44"/>
      <w:sz w:val="44"/>
      <w:szCs w:val="44"/>
      <w:lang w:val="en-US" w:eastAsia="zh-CN" w:bidi="ar-SA"/>
    </w:rPr>
  </w:style>
  <w:style w:type="character" w:customStyle="1" w:styleId="80">
    <w:name w:val="unnamed3"/>
    <w:basedOn w:val="51"/>
    <w:qFormat/>
    <w:uiPriority w:val="0"/>
  </w:style>
  <w:style w:type="character" w:customStyle="1" w:styleId="81">
    <w:name w:val="style161"/>
    <w:qFormat/>
    <w:uiPriority w:val="0"/>
    <w:rPr>
      <w:color w:val="666666"/>
    </w:rPr>
  </w:style>
  <w:style w:type="character" w:customStyle="1" w:styleId="82">
    <w:name w:val="p1"/>
    <w:basedOn w:val="51"/>
    <w:qFormat/>
    <w:uiPriority w:val="0"/>
  </w:style>
  <w:style w:type="character" w:customStyle="1" w:styleId="83">
    <w:name w:val="Body Text Char"/>
    <w:qFormat/>
    <w:uiPriority w:val="0"/>
    <w:rPr>
      <w:rFonts w:eastAsia="宋体"/>
      <w:kern w:val="2"/>
      <w:sz w:val="24"/>
      <w:szCs w:val="24"/>
      <w:lang w:val="en-US" w:eastAsia="zh-CN" w:bidi="ar-SA"/>
    </w:rPr>
  </w:style>
  <w:style w:type="character" w:customStyle="1" w:styleId="84">
    <w:name w:val="ca-0"/>
    <w:qFormat/>
    <w:uiPriority w:val="0"/>
  </w:style>
  <w:style w:type="character" w:customStyle="1" w:styleId="85">
    <w:name w:val="Char Char10"/>
    <w:qFormat/>
    <w:uiPriority w:val="0"/>
    <w:rPr>
      <w:rFonts w:eastAsia="宋体"/>
      <w:kern w:val="2"/>
      <w:sz w:val="24"/>
      <w:szCs w:val="24"/>
      <w:lang w:val="en-US" w:eastAsia="zh-CN" w:bidi="ar-SA"/>
    </w:rPr>
  </w:style>
  <w:style w:type="character" w:customStyle="1" w:styleId="86">
    <w:name w:val="普通文字 Char Char2"/>
    <w:qFormat/>
    <w:uiPriority w:val="0"/>
    <w:rPr>
      <w:rFonts w:ascii="宋体" w:eastAsia="宋体"/>
      <w:kern w:val="2"/>
      <w:sz w:val="21"/>
      <w:lang w:val="en-US" w:eastAsia="zh-CN" w:bidi="ar-SA"/>
    </w:rPr>
  </w:style>
  <w:style w:type="character" w:customStyle="1" w:styleId="87">
    <w:name w:val="自定义标题一 Char Char"/>
    <w:qFormat/>
    <w:uiPriority w:val="0"/>
    <w:rPr>
      <w:rFonts w:ascii="黑体" w:eastAsia="黑体"/>
      <w:b/>
      <w:bCs/>
      <w:kern w:val="44"/>
      <w:sz w:val="44"/>
      <w:szCs w:val="44"/>
      <w:lang w:bidi="ar-SA"/>
    </w:rPr>
  </w:style>
  <w:style w:type="character" w:customStyle="1" w:styleId="88">
    <w:name w:val="1ji Char Char"/>
    <w:qFormat/>
    <w:uiPriority w:val="0"/>
    <w:rPr>
      <w:rFonts w:ascii="宋体" w:eastAsia="宋体"/>
      <w:b/>
      <w:bCs/>
      <w:kern w:val="44"/>
      <w:sz w:val="36"/>
      <w:szCs w:val="44"/>
    </w:rPr>
  </w:style>
  <w:style w:type="character" w:customStyle="1" w:styleId="89">
    <w:name w:val="apple-style-span"/>
    <w:basedOn w:val="51"/>
    <w:qFormat/>
    <w:uiPriority w:val="0"/>
  </w:style>
  <w:style w:type="character" w:customStyle="1" w:styleId="90">
    <w:name w:val="H1 Char2"/>
    <w:qFormat/>
    <w:uiPriority w:val="0"/>
    <w:rPr>
      <w:rFonts w:eastAsia="宋体"/>
      <w:b/>
      <w:bCs/>
      <w:kern w:val="44"/>
      <w:sz w:val="44"/>
      <w:szCs w:val="44"/>
      <w:lang w:val="en-US" w:eastAsia="zh-CN" w:bidi="ar-SA"/>
    </w:rPr>
  </w:style>
  <w:style w:type="paragraph" w:customStyle="1" w:styleId="91">
    <w:name w:val="文章附标题"/>
    <w:basedOn w:val="1"/>
    <w:next w:val="2"/>
    <w:qFormat/>
    <w:uiPriority w:val="0"/>
    <w:pPr>
      <w:widowControl/>
      <w:spacing w:before="187" w:after="175" w:line="374" w:lineRule="atLeast"/>
      <w:jc w:val="center"/>
      <w:textAlignment w:val="baseline"/>
    </w:pPr>
    <w:rPr>
      <w:color w:val="000000"/>
      <w:kern w:val="0"/>
      <w:sz w:val="36"/>
      <w:szCs w:val="20"/>
      <w:u w:color="000000"/>
    </w:rPr>
  </w:style>
  <w:style w:type="paragraph" w:customStyle="1" w:styleId="9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93">
    <w:name w:val="_Style 90"/>
    <w:qFormat/>
    <w:uiPriority w:val="0"/>
    <w:rPr>
      <w:rFonts w:ascii="Times New Roman" w:hAnsi="Times New Roman" w:eastAsia="宋体" w:cs="Times New Roman"/>
      <w:kern w:val="2"/>
      <w:sz w:val="21"/>
      <w:szCs w:val="24"/>
      <w:lang w:val="en-US" w:eastAsia="zh-CN" w:bidi="ar-SA"/>
    </w:rPr>
  </w:style>
  <w:style w:type="paragraph" w:customStyle="1" w:styleId="94">
    <w:name w:val="默认段落字体 Para Char"/>
    <w:basedOn w:val="1"/>
    <w:qFormat/>
    <w:uiPriority w:val="0"/>
    <w:pPr>
      <w:adjustRightInd w:val="0"/>
      <w:spacing w:line="360" w:lineRule="auto"/>
    </w:pPr>
    <w:rPr>
      <w:szCs w:val="20"/>
    </w:rPr>
  </w:style>
  <w:style w:type="paragraph" w:customStyle="1" w:styleId="95">
    <w:name w:val="表项"/>
    <w:next w:val="1"/>
    <w:qFormat/>
    <w:uiPriority w:val="0"/>
    <w:pPr>
      <w:keepNext/>
      <w:spacing w:line="300" w:lineRule="auto"/>
      <w:jc w:val="center"/>
      <w:textAlignment w:val="baseline"/>
    </w:pPr>
    <w:rPr>
      <w:rFonts w:ascii="Arial" w:hAnsi="Arial" w:eastAsia="黑体" w:cs="Times New Roman"/>
      <w:sz w:val="21"/>
      <w:lang w:val="en-US" w:eastAsia="zh-CN" w:bidi="ar-SA"/>
    </w:rPr>
  </w:style>
  <w:style w:type="paragraph" w:customStyle="1" w:styleId="96">
    <w:name w:val="目录标题"/>
    <w:basedOn w:val="1"/>
    <w:next w:val="1"/>
    <w:qFormat/>
    <w:uiPriority w:val="0"/>
    <w:pPr>
      <w:widowControl/>
      <w:spacing w:before="566" w:after="544" w:line="566" w:lineRule="atLeast"/>
      <w:ind w:firstLine="419"/>
      <w:jc w:val="center"/>
      <w:textAlignment w:val="baseline"/>
    </w:pPr>
    <w:rPr>
      <w:rFonts w:ascii="Arial" w:hAnsi="Arial" w:eastAsia="黑体"/>
      <w:color w:val="000000"/>
      <w:spacing w:val="566"/>
      <w:kern w:val="0"/>
      <w:sz w:val="54"/>
      <w:szCs w:val="20"/>
      <w:u w:color="000000"/>
    </w:rPr>
  </w:style>
  <w:style w:type="paragraph" w:customStyle="1" w:styleId="97">
    <w:name w:val="Char Char1 Char Char Char Char"/>
    <w:basedOn w:val="15"/>
    <w:qFormat/>
    <w:uiPriority w:val="0"/>
    <w:rPr>
      <w:rFonts w:ascii="Tahoma" w:hAnsi="Tahoma"/>
      <w:sz w:val="24"/>
    </w:rPr>
  </w:style>
  <w:style w:type="paragraph" w:customStyle="1" w:styleId="98">
    <w:name w:val="p15"/>
    <w:basedOn w:val="1"/>
    <w:qFormat/>
    <w:uiPriority w:val="0"/>
    <w:pPr>
      <w:widowControl/>
    </w:pPr>
    <w:rPr>
      <w:rFonts w:ascii="宋体" w:cs="宋体"/>
      <w:kern w:val="0"/>
      <w:szCs w:val="21"/>
    </w:rPr>
  </w:style>
  <w:style w:type="paragraph" w:customStyle="1" w:styleId="99">
    <w:name w:val="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00">
    <w:name w:val="样式 正文文字 + 小四 段后: 0 磅 行距: 1.5 倍行距"/>
    <w:basedOn w:val="19"/>
    <w:qFormat/>
    <w:uiPriority w:val="0"/>
    <w:pPr>
      <w:spacing w:line="360" w:lineRule="auto"/>
      <w:ind w:firstLine="200" w:firstLineChars="200"/>
    </w:pPr>
    <w:rPr>
      <w:rFonts w:cs="宋体"/>
      <w:szCs w:val="20"/>
    </w:rPr>
  </w:style>
  <w:style w:type="paragraph" w:customStyle="1" w:styleId="101">
    <w:name w:val="正文文本缩进 Char Char Char Char"/>
    <w:basedOn w:val="1"/>
    <w:qFormat/>
    <w:uiPriority w:val="0"/>
    <w:pPr>
      <w:ind w:firstLine="540"/>
    </w:pPr>
    <w:rPr>
      <w:rFonts w:ascii="宋体"/>
      <w:szCs w:val="20"/>
    </w:rPr>
  </w:style>
  <w:style w:type="paragraph" w:customStyle="1" w:styleId="102">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paragraph" w:customStyle="1" w:styleId="103">
    <w:name w:val="_Style 35"/>
    <w:basedOn w:val="15"/>
    <w:qFormat/>
    <w:uiPriority w:val="0"/>
    <w:pPr>
      <w:widowControl/>
      <w:ind w:firstLine="454"/>
      <w:jc w:val="left"/>
    </w:pPr>
  </w:style>
  <w:style w:type="paragraph" w:customStyle="1" w:styleId="104">
    <w:name w:val="自定义标题一"/>
    <w:basedOn w:val="2"/>
    <w:qFormat/>
    <w:uiPriority w:val="0"/>
    <w:pPr>
      <w:pageBreakBefore/>
      <w:tabs>
        <w:tab w:val="left" w:pos="144"/>
      </w:tabs>
      <w:spacing w:before="0" w:after="0" w:line="360" w:lineRule="auto"/>
      <w:ind w:left="144" w:hanging="144"/>
      <w:jc w:val="center"/>
    </w:pPr>
    <w:rPr>
      <w:rFonts w:ascii="黑体" w:eastAsia="黑体"/>
    </w:rPr>
  </w:style>
  <w:style w:type="paragraph" w:customStyle="1" w:styleId="105">
    <w:name w:val="2ji"/>
    <w:basedOn w:val="3"/>
    <w:qFormat/>
    <w:uiPriority w:val="0"/>
    <w:pPr>
      <w:adjustRightInd w:val="0"/>
      <w:spacing w:before="0" w:after="0" w:line="360" w:lineRule="auto"/>
      <w:textAlignment w:val="baseline"/>
    </w:pPr>
    <w:rPr>
      <w:rFonts w:ascii="宋体" w:eastAsia="宋体"/>
      <w:sz w:val="21"/>
      <w:szCs w:val="21"/>
    </w:rPr>
  </w:style>
  <w:style w:type="paragraph" w:customStyle="1" w:styleId="106">
    <w:name w:val="样式"/>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107">
    <w:name w:val="插图题注"/>
    <w:next w:val="1"/>
    <w:qFormat/>
    <w:uiPriority w:val="0"/>
    <w:pPr>
      <w:spacing w:afterLines="100"/>
      <w:ind w:left="1089" w:hanging="369"/>
      <w:jc w:val="center"/>
    </w:pPr>
    <w:rPr>
      <w:rFonts w:ascii="Arial" w:hAnsi="Arial" w:eastAsia="宋体" w:cs="Times New Roman"/>
      <w:sz w:val="18"/>
      <w:szCs w:val="18"/>
      <w:lang w:val="en-US" w:eastAsia="zh-CN" w:bidi="ar-SA"/>
    </w:rPr>
  </w:style>
  <w:style w:type="paragraph" w:customStyle="1" w:styleId="108">
    <w:name w:val="样式 首行缩进:  2 字符"/>
    <w:basedOn w:val="1"/>
    <w:qFormat/>
    <w:uiPriority w:val="0"/>
    <w:pPr>
      <w:spacing w:line="400" w:lineRule="exact"/>
      <w:ind w:firstLine="200" w:firstLineChars="200"/>
    </w:pPr>
    <w:rPr>
      <w:rFonts w:cs="宋体"/>
      <w:sz w:val="24"/>
    </w:rPr>
  </w:style>
  <w:style w:type="paragraph" w:customStyle="1" w:styleId="109">
    <w:name w:val="标题1"/>
    <w:basedOn w:val="2"/>
    <w:qFormat/>
    <w:uiPriority w:val="0"/>
    <w:pPr>
      <w:keepLines w:val="0"/>
      <w:widowControl/>
      <w:pBdr>
        <w:bottom w:val="single" w:color="auto" w:sz="8" w:space="6"/>
      </w:pBdr>
      <w:tabs>
        <w:tab w:val="left" w:pos="0"/>
      </w:tabs>
      <w:spacing w:before="480" w:after="240" w:line="360" w:lineRule="auto"/>
      <w:ind w:left="567" w:hanging="567"/>
      <w:jc w:val="left"/>
    </w:pPr>
    <w:rPr>
      <w:rFonts w:ascii="宋体"/>
      <w:smallCaps/>
      <w:color w:val="000000"/>
      <w:spacing w:val="10"/>
      <w:kern w:val="20"/>
      <w:sz w:val="21"/>
      <w:szCs w:val="21"/>
    </w:rPr>
  </w:style>
  <w:style w:type="paragraph" w:customStyle="1" w:styleId="110">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111">
    <w:name w:val="Char Char Char Char Char Char Char Char Char"/>
    <w:basedOn w:val="1"/>
    <w:qFormat/>
    <w:uiPriority w:val="0"/>
    <w:pPr>
      <w:widowControl/>
      <w:spacing w:after="160" w:line="240" w:lineRule="exact"/>
      <w:jc w:val="left"/>
    </w:pPr>
    <w:rPr>
      <w:szCs w:val="20"/>
    </w:rPr>
  </w:style>
  <w:style w:type="paragraph" w:customStyle="1" w:styleId="112">
    <w:name w:val="Char Char Char Char Char Char Char Char Char Char Char Char Char Char Char Char"/>
    <w:basedOn w:val="1"/>
    <w:qFormat/>
    <w:uiPriority w:val="0"/>
    <w:pPr>
      <w:tabs>
        <w:tab w:val="left" w:pos="360"/>
      </w:tabs>
      <w:spacing w:line="360" w:lineRule="auto"/>
      <w:ind w:left="482" w:firstLine="200" w:firstLineChars="200"/>
    </w:pPr>
    <w:rPr>
      <w:rFonts w:ascii="宋体"/>
      <w:sz w:val="24"/>
    </w:rPr>
  </w:style>
  <w:style w:type="paragraph" w:customStyle="1" w:styleId="113">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14">
    <w:name w:val="正文首行缩进两字符"/>
    <w:basedOn w:val="1"/>
    <w:qFormat/>
    <w:uiPriority w:val="0"/>
    <w:pPr>
      <w:spacing w:line="360" w:lineRule="auto"/>
      <w:ind w:firstLine="200" w:firstLineChars="200"/>
    </w:pPr>
  </w:style>
  <w:style w:type="paragraph" w:customStyle="1" w:styleId="115">
    <w:name w:val="目录2"/>
    <w:basedOn w:val="1"/>
    <w:next w:val="1"/>
    <w:qFormat/>
    <w:uiPriority w:val="0"/>
    <w:pPr>
      <w:widowControl/>
      <w:tabs>
        <w:tab w:val="left" w:leader="dot" w:pos="8503"/>
      </w:tabs>
      <w:spacing w:line="317" w:lineRule="atLeast"/>
      <w:ind w:firstLine="209"/>
      <w:textAlignment w:val="baseline"/>
    </w:pPr>
    <w:rPr>
      <w:color w:val="000000"/>
      <w:kern w:val="0"/>
      <w:szCs w:val="20"/>
      <w:u w:color="000000"/>
    </w:rPr>
  </w:style>
  <w:style w:type="paragraph" w:customStyle="1" w:styleId="116">
    <w:name w:val="小节标题"/>
    <w:basedOn w:val="1"/>
    <w:next w:val="1"/>
    <w:qFormat/>
    <w:uiPriority w:val="0"/>
    <w:pPr>
      <w:widowControl/>
      <w:spacing w:before="175" w:after="102" w:line="351" w:lineRule="atLeast"/>
      <w:textAlignment w:val="baseline"/>
    </w:pPr>
    <w:rPr>
      <w:rFonts w:eastAsia="黑体"/>
      <w:color w:val="000000"/>
      <w:kern w:val="0"/>
      <w:szCs w:val="20"/>
      <w:u w:color="000000"/>
    </w:rPr>
  </w:style>
  <w:style w:type="paragraph" w:customStyle="1" w:styleId="117">
    <w:name w:val="F2"/>
    <w:basedOn w:val="1"/>
    <w:qFormat/>
    <w:uiPriority w:val="0"/>
    <w:pPr>
      <w:autoSpaceDE w:val="0"/>
      <w:autoSpaceDN w:val="0"/>
      <w:adjustRightInd w:val="0"/>
      <w:ind w:firstLine="601"/>
    </w:pPr>
    <w:rPr>
      <w:kern w:val="0"/>
      <w:sz w:val="24"/>
      <w:szCs w:val="20"/>
    </w:rPr>
  </w:style>
  <w:style w:type="paragraph" w:customStyle="1" w:styleId="118">
    <w:name w:val="List Paragraph1"/>
    <w:basedOn w:val="1"/>
    <w:qFormat/>
    <w:uiPriority w:val="0"/>
    <w:pPr>
      <w:ind w:firstLine="200" w:firstLineChars="200"/>
    </w:pPr>
    <w:rPr>
      <w:rFonts w:ascii="Calibri" w:hAnsi="Calibri"/>
      <w:szCs w:val="22"/>
    </w:rPr>
  </w:style>
  <w:style w:type="paragraph" w:customStyle="1" w:styleId="119">
    <w:name w:val="2-2ji"/>
    <w:basedOn w:val="3"/>
    <w:qFormat/>
    <w:uiPriority w:val="0"/>
    <w:pPr>
      <w:adjustRightInd w:val="0"/>
      <w:spacing w:before="0" w:after="0" w:line="360" w:lineRule="auto"/>
      <w:jc w:val="center"/>
      <w:textAlignment w:val="baseline"/>
    </w:pPr>
    <w:rPr>
      <w:rFonts w:ascii="宋体" w:eastAsia="宋体"/>
      <w:bCs w:val="0"/>
      <w:sz w:val="36"/>
    </w:rPr>
  </w:style>
  <w:style w:type="paragraph" w:customStyle="1" w:styleId="120">
    <w:name w:val="标题3"/>
    <w:basedOn w:val="4"/>
    <w:qFormat/>
    <w:uiPriority w:val="0"/>
    <w:pPr>
      <w:keepLines w:val="0"/>
      <w:widowControl/>
      <w:tabs>
        <w:tab w:val="left" w:pos="1247"/>
      </w:tabs>
      <w:spacing w:before="240" w:after="120" w:line="360" w:lineRule="auto"/>
      <w:ind w:left="1247" w:hanging="1247"/>
      <w:jc w:val="left"/>
    </w:pPr>
    <w:rPr>
      <w:rFonts w:ascii="Arial" w:hAnsi="Arial"/>
      <w:sz w:val="52"/>
      <w:szCs w:val="52"/>
    </w:rPr>
  </w:style>
  <w:style w:type="paragraph" w:customStyle="1" w:styleId="121">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top"/>
    </w:pPr>
    <w:rPr>
      <w:kern w:val="0"/>
      <w:szCs w:val="21"/>
    </w:rPr>
  </w:style>
  <w:style w:type="paragraph" w:customStyle="1" w:styleId="122">
    <w:name w:val="1ji"/>
    <w:basedOn w:val="2"/>
    <w:qFormat/>
    <w:uiPriority w:val="0"/>
    <w:pPr>
      <w:keepLines w:val="0"/>
      <w:widowControl/>
      <w:spacing w:before="0" w:after="0" w:line="240" w:lineRule="auto"/>
      <w:jc w:val="center"/>
    </w:pPr>
    <w:rPr>
      <w:rFonts w:ascii="宋体"/>
      <w:sz w:val="36"/>
    </w:rPr>
  </w:style>
  <w:style w:type="paragraph" w:customStyle="1" w:styleId="123">
    <w:name w:val="默认段落字体 Para Char Char Char Char Char Char Char Char Char1 Char Char Char Char"/>
    <w:basedOn w:val="1"/>
    <w:qFormat/>
    <w:uiPriority w:val="0"/>
    <w:rPr>
      <w:rFonts w:ascii="Tahoma" w:hAnsi="Tahoma"/>
      <w:sz w:val="24"/>
      <w:szCs w:val="20"/>
    </w:rPr>
  </w:style>
  <w:style w:type="paragraph" w:customStyle="1" w:styleId="124">
    <w:name w:val="Body"/>
    <w:basedOn w:val="1"/>
    <w:qFormat/>
    <w:uiPriority w:val="0"/>
    <w:pPr>
      <w:widowControl/>
      <w:tabs>
        <w:tab w:val="left" w:pos="1980"/>
      </w:tabs>
      <w:spacing w:before="80" w:after="80" w:line="360" w:lineRule="auto"/>
      <w:jc w:val="center"/>
    </w:pPr>
    <w:rPr>
      <w:szCs w:val="21"/>
    </w:rPr>
  </w:style>
  <w:style w:type="paragraph" w:customStyle="1" w:styleId="125">
    <w:name w:val="样式1"/>
    <w:basedOn w:val="1"/>
    <w:qFormat/>
    <w:uiPriority w:val="0"/>
    <w:pPr>
      <w:spacing w:before="120" w:after="120" w:line="300" w:lineRule="auto"/>
    </w:pPr>
    <w:rPr>
      <w:rFonts w:ascii="宋体"/>
      <w:b/>
      <w:sz w:val="24"/>
      <w:szCs w:val="20"/>
    </w:rPr>
  </w:style>
  <w:style w:type="paragraph" w:customStyle="1" w:styleId="126">
    <w:name w:val="4"/>
    <w:basedOn w:val="1"/>
    <w:next w:val="29"/>
    <w:qFormat/>
    <w:uiPriority w:val="0"/>
    <w:pPr>
      <w:spacing w:line="420" w:lineRule="exact"/>
      <w:ind w:firstLine="195" w:firstLineChars="195"/>
    </w:pPr>
  </w:style>
  <w:style w:type="paragraph" w:styleId="127">
    <w:name w:val="List Paragraph"/>
    <w:basedOn w:val="1"/>
    <w:qFormat/>
    <w:uiPriority w:val="34"/>
    <w:pPr>
      <w:ind w:firstLine="200" w:firstLineChars="200"/>
    </w:pPr>
    <w:rPr>
      <w:rFonts w:ascii="Calibri" w:hAnsi="Calibri"/>
      <w:szCs w:val="22"/>
    </w:rPr>
  </w:style>
  <w:style w:type="paragraph" w:customStyle="1" w:styleId="128">
    <w:name w:val="目录1"/>
    <w:basedOn w:val="1"/>
    <w:next w:val="1"/>
    <w:qFormat/>
    <w:uiPriority w:val="0"/>
    <w:pPr>
      <w:widowControl/>
      <w:tabs>
        <w:tab w:val="left" w:leader="dot" w:pos="8503"/>
      </w:tabs>
      <w:spacing w:after="136" w:line="289" w:lineRule="atLeast"/>
      <w:jc w:val="left"/>
      <w:textAlignment w:val="baseline"/>
    </w:pPr>
    <w:rPr>
      <w:rFonts w:ascii="Arial" w:hAnsi="Arial" w:eastAsia="黑体"/>
      <w:color w:val="000000"/>
      <w:kern w:val="0"/>
      <w:sz w:val="28"/>
      <w:szCs w:val="20"/>
      <w:u w:color="000000"/>
    </w:rPr>
  </w:style>
  <w:style w:type="paragraph" w:customStyle="1" w:styleId="129">
    <w:name w:val="样式 标题 2 + (西文) 宋体 非加粗 居中"/>
    <w:basedOn w:val="3"/>
    <w:qFormat/>
    <w:uiPriority w:val="0"/>
    <w:pPr>
      <w:jc w:val="center"/>
    </w:pPr>
    <w:rPr>
      <w:rFonts w:ascii="宋体" w:hAnsi="宋体" w:cs="宋体"/>
      <w:b w:val="0"/>
      <w:bCs w:val="0"/>
      <w:spacing w:val="2"/>
      <w:sz w:val="28"/>
      <w:szCs w:val="20"/>
    </w:rPr>
  </w:style>
  <w:style w:type="paragraph" w:customStyle="1" w:styleId="130">
    <w:name w:val="正文段"/>
    <w:basedOn w:val="1"/>
    <w:qFormat/>
    <w:uiPriority w:val="0"/>
    <w:pPr>
      <w:widowControl/>
      <w:snapToGrid w:val="0"/>
      <w:spacing w:afterLines="50"/>
      <w:ind w:firstLine="200" w:firstLineChars="200"/>
    </w:pPr>
    <w:rPr>
      <w:kern w:val="0"/>
      <w:sz w:val="24"/>
      <w:szCs w:val="20"/>
    </w:rPr>
  </w:style>
  <w:style w:type="paragraph" w:customStyle="1" w:styleId="131">
    <w:name w:val="文章总标题"/>
    <w:basedOn w:val="1"/>
    <w:next w:val="91"/>
    <w:qFormat/>
    <w:uiPriority w:val="0"/>
    <w:pPr>
      <w:widowControl/>
      <w:spacing w:before="566" w:after="544" w:line="566" w:lineRule="atLeast"/>
      <w:jc w:val="center"/>
      <w:textAlignment w:val="baseline"/>
    </w:pPr>
    <w:rPr>
      <w:rFonts w:ascii="Arial" w:hAnsi="Arial" w:eastAsia="黑体"/>
      <w:color w:val="000000"/>
      <w:kern w:val="0"/>
      <w:sz w:val="54"/>
      <w:szCs w:val="20"/>
      <w:u w:color="000000"/>
    </w:rPr>
  </w:style>
  <w:style w:type="paragraph" w:customStyle="1" w:styleId="132">
    <w:name w:val="纯文本1"/>
    <w:basedOn w:val="1"/>
    <w:qFormat/>
    <w:uiPriority w:val="0"/>
    <w:rPr>
      <w:rFonts w:ascii="宋体"/>
      <w:szCs w:val="20"/>
    </w:rPr>
  </w:style>
  <w:style w:type="paragraph" w:customStyle="1" w:styleId="133">
    <w:name w:val="Default"/>
    <w:basedOn w:val="46"/>
    <w:qFormat/>
    <w:uiPriority w:val="0"/>
    <w:pPr>
      <w:autoSpaceDE w:val="0"/>
      <w:autoSpaceDN w:val="0"/>
      <w:adjustRightInd w:val="0"/>
    </w:pPr>
    <w:rPr>
      <w:rFonts w:ascii="宋体" w:hAnsi="Times New Roman" w:cs="宋体"/>
      <w:color w:val="000000"/>
      <w:sz w:val="24"/>
      <w:szCs w:val="24"/>
    </w:rPr>
  </w:style>
  <w:style w:type="paragraph" w:customStyle="1" w:styleId="134">
    <w:name w:val="Char Char Char Char"/>
    <w:basedOn w:val="15"/>
    <w:qFormat/>
    <w:uiPriority w:val="0"/>
    <w:pPr>
      <w:adjustRightInd w:val="0"/>
      <w:snapToGrid w:val="0"/>
      <w:spacing w:line="360" w:lineRule="auto"/>
    </w:pPr>
    <w:rPr>
      <w:rFonts w:ascii="Tahoma" w:hAnsi="Tahoma"/>
      <w:sz w:val="24"/>
    </w:rPr>
  </w:style>
  <w:style w:type="paragraph" w:customStyle="1" w:styleId="135">
    <w:name w:val="列出段落1"/>
    <w:qFormat/>
    <w:uiPriority w:val="0"/>
    <w:pPr>
      <w:ind w:firstLine="200" w:firstLineChars="200"/>
    </w:pPr>
    <w:rPr>
      <w:rFonts w:ascii="Calibri" w:hAnsi="Calibri" w:eastAsia="宋体" w:cs="Times New Roman"/>
      <w:szCs w:val="22"/>
      <w:lang w:val="en-US" w:eastAsia="zh-CN" w:bidi="ar-SA"/>
    </w:rPr>
  </w:style>
  <w:style w:type="paragraph" w:customStyle="1" w:styleId="136">
    <w:name w:val="Default Paragraph Font Para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37">
    <w:name w:val="Char Char1 Char Char Char Char1"/>
    <w:basedOn w:val="15"/>
    <w:qFormat/>
    <w:uiPriority w:val="0"/>
    <w:rPr>
      <w:rFonts w:ascii="Tahoma" w:hAnsi="Tahoma"/>
      <w:sz w:val="24"/>
    </w:rPr>
  </w:style>
  <w:style w:type="paragraph" w:customStyle="1" w:styleId="138">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customStyle="1" w:styleId="139">
    <w:name w:val="Char Char Char1 Char"/>
    <w:basedOn w:val="1"/>
    <w:qFormat/>
    <w:uiPriority w:val="0"/>
    <w:pPr>
      <w:tabs>
        <w:tab w:val="left" w:pos="360"/>
      </w:tabs>
      <w:spacing w:line="360" w:lineRule="auto"/>
      <w:ind w:left="482" w:firstLine="200" w:firstLineChars="200"/>
    </w:pPr>
    <w:rPr>
      <w:rFonts w:ascii="宋体"/>
      <w:sz w:val="24"/>
      <w:szCs w:val="20"/>
    </w:rPr>
  </w:style>
  <w:style w:type="paragraph" w:customStyle="1" w:styleId="140">
    <w:name w:val="1"/>
    <w:basedOn w:val="1"/>
    <w:next w:val="26"/>
    <w:qFormat/>
    <w:uiPriority w:val="0"/>
    <w:rPr>
      <w:rFonts w:ascii="宋体"/>
      <w:szCs w:val="20"/>
    </w:rPr>
  </w:style>
  <w:style w:type="paragraph" w:customStyle="1" w:styleId="141">
    <w:name w:val="Char Char Char Char Char Char Char Char Char Char Char Char Char Char Char Char1"/>
    <w:basedOn w:val="1"/>
    <w:qFormat/>
    <w:uiPriority w:val="0"/>
    <w:pPr>
      <w:tabs>
        <w:tab w:val="left" w:pos="360"/>
      </w:tabs>
      <w:spacing w:line="360" w:lineRule="auto"/>
      <w:ind w:left="482" w:firstLine="200" w:firstLineChars="200"/>
    </w:pPr>
    <w:rPr>
      <w:rFonts w:ascii="宋体"/>
      <w:sz w:val="24"/>
    </w:rPr>
  </w:style>
  <w:style w:type="paragraph" w:customStyle="1" w:styleId="142">
    <w:name w:val="节标题"/>
    <w:basedOn w:val="1"/>
    <w:next w:val="116"/>
    <w:qFormat/>
    <w:uiPriority w:val="0"/>
    <w:pPr>
      <w:widowControl/>
      <w:spacing w:line="289" w:lineRule="atLeast"/>
      <w:jc w:val="center"/>
      <w:textAlignment w:val="baseline"/>
    </w:pPr>
    <w:rPr>
      <w:color w:val="000000"/>
      <w:kern w:val="0"/>
      <w:sz w:val="28"/>
      <w:szCs w:val="20"/>
      <w:u w:color="000000"/>
    </w:rPr>
  </w:style>
  <w:style w:type="paragraph" w:customStyle="1" w:styleId="143">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44">
    <w:name w:val="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45">
    <w:name w:val="Char Char Char1 Char Char Char Char Char Char Char Char Char Char Char Char Char Char Char"/>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146">
    <w:name w:val="Char1"/>
    <w:basedOn w:val="1"/>
    <w:qFormat/>
    <w:uiPriority w:val="0"/>
    <w:rPr>
      <w:szCs w:val="21"/>
    </w:rPr>
  </w:style>
  <w:style w:type="paragraph" w:customStyle="1" w:styleId="147">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148">
    <w:name w:val="Char"/>
    <w:basedOn w:val="15"/>
    <w:qFormat/>
    <w:uiPriority w:val="0"/>
    <w:pPr>
      <w:widowControl/>
      <w:ind w:firstLine="454"/>
      <w:jc w:val="left"/>
    </w:pPr>
    <w:rPr>
      <w:rFonts w:ascii="Tahoma" w:hAnsi="Tahoma" w:cs="宋体"/>
      <w:kern w:val="0"/>
      <w:sz w:val="24"/>
      <w:szCs w:val="20"/>
    </w:rPr>
  </w:style>
  <w:style w:type="paragraph" w:customStyle="1" w:styleId="149">
    <w:name w:val="表内文字"/>
    <w:basedOn w:val="1"/>
    <w:qFormat/>
    <w:uiPriority w:val="0"/>
    <w:pPr>
      <w:snapToGrid w:val="0"/>
      <w:spacing w:before="50" w:after="50" w:line="360" w:lineRule="exact"/>
    </w:pPr>
    <w:rPr>
      <w:rFonts w:ascii="宋体"/>
      <w:b/>
      <w:color w:val="0000FF"/>
      <w:szCs w:val="21"/>
    </w:rPr>
  </w:style>
  <w:style w:type="paragraph" w:customStyle="1" w:styleId="150">
    <w:name w:val="表格题注"/>
    <w:next w:val="1"/>
    <w:qFormat/>
    <w:uiPriority w:val="0"/>
    <w:pPr>
      <w:keepLines/>
      <w:spacing w:beforeLines="100"/>
      <w:ind w:left="1089" w:hanging="369"/>
      <w:jc w:val="center"/>
    </w:pPr>
    <w:rPr>
      <w:rFonts w:ascii="Arial" w:hAnsi="Arial" w:eastAsia="宋体" w:cs="Times New Roman"/>
      <w:sz w:val="18"/>
      <w:szCs w:val="18"/>
      <w:lang w:val="en-US" w:eastAsia="zh-CN" w:bidi="ar-SA"/>
    </w:rPr>
  </w:style>
  <w:style w:type="paragraph" w:customStyle="1" w:styleId="151">
    <w:name w:val="Char3"/>
    <w:basedOn w:val="15"/>
    <w:qFormat/>
    <w:uiPriority w:val="0"/>
    <w:pPr>
      <w:widowControl/>
      <w:ind w:firstLine="454"/>
      <w:jc w:val="left"/>
    </w:pPr>
    <w:rPr>
      <w:rFonts w:ascii="Tahoma" w:hAnsi="Tahoma" w:cs="宋体"/>
      <w:kern w:val="0"/>
      <w:sz w:val="24"/>
      <w:szCs w:val="20"/>
    </w:rPr>
  </w:style>
  <w:style w:type="paragraph" w:customStyle="1" w:styleId="152">
    <w:name w:val="表格"/>
    <w:basedOn w:val="1"/>
    <w:qFormat/>
    <w:uiPriority w:val="0"/>
    <w:pPr>
      <w:spacing w:line="400" w:lineRule="exact"/>
    </w:pPr>
    <w:rPr>
      <w:sz w:val="24"/>
    </w:rPr>
  </w:style>
  <w:style w:type="paragraph" w:customStyle="1" w:styleId="153">
    <w:name w:val="xl31"/>
    <w:basedOn w:val="1"/>
    <w:qFormat/>
    <w:uiPriority w:val="0"/>
    <w:pPr>
      <w:widowControl/>
      <w:pBdr>
        <w:bottom w:val="single" w:color="auto" w:sz="4" w:space="0"/>
        <w:right w:val="single" w:color="auto" w:sz="4" w:space="0"/>
      </w:pBdr>
      <w:spacing w:before="100" w:beforeAutospacing="1" w:after="100" w:afterAutospacing="1"/>
      <w:jc w:val="center"/>
    </w:pPr>
    <w:rPr>
      <w:rFonts w:ascii="宋体"/>
      <w:kern w:val="0"/>
      <w:szCs w:val="21"/>
    </w:rPr>
  </w:style>
  <w:style w:type="paragraph" w:styleId="154">
    <w:name w:val="No Spacing"/>
    <w:qFormat/>
    <w:uiPriority w:val="0"/>
    <w:rPr>
      <w:rFonts w:ascii="Calibri" w:hAnsi="Calibri" w:eastAsia="宋体" w:cs="Times New Roman"/>
      <w:sz w:val="22"/>
      <w:szCs w:val="22"/>
      <w:lang w:val="en-US" w:eastAsia="zh-CN" w:bidi="ar-SA"/>
    </w:rPr>
  </w:style>
  <w:style w:type="paragraph" w:customStyle="1" w:styleId="155">
    <w:name w:val="Char21"/>
    <w:basedOn w:val="1"/>
    <w:qFormat/>
    <w:uiPriority w:val="0"/>
    <w:rPr>
      <w:szCs w:val="20"/>
    </w:rPr>
  </w:style>
  <w:style w:type="paragraph" w:customStyle="1" w:styleId="156">
    <w:name w:val="目录3"/>
    <w:basedOn w:val="1"/>
    <w:next w:val="1"/>
    <w:qFormat/>
    <w:uiPriority w:val="0"/>
    <w:pPr>
      <w:widowControl/>
      <w:tabs>
        <w:tab w:val="left" w:leader="dot" w:pos="8503"/>
      </w:tabs>
      <w:spacing w:line="317" w:lineRule="atLeast"/>
      <w:ind w:firstLine="419"/>
      <w:textAlignment w:val="baseline"/>
    </w:pPr>
    <w:rPr>
      <w:color w:val="000000"/>
      <w:kern w:val="0"/>
      <w:szCs w:val="20"/>
      <w:u w:color="000000"/>
    </w:rPr>
  </w:style>
  <w:style w:type="paragraph" w:customStyle="1" w:styleId="157">
    <w:name w:val="样式3"/>
    <w:basedOn w:val="1"/>
    <w:qFormat/>
    <w:uiPriority w:val="0"/>
    <w:pPr>
      <w:tabs>
        <w:tab w:val="left" w:pos="560"/>
        <w:tab w:val="left" w:pos="1120"/>
      </w:tabs>
      <w:spacing w:line="480" w:lineRule="atLeast"/>
    </w:pPr>
    <w:rPr>
      <w:rFonts w:ascii="宋体" w:hAnsi="宋体" w:eastAsia="创艺简黑体"/>
      <w:szCs w:val="20"/>
    </w:rPr>
  </w:style>
  <w:style w:type="paragraph" w:customStyle="1" w:styleId="158">
    <w:name w:val="Char Char1"/>
    <w:basedOn w:val="1"/>
    <w:qFormat/>
    <w:uiPriority w:val="0"/>
    <w:pPr>
      <w:widowControl/>
      <w:spacing w:after="160" w:line="240" w:lineRule="exact"/>
      <w:jc w:val="left"/>
    </w:pPr>
    <w:rPr>
      <w:rFonts w:ascii="Verdana" w:hAnsi="Verdana" w:eastAsia="楷体_GB2312" w:cs="宋体"/>
      <w:b/>
      <w:i/>
      <w:iCs/>
      <w:color w:val="000000"/>
      <w:kern w:val="0"/>
      <w:sz w:val="20"/>
      <w:lang w:eastAsia="en-US"/>
    </w:rPr>
  </w:style>
  <w:style w:type="paragraph" w:customStyle="1" w:styleId="159">
    <w:name w:val="目录4"/>
    <w:basedOn w:val="1"/>
    <w:next w:val="1"/>
    <w:qFormat/>
    <w:uiPriority w:val="0"/>
    <w:pPr>
      <w:widowControl/>
      <w:tabs>
        <w:tab w:val="left" w:leader="dot" w:pos="8503"/>
      </w:tabs>
      <w:spacing w:line="317" w:lineRule="atLeast"/>
      <w:ind w:firstLine="629"/>
      <w:textAlignment w:val="baseline"/>
    </w:pPr>
    <w:rPr>
      <w:color w:val="000000"/>
      <w:kern w:val="0"/>
      <w:szCs w:val="20"/>
      <w:u w:color="000000"/>
    </w:rPr>
  </w:style>
  <w:style w:type="paragraph" w:customStyle="1" w:styleId="160">
    <w:name w:val="_Style 157"/>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61">
    <w:name w:val="p0"/>
    <w:basedOn w:val="1"/>
    <w:qFormat/>
    <w:uiPriority w:val="0"/>
    <w:pPr>
      <w:widowControl/>
    </w:pPr>
    <w:rPr>
      <w:kern w:val="0"/>
      <w:szCs w:val="21"/>
    </w:rPr>
  </w:style>
  <w:style w:type="paragraph" w:customStyle="1" w:styleId="162">
    <w:name w:val="444"/>
    <w:basedOn w:val="1"/>
    <w:qFormat/>
    <w:uiPriority w:val="0"/>
    <w:pPr>
      <w:adjustRightInd w:val="0"/>
      <w:spacing w:line="312" w:lineRule="atLeast"/>
      <w:jc w:val="center"/>
      <w:textAlignment w:val="baseline"/>
    </w:pPr>
    <w:rPr>
      <w:b/>
      <w:kern w:val="0"/>
      <w:sz w:val="36"/>
      <w:szCs w:val="36"/>
    </w:rPr>
  </w:style>
  <w:style w:type="paragraph" w:customStyle="1" w:styleId="163">
    <w:name w:val="Char1 Char Char Char"/>
    <w:basedOn w:val="1"/>
    <w:qFormat/>
    <w:uiPriority w:val="0"/>
    <w:rPr>
      <w:rFonts w:ascii="Courier New" w:hAnsi="Courier New" w:cs="Courier New"/>
    </w:rPr>
  </w:style>
  <w:style w:type="paragraph" w:customStyle="1" w:styleId="164">
    <w:name w:val="TOC 标题2"/>
    <w:next w:val="1"/>
    <w:qFormat/>
    <w:uiPriority w:val="99"/>
    <w:pPr>
      <w:wordWrap w:val="0"/>
    </w:pPr>
    <w:rPr>
      <w:rFonts w:ascii="Calibri" w:hAnsi="Calibri" w:eastAsia="宋体" w:cs="Times New Roman"/>
      <w:sz w:val="32"/>
      <w:lang w:val="en-US" w:eastAsia="zh-CN" w:bidi="ar-SA"/>
    </w:rPr>
  </w:style>
  <w:style w:type="paragraph" w:customStyle="1" w:styleId="165">
    <w:name w:val="修订1"/>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80</Pages>
  <Words>28284</Words>
  <Characters>30059</Characters>
  <Lines>433</Lines>
  <Paragraphs>122</Paragraphs>
  <TotalTime>53</TotalTime>
  <ScaleCrop>false</ScaleCrop>
  <LinksUpToDate>false</LinksUpToDate>
  <CharactersWithSpaces>31170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2017-08-10T01:29:00Z</dcterms:created>
  <dc:creator>聂泉源</dc:creator>
  <cp:lastModifiedBy>招标代理</cp:lastModifiedBy>
  <cp:lastPrinted>2015-04-27T02:45:00Z</cp:lastPrinted>
  <dcterms:modified xsi:type="dcterms:W3CDTF">2026-05-07T04:12:55Z</dcterms:modified>
  <dc:title>3</dc:title>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eyJoZGlkIjoiNThhMGNjNzRjODA1MzlmOTNhODQ1NTg4YWM3YjQ2ZjQiLCJ1c2VySWQiOiIxNjUxMjY0MDU4In0=</vt:lpwstr>
  </property>
  <property fmtid="{D5CDD505-2E9C-101B-9397-08002B2CF9AE}" pid="4" name="ICV">
    <vt:lpwstr>8C765CCC53C64BFD98FEBD3CC65831DA_13</vt:lpwstr>
  </property>
</Properties>
</file>