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05CB7A">
      <w:pPr>
        <w:jc w:val="center"/>
        <w:rPr>
          <w:rFonts w:ascii="宋体" w:hAnsi="宋体"/>
          <w:color w:val="auto"/>
          <w:sz w:val="52"/>
          <w:highlight w:val="none"/>
        </w:rPr>
      </w:pPr>
      <w:r>
        <w:rPr>
          <w:rFonts w:ascii="宋体" w:hAnsi="宋体" w:cs="宋体"/>
          <w:b/>
          <w:color w:val="auto"/>
          <w:sz w:val="52"/>
          <w:szCs w:val="52"/>
          <w:highlight w:val="none"/>
        </w:rPr>
        <w:drawing>
          <wp:inline distT="0" distB="0" distL="114300" distR="114300">
            <wp:extent cx="3362325" cy="1666875"/>
            <wp:effectExtent l="0" t="0" r="0" b="0"/>
            <wp:docPr id="1" name="图片 1" descr="众联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众联标志"/>
                    <pic:cNvPicPr>
                      <a:picLocks noChangeAspect="1"/>
                    </pic:cNvPicPr>
                  </pic:nvPicPr>
                  <pic:blipFill>
                    <a:blip r:embed="rId9"/>
                    <a:stretch>
                      <a:fillRect/>
                    </a:stretch>
                  </pic:blipFill>
                  <pic:spPr>
                    <a:xfrm>
                      <a:off x="0" y="0"/>
                      <a:ext cx="3362325" cy="1666875"/>
                    </a:xfrm>
                    <a:prstGeom prst="rect">
                      <a:avLst/>
                    </a:prstGeom>
                    <a:noFill/>
                    <a:ln>
                      <a:noFill/>
                    </a:ln>
                  </pic:spPr>
                </pic:pic>
              </a:graphicData>
            </a:graphic>
          </wp:inline>
        </w:drawing>
      </w:r>
    </w:p>
    <w:p w14:paraId="12469C42">
      <w:pPr>
        <w:pStyle w:val="24"/>
        <w:spacing w:line="360" w:lineRule="auto"/>
        <w:jc w:val="center"/>
        <w:outlineLvl w:val="0"/>
        <w:rPr>
          <w:rFonts w:hAnsi="宋体"/>
          <w:bCs/>
          <w:color w:val="auto"/>
          <w:sz w:val="72"/>
          <w:szCs w:val="72"/>
          <w:highlight w:val="none"/>
        </w:rPr>
      </w:pPr>
      <w:bookmarkStart w:id="0" w:name="_Toc19778"/>
      <w:r>
        <w:rPr>
          <w:rFonts w:hint="eastAsia" w:hAnsi="宋体"/>
          <w:color w:val="auto"/>
          <w:sz w:val="52"/>
          <w:highlight w:val="none"/>
        </w:rPr>
        <w:t>广西众联工程项目管理有限公司</w:t>
      </w:r>
      <w:bookmarkEnd w:id="0"/>
    </w:p>
    <w:p w14:paraId="6A93BA28">
      <w:pPr>
        <w:pStyle w:val="24"/>
        <w:spacing w:line="360" w:lineRule="auto"/>
        <w:jc w:val="center"/>
        <w:rPr>
          <w:rFonts w:hAnsi="宋体"/>
          <w:b w:val="0"/>
          <w:bCs/>
          <w:color w:val="auto"/>
          <w:sz w:val="72"/>
          <w:szCs w:val="72"/>
          <w:highlight w:val="none"/>
        </w:rPr>
      </w:pPr>
    </w:p>
    <w:p w14:paraId="5AB62C90">
      <w:pPr>
        <w:pStyle w:val="24"/>
        <w:spacing w:line="1000" w:lineRule="exact"/>
        <w:jc w:val="center"/>
        <w:rPr>
          <w:rFonts w:hAnsi="宋体"/>
          <w:color w:val="auto"/>
          <w:sz w:val="100"/>
          <w:szCs w:val="100"/>
          <w:highlight w:val="none"/>
        </w:rPr>
      </w:pPr>
      <w:r>
        <w:rPr>
          <w:rFonts w:hint="eastAsia" w:hAnsi="宋体"/>
          <w:color w:val="auto"/>
          <w:sz w:val="100"/>
          <w:szCs w:val="100"/>
          <w:highlight w:val="none"/>
        </w:rPr>
        <w:t>竞争性磋商文件</w:t>
      </w:r>
    </w:p>
    <w:p w14:paraId="239D726C">
      <w:pPr>
        <w:pStyle w:val="24"/>
        <w:spacing w:line="900" w:lineRule="exact"/>
        <w:jc w:val="center"/>
        <w:rPr>
          <w:rFonts w:hAnsi="宋体"/>
          <w:b w:val="0"/>
          <w:bCs/>
          <w:color w:val="auto"/>
          <w:sz w:val="100"/>
          <w:szCs w:val="100"/>
          <w:highlight w:val="none"/>
        </w:rPr>
      </w:pPr>
    </w:p>
    <w:p w14:paraId="53734612">
      <w:pPr>
        <w:pStyle w:val="24"/>
        <w:spacing w:line="276" w:lineRule="auto"/>
        <w:jc w:val="center"/>
        <w:rPr>
          <w:rFonts w:hAnsi="宋体"/>
          <w:color w:val="auto"/>
          <w:sz w:val="32"/>
          <w:highlight w:val="none"/>
        </w:rPr>
      </w:pPr>
    </w:p>
    <w:p w14:paraId="0F17C4A5">
      <w:pPr>
        <w:pStyle w:val="24"/>
        <w:spacing w:line="276" w:lineRule="auto"/>
        <w:ind w:left="158" w:leftChars="75"/>
        <w:jc w:val="center"/>
        <w:outlineLvl w:val="0"/>
        <w:rPr>
          <w:rFonts w:hint="eastAsia" w:hAnsi="宋体" w:eastAsia="宋体"/>
          <w:color w:val="auto"/>
          <w:sz w:val="32"/>
          <w:highlight w:val="none"/>
          <w:lang w:eastAsia="zh-CN"/>
        </w:rPr>
      </w:pPr>
      <w:r>
        <w:rPr>
          <w:rFonts w:hint="eastAsia" w:hAnsi="宋体"/>
          <w:color w:val="auto"/>
          <w:sz w:val="32"/>
          <w:highlight w:val="none"/>
        </w:rPr>
        <w:t>项目名称：</w:t>
      </w:r>
      <w:r>
        <w:rPr>
          <w:rFonts w:hint="eastAsia" w:hAnsi="宋体"/>
          <w:color w:val="auto"/>
          <w:sz w:val="32"/>
          <w:highlight w:val="none"/>
          <w:lang w:eastAsia="zh-CN"/>
        </w:rPr>
        <w:t>2026年校园安全保卫及学生管理服务采购</w:t>
      </w:r>
    </w:p>
    <w:p w14:paraId="180E43A8">
      <w:pPr>
        <w:pStyle w:val="24"/>
        <w:spacing w:line="900" w:lineRule="exact"/>
        <w:ind w:left="0" w:leftChars="0" w:firstLine="1163" w:firstLineChars="362"/>
        <w:jc w:val="both"/>
        <w:rPr>
          <w:rFonts w:hint="eastAsia" w:hAnsi="宋体" w:eastAsia="宋体"/>
          <w:color w:val="auto"/>
          <w:sz w:val="32"/>
          <w:highlight w:val="none"/>
          <w:lang w:eastAsia="zh-CN"/>
        </w:rPr>
      </w:pPr>
      <w:r>
        <w:rPr>
          <w:rFonts w:hint="eastAsia" w:hAnsi="宋体"/>
          <w:color w:val="auto"/>
          <w:sz w:val="32"/>
          <w:highlight w:val="none"/>
        </w:rPr>
        <w:t>项目编号：</w:t>
      </w:r>
      <w:r>
        <w:rPr>
          <w:rFonts w:hint="eastAsia" w:hAnsi="宋体"/>
          <w:color w:val="auto"/>
          <w:sz w:val="32"/>
          <w:highlight w:val="none"/>
          <w:lang w:eastAsia="zh-CN"/>
        </w:rPr>
        <w:t>GXZC2026-C3-000827-GXZL</w:t>
      </w:r>
    </w:p>
    <w:p w14:paraId="2BC9EBE5">
      <w:pPr>
        <w:pStyle w:val="24"/>
        <w:spacing w:line="400" w:lineRule="exact"/>
        <w:rPr>
          <w:rFonts w:hAnsi="宋体"/>
          <w:color w:val="auto"/>
          <w:highlight w:val="none"/>
        </w:rPr>
      </w:pPr>
    </w:p>
    <w:p w14:paraId="0BFC8C7B">
      <w:pPr>
        <w:pStyle w:val="24"/>
        <w:spacing w:line="400" w:lineRule="exact"/>
        <w:rPr>
          <w:rFonts w:hAnsi="宋体"/>
          <w:color w:val="auto"/>
          <w:highlight w:val="none"/>
        </w:rPr>
      </w:pPr>
    </w:p>
    <w:p w14:paraId="30B32574">
      <w:pPr>
        <w:rPr>
          <w:color w:val="auto"/>
          <w:highlight w:val="none"/>
        </w:rPr>
      </w:pPr>
    </w:p>
    <w:p w14:paraId="2C08DC5B">
      <w:pPr>
        <w:rPr>
          <w:color w:val="auto"/>
          <w:highlight w:val="none"/>
        </w:rPr>
      </w:pPr>
    </w:p>
    <w:p w14:paraId="39D85CAC">
      <w:pPr>
        <w:rPr>
          <w:color w:val="auto"/>
          <w:highlight w:val="none"/>
        </w:rPr>
      </w:pPr>
    </w:p>
    <w:p w14:paraId="62EAA7F2">
      <w:pPr>
        <w:rPr>
          <w:color w:val="auto"/>
          <w:highlight w:val="none"/>
        </w:rPr>
      </w:pPr>
    </w:p>
    <w:p w14:paraId="0DBEEC1D">
      <w:pPr>
        <w:rPr>
          <w:color w:val="auto"/>
          <w:highlight w:val="none"/>
        </w:rPr>
      </w:pPr>
    </w:p>
    <w:p w14:paraId="57B7887F">
      <w:pPr>
        <w:ind w:firstLine="1285" w:firstLineChars="400"/>
        <w:outlineLvl w:val="0"/>
        <w:rPr>
          <w:rFonts w:hint="eastAsia" w:ascii="宋体" w:hAnsi="宋体" w:eastAsia="宋体"/>
          <w:b/>
          <w:color w:val="auto"/>
          <w:sz w:val="32"/>
          <w:highlight w:val="none"/>
          <w:lang w:eastAsia="zh-CN"/>
        </w:rPr>
      </w:pPr>
      <w:bookmarkStart w:id="1" w:name="_Toc32758"/>
      <w:r>
        <w:rPr>
          <w:rFonts w:hint="eastAsia" w:ascii="宋体" w:hAnsi="宋体"/>
          <w:b/>
          <w:color w:val="auto"/>
          <w:sz w:val="32"/>
          <w:highlight w:val="none"/>
        </w:rPr>
        <w:t>采 购 人：</w:t>
      </w:r>
      <w:bookmarkEnd w:id="1"/>
      <w:r>
        <w:rPr>
          <w:rFonts w:hint="eastAsia" w:ascii="宋体" w:hAnsi="宋体"/>
          <w:b/>
          <w:color w:val="auto"/>
          <w:sz w:val="32"/>
          <w:highlight w:val="none"/>
        </w:rPr>
        <w:t>广西广播电视学校</w:t>
      </w:r>
    </w:p>
    <w:p w14:paraId="7CE94123">
      <w:pPr>
        <w:ind w:firstLine="1285" w:firstLineChars="400"/>
        <w:rPr>
          <w:rFonts w:hint="eastAsia" w:ascii="宋体" w:hAnsi="宋体"/>
          <w:b/>
          <w:color w:val="auto"/>
          <w:sz w:val="32"/>
          <w:highlight w:val="none"/>
        </w:rPr>
      </w:pPr>
    </w:p>
    <w:p w14:paraId="48AF2B3F">
      <w:pPr>
        <w:ind w:firstLine="1285" w:firstLineChars="400"/>
        <w:rPr>
          <w:rFonts w:ascii="宋体" w:hAnsi="宋体"/>
          <w:b/>
          <w:color w:val="auto"/>
          <w:sz w:val="32"/>
          <w:highlight w:val="none"/>
        </w:rPr>
      </w:pPr>
      <w:r>
        <w:rPr>
          <w:rFonts w:hint="eastAsia" w:ascii="宋体" w:hAnsi="宋体"/>
          <w:b/>
          <w:color w:val="auto"/>
          <w:sz w:val="32"/>
          <w:highlight w:val="none"/>
        </w:rPr>
        <w:t>采购代理机构：广西众联工程项目管理有限公司</w:t>
      </w:r>
    </w:p>
    <w:p w14:paraId="48C1851B">
      <w:pPr>
        <w:ind w:firstLine="2891" w:firstLineChars="900"/>
        <w:rPr>
          <w:rFonts w:hint="eastAsia" w:ascii="宋体" w:hAnsi="宋体"/>
          <w:b/>
          <w:color w:val="auto"/>
          <w:sz w:val="32"/>
          <w:highlight w:val="none"/>
        </w:rPr>
      </w:pPr>
    </w:p>
    <w:p w14:paraId="68365558">
      <w:pPr>
        <w:ind w:firstLine="2891" w:firstLineChars="900"/>
        <w:rPr>
          <w:rFonts w:hint="default" w:ascii="宋体" w:hAnsi="宋体" w:eastAsia="宋体"/>
          <w:b/>
          <w:color w:val="auto"/>
          <w:sz w:val="32"/>
          <w:highlight w:val="none"/>
          <w:lang w:val="en-US" w:eastAsia="zh-CN"/>
        </w:rPr>
      </w:pPr>
      <w:r>
        <w:rPr>
          <w:rFonts w:hint="eastAsia" w:ascii="宋体" w:hAnsi="宋体"/>
          <w:b/>
          <w:color w:val="auto"/>
          <w:sz w:val="32"/>
          <w:highlight w:val="none"/>
        </w:rPr>
        <w:t>日期：</w:t>
      </w:r>
      <w:r>
        <w:rPr>
          <w:rFonts w:hint="eastAsia" w:ascii="宋体" w:hAnsi="宋体"/>
          <w:b/>
          <w:color w:val="auto"/>
          <w:sz w:val="32"/>
          <w:highlight w:val="none"/>
          <w:lang w:eastAsia="zh-CN"/>
        </w:rPr>
        <w:t>202</w:t>
      </w:r>
      <w:r>
        <w:rPr>
          <w:rFonts w:hint="eastAsia" w:ascii="宋体" w:hAnsi="宋体"/>
          <w:b/>
          <w:color w:val="auto"/>
          <w:sz w:val="32"/>
          <w:highlight w:val="none"/>
          <w:lang w:val="en-US" w:eastAsia="zh-CN"/>
        </w:rPr>
        <w:t>6</w:t>
      </w:r>
      <w:r>
        <w:rPr>
          <w:rFonts w:hint="eastAsia" w:ascii="宋体" w:hAnsi="宋体"/>
          <w:b/>
          <w:color w:val="auto"/>
          <w:sz w:val="32"/>
          <w:highlight w:val="none"/>
          <w:lang w:eastAsia="zh-CN"/>
        </w:rPr>
        <w:t>年</w:t>
      </w:r>
      <w:r>
        <w:rPr>
          <w:rFonts w:hint="eastAsia" w:ascii="宋体" w:hAnsi="宋体"/>
          <w:b/>
          <w:color w:val="auto"/>
          <w:sz w:val="32"/>
          <w:highlight w:val="none"/>
          <w:lang w:val="en-US" w:eastAsia="zh-CN"/>
        </w:rPr>
        <w:t>4</w:t>
      </w:r>
      <w:r>
        <w:rPr>
          <w:rFonts w:hint="eastAsia" w:ascii="宋体" w:hAnsi="宋体"/>
          <w:b/>
          <w:color w:val="auto"/>
          <w:sz w:val="32"/>
          <w:highlight w:val="none"/>
          <w:lang w:eastAsia="zh-CN"/>
        </w:rPr>
        <w:t>月</w:t>
      </w:r>
      <w:r>
        <w:rPr>
          <w:rFonts w:hint="eastAsia" w:ascii="宋体" w:hAnsi="宋体"/>
          <w:b/>
          <w:color w:val="auto"/>
          <w:sz w:val="32"/>
          <w:highlight w:val="none"/>
          <w:lang w:val="en-US" w:eastAsia="zh-CN"/>
        </w:rPr>
        <w:t>10日</w:t>
      </w:r>
    </w:p>
    <w:p w14:paraId="76B38EE0">
      <w:pPr>
        <w:spacing w:line="560" w:lineRule="exact"/>
        <w:rPr>
          <w:rFonts w:ascii="宋体" w:hAnsi="宋体" w:cs="宋体"/>
          <w:color w:val="auto"/>
          <w:highlight w:val="none"/>
        </w:rPr>
        <w:sectPr>
          <w:headerReference r:id="rId3" w:type="default"/>
          <w:footerReference r:id="rId4" w:type="default"/>
          <w:pgSz w:w="11911" w:h="16838"/>
          <w:pgMar w:top="1361" w:right="1134" w:bottom="1361" w:left="1134" w:header="720" w:footer="720" w:gutter="0"/>
          <w:pgNumType w:start="0"/>
          <w:cols w:space="0" w:num="1"/>
          <w:docGrid w:linePitch="331" w:charSpace="0"/>
        </w:sectPr>
      </w:pPr>
    </w:p>
    <w:p w14:paraId="31043479">
      <w:pPr>
        <w:pStyle w:val="24"/>
        <w:spacing w:before="120" w:after="120" w:line="360" w:lineRule="auto"/>
        <w:jc w:val="center"/>
        <w:outlineLvl w:val="0"/>
        <w:rPr>
          <w:rFonts w:hAnsi="宋体"/>
          <w:color w:val="auto"/>
          <w:sz w:val="44"/>
          <w:szCs w:val="44"/>
          <w:highlight w:val="none"/>
        </w:rPr>
      </w:pPr>
      <w:bookmarkStart w:id="2" w:name="_Toc16802"/>
      <w:r>
        <w:rPr>
          <w:rFonts w:hint="eastAsia" w:hAnsi="宋体"/>
          <w:color w:val="auto"/>
          <w:sz w:val="44"/>
          <w:szCs w:val="44"/>
          <w:highlight w:val="none"/>
        </w:rPr>
        <w:t>目录</w:t>
      </w:r>
      <w:bookmarkEnd w:id="2"/>
    </w:p>
    <w:p w14:paraId="15FACFF1">
      <w:pPr>
        <w:pStyle w:val="151"/>
        <w:tabs>
          <w:tab w:val="right" w:leader="dot" w:pos="8306"/>
        </w:tabs>
        <w:jc w:val="center"/>
        <w:rPr>
          <w:color w:val="auto"/>
          <w:highlight w:val="none"/>
        </w:rPr>
      </w:pPr>
      <w:r>
        <w:rPr>
          <w:rFonts w:ascii="宋体" w:hAnsi="宋体"/>
          <w:b/>
          <w:color w:val="auto"/>
          <w:sz w:val="24"/>
          <w:highlight w:val="none"/>
        </w:rPr>
        <w:fldChar w:fldCharType="begin"/>
      </w:r>
      <w:r>
        <w:rPr>
          <w:rFonts w:ascii="宋体" w:hAnsi="宋体"/>
          <w:b/>
          <w:color w:val="auto"/>
          <w:sz w:val="24"/>
          <w:highlight w:val="none"/>
        </w:rPr>
        <w:instrText xml:space="preserve">TOC \o "1-1" \h \u </w:instrText>
      </w:r>
      <w:r>
        <w:rPr>
          <w:rFonts w:ascii="宋体" w:hAnsi="宋体"/>
          <w:b/>
          <w:color w:val="auto"/>
          <w:sz w:val="24"/>
          <w:highlight w:val="none"/>
        </w:rPr>
        <w:fldChar w:fldCharType="separate"/>
      </w:r>
    </w:p>
    <w:p w14:paraId="63C4BF84">
      <w:pPr>
        <w:pStyle w:val="151"/>
        <w:tabs>
          <w:tab w:val="right" w:leader="dot" w:pos="8306"/>
        </w:tabs>
        <w:spacing w:line="360" w:lineRule="auto"/>
        <w:jc w:val="center"/>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"_Toc22927" </w:instrText>
      </w:r>
      <w:r>
        <w:rPr>
          <w:color w:val="auto"/>
          <w:highlight w:val="none"/>
        </w:rPr>
        <w:fldChar w:fldCharType="separate"/>
      </w:r>
      <w:r>
        <w:rPr>
          <w:rFonts w:hint="eastAsia" w:ascii="宋体" w:hAnsi="宋体" w:cs="宋体"/>
          <w:b/>
          <w:bCs/>
          <w:color w:val="auto"/>
          <w:sz w:val="32"/>
          <w:szCs w:val="32"/>
          <w:highlight w:val="none"/>
        </w:rPr>
        <w:t>第一章  竞争性磋商公告</w:t>
      </w:r>
      <w:r>
        <w:rPr>
          <w:rFonts w:hint="eastAsia" w:ascii="宋体" w:hAnsi="宋体" w:cs="宋体"/>
          <w:b/>
          <w:bCs/>
          <w:color w:val="auto"/>
          <w:sz w:val="32"/>
          <w:szCs w:val="32"/>
          <w:highlight w:val="none"/>
        </w:rPr>
        <w:tab/>
      </w: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 PAGEREF _Toc22927 \h </w:instrText>
      </w:r>
      <w:r>
        <w:rPr>
          <w:rFonts w:hint="eastAsia" w:ascii="宋体" w:hAnsi="宋体" w:cs="宋体"/>
          <w:b/>
          <w:bCs/>
          <w:color w:val="auto"/>
          <w:sz w:val="32"/>
          <w:szCs w:val="32"/>
          <w:highlight w:val="none"/>
        </w:rPr>
        <w:fldChar w:fldCharType="separate"/>
      </w:r>
      <w:r>
        <w:rPr>
          <w:rFonts w:hint="eastAsia" w:ascii="宋体" w:hAnsi="宋体" w:cs="宋体"/>
          <w:b/>
          <w:bCs/>
          <w:color w:val="auto"/>
          <w:sz w:val="32"/>
          <w:szCs w:val="32"/>
          <w:highlight w:val="none"/>
        </w:rPr>
        <w:t>2</w:t>
      </w:r>
      <w:r>
        <w:rPr>
          <w:rFonts w:hint="eastAsia" w:ascii="宋体" w:hAnsi="宋体" w:cs="宋体"/>
          <w:b/>
          <w:bCs/>
          <w:color w:val="auto"/>
          <w:sz w:val="32"/>
          <w:szCs w:val="32"/>
          <w:highlight w:val="none"/>
        </w:rPr>
        <w:fldChar w:fldCharType="end"/>
      </w:r>
      <w:r>
        <w:rPr>
          <w:rFonts w:hint="eastAsia" w:ascii="宋体" w:hAnsi="宋体" w:cs="宋体"/>
          <w:b/>
          <w:bCs/>
          <w:color w:val="auto"/>
          <w:sz w:val="32"/>
          <w:szCs w:val="32"/>
          <w:highlight w:val="none"/>
        </w:rPr>
        <w:fldChar w:fldCharType="end"/>
      </w:r>
    </w:p>
    <w:p w14:paraId="25737EDD">
      <w:pPr>
        <w:pStyle w:val="151"/>
        <w:tabs>
          <w:tab w:val="right" w:leader="dot" w:pos="8306"/>
        </w:tabs>
        <w:spacing w:line="360" w:lineRule="auto"/>
        <w:jc w:val="center"/>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"_Toc21799" </w:instrText>
      </w:r>
      <w:r>
        <w:rPr>
          <w:color w:val="auto"/>
          <w:highlight w:val="none"/>
        </w:rPr>
        <w:fldChar w:fldCharType="separate"/>
      </w:r>
      <w:r>
        <w:rPr>
          <w:rFonts w:hint="eastAsia" w:ascii="宋体" w:hAnsi="宋体" w:cs="宋体"/>
          <w:b/>
          <w:bCs/>
          <w:color w:val="auto"/>
          <w:sz w:val="32"/>
          <w:szCs w:val="32"/>
          <w:highlight w:val="none"/>
        </w:rPr>
        <w:t>第二章  采购需求</w:t>
      </w:r>
      <w:r>
        <w:rPr>
          <w:rFonts w:hint="eastAsia" w:ascii="宋体" w:hAnsi="宋体" w:cs="宋体"/>
          <w:b/>
          <w:bCs/>
          <w:color w:val="auto"/>
          <w:sz w:val="32"/>
          <w:szCs w:val="32"/>
          <w:highlight w:val="none"/>
        </w:rPr>
        <w:tab/>
      </w: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 PAGEREF _Toc21799 \h </w:instrText>
      </w:r>
      <w:r>
        <w:rPr>
          <w:rFonts w:hint="eastAsia" w:ascii="宋体" w:hAnsi="宋体" w:cs="宋体"/>
          <w:b/>
          <w:bCs/>
          <w:color w:val="auto"/>
          <w:sz w:val="32"/>
          <w:szCs w:val="32"/>
          <w:highlight w:val="none"/>
        </w:rPr>
        <w:fldChar w:fldCharType="separate"/>
      </w:r>
      <w:r>
        <w:rPr>
          <w:rFonts w:hint="eastAsia" w:ascii="宋体" w:hAnsi="宋体" w:cs="宋体"/>
          <w:b/>
          <w:bCs/>
          <w:color w:val="auto"/>
          <w:sz w:val="32"/>
          <w:szCs w:val="32"/>
          <w:highlight w:val="none"/>
        </w:rPr>
        <w:t>6</w:t>
      </w:r>
      <w:r>
        <w:rPr>
          <w:rFonts w:hint="eastAsia" w:ascii="宋体" w:hAnsi="宋体" w:cs="宋体"/>
          <w:b/>
          <w:bCs/>
          <w:color w:val="auto"/>
          <w:sz w:val="32"/>
          <w:szCs w:val="32"/>
          <w:highlight w:val="none"/>
        </w:rPr>
        <w:fldChar w:fldCharType="end"/>
      </w:r>
      <w:r>
        <w:rPr>
          <w:rFonts w:hint="eastAsia" w:ascii="宋体" w:hAnsi="宋体" w:cs="宋体"/>
          <w:b/>
          <w:bCs/>
          <w:color w:val="auto"/>
          <w:sz w:val="32"/>
          <w:szCs w:val="32"/>
          <w:highlight w:val="none"/>
        </w:rPr>
        <w:fldChar w:fldCharType="end"/>
      </w:r>
    </w:p>
    <w:p w14:paraId="68184FB0">
      <w:pPr>
        <w:pStyle w:val="151"/>
        <w:tabs>
          <w:tab w:val="right" w:leader="dot" w:pos="8306"/>
        </w:tabs>
        <w:spacing w:line="360" w:lineRule="auto"/>
        <w:jc w:val="center"/>
        <w:rPr>
          <w:rFonts w:hint="eastAsia" w:ascii="宋体" w:hAnsi="宋体" w:eastAsia="宋体" w:cs="宋体"/>
          <w:b/>
          <w:bCs/>
          <w:color w:val="auto"/>
          <w:sz w:val="32"/>
          <w:szCs w:val="32"/>
          <w:highlight w:val="none"/>
          <w:lang w:val="en-US" w:eastAsia="zh-CN"/>
        </w:rPr>
      </w:pPr>
      <w:r>
        <w:rPr>
          <w:color w:val="auto"/>
          <w:highlight w:val="none"/>
        </w:rPr>
        <w:fldChar w:fldCharType="begin"/>
      </w:r>
      <w:r>
        <w:rPr>
          <w:color w:val="auto"/>
          <w:highlight w:val="none"/>
        </w:rPr>
        <w:instrText xml:space="preserve"> HYPERLINK \l "_Toc18871" </w:instrText>
      </w:r>
      <w:r>
        <w:rPr>
          <w:color w:val="auto"/>
          <w:highlight w:val="none"/>
        </w:rPr>
        <w:fldChar w:fldCharType="separate"/>
      </w:r>
      <w:r>
        <w:rPr>
          <w:rFonts w:hint="eastAsia" w:ascii="宋体" w:hAnsi="宋体" w:cs="宋体"/>
          <w:b/>
          <w:bCs/>
          <w:color w:val="auto"/>
          <w:kern w:val="2"/>
          <w:sz w:val="32"/>
          <w:szCs w:val="32"/>
          <w:highlight w:val="none"/>
        </w:rPr>
        <w:t>第三章  供应商须知</w:t>
      </w:r>
      <w:r>
        <w:rPr>
          <w:rFonts w:hint="eastAsia" w:ascii="宋体" w:hAnsi="宋体" w:cs="宋体"/>
          <w:b/>
          <w:bCs/>
          <w:color w:val="auto"/>
          <w:sz w:val="32"/>
          <w:szCs w:val="32"/>
          <w:highlight w:val="none"/>
        </w:rPr>
        <w:tab/>
      </w:r>
      <w:r>
        <w:rPr>
          <w:rFonts w:hint="eastAsia" w:ascii="宋体" w:hAnsi="宋体" w:cs="宋体"/>
          <w:b/>
          <w:bCs/>
          <w:color w:val="auto"/>
          <w:sz w:val="32"/>
          <w:szCs w:val="32"/>
          <w:highlight w:val="none"/>
          <w:lang w:val="en-US" w:eastAsia="zh-CN"/>
        </w:rPr>
        <w:t>1</w:t>
      </w:r>
      <w:r>
        <w:rPr>
          <w:rFonts w:hint="eastAsia" w:ascii="宋体" w:hAnsi="宋体" w:cs="宋体"/>
          <w:b/>
          <w:bCs/>
          <w:color w:val="auto"/>
          <w:sz w:val="32"/>
          <w:szCs w:val="32"/>
          <w:highlight w:val="none"/>
        </w:rPr>
        <w:fldChar w:fldCharType="end"/>
      </w:r>
      <w:r>
        <w:rPr>
          <w:rFonts w:hint="eastAsia" w:ascii="宋体" w:hAnsi="宋体" w:cs="宋体"/>
          <w:b/>
          <w:bCs/>
          <w:color w:val="auto"/>
          <w:sz w:val="32"/>
          <w:szCs w:val="32"/>
          <w:highlight w:val="none"/>
          <w:lang w:val="en-US" w:eastAsia="zh-CN"/>
        </w:rPr>
        <w:t>7</w:t>
      </w:r>
    </w:p>
    <w:p w14:paraId="6624E007">
      <w:pPr>
        <w:pStyle w:val="151"/>
        <w:tabs>
          <w:tab w:val="right" w:leader="dot" w:pos="8306"/>
        </w:tabs>
        <w:spacing w:line="360" w:lineRule="auto"/>
        <w:jc w:val="center"/>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"_Toc15360" </w:instrText>
      </w:r>
      <w:r>
        <w:rPr>
          <w:color w:val="auto"/>
          <w:highlight w:val="none"/>
        </w:rPr>
        <w:fldChar w:fldCharType="separate"/>
      </w:r>
      <w:r>
        <w:rPr>
          <w:rFonts w:hint="eastAsia" w:ascii="宋体" w:hAnsi="宋体" w:cs="宋体"/>
          <w:b/>
          <w:bCs/>
          <w:color w:val="auto"/>
          <w:sz w:val="32"/>
          <w:szCs w:val="32"/>
          <w:highlight w:val="none"/>
        </w:rPr>
        <w:t xml:space="preserve">第四章  </w:t>
      </w:r>
      <w:r>
        <w:rPr>
          <w:rFonts w:hint="eastAsia" w:ascii="宋体" w:hAnsi="宋体" w:cs="宋体"/>
          <w:b/>
          <w:bCs/>
          <w:color w:val="auto"/>
          <w:sz w:val="32"/>
          <w:szCs w:val="32"/>
          <w:highlight w:val="none"/>
          <w:lang w:eastAsia="zh-CN"/>
        </w:rPr>
        <w:t>评审程序、评审方法和评审标</w:t>
      </w:r>
      <w:bookmarkStart w:id="425" w:name="_GoBack"/>
      <w:bookmarkEnd w:id="425"/>
      <w:r>
        <w:rPr>
          <w:rFonts w:hint="eastAsia" w:ascii="宋体" w:hAnsi="宋体" w:cs="宋体"/>
          <w:b/>
          <w:bCs/>
          <w:color w:val="auto"/>
          <w:sz w:val="32"/>
          <w:szCs w:val="32"/>
          <w:highlight w:val="none"/>
          <w:lang w:eastAsia="zh-CN"/>
        </w:rPr>
        <w:t>准</w:t>
      </w:r>
      <w:r>
        <w:rPr>
          <w:rFonts w:hint="eastAsia" w:ascii="宋体" w:hAnsi="宋体" w:cs="宋体"/>
          <w:b/>
          <w:bCs/>
          <w:color w:val="auto"/>
          <w:sz w:val="32"/>
          <w:szCs w:val="32"/>
          <w:highlight w:val="none"/>
        </w:rPr>
        <w:tab/>
      </w: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 PAGEREF _Toc15360 \h </w:instrText>
      </w:r>
      <w:r>
        <w:rPr>
          <w:rFonts w:hint="eastAsia" w:ascii="宋体" w:hAnsi="宋体" w:cs="宋体"/>
          <w:b/>
          <w:bCs/>
          <w:color w:val="auto"/>
          <w:sz w:val="32"/>
          <w:szCs w:val="32"/>
          <w:highlight w:val="none"/>
        </w:rPr>
        <w:fldChar w:fldCharType="separate"/>
      </w:r>
      <w:r>
        <w:rPr>
          <w:rFonts w:hint="eastAsia" w:ascii="宋体" w:hAnsi="宋体" w:cs="宋体"/>
          <w:b/>
          <w:bCs/>
          <w:color w:val="auto"/>
          <w:sz w:val="32"/>
          <w:szCs w:val="32"/>
          <w:highlight w:val="none"/>
        </w:rPr>
        <w:t>44</w:t>
      </w:r>
      <w:r>
        <w:rPr>
          <w:rFonts w:hint="eastAsia" w:ascii="宋体" w:hAnsi="宋体" w:cs="宋体"/>
          <w:b/>
          <w:bCs/>
          <w:color w:val="auto"/>
          <w:sz w:val="32"/>
          <w:szCs w:val="32"/>
          <w:highlight w:val="none"/>
        </w:rPr>
        <w:fldChar w:fldCharType="end"/>
      </w:r>
      <w:r>
        <w:rPr>
          <w:rFonts w:hint="eastAsia" w:ascii="宋体" w:hAnsi="宋体" w:cs="宋体"/>
          <w:b/>
          <w:bCs/>
          <w:color w:val="auto"/>
          <w:sz w:val="32"/>
          <w:szCs w:val="32"/>
          <w:highlight w:val="none"/>
        </w:rPr>
        <w:fldChar w:fldCharType="end"/>
      </w:r>
    </w:p>
    <w:p w14:paraId="4E06AD15">
      <w:pPr>
        <w:pStyle w:val="151"/>
        <w:tabs>
          <w:tab w:val="right" w:leader="dot" w:pos="8306"/>
        </w:tabs>
        <w:spacing w:line="360" w:lineRule="auto"/>
        <w:jc w:val="center"/>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"_Toc20756" </w:instrText>
      </w:r>
      <w:r>
        <w:rPr>
          <w:color w:val="auto"/>
          <w:highlight w:val="none"/>
        </w:rPr>
        <w:fldChar w:fldCharType="separate"/>
      </w:r>
      <w:r>
        <w:rPr>
          <w:rFonts w:hint="eastAsia" w:ascii="宋体" w:hAnsi="宋体" w:cs="宋体"/>
          <w:b/>
          <w:bCs/>
          <w:color w:val="auto"/>
          <w:kern w:val="2"/>
          <w:sz w:val="32"/>
          <w:szCs w:val="32"/>
          <w:highlight w:val="none"/>
        </w:rPr>
        <w:t>第五章  拟签订的合同文本</w:t>
      </w:r>
      <w:r>
        <w:rPr>
          <w:rFonts w:hint="eastAsia" w:ascii="宋体" w:hAnsi="宋体" w:cs="宋体"/>
          <w:b/>
          <w:bCs/>
          <w:color w:val="auto"/>
          <w:sz w:val="32"/>
          <w:szCs w:val="32"/>
          <w:highlight w:val="none"/>
        </w:rPr>
        <w:tab/>
      </w: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 PAGEREF _Toc20756 \h </w:instrText>
      </w:r>
      <w:r>
        <w:rPr>
          <w:rFonts w:hint="eastAsia" w:ascii="宋体" w:hAnsi="宋体" w:cs="宋体"/>
          <w:b/>
          <w:bCs/>
          <w:color w:val="auto"/>
          <w:sz w:val="32"/>
          <w:szCs w:val="32"/>
          <w:highlight w:val="none"/>
        </w:rPr>
        <w:fldChar w:fldCharType="separate"/>
      </w:r>
      <w:r>
        <w:rPr>
          <w:rFonts w:hint="eastAsia" w:ascii="宋体" w:hAnsi="宋体" w:cs="宋体"/>
          <w:b/>
          <w:bCs/>
          <w:color w:val="auto"/>
          <w:sz w:val="32"/>
          <w:szCs w:val="32"/>
          <w:highlight w:val="none"/>
        </w:rPr>
        <w:t>54</w:t>
      </w:r>
      <w:r>
        <w:rPr>
          <w:rFonts w:hint="eastAsia" w:ascii="宋体" w:hAnsi="宋体" w:cs="宋体"/>
          <w:b/>
          <w:bCs/>
          <w:color w:val="auto"/>
          <w:sz w:val="32"/>
          <w:szCs w:val="32"/>
          <w:highlight w:val="none"/>
        </w:rPr>
        <w:fldChar w:fldCharType="end"/>
      </w:r>
      <w:r>
        <w:rPr>
          <w:rFonts w:hint="eastAsia" w:ascii="宋体" w:hAnsi="宋体" w:cs="宋体"/>
          <w:b/>
          <w:bCs/>
          <w:color w:val="auto"/>
          <w:sz w:val="32"/>
          <w:szCs w:val="32"/>
          <w:highlight w:val="none"/>
        </w:rPr>
        <w:fldChar w:fldCharType="end"/>
      </w:r>
    </w:p>
    <w:p w14:paraId="286BED5F">
      <w:pPr>
        <w:pStyle w:val="151"/>
        <w:tabs>
          <w:tab w:val="right" w:leader="dot" w:pos="8306"/>
        </w:tabs>
        <w:spacing w:line="360" w:lineRule="auto"/>
        <w:jc w:val="center"/>
        <w:rPr>
          <w:rFonts w:hint="eastAsia" w:ascii="宋体" w:hAnsi="宋体" w:eastAsia="宋体" w:cs="宋体"/>
          <w:b/>
          <w:bCs/>
          <w:color w:val="auto"/>
          <w:sz w:val="32"/>
          <w:szCs w:val="32"/>
          <w:highlight w:val="none"/>
          <w:lang w:val="en-US" w:eastAsia="zh-CN"/>
        </w:rPr>
      </w:pPr>
      <w:r>
        <w:rPr>
          <w:color w:val="auto"/>
          <w:highlight w:val="none"/>
        </w:rPr>
        <w:fldChar w:fldCharType="begin"/>
      </w:r>
      <w:r>
        <w:rPr>
          <w:color w:val="auto"/>
          <w:highlight w:val="none"/>
        </w:rPr>
        <w:instrText xml:space="preserve"> HYPERLINK \l "_Toc31051" </w:instrText>
      </w:r>
      <w:r>
        <w:rPr>
          <w:color w:val="auto"/>
          <w:highlight w:val="none"/>
        </w:rPr>
        <w:fldChar w:fldCharType="separate"/>
      </w:r>
      <w:r>
        <w:rPr>
          <w:rFonts w:hint="eastAsia" w:ascii="宋体" w:hAnsi="宋体" w:cs="宋体"/>
          <w:b/>
          <w:bCs/>
          <w:color w:val="auto"/>
          <w:sz w:val="32"/>
          <w:szCs w:val="32"/>
          <w:highlight w:val="none"/>
        </w:rPr>
        <w:t>第六章　响应文件格式</w:t>
      </w:r>
      <w:r>
        <w:rPr>
          <w:rFonts w:hint="eastAsia" w:ascii="宋体" w:hAnsi="宋体" w:cs="宋体"/>
          <w:b/>
          <w:bCs/>
          <w:color w:val="auto"/>
          <w:sz w:val="32"/>
          <w:szCs w:val="32"/>
          <w:highlight w:val="none"/>
        </w:rPr>
        <w:tab/>
      </w:r>
      <w:r>
        <w:rPr>
          <w:rFonts w:hint="eastAsia" w:ascii="宋体" w:hAnsi="宋体" w:cs="宋体"/>
          <w:b/>
          <w:bCs/>
          <w:color w:val="auto"/>
          <w:sz w:val="32"/>
          <w:szCs w:val="32"/>
          <w:highlight w:val="none"/>
          <w:lang w:val="en-US" w:eastAsia="zh-CN"/>
        </w:rPr>
        <w:t>6</w:t>
      </w:r>
      <w:r>
        <w:rPr>
          <w:rFonts w:hint="eastAsia" w:ascii="宋体" w:hAnsi="宋体" w:cs="宋体"/>
          <w:b/>
          <w:bCs/>
          <w:color w:val="auto"/>
          <w:sz w:val="32"/>
          <w:szCs w:val="32"/>
          <w:highlight w:val="none"/>
        </w:rPr>
        <w:fldChar w:fldCharType="end"/>
      </w:r>
      <w:r>
        <w:rPr>
          <w:rFonts w:hint="eastAsia" w:ascii="宋体" w:hAnsi="宋体" w:cs="宋体"/>
          <w:b/>
          <w:bCs/>
          <w:color w:val="auto"/>
          <w:sz w:val="32"/>
          <w:szCs w:val="32"/>
          <w:highlight w:val="none"/>
          <w:lang w:val="en-US" w:eastAsia="zh-CN"/>
        </w:rPr>
        <w:t>6</w:t>
      </w:r>
    </w:p>
    <w:p w14:paraId="1F59556D">
      <w:pPr>
        <w:pStyle w:val="151"/>
        <w:tabs>
          <w:tab w:val="right" w:leader="dot" w:pos="8306"/>
        </w:tabs>
        <w:spacing w:line="360" w:lineRule="auto"/>
        <w:jc w:val="center"/>
        <w:rPr>
          <w:rFonts w:hint="eastAsia" w:ascii="宋体" w:hAnsi="宋体" w:eastAsia="宋体" w:cs="宋体"/>
          <w:b/>
          <w:bCs/>
          <w:color w:val="auto"/>
          <w:sz w:val="32"/>
          <w:szCs w:val="32"/>
          <w:highlight w:val="none"/>
          <w:lang w:val="en-US" w:eastAsia="zh-CN"/>
        </w:rPr>
      </w:pPr>
      <w:r>
        <w:rPr>
          <w:color w:val="auto"/>
          <w:highlight w:val="none"/>
        </w:rPr>
        <w:fldChar w:fldCharType="begin"/>
      </w:r>
      <w:r>
        <w:rPr>
          <w:color w:val="auto"/>
          <w:highlight w:val="none"/>
        </w:rPr>
        <w:instrText xml:space="preserve"> HYPERLINK \l "_Toc226" </w:instrText>
      </w:r>
      <w:r>
        <w:rPr>
          <w:color w:val="auto"/>
          <w:highlight w:val="none"/>
        </w:rPr>
        <w:fldChar w:fldCharType="separate"/>
      </w:r>
      <w:r>
        <w:rPr>
          <w:rFonts w:hint="eastAsia" w:ascii="宋体" w:hAnsi="宋体" w:cs="宋体"/>
          <w:b/>
          <w:bCs/>
          <w:color w:val="auto"/>
          <w:kern w:val="2"/>
          <w:sz w:val="32"/>
          <w:szCs w:val="32"/>
          <w:highlight w:val="none"/>
        </w:rPr>
        <w:t>第七章　质疑、投诉证明材料格式</w:t>
      </w:r>
      <w:r>
        <w:rPr>
          <w:rFonts w:hint="eastAsia" w:ascii="宋体" w:hAnsi="宋体" w:cs="宋体"/>
          <w:b/>
          <w:bCs/>
          <w:color w:val="auto"/>
          <w:sz w:val="32"/>
          <w:szCs w:val="32"/>
          <w:highlight w:val="none"/>
        </w:rPr>
        <w:tab/>
      </w:r>
      <w:r>
        <w:rPr>
          <w:rFonts w:hint="eastAsia" w:ascii="宋体" w:hAnsi="宋体" w:cs="宋体"/>
          <w:b/>
          <w:bCs/>
          <w:color w:val="auto"/>
          <w:sz w:val="32"/>
          <w:szCs w:val="32"/>
          <w:highlight w:val="none"/>
          <w:lang w:val="en-US" w:eastAsia="zh-CN"/>
        </w:rPr>
        <w:t>8</w:t>
      </w:r>
      <w:r>
        <w:rPr>
          <w:rFonts w:hint="eastAsia" w:ascii="宋体" w:hAnsi="宋体" w:cs="宋体"/>
          <w:b/>
          <w:bCs/>
          <w:color w:val="auto"/>
          <w:sz w:val="32"/>
          <w:szCs w:val="32"/>
          <w:highlight w:val="none"/>
        </w:rPr>
        <w:fldChar w:fldCharType="end"/>
      </w:r>
      <w:r>
        <w:rPr>
          <w:rFonts w:hint="eastAsia" w:ascii="宋体" w:hAnsi="宋体" w:cs="宋体"/>
          <w:b/>
          <w:bCs/>
          <w:color w:val="auto"/>
          <w:sz w:val="32"/>
          <w:szCs w:val="32"/>
          <w:highlight w:val="none"/>
          <w:lang w:val="en-US" w:eastAsia="zh-CN"/>
        </w:rPr>
        <w:t>8</w:t>
      </w:r>
    </w:p>
    <w:p w14:paraId="354A18FA">
      <w:pPr>
        <w:spacing w:beforeLines="50" w:line="480" w:lineRule="auto"/>
        <w:jc w:val="center"/>
        <w:rPr>
          <w:rFonts w:ascii="宋体" w:hAnsi="宋体"/>
          <w:b/>
          <w:color w:val="auto"/>
          <w:sz w:val="24"/>
          <w:highlight w:val="none"/>
        </w:rPr>
      </w:pPr>
      <w:r>
        <w:rPr>
          <w:rFonts w:ascii="宋体" w:hAnsi="宋体"/>
          <w:color w:val="auto"/>
          <w:highlight w:val="none"/>
        </w:rPr>
        <w:fldChar w:fldCharType="end"/>
      </w:r>
    </w:p>
    <w:p w14:paraId="59D8BEC4">
      <w:pPr>
        <w:spacing w:beforeLines="50" w:line="360" w:lineRule="auto"/>
        <w:rPr>
          <w:rFonts w:ascii="宋体" w:hAnsi="宋体"/>
          <w:color w:val="auto"/>
          <w:sz w:val="30"/>
          <w:highlight w:val="none"/>
        </w:rPr>
      </w:pPr>
    </w:p>
    <w:p w14:paraId="78322DDF">
      <w:pPr>
        <w:spacing w:line="360" w:lineRule="auto"/>
        <w:rPr>
          <w:rFonts w:ascii="宋体" w:hAnsi="宋体"/>
          <w:color w:val="auto"/>
          <w:highlight w:val="none"/>
        </w:rPr>
      </w:pPr>
    </w:p>
    <w:p w14:paraId="56AB8C94">
      <w:pPr>
        <w:spacing w:beforeLines="50" w:line="360" w:lineRule="auto"/>
        <w:rPr>
          <w:rFonts w:ascii="宋体" w:hAnsi="宋体"/>
          <w:color w:val="auto"/>
          <w:sz w:val="30"/>
          <w:highlight w:val="none"/>
        </w:rPr>
      </w:pPr>
    </w:p>
    <w:p w14:paraId="066DB8A3">
      <w:pPr>
        <w:spacing w:beforeLines="50" w:line="360" w:lineRule="auto"/>
        <w:rPr>
          <w:rFonts w:ascii="宋体" w:hAnsi="宋体"/>
          <w:color w:val="auto"/>
          <w:sz w:val="30"/>
          <w:highlight w:val="none"/>
        </w:rPr>
      </w:pPr>
    </w:p>
    <w:p w14:paraId="57A04E77">
      <w:pPr>
        <w:spacing w:beforeLines="50" w:line="360" w:lineRule="auto"/>
        <w:rPr>
          <w:rFonts w:ascii="宋体" w:hAnsi="宋体"/>
          <w:color w:val="auto"/>
          <w:sz w:val="30"/>
          <w:highlight w:val="none"/>
        </w:rPr>
      </w:pPr>
    </w:p>
    <w:p w14:paraId="18DD280A">
      <w:pPr>
        <w:jc w:val="center"/>
        <w:rPr>
          <w:rFonts w:ascii="宋体" w:hAnsi="宋体"/>
          <w:b/>
          <w:bCs/>
          <w:color w:val="auto"/>
          <w:kern w:val="0"/>
          <w:sz w:val="32"/>
          <w:szCs w:val="32"/>
          <w:highlight w:val="none"/>
        </w:rPr>
        <w:sectPr>
          <w:headerReference r:id="rId5" w:type="default"/>
          <w:footerReference r:id="rId6" w:type="default"/>
          <w:pgSz w:w="11911" w:h="16838"/>
          <w:pgMar w:top="1361" w:right="1134" w:bottom="1361" w:left="1134" w:header="720" w:footer="720" w:gutter="0"/>
          <w:pgNumType w:start="1"/>
          <w:cols w:space="0" w:num="1"/>
          <w:docGrid w:linePitch="331" w:charSpace="0"/>
        </w:sectPr>
      </w:pPr>
      <w:bookmarkStart w:id="3" w:name="_Toc19686829"/>
      <w:bookmarkStart w:id="4" w:name="_Toc254970630"/>
      <w:bookmarkStart w:id="5" w:name="_Toc254970489"/>
    </w:p>
    <w:p w14:paraId="7D02D5FE">
      <w:pPr>
        <w:pStyle w:val="2"/>
        <w:jc w:val="center"/>
        <w:rPr>
          <w:color w:val="auto"/>
          <w:sz w:val="40"/>
          <w:szCs w:val="40"/>
          <w:highlight w:val="none"/>
        </w:rPr>
      </w:pPr>
      <w:bookmarkStart w:id="6" w:name="_Toc22927"/>
      <w:r>
        <w:rPr>
          <w:rFonts w:hint="eastAsia"/>
          <w:color w:val="auto"/>
          <w:sz w:val="40"/>
          <w:szCs w:val="40"/>
          <w:highlight w:val="none"/>
        </w:rPr>
        <w:t xml:space="preserve">第一章  </w:t>
      </w:r>
      <w:bookmarkEnd w:id="3"/>
      <w:bookmarkEnd w:id="4"/>
      <w:bookmarkEnd w:id="5"/>
      <w:r>
        <w:rPr>
          <w:rFonts w:hint="eastAsia"/>
          <w:color w:val="auto"/>
          <w:sz w:val="40"/>
          <w:szCs w:val="40"/>
          <w:highlight w:val="none"/>
        </w:rPr>
        <w:t>竞争性磋商公告</w:t>
      </w:r>
      <w:bookmarkEnd w:id="6"/>
    </w:p>
    <w:p w14:paraId="78D4FC5D">
      <w:pPr>
        <w:pStyle w:val="112"/>
        <w:rPr>
          <w:rFonts w:ascii="宋体" w:hAnsi="宋体"/>
          <w:color w:val="auto"/>
          <w:sz w:val="32"/>
          <w:szCs w:val="32"/>
          <w:highlight w:val="none"/>
        </w:rPr>
      </w:pPr>
    </w:p>
    <w:p w14:paraId="46104A7C">
      <w:pPr>
        <w:pBdr>
          <w:top w:val="single" w:color="auto" w:sz="4" w:space="1"/>
          <w:left w:val="single" w:color="auto" w:sz="4" w:space="4"/>
          <w:bottom w:val="single" w:color="auto" w:sz="4" w:space="1"/>
          <w:right w:val="single" w:color="auto" w:sz="4" w:space="4"/>
        </w:pBdr>
        <w:spacing w:line="380" w:lineRule="exact"/>
        <w:rPr>
          <w:rFonts w:ascii="宋体" w:hAnsi="宋体" w:cs="宋体"/>
          <w:color w:val="auto"/>
          <w:sz w:val="24"/>
          <w:szCs w:val="32"/>
          <w:highlight w:val="none"/>
        </w:rPr>
      </w:pPr>
      <w:r>
        <w:rPr>
          <w:rFonts w:hint="eastAsia" w:ascii="宋体" w:hAnsi="宋体" w:cs="宋体"/>
          <w:color w:val="auto"/>
          <w:sz w:val="24"/>
          <w:szCs w:val="32"/>
          <w:highlight w:val="none"/>
        </w:rPr>
        <w:t>项目概况</w:t>
      </w:r>
    </w:p>
    <w:p w14:paraId="2BE937D0">
      <w:pPr>
        <w:pBdr>
          <w:top w:val="single" w:color="auto" w:sz="4" w:space="1"/>
          <w:left w:val="single" w:color="auto" w:sz="4" w:space="4"/>
          <w:bottom w:val="single" w:color="auto" w:sz="4" w:space="1"/>
          <w:right w:val="single" w:color="auto" w:sz="4" w:space="4"/>
        </w:pBdr>
        <w:spacing w:line="380" w:lineRule="exact"/>
        <w:ind w:firstLine="480" w:firstLineChars="200"/>
        <w:rPr>
          <w:rFonts w:ascii="宋体" w:hAnsi="宋体"/>
          <w:color w:val="auto"/>
          <w:sz w:val="24"/>
          <w:szCs w:val="32"/>
          <w:highlight w:val="none"/>
        </w:rPr>
      </w:pPr>
      <w:r>
        <w:rPr>
          <w:rFonts w:hint="eastAsia" w:ascii="宋体" w:hAnsi="宋体" w:cs="宋体"/>
          <w:color w:val="auto"/>
          <w:sz w:val="24"/>
          <w:szCs w:val="32"/>
          <w:highlight w:val="none"/>
          <w:u w:val="single"/>
          <w:lang w:eastAsia="zh-CN"/>
        </w:rPr>
        <w:t>2026年校园安全保卫及学生管理服务采购</w:t>
      </w:r>
      <w:r>
        <w:rPr>
          <w:rFonts w:hint="eastAsia" w:ascii="宋体" w:hAnsi="宋体" w:cs="宋体"/>
          <w:color w:val="auto"/>
          <w:sz w:val="24"/>
          <w:szCs w:val="32"/>
          <w:highlight w:val="none"/>
        </w:rPr>
        <w:t>项目的潜在供应商应在</w:t>
      </w:r>
      <w:r>
        <w:rPr>
          <w:rFonts w:hint="eastAsia" w:ascii="宋体" w:hAnsi="宋体" w:cs="宋体"/>
          <w:color w:val="auto"/>
          <w:sz w:val="24"/>
          <w:szCs w:val="32"/>
          <w:highlight w:val="none"/>
          <w:u w:val="single"/>
        </w:rPr>
        <w:t>广西政府采购云平台（https://www.gcy.zfcg.gxzf.gov.cn/）</w:t>
      </w:r>
      <w:r>
        <w:rPr>
          <w:rFonts w:hint="eastAsia" w:ascii="宋体" w:hAnsi="宋体" w:cs="宋体"/>
          <w:color w:val="auto"/>
          <w:sz w:val="24"/>
          <w:szCs w:val="32"/>
          <w:highlight w:val="none"/>
        </w:rPr>
        <w:t>获取采购文件，并于</w:t>
      </w:r>
      <w:r>
        <w:rPr>
          <w:rFonts w:hint="eastAsia" w:ascii="宋体" w:hAnsi="宋体" w:cs="宋体"/>
          <w:color w:val="auto"/>
          <w:sz w:val="24"/>
          <w:szCs w:val="32"/>
          <w:highlight w:val="none"/>
          <w:u w:val="single"/>
          <w:lang w:eastAsia="zh-CN"/>
        </w:rPr>
        <w:t>202</w:t>
      </w:r>
      <w:r>
        <w:rPr>
          <w:rFonts w:hint="eastAsia" w:ascii="宋体" w:hAnsi="宋体" w:cs="宋体"/>
          <w:color w:val="auto"/>
          <w:sz w:val="24"/>
          <w:szCs w:val="32"/>
          <w:highlight w:val="none"/>
          <w:u w:val="single"/>
          <w:lang w:val="en-US" w:eastAsia="zh-CN"/>
        </w:rPr>
        <w:t>6</w:t>
      </w:r>
      <w:r>
        <w:rPr>
          <w:rFonts w:hint="eastAsia" w:ascii="宋体" w:hAnsi="宋体" w:cs="宋体"/>
          <w:color w:val="auto"/>
          <w:sz w:val="24"/>
          <w:szCs w:val="32"/>
          <w:highlight w:val="none"/>
          <w:u w:val="single"/>
          <w:lang w:eastAsia="zh-CN"/>
        </w:rPr>
        <w:t>年</w:t>
      </w:r>
      <w:r>
        <w:rPr>
          <w:rFonts w:hint="eastAsia" w:ascii="宋体" w:hAnsi="宋体" w:cs="宋体"/>
          <w:color w:val="auto"/>
          <w:sz w:val="24"/>
          <w:szCs w:val="32"/>
          <w:highlight w:val="none"/>
          <w:u w:val="single"/>
          <w:lang w:val="en-US" w:eastAsia="zh-CN"/>
        </w:rPr>
        <w:t>4</w:t>
      </w:r>
      <w:r>
        <w:rPr>
          <w:rFonts w:hint="eastAsia" w:ascii="宋体" w:hAnsi="宋体" w:cs="宋体"/>
          <w:color w:val="auto"/>
          <w:sz w:val="24"/>
          <w:szCs w:val="32"/>
          <w:highlight w:val="none"/>
          <w:u w:val="single"/>
          <w:lang w:eastAsia="zh-CN"/>
        </w:rPr>
        <w:t>月</w:t>
      </w:r>
      <w:r>
        <w:rPr>
          <w:rFonts w:hint="eastAsia" w:ascii="宋体" w:hAnsi="宋体" w:cs="宋体"/>
          <w:color w:val="auto"/>
          <w:sz w:val="24"/>
          <w:szCs w:val="32"/>
          <w:highlight w:val="none"/>
          <w:u w:val="single"/>
          <w:lang w:val="en-US" w:eastAsia="zh-CN"/>
        </w:rPr>
        <w:t>27</w:t>
      </w:r>
      <w:r>
        <w:rPr>
          <w:rFonts w:hint="eastAsia" w:ascii="宋体" w:hAnsi="宋体" w:cs="宋体"/>
          <w:bCs/>
          <w:color w:val="auto"/>
          <w:sz w:val="24"/>
          <w:szCs w:val="32"/>
          <w:highlight w:val="none"/>
          <w:u w:val="single"/>
        </w:rPr>
        <w:t>日</w:t>
      </w:r>
      <w:r>
        <w:rPr>
          <w:rFonts w:hint="eastAsia" w:ascii="宋体" w:hAnsi="宋体" w:cs="宋体"/>
          <w:bCs/>
          <w:color w:val="auto"/>
          <w:sz w:val="24"/>
          <w:szCs w:val="32"/>
          <w:highlight w:val="none"/>
          <w:u w:val="single"/>
          <w:lang w:val="en-US" w:eastAsia="zh-CN"/>
        </w:rPr>
        <w:t>9</w:t>
      </w:r>
      <w:r>
        <w:rPr>
          <w:rFonts w:hint="eastAsia" w:ascii="宋体" w:hAnsi="宋体" w:cs="宋体"/>
          <w:bCs/>
          <w:color w:val="auto"/>
          <w:sz w:val="24"/>
          <w:szCs w:val="32"/>
          <w:highlight w:val="none"/>
          <w:u w:val="single"/>
        </w:rPr>
        <w:t>时</w:t>
      </w:r>
      <w:r>
        <w:rPr>
          <w:rFonts w:hint="eastAsia" w:ascii="宋体" w:hAnsi="宋体" w:cs="宋体"/>
          <w:bCs/>
          <w:color w:val="auto"/>
          <w:sz w:val="24"/>
          <w:szCs w:val="32"/>
          <w:highlight w:val="none"/>
          <w:u w:val="single"/>
          <w:lang w:val="en-US" w:eastAsia="zh-CN"/>
        </w:rPr>
        <w:t>30</w:t>
      </w:r>
      <w:r>
        <w:rPr>
          <w:rFonts w:hint="eastAsia" w:ascii="宋体" w:hAnsi="宋体" w:cs="宋体"/>
          <w:bCs/>
          <w:color w:val="auto"/>
          <w:sz w:val="24"/>
          <w:szCs w:val="32"/>
          <w:highlight w:val="none"/>
          <w:u w:val="single"/>
        </w:rPr>
        <w:t>分</w:t>
      </w:r>
      <w:r>
        <w:rPr>
          <w:rFonts w:hint="eastAsia" w:ascii="宋体" w:hAnsi="宋体" w:cs="宋体"/>
          <w:bCs/>
          <w:color w:val="auto"/>
          <w:sz w:val="24"/>
          <w:szCs w:val="32"/>
          <w:highlight w:val="none"/>
          <w:u w:val="none"/>
        </w:rPr>
        <w:t>（</w:t>
      </w:r>
      <w:r>
        <w:rPr>
          <w:rFonts w:hint="eastAsia" w:ascii="宋体" w:hAnsi="宋体" w:cs="宋体"/>
          <w:bCs/>
          <w:color w:val="auto"/>
          <w:sz w:val="24"/>
          <w:szCs w:val="32"/>
          <w:highlight w:val="none"/>
        </w:rPr>
        <w:t>北京时间）前递交响应文件</w:t>
      </w:r>
      <w:r>
        <w:rPr>
          <w:rFonts w:hint="eastAsia" w:ascii="宋体" w:hAnsi="宋体"/>
          <w:color w:val="auto"/>
          <w:sz w:val="24"/>
          <w:szCs w:val="32"/>
          <w:highlight w:val="none"/>
        </w:rPr>
        <w:t>。</w:t>
      </w:r>
    </w:p>
    <w:p w14:paraId="402A031B">
      <w:pPr>
        <w:spacing w:line="380" w:lineRule="exact"/>
        <w:rPr>
          <w:color w:val="auto"/>
          <w:highlight w:val="none"/>
        </w:rPr>
      </w:pPr>
      <w:bookmarkStart w:id="7" w:name="_Toc28359079"/>
      <w:bookmarkStart w:id="8" w:name="_Toc35393790"/>
      <w:bookmarkStart w:id="9" w:name="_Toc44405601"/>
      <w:bookmarkStart w:id="10" w:name="_Toc35393621"/>
      <w:bookmarkStart w:id="11" w:name="_Toc28359002"/>
      <w:bookmarkStart w:id="12" w:name="_Hlk24379207"/>
    </w:p>
    <w:p w14:paraId="569ABFD3">
      <w:pPr>
        <w:pStyle w:val="3"/>
        <w:spacing w:line="400" w:lineRule="exac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一、项目基本情况</w:t>
      </w:r>
      <w:bookmarkEnd w:id="7"/>
      <w:bookmarkEnd w:id="8"/>
      <w:bookmarkEnd w:id="9"/>
      <w:bookmarkEnd w:id="10"/>
      <w:bookmarkEnd w:id="11"/>
    </w:p>
    <w:p w14:paraId="0BD808FB">
      <w:pPr>
        <w:spacing w:line="400" w:lineRule="exact"/>
        <w:ind w:firstLine="480" w:firstLineChars="200"/>
        <w:rPr>
          <w:rFonts w:hint="eastAsia" w:ascii="宋体" w:hAnsi="宋体" w:eastAsia="宋体" w:cs="宋体"/>
          <w:color w:val="auto"/>
          <w:sz w:val="24"/>
          <w:szCs w:val="32"/>
          <w:highlight w:val="none"/>
          <w:lang w:eastAsia="zh-CN"/>
        </w:rPr>
      </w:pPr>
      <w:r>
        <w:rPr>
          <w:rFonts w:hint="eastAsia" w:ascii="宋体" w:hAnsi="宋体" w:cs="宋体"/>
          <w:color w:val="auto"/>
          <w:sz w:val="24"/>
          <w:szCs w:val="32"/>
          <w:highlight w:val="none"/>
        </w:rPr>
        <w:t>项目编号：</w:t>
      </w:r>
      <w:r>
        <w:rPr>
          <w:rFonts w:hint="eastAsia" w:ascii="宋体" w:hAnsi="宋体" w:cs="宋体"/>
          <w:color w:val="auto"/>
          <w:sz w:val="24"/>
          <w:szCs w:val="32"/>
          <w:highlight w:val="none"/>
          <w:lang w:eastAsia="zh-CN"/>
        </w:rPr>
        <w:t>GXZC2026-C3-000827-GXZL</w:t>
      </w:r>
    </w:p>
    <w:p w14:paraId="24B0531E">
      <w:pPr>
        <w:spacing w:line="400" w:lineRule="exact"/>
        <w:ind w:firstLine="480" w:firstLineChars="200"/>
        <w:rPr>
          <w:rFonts w:hint="eastAsia" w:ascii="宋体" w:hAnsi="宋体" w:eastAsia="宋体" w:cs="宋体"/>
          <w:color w:val="auto"/>
          <w:sz w:val="24"/>
          <w:szCs w:val="32"/>
          <w:highlight w:val="none"/>
          <w:lang w:eastAsia="zh-CN"/>
        </w:rPr>
      </w:pPr>
      <w:r>
        <w:rPr>
          <w:rFonts w:hint="eastAsia" w:ascii="宋体" w:hAnsi="宋体" w:cs="宋体"/>
          <w:color w:val="auto"/>
          <w:sz w:val="24"/>
          <w:szCs w:val="32"/>
          <w:highlight w:val="none"/>
        </w:rPr>
        <w:t>项目名称：</w:t>
      </w:r>
      <w:r>
        <w:rPr>
          <w:rFonts w:hint="eastAsia" w:ascii="宋体" w:hAnsi="宋体" w:cs="宋体"/>
          <w:color w:val="auto"/>
          <w:sz w:val="24"/>
          <w:szCs w:val="32"/>
          <w:highlight w:val="none"/>
          <w:lang w:eastAsia="zh-CN"/>
        </w:rPr>
        <w:t>2026年校园安全保卫及学生管理服务采购</w:t>
      </w:r>
    </w:p>
    <w:bookmarkEnd w:id="12"/>
    <w:p w14:paraId="061F4E6D">
      <w:pPr>
        <w:spacing w:line="400" w:lineRule="exact"/>
        <w:ind w:firstLine="480" w:firstLineChars="200"/>
        <w:rPr>
          <w:rFonts w:hint="eastAsia" w:ascii="宋体" w:hAnsi="宋体" w:eastAsia="宋体" w:cs="宋体"/>
          <w:color w:val="auto"/>
          <w:sz w:val="24"/>
          <w:szCs w:val="32"/>
          <w:highlight w:val="none"/>
          <w:lang w:eastAsia="zh-CN"/>
        </w:rPr>
      </w:pPr>
      <w:r>
        <w:rPr>
          <w:rFonts w:hint="eastAsia" w:ascii="宋体" w:hAnsi="宋体" w:cs="宋体"/>
          <w:color w:val="auto"/>
          <w:sz w:val="24"/>
          <w:szCs w:val="32"/>
          <w:highlight w:val="none"/>
        </w:rPr>
        <w:t>预算总金额（元）：</w:t>
      </w:r>
      <w:r>
        <w:rPr>
          <w:rFonts w:hint="eastAsia" w:ascii="宋体" w:hAnsi="宋体" w:cs="宋体"/>
          <w:color w:val="auto"/>
          <w:sz w:val="24"/>
          <w:szCs w:val="32"/>
          <w:highlight w:val="none"/>
          <w:lang w:eastAsia="zh-CN"/>
        </w:rPr>
        <w:t>1400000.00</w:t>
      </w:r>
    </w:p>
    <w:p w14:paraId="4EAC2276">
      <w:pPr>
        <w:spacing w:line="400" w:lineRule="exact"/>
        <w:ind w:firstLine="480" w:firstLineChars="200"/>
        <w:rPr>
          <w:rFonts w:ascii="宋体" w:hAnsi="宋体" w:cs="宋体"/>
          <w:color w:val="auto"/>
          <w:sz w:val="24"/>
          <w:szCs w:val="32"/>
          <w:highlight w:val="none"/>
        </w:rPr>
      </w:pPr>
      <w:r>
        <w:rPr>
          <w:rFonts w:hint="eastAsia" w:ascii="宋体" w:hAnsi="宋体" w:cs="宋体"/>
          <w:color w:val="auto"/>
          <w:sz w:val="24"/>
          <w:szCs w:val="32"/>
          <w:highlight w:val="none"/>
        </w:rPr>
        <w:t>采购需求：</w:t>
      </w:r>
    </w:p>
    <w:p w14:paraId="294A8DC0">
      <w:pPr>
        <w:spacing w:line="400" w:lineRule="exact"/>
        <w:ind w:firstLine="480" w:firstLineChars="200"/>
        <w:rPr>
          <w:rFonts w:hint="default" w:ascii="宋体" w:hAnsi="宋体" w:eastAsia="宋体" w:cs="宋体"/>
          <w:color w:val="auto"/>
          <w:sz w:val="24"/>
          <w:szCs w:val="32"/>
          <w:highlight w:val="none"/>
          <w:lang w:val="en-US" w:eastAsia="zh-CN"/>
        </w:rPr>
      </w:pPr>
      <w:r>
        <w:rPr>
          <w:rFonts w:hint="eastAsia" w:ascii="宋体" w:hAnsi="宋体" w:cs="宋体"/>
          <w:color w:val="auto"/>
          <w:sz w:val="24"/>
          <w:szCs w:val="32"/>
          <w:highlight w:val="none"/>
        </w:rPr>
        <w:t>标项名称：</w:t>
      </w:r>
      <w:r>
        <w:rPr>
          <w:rFonts w:hint="eastAsia" w:ascii="宋体" w:hAnsi="宋体" w:cs="宋体"/>
          <w:color w:val="auto"/>
          <w:sz w:val="24"/>
          <w:szCs w:val="32"/>
          <w:highlight w:val="none"/>
          <w:lang w:eastAsia="zh-CN"/>
        </w:rPr>
        <w:t>2026年校园安全保卫及学生管理服务采购</w:t>
      </w:r>
    </w:p>
    <w:p w14:paraId="399B0991">
      <w:pPr>
        <w:spacing w:line="400" w:lineRule="exact"/>
        <w:ind w:firstLine="480" w:firstLineChars="200"/>
        <w:rPr>
          <w:rFonts w:ascii="宋体" w:hAnsi="宋体" w:cs="宋体"/>
          <w:color w:val="auto"/>
          <w:sz w:val="24"/>
          <w:szCs w:val="32"/>
          <w:highlight w:val="none"/>
        </w:rPr>
      </w:pPr>
      <w:r>
        <w:rPr>
          <w:rFonts w:hint="eastAsia" w:ascii="宋体" w:hAnsi="宋体" w:cs="宋体"/>
          <w:color w:val="auto"/>
          <w:sz w:val="24"/>
          <w:szCs w:val="32"/>
          <w:highlight w:val="none"/>
        </w:rPr>
        <w:t>数量：1</w:t>
      </w:r>
    </w:p>
    <w:p w14:paraId="66372CC2">
      <w:pPr>
        <w:spacing w:line="400" w:lineRule="exact"/>
        <w:ind w:firstLine="480" w:firstLineChars="200"/>
        <w:rPr>
          <w:rFonts w:hint="eastAsia" w:ascii="宋体" w:hAnsi="宋体" w:eastAsia="宋体" w:cs="宋体"/>
          <w:color w:val="auto"/>
          <w:sz w:val="24"/>
          <w:szCs w:val="32"/>
          <w:highlight w:val="none"/>
          <w:lang w:eastAsia="zh-CN"/>
        </w:rPr>
      </w:pPr>
      <w:r>
        <w:rPr>
          <w:rFonts w:hint="eastAsia" w:ascii="宋体" w:hAnsi="宋体" w:cs="宋体"/>
          <w:color w:val="auto"/>
          <w:sz w:val="24"/>
          <w:szCs w:val="32"/>
          <w:highlight w:val="none"/>
        </w:rPr>
        <w:t>预算金额（元）：</w:t>
      </w:r>
      <w:r>
        <w:rPr>
          <w:rFonts w:hint="eastAsia" w:ascii="宋体" w:hAnsi="宋体" w:cs="宋体"/>
          <w:color w:val="auto"/>
          <w:sz w:val="24"/>
          <w:szCs w:val="32"/>
          <w:highlight w:val="none"/>
          <w:lang w:eastAsia="zh-CN"/>
        </w:rPr>
        <w:t>1400000.00</w:t>
      </w:r>
    </w:p>
    <w:p w14:paraId="0CC80D99">
      <w:pPr>
        <w:spacing w:line="400" w:lineRule="exact"/>
        <w:ind w:firstLine="480" w:firstLineChars="200"/>
        <w:rPr>
          <w:rFonts w:ascii="宋体" w:hAnsi="宋体" w:cs="宋体"/>
          <w:color w:val="auto"/>
          <w:sz w:val="24"/>
          <w:szCs w:val="32"/>
          <w:highlight w:val="none"/>
        </w:rPr>
      </w:pPr>
      <w:r>
        <w:rPr>
          <w:rFonts w:hint="eastAsia" w:ascii="宋体" w:hAnsi="宋体" w:cs="宋体"/>
          <w:color w:val="auto"/>
          <w:sz w:val="24"/>
          <w:szCs w:val="32"/>
          <w:highlight w:val="none"/>
        </w:rPr>
        <w:t>简要规格描述或项目基本概况介绍、用途：校园及周边的安全保卫管理、学生管理服务（包括学生宿舍区管理、学生实习管理、各种学生集会组织及纪律管理、卫生管理等）。</w:t>
      </w:r>
    </w:p>
    <w:p w14:paraId="729C7EA5">
      <w:pPr>
        <w:spacing w:line="400" w:lineRule="exact"/>
        <w:ind w:firstLine="480" w:firstLineChars="200"/>
        <w:rPr>
          <w:rFonts w:hint="eastAsia" w:ascii="宋体" w:hAnsi="宋体" w:eastAsia="宋体" w:cs="宋体"/>
          <w:color w:val="auto"/>
          <w:sz w:val="24"/>
          <w:szCs w:val="32"/>
          <w:highlight w:val="none"/>
          <w:lang w:eastAsia="zh-CN"/>
        </w:rPr>
      </w:pPr>
      <w:r>
        <w:rPr>
          <w:rFonts w:hint="eastAsia" w:ascii="宋体" w:hAnsi="宋体" w:cs="宋体"/>
          <w:color w:val="auto"/>
          <w:sz w:val="24"/>
          <w:szCs w:val="32"/>
          <w:highlight w:val="none"/>
        </w:rPr>
        <w:t>最高限价（元）：</w:t>
      </w:r>
      <w:r>
        <w:rPr>
          <w:rFonts w:hint="eastAsia" w:ascii="宋体" w:hAnsi="宋体" w:cs="宋体"/>
          <w:color w:val="auto"/>
          <w:sz w:val="24"/>
          <w:szCs w:val="32"/>
          <w:highlight w:val="none"/>
          <w:lang w:eastAsia="zh-CN"/>
        </w:rPr>
        <w:t>1400000.00</w:t>
      </w:r>
    </w:p>
    <w:p w14:paraId="377F81F7">
      <w:pPr>
        <w:spacing w:line="400" w:lineRule="exact"/>
        <w:ind w:firstLine="480" w:firstLineChars="200"/>
        <w:rPr>
          <w:rFonts w:ascii="宋体" w:hAnsi="宋体" w:cs="宋体"/>
          <w:color w:val="auto"/>
          <w:sz w:val="24"/>
          <w:szCs w:val="32"/>
          <w:highlight w:val="none"/>
        </w:rPr>
      </w:pPr>
      <w:r>
        <w:rPr>
          <w:rFonts w:hint="eastAsia" w:ascii="宋体" w:hAnsi="宋体" w:cs="宋体"/>
          <w:color w:val="auto"/>
          <w:sz w:val="24"/>
          <w:szCs w:val="32"/>
          <w:highlight w:val="none"/>
        </w:rPr>
        <w:t>合同履约期限：具体详见采购需求。</w:t>
      </w:r>
    </w:p>
    <w:p w14:paraId="513560B8">
      <w:pPr>
        <w:spacing w:line="400" w:lineRule="exact"/>
        <w:ind w:firstLine="480" w:firstLineChars="200"/>
        <w:rPr>
          <w:rFonts w:ascii="宋体" w:hAnsi="宋体" w:cs="宋体"/>
          <w:color w:val="auto"/>
          <w:sz w:val="24"/>
          <w:szCs w:val="32"/>
          <w:highlight w:val="none"/>
        </w:rPr>
      </w:pPr>
      <w:r>
        <w:rPr>
          <w:rFonts w:hint="eastAsia" w:ascii="宋体" w:hAnsi="宋体" w:cs="宋体"/>
          <w:color w:val="auto"/>
          <w:sz w:val="24"/>
          <w:szCs w:val="32"/>
          <w:highlight w:val="none"/>
        </w:rPr>
        <w:t>本标项（否）接受联合体磋商</w:t>
      </w:r>
    </w:p>
    <w:p w14:paraId="2F7C370F">
      <w:pPr>
        <w:spacing w:line="400" w:lineRule="exact"/>
        <w:ind w:firstLine="480" w:firstLineChars="200"/>
        <w:rPr>
          <w:rFonts w:hint="eastAsia" w:ascii="宋体" w:hAnsi="宋体" w:cs="宋体"/>
          <w:color w:val="auto"/>
          <w:sz w:val="24"/>
          <w:szCs w:val="32"/>
          <w:highlight w:val="none"/>
        </w:rPr>
      </w:pPr>
      <w:r>
        <w:rPr>
          <w:rFonts w:hint="eastAsia" w:ascii="宋体" w:hAnsi="宋体" w:cs="宋体"/>
          <w:color w:val="auto"/>
          <w:sz w:val="24"/>
          <w:szCs w:val="32"/>
          <w:highlight w:val="none"/>
        </w:rPr>
        <w:t>备注：/。</w:t>
      </w:r>
      <w:bookmarkStart w:id="13" w:name="_Toc35393791"/>
      <w:bookmarkStart w:id="14" w:name="_Toc28359003"/>
      <w:bookmarkStart w:id="15" w:name="_Toc28359080"/>
      <w:bookmarkStart w:id="16" w:name="_Toc35393622"/>
      <w:bookmarkStart w:id="17" w:name="_Toc44405602"/>
    </w:p>
    <w:p w14:paraId="2CA80A9C">
      <w:pPr>
        <w:numPr>
          <w:ilvl w:val="0"/>
          <w:numId w:val="2"/>
        </w:numPr>
        <w:spacing w:line="400" w:lineRule="exact"/>
        <w:rPr>
          <w:rFonts w:ascii="宋体" w:hAnsi="宋体" w:cs="宋体"/>
          <w:b/>
          <w:bCs/>
          <w:color w:val="auto"/>
          <w:sz w:val="24"/>
          <w:highlight w:val="none"/>
        </w:rPr>
      </w:pPr>
      <w:r>
        <w:rPr>
          <w:rFonts w:hint="eastAsia" w:ascii="宋体" w:hAnsi="宋体" w:cs="宋体"/>
          <w:b/>
          <w:bCs/>
          <w:color w:val="auto"/>
          <w:sz w:val="24"/>
          <w:highlight w:val="none"/>
        </w:rPr>
        <w:t>申请人的资格要求：</w:t>
      </w:r>
      <w:bookmarkEnd w:id="13"/>
      <w:bookmarkEnd w:id="14"/>
      <w:bookmarkEnd w:id="15"/>
      <w:bookmarkEnd w:id="16"/>
      <w:bookmarkEnd w:id="17"/>
    </w:p>
    <w:p w14:paraId="0929B8E0">
      <w:pPr>
        <w:spacing w:line="4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1.满足《中华人民共和国政府采购法》第二十二条规定；</w:t>
      </w:r>
      <w:bookmarkStart w:id="18" w:name="_Toc28359081"/>
      <w:bookmarkStart w:id="19" w:name="_Toc28359004"/>
    </w:p>
    <w:p w14:paraId="18B8A00C">
      <w:pPr>
        <w:spacing w:line="4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2.落实政府采购政策需满足的资格要求：本项目属于专门面向</w:t>
      </w:r>
      <w:r>
        <w:rPr>
          <w:rFonts w:hint="eastAsia" w:ascii="宋体" w:hAnsi="宋体" w:cs="宋体"/>
          <w:b/>
          <w:bCs/>
          <w:color w:val="auto"/>
          <w:sz w:val="24"/>
          <w:highlight w:val="none"/>
        </w:rPr>
        <w:t>小</w:t>
      </w:r>
      <w:r>
        <w:rPr>
          <w:rFonts w:hint="eastAsia" w:ascii="宋体" w:hAnsi="宋体" w:cs="宋体"/>
          <w:b/>
          <w:bCs/>
          <w:color w:val="auto"/>
          <w:sz w:val="24"/>
          <w:highlight w:val="none"/>
          <w:lang w:val="en-US" w:eastAsia="zh-CN"/>
        </w:rPr>
        <w:t>微</w:t>
      </w:r>
      <w:r>
        <w:rPr>
          <w:rFonts w:hint="eastAsia" w:ascii="宋体" w:hAnsi="宋体" w:cs="宋体"/>
          <w:b/>
          <w:bCs/>
          <w:color w:val="auto"/>
          <w:sz w:val="24"/>
          <w:highlight w:val="none"/>
        </w:rPr>
        <w:t>企业采购</w:t>
      </w:r>
      <w:r>
        <w:rPr>
          <w:rFonts w:hint="eastAsia" w:ascii="宋体" w:hAnsi="宋体" w:cs="宋体"/>
          <w:color w:val="auto"/>
          <w:sz w:val="24"/>
          <w:highlight w:val="none"/>
        </w:rPr>
        <w:t>的项目，供应商应为</w:t>
      </w:r>
      <w:r>
        <w:rPr>
          <w:rFonts w:hint="eastAsia" w:ascii="宋体" w:hAnsi="宋体" w:cs="宋体"/>
          <w:b/>
          <w:bCs/>
          <w:color w:val="auto"/>
          <w:sz w:val="24"/>
          <w:highlight w:val="none"/>
        </w:rPr>
        <w:t>小</w:t>
      </w:r>
      <w:r>
        <w:rPr>
          <w:rFonts w:hint="eastAsia" w:ascii="宋体" w:hAnsi="宋体" w:cs="宋体"/>
          <w:b/>
          <w:bCs/>
          <w:color w:val="auto"/>
          <w:sz w:val="24"/>
          <w:highlight w:val="none"/>
          <w:lang w:val="en-US" w:eastAsia="zh-CN"/>
        </w:rPr>
        <w:t>微</w:t>
      </w:r>
      <w:r>
        <w:rPr>
          <w:rFonts w:hint="eastAsia" w:ascii="宋体" w:hAnsi="宋体" w:cs="宋体"/>
          <w:b/>
          <w:bCs/>
          <w:color w:val="auto"/>
          <w:sz w:val="24"/>
          <w:highlight w:val="none"/>
        </w:rPr>
        <w:t>企业</w:t>
      </w:r>
      <w:r>
        <w:rPr>
          <w:rFonts w:hint="eastAsia" w:ascii="宋体" w:hAnsi="宋体" w:cs="宋体"/>
          <w:color w:val="auto"/>
          <w:sz w:val="24"/>
          <w:highlight w:val="none"/>
        </w:rPr>
        <w:t>、监狱企业</w:t>
      </w:r>
      <w:r>
        <w:rPr>
          <w:rFonts w:hint="eastAsia" w:ascii="宋体" w:hAnsi="宋体" w:cs="宋体"/>
          <w:color w:val="auto"/>
          <w:sz w:val="24"/>
          <w:highlight w:val="none"/>
          <w:lang w:eastAsia="zh-CN"/>
        </w:rPr>
        <w:t>或</w:t>
      </w:r>
      <w:r>
        <w:rPr>
          <w:rFonts w:hint="eastAsia" w:ascii="宋体" w:hAnsi="宋体" w:cs="宋体"/>
          <w:color w:val="auto"/>
          <w:sz w:val="24"/>
          <w:highlight w:val="none"/>
        </w:rPr>
        <w:t>残疾人福利性单位；</w:t>
      </w:r>
    </w:p>
    <w:p w14:paraId="1E41C754">
      <w:pPr>
        <w:spacing w:line="4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3.本项目的特定资格要求：</w:t>
      </w:r>
      <w:r>
        <w:rPr>
          <w:rFonts w:hint="eastAsia" w:ascii="宋体" w:hAnsi="宋体" w:cs="宋体"/>
          <w:color w:val="auto"/>
          <w:sz w:val="24"/>
          <w:highlight w:val="none"/>
          <w:lang w:eastAsia="zh-CN"/>
        </w:rPr>
        <w:t>须具有公安部门颁发的有效的《保安服务许可证》</w:t>
      </w:r>
      <w:r>
        <w:rPr>
          <w:rFonts w:hint="eastAsia" w:ascii="宋体" w:hAnsi="宋体" w:cs="宋体"/>
          <w:color w:val="auto"/>
          <w:sz w:val="24"/>
          <w:highlight w:val="none"/>
        </w:rPr>
        <w:t>。</w:t>
      </w:r>
      <w:bookmarkStart w:id="20" w:name="_Toc35393623"/>
      <w:bookmarkStart w:id="21" w:name="_Toc44405603"/>
      <w:bookmarkStart w:id="22" w:name="_Toc35393792"/>
    </w:p>
    <w:p w14:paraId="5406F172">
      <w:pPr>
        <w:spacing w:line="400" w:lineRule="exact"/>
        <w:rPr>
          <w:rFonts w:ascii="宋体" w:hAnsi="宋体" w:cs="宋体"/>
          <w:b/>
          <w:bCs/>
          <w:color w:val="auto"/>
          <w:sz w:val="24"/>
          <w:highlight w:val="none"/>
        </w:rPr>
      </w:pPr>
      <w:r>
        <w:rPr>
          <w:rFonts w:hint="eastAsia" w:ascii="宋体" w:hAnsi="宋体" w:cs="宋体"/>
          <w:b/>
          <w:bCs/>
          <w:color w:val="auto"/>
          <w:sz w:val="24"/>
          <w:highlight w:val="none"/>
        </w:rPr>
        <w:t>三、获取</w:t>
      </w:r>
      <w:bookmarkEnd w:id="18"/>
      <w:bookmarkEnd w:id="19"/>
      <w:bookmarkEnd w:id="20"/>
      <w:bookmarkEnd w:id="21"/>
      <w:bookmarkEnd w:id="22"/>
      <w:r>
        <w:rPr>
          <w:rFonts w:hint="eastAsia" w:ascii="宋体" w:hAnsi="宋体" w:cs="宋体"/>
          <w:b/>
          <w:bCs/>
          <w:color w:val="auto"/>
          <w:sz w:val="24"/>
          <w:highlight w:val="none"/>
        </w:rPr>
        <w:t>采购文件</w:t>
      </w:r>
    </w:p>
    <w:p w14:paraId="71A238BE">
      <w:pPr>
        <w:spacing w:line="4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时间：</w:t>
      </w:r>
      <w:r>
        <w:rPr>
          <w:rFonts w:hint="eastAsia" w:ascii="宋体" w:hAnsi="宋体" w:cs="宋体"/>
          <w:color w:val="auto"/>
          <w:sz w:val="24"/>
          <w:highlight w:val="none"/>
          <w:u w:val="none"/>
          <w:lang w:eastAsia="zh-CN"/>
        </w:rPr>
        <w:t>202</w:t>
      </w:r>
      <w:r>
        <w:rPr>
          <w:rFonts w:hint="eastAsia" w:ascii="宋体" w:hAnsi="宋体" w:cs="宋体"/>
          <w:color w:val="auto"/>
          <w:sz w:val="24"/>
          <w:highlight w:val="none"/>
          <w:u w:val="none"/>
          <w:lang w:val="en-US" w:eastAsia="zh-CN"/>
        </w:rPr>
        <w:t>6</w:t>
      </w:r>
      <w:r>
        <w:rPr>
          <w:rFonts w:hint="eastAsia" w:ascii="宋体" w:hAnsi="宋体" w:cs="宋体"/>
          <w:color w:val="auto"/>
          <w:sz w:val="24"/>
          <w:highlight w:val="none"/>
          <w:u w:val="none"/>
          <w:lang w:eastAsia="zh-CN"/>
        </w:rPr>
        <w:t>年</w:t>
      </w:r>
      <w:r>
        <w:rPr>
          <w:rFonts w:hint="eastAsia" w:ascii="宋体" w:hAnsi="宋体" w:cs="宋体"/>
          <w:color w:val="auto"/>
          <w:sz w:val="24"/>
          <w:highlight w:val="none"/>
          <w:u w:val="none"/>
          <w:lang w:val="en-US" w:eastAsia="zh-CN"/>
        </w:rPr>
        <w:t>4</w:t>
      </w:r>
      <w:r>
        <w:rPr>
          <w:rFonts w:hint="eastAsia" w:ascii="宋体" w:hAnsi="宋体" w:cs="宋体"/>
          <w:color w:val="auto"/>
          <w:sz w:val="24"/>
          <w:highlight w:val="none"/>
          <w:u w:val="none"/>
          <w:lang w:eastAsia="zh-CN"/>
        </w:rPr>
        <w:t>月</w:t>
      </w:r>
      <w:r>
        <w:rPr>
          <w:rFonts w:hint="eastAsia" w:ascii="宋体" w:hAnsi="宋体" w:cs="宋体"/>
          <w:color w:val="auto"/>
          <w:sz w:val="24"/>
          <w:highlight w:val="none"/>
          <w:u w:val="none"/>
          <w:lang w:val="en-US" w:eastAsia="zh-CN"/>
        </w:rPr>
        <w:t>10</w:t>
      </w:r>
      <w:r>
        <w:rPr>
          <w:rFonts w:hint="eastAsia" w:ascii="宋体" w:hAnsi="宋体" w:cs="宋体"/>
          <w:color w:val="auto"/>
          <w:sz w:val="24"/>
          <w:highlight w:val="none"/>
          <w:u w:val="none"/>
        </w:rPr>
        <w:t>日至</w:t>
      </w:r>
      <w:r>
        <w:rPr>
          <w:rFonts w:hint="eastAsia" w:ascii="宋体" w:hAnsi="宋体" w:cs="宋体"/>
          <w:color w:val="auto"/>
          <w:sz w:val="24"/>
          <w:highlight w:val="none"/>
          <w:u w:val="none"/>
          <w:lang w:eastAsia="zh-CN"/>
        </w:rPr>
        <w:t>202</w:t>
      </w:r>
      <w:r>
        <w:rPr>
          <w:rFonts w:hint="eastAsia" w:ascii="宋体" w:hAnsi="宋体" w:cs="宋体"/>
          <w:color w:val="auto"/>
          <w:sz w:val="24"/>
          <w:highlight w:val="none"/>
          <w:u w:val="none"/>
          <w:lang w:val="en-US" w:eastAsia="zh-CN"/>
        </w:rPr>
        <w:t>6</w:t>
      </w:r>
      <w:r>
        <w:rPr>
          <w:rFonts w:hint="eastAsia" w:ascii="宋体" w:hAnsi="宋体" w:cs="宋体"/>
          <w:color w:val="auto"/>
          <w:sz w:val="24"/>
          <w:highlight w:val="none"/>
          <w:u w:val="none"/>
          <w:lang w:eastAsia="zh-CN"/>
        </w:rPr>
        <w:t>年</w:t>
      </w:r>
      <w:r>
        <w:rPr>
          <w:rFonts w:hint="eastAsia" w:ascii="宋体" w:hAnsi="宋体" w:cs="宋体"/>
          <w:color w:val="auto"/>
          <w:sz w:val="24"/>
          <w:highlight w:val="none"/>
          <w:u w:val="none"/>
          <w:lang w:val="en-US" w:eastAsia="zh-CN"/>
        </w:rPr>
        <w:t>4</w:t>
      </w:r>
      <w:r>
        <w:rPr>
          <w:rFonts w:hint="eastAsia" w:ascii="宋体" w:hAnsi="宋体" w:cs="宋体"/>
          <w:color w:val="auto"/>
          <w:sz w:val="24"/>
          <w:highlight w:val="none"/>
          <w:u w:val="none"/>
          <w:lang w:eastAsia="zh-CN"/>
        </w:rPr>
        <w:t>月</w:t>
      </w:r>
      <w:r>
        <w:rPr>
          <w:rFonts w:hint="eastAsia" w:ascii="宋体" w:hAnsi="宋体" w:cs="宋体"/>
          <w:color w:val="auto"/>
          <w:sz w:val="24"/>
          <w:highlight w:val="none"/>
          <w:u w:val="none"/>
          <w:lang w:val="en-US" w:eastAsia="zh-CN"/>
        </w:rPr>
        <w:t>24</w:t>
      </w:r>
      <w:r>
        <w:rPr>
          <w:rFonts w:hint="eastAsia" w:ascii="宋体" w:hAnsi="宋体" w:cs="宋体"/>
          <w:color w:val="auto"/>
          <w:sz w:val="24"/>
          <w:highlight w:val="none"/>
          <w:u w:val="none"/>
        </w:rPr>
        <w:t>日</w:t>
      </w:r>
      <w:r>
        <w:rPr>
          <w:rFonts w:hint="eastAsia" w:ascii="宋体" w:hAnsi="宋体" w:cs="宋体"/>
          <w:color w:val="auto"/>
          <w:sz w:val="24"/>
          <w:highlight w:val="none"/>
        </w:rPr>
        <w:t>，每天上午0</w:t>
      </w:r>
      <w:r>
        <w:rPr>
          <w:rFonts w:hint="eastAsia" w:ascii="宋体" w:hAnsi="宋体" w:cs="宋体"/>
          <w:color w:val="auto"/>
          <w:sz w:val="24"/>
          <w:highlight w:val="none"/>
          <w:lang w:val="en-US" w:eastAsia="zh-CN"/>
        </w:rPr>
        <w:t>0</w:t>
      </w:r>
      <w:r>
        <w:rPr>
          <w:rFonts w:hint="eastAsia" w:ascii="宋体" w:hAnsi="宋体" w:cs="宋体"/>
          <w:color w:val="auto"/>
          <w:sz w:val="24"/>
          <w:highlight w:val="none"/>
        </w:rPr>
        <w:t>:00至1</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59</w:t>
      </w:r>
      <w:r>
        <w:rPr>
          <w:rFonts w:hint="eastAsia" w:ascii="宋体" w:hAnsi="宋体" w:cs="宋体"/>
          <w:color w:val="auto"/>
          <w:sz w:val="24"/>
          <w:highlight w:val="none"/>
        </w:rPr>
        <w:t>，下午1</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:00至</w:t>
      </w:r>
      <w:r>
        <w:rPr>
          <w:rFonts w:hint="eastAsia" w:ascii="宋体" w:hAnsi="宋体" w:cs="宋体"/>
          <w:color w:val="auto"/>
          <w:sz w:val="24"/>
          <w:highlight w:val="none"/>
          <w:lang w:val="en-US" w:eastAsia="zh-CN"/>
        </w:rPr>
        <w:t>23</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59</w:t>
      </w:r>
      <w:r>
        <w:rPr>
          <w:rFonts w:hint="eastAsia" w:ascii="宋体" w:hAnsi="宋体" w:cs="宋体"/>
          <w:color w:val="auto"/>
          <w:sz w:val="24"/>
          <w:highlight w:val="none"/>
        </w:rPr>
        <w:t xml:space="preserve">（北京时间，法定节假日除外）。    </w:t>
      </w:r>
    </w:p>
    <w:p w14:paraId="4014D770">
      <w:pPr>
        <w:spacing w:line="400" w:lineRule="exact"/>
        <w:ind w:firstLine="539"/>
        <w:rPr>
          <w:rFonts w:ascii="宋体" w:hAnsi="宋体" w:cs="宋体"/>
          <w:color w:val="auto"/>
          <w:sz w:val="24"/>
          <w:highlight w:val="none"/>
        </w:rPr>
      </w:pPr>
      <w:r>
        <w:rPr>
          <w:rFonts w:hint="eastAsia" w:ascii="宋体" w:hAnsi="宋体" w:cs="宋体"/>
          <w:color w:val="auto"/>
          <w:sz w:val="24"/>
          <w:highlight w:val="none"/>
        </w:rPr>
        <w:t>地点：</w:t>
      </w:r>
      <w:r>
        <w:rPr>
          <w:rFonts w:hint="eastAsia" w:ascii="宋体" w:hAnsi="宋体" w:cs="宋体"/>
          <w:color w:val="auto"/>
          <w:sz w:val="24"/>
          <w:highlight w:val="none"/>
          <w:lang w:eastAsia="zh-CN"/>
        </w:rPr>
        <w:t>登录</w:t>
      </w:r>
      <w:r>
        <w:rPr>
          <w:rFonts w:hint="eastAsia" w:ascii="宋体" w:hAnsi="宋体" w:cs="宋体"/>
          <w:color w:val="auto"/>
          <w:sz w:val="24"/>
          <w:highlight w:val="none"/>
        </w:rPr>
        <w:t>广西政府采购云平台（https://www.gcy.zfcg.gxzf.gov.cn/）获取采购文件。</w:t>
      </w:r>
    </w:p>
    <w:p w14:paraId="5E500A44">
      <w:pPr>
        <w:spacing w:line="400" w:lineRule="exact"/>
        <w:ind w:firstLine="539"/>
        <w:rPr>
          <w:rFonts w:ascii="宋体" w:hAnsi="宋体" w:cs="宋体"/>
          <w:color w:val="auto"/>
          <w:sz w:val="24"/>
          <w:highlight w:val="none"/>
        </w:rPr>
      </w:pPr>
      <w:r>
        <w:rPr>
          <w:rFonts w:hint="eastAsia" w:ascii="宋体" w:hAnsi="宋体" w:cs="宋体"/>
          <w:color w:val="auto"/>
          <w:sz w:val="24"/>
          <w:highlight w:val="none"/>
        </w:rPr>
        <w:t>方式：网上下载，供应商登录广西政府采购云平台（https://www.gcy.zfcg.gxzf.gov.cn/）在线申请获取采购文件（进入“项目采购”应用，在获取采购文件菜单中选择项目，申请获取采购文件）</w:t>
      </w:r>
    </w:p>
    <w:p w14:paraId="6302EA38">
      <w:pPr>
        <w:spacing w:line="400" w:lineRule="exact"/>
        <w:ind w:firstLine="540"/>
        <w:rPr>
          <w:rFonts w:ascii="宋体" w:hAnsi="宋体" w:cs="宋体"/>
          <w:color w:val="auto"/>
          <w:sz w:val="24"/>
          <w:highlight w:val="none"/>
        </w:rPr>
      </w:pPr>
      <w:r>
        <w:rPr>
          <w:rFonts w:hint="eastAsia" w:ascii="宋体" w:hAnsi="宋体" w:cs="宋体"/>
          <w:color w:val="auto"/>
          <w:sz w:val="24"/>
          <w:highlight w:val="none"/>
        </w:rPr>
        <w:t>售价（元）：0</w:t>
      </w:r>
      <w:bookmarkStart w:id="23" w:name="_Toc28359005"/>
      <w:bookmarkStart w:id="24" w:name="_Toc35393624"/>
      <w:bookmarkStart w:id="25" w:name="_Toc44405604"/>
      <w:bookmarkStart w:id="26" w:name="_Toc35393793"/>
      <w:bookmarkStart w:id="27" w:name="_Toc28359082"/>
    </w:p>
    <w:p w14:paraId="0ACB7993">
      <w:pPr>
        <w:spacing w:line="400" w:lineRule="exact"/>
        <w:rPr>
          <w:rFonts w:ascii="宋体" w:hAnsi="宋体" w:cs="宋体"/>
          <w:b/>
          <w:bCs/>
          <w:color w:val="auto"/>
          <w:sz w:val="24"/>
          <w:highlight w:val="none"/>
        </w:rPr>
      </w:pPr>
      <w:r>
        <w:rPr>
          <w:rFonts w:hint="eastAsia" w:ascii="宋体" w:hAnsi="宋体" w:cs="宋体"/>
          <w:b/>
          <w:bCs/>
          <w:color w:val="auto"/>
          <w:sz w:val="24"/>
          <w:highlight w:val="none"/>
        </w:rPr>
        <w:t>四、</w:t>
      </w:r>
      <w:bookmarkEnd w:id="23"/>
      <w:bookmarkEnd w:id="24"/>
      <w:bookmarkEnd w:id="25"/>
      <w:bookmarkEnd w:id="26"/>
      <w:bookmarkEnd w:id="27"/>
      <w:r>
        <w:rPr>
          <w:rFonts w:hint="eastAsia" w:ascii="宋体" w:hAnsi="宋体" w:cs="宋体"/>
          <w:b/>
          <w:bCs/>
          <w:color w:val="auto"/>
          <w:sz w:val="24"/>
          <w:highlight w:val="none"/>
        </w:rPr>
        <w:t>响应文件提交</w:t>
      </w:r>
    </w:p>
    <w:p w14:paraId="7CD470FE">
      <w:pPr>
        <w:spacing w:line="400" w:lineRule="exact"/>
        <w:ind w:firstLine="480" w:firstLineChars="200"/>
        <w:rPr>
          <w:rFonts w:ascii="宋体" w:hAnsi="宋体" w:cs="宋体"/>
          <w:color w:val="auto"/>
          <w:sz w:val="24"/>
          <w:highlight w:val="none"/>
          <w:u w:val="single"/>
        </w:rPr>
      </w:pPr>
      <w:r>
        <w:rPr>
          <w:rFonts w:hint="eastAsia" w:ascii="宋体" w:hAnsi="宋体" w:cs="宋体"/>
          <w:color w:val="auto"/>
          <w:sz w:val="24"/>
          <w:szCs w:val="32"/>
          <w:highlight w:val="none"/>
        </w:rPr>
        <w:t>截止时间：</w:t>
      </w:r>
      <w:r>
        <w:rPr>
          <w:rFonts w:hint="eastAsia" w:ascii="宋体" w:hAnsi="宋体" w:cs="宋体"/>
          <w:color w:val="auto"/>
          <w:sz w:val="24"/>
          <w:szCs w:val="32"/>
          <w:highlight w:val="none"/>
          <w:lang w:eastAsia="zh-CN"/>
        </w:rPr>
        <w:t>202</w:t>
      </w:r>
      <w:r>
        <w:rPr>
          <w:rFonts w:hint="eastAsia" w:ascii="宋体" w:hAnsi="宋体" w:cs="宋体"/>
          <w:color w:val="auto"/>
          <w:sz w:val="24"/>
          <w:szCs w:val="32"/>
          <w:highlight w:val="none"/>
          <w:lang w:val="en-US" w:eastAsia="zh-CN"/>
        </w:rPr>
        <w:t>6</w:t>
      </w:r>
      <w:r>
        <w:rPr>
          <w:rFonts w:hint="eastAsia" w:ascii="宋体" w:hAnsi="宋体" w:cs="宋体"/>
          <w:color w:val="auto"/>
          <w:sz w:val="24"/>
          <w:szCs w:val="32"/>
          <w:highlight w:val="none"/>
          <w:lang w:eastAsia="zh-CN"/>
        </w:rPr>
        <w:t>年4月</w:t>
      </w:r>
      <w:r>
        <w:rPr>
          <w:rFonts w:hint="eastAsia" w:ascii="宋体" w:hAnsi="宋体" w:cs="宋体"/>
          <w:color w:val="auto"/>
          <w:sz w:val="24"/>
          <w:szCs w:val="32"/>
          <w:highlight w:val="none"/>
          <w:lang w:val="en-US" w:eastAsia="zh-CN"/>
        </w:rPr>
        <w:t>27</w:t>
      </w:r>
      <w:r>
        <w:rPr>
          <w:rFonts w:hint="eastAsia" w:ascii="宋体" w:hAnsi="宋体" w:cs="宋体"/>
          <w:bCs/>
          <w:color w:val="auto"/>
          <w:sz w:val="24"/>
          <w:szCs w:val="32"/>
          <w:highlight w:val="none"/>
        </w:rPr>
        <w:t>日</w:t>
      </w:r>
      <w:r>
        <w:rPr>
          <w:rFonts w:hint="eastAsia" w:ascii="宋体" w:hAnsi="宋体" w:cs="宋体"/>
          <w:bCs/>
          <w:color w:val="auto"/>
          <w:sz w:val="24"/>
          <w:szCs w:val="32"/>
          <w:highlight w:val="none"/>
          <w:lang w:val="en-US" w:eastAsia="zh-CN"/>
        </w:rPr>
        <w:t>09</w:t>
      </w:r>
      <w:r>
        <w:rPr>
          <w:rFonts w:hint="eastAsia" w:ascii="宋体" w:hAnsi="宋体" w:cs="宋体"/>
          <w:bCs/>
          <w:color w:val="auto"/>
          <w:sz w:val="24"/>
          <w:szCs w:val="32"/>
          <w:highlight w:val="none"/>
        </w:rPr>
        <w:t>时</w:t>
      </w:r>
      <w:r>
        <w:rPr>
          <w:rFonts w:hint="eastAsia" w:ascii="宋体" w:hAnsi="宋体" w:cs="宋体"/>
          <w:bCs/>
          <w:color w:val="auto"/>
          <w:sz w:val="24"/>
          <w:szCs w:val="32"/>
          <w:highlight w:val="none"/>
          <w:lang w:val="en-US" w:eastAsia="zh-CN"/>
        </w:rPr>
        <w:t>30</w:t>
      </w:r>
      <w:r>
        <w:rPr>
          <w:rFonts w:hint="eastAsia" w:ascii="宋体" w:hAnsi="宋体" w:cs="宋体"/>
          <w:bCs/>
          <w:color w:val="auto"/>
          <w:sz w:val="24"/>
          <w:szCs w:val="32"/>
          <w:highlight w:val="none"/>
        </w:rPr>
        <w:t>分</w:t>
      </w:r>
      <w:r>
        <w:rPr>
          <w:rFonts w:hint="eastAsia" w:ascii="宋体" w:hAnsi="宋体" w:cs="宋体"/>
          <w:bCs/>
          <w:color w:val="auto"/>
          <w:sz w:val="24"/>
          <w:highlight w:val="none"/>
        </w:rPr>
        <w:t>（北京时间）。</w:t>
      </w:r>
    </w:p>
    <w:p w14:paraId="3B8E52F0">
      <w:pPr>
        <w:spacing w:line="4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地点（网址）：广西政府采购云平台（https://www.gcy.zfcg.gxzf.gov.cn/）在线响应（本项目不要求磋商供应商到达</w:t>
      </w:r>
      <w:r>
        <w:rPr>
          <w:rFonts w:hint="eastAsia" w:ascii="宋体" w:hAnsi="宋体" w:cs="宋体"/>
          <w:color w:val="auto"/>
          <w:sz w:val="24"/>
          <w:highlight w:val="none"/>
          <w:lang w:eastAsia="zh-CN"/>
        </w:rPr>
        <w:t>评审</w:t>
      </w:r>
      <w:r>
        <w:rPr>
          <w:rFonts w:hint="eastAsia" w:ascii="宋体" w:hAnsi="宋体" w:cs="宋体"/>
          <w:color w:val="auto"/>
          <w:sz w:val="24"/>
          <w:highlight w:val="none"/>
        </w:rPr>
        <w:t>现场，但供应商应派法定代表人或委托代理人准时在线出席电子开评</w:t>
      </w:r>
      <w:r>
        <w:rPr>
          <w:rFonts w:hint="eastAsia" w:ascii="宋体" w:hAnsi="宋体" w:cs="宋体"/>
          <w:color w:val="auto"/>
          <w:sz w:val="24"/>
          <w:highlight w:val="none"/>
          <w:lang w:eastAsia="zh-CN"/>
        </w:rPr>
        <w:t>标</w:t>
      </w:r>
      <w:r>
        <w:rPr>
          <w:rFonts w:hint="eastAsia" w:ascii="宋体" w:hAnsi="宋体" w:cs="宋体"/>
          <w:color w:val="auto"/>
          <w:sz w:val="24"/>
          <w:highlight w:val="none"/>
        </w:rPr>
        <w:t>会议，随时关注开</w:t>
      </w:r>
      <w:r>
        <w:rPr>
          <w:rFonts w:hint="eastAsia" w:ascii="宋体" w:hAnsi="宋体" w:cs="宋体"/>
          <w:color w:val="auto"/>
          <w:sz w:val="24"/>
          <w:highlight w:val="none"/>
          <w:lang w:eastAsia="zh-CN"/>
        </w:rPr>
        <w:t>评</w:t>
      </w:r>
      <w:r>
        <w:rPr>
          <w:rFonts w:hint="eastAsia" w:ascii="宋体" w:hAnsi="宋体" w:cs="宋体"/>
          <w:color w:val="auto"/>
          <w:sz w:val="24"/>
          <w:highlight w:val="none"/>
        </w:rPr>
        <w:t>标进度，如在开</w:t>
      </w:r>
      <w:r>
        <w:rPr>
          <w:rFonts w:hint="eastAsia" w:ascii="宋体" w:hAnsi="宋体" w:cs="宋体"/>
          <w:color w:val="auto"/>
          <w:sz w:val="24"/>
          <w:highlight w:val="none"/>
          <w:lang w:eastAsia="zh-CN"/>
        </w:rPr>
        <w:t>评</w:t>
      </w:r>
      <w:r>
        <w:rPr>
          <w:rFonts w:hint="eastAsia" w:ascii="宋体" w:hAnsi="宋体" w:cs="宋体"/>
          <w:color w:val="auto"/>
          <w:sz w:val="24"/>
          <w:highlight w:val="none"/>
        </w:rPr>
        <w:t>过程中有电子询标，应在规定的时间内对电子询标函进行澄清回复。）。</w:t>
      </w:r>
    </w:p>
    <w:p w14:paraId="2BAA5817">
      <w:pPr>
        <w:pStyle w:val="3"/>
        <w:numPr>
          <w:ilvl w:val="0"/>
          <w:numId w:val="3"/>
        </w:numPr>
        <w:spacing w:line="400" w:lineRule="exact"/>
        <w:rPr>
          <w:rFonts w:ascii="宋体" w:hAnsi="宋体" w:eastAsia="宋体" w:cs="宋体"/>
          <w:color w:val="auto"/>
          <w:sz w:val="24"/>
          <w:szCs w:val="24"/>
          <w:highlight w:val="none"/>
        </w:rPr>
      </w:pPr>
      <w:bookmarkStart w:id="28" w:name="_Toc28359007"/>
      <w:bookmarkStart w:id="29" w:name="_Toc28359084"/>
      <w:bookmarkStart w:id="30" w:name="_Toc44405605"/>
      <w:bookmarkStart w:id="31" w:name="_Toc35393794"/>
      <w:bookmarkStart w:id="32" w:name="_Toc35393625"/>
      <w:r>
        <w:rPr>
          <w:rFonts w:hint="eastAsia" w:ascii="宋体" w:hAnsi="宋体" w:eastAsia="宋体" w:cs="宋体"/>
          <w:color w:val="auto"/>
          <w:sz w:val="24"/>
          <w:szCs w:val="24"/>
          <w:highlight w:val="none"/>
        </w:rPr>
        <w:t>响应文件开启</w:t>
      </w:r>
    </w:p>
    <w:p w14:paraId="648A59FB">
      <w:pPr>
        <w:spacing w:line="40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开启时间：</w:t>
      </w:r>
      <w:r>
        <w:rPr>
          <w:rFonts w:hint="eastAsia" w:ascii="宋体" w:hAnsi="宋体" w:cs="宋体"/>
          <w:color w:val="auto"/>
          <w:sz w:val="24"/>
          <w:szCs w:val="32"/>
          <w:highlight w:val="none"/>
          <w:lang w:eastAsia="zh-CN"/>
        </w:rPr>
        <w:t>202</w:t>
      </w:r>
      <w:r>
        <w:rPr>
          <w:rFonts w:hint="eastAsia" w:ascii="宋体" w:hAnsi="宋体" w:cs="宋体"/>
          <w:color w:val="auto"/>
          <w:sz w:val="24"/>
          <w:szCs w:val="32"/>
          <w:highlight w:val="none"/>
          <w:lang w:val="en-US" w:eastAsia="zh-CN"/>
        </w:rPr>
        <w:t>6</w:t>
      </w:r>
      <w:r>
        <w:rPr>
          <w:rFonts w:hint="eastAsia" w:ascii="宋体" w:hAnsi="宋体" w:cs="宋体"/>
          <w:color w:val="auto"/>
          <w:sz w:val="24"/>
          <w:szCs w:val="32"/>
          <w:highlight w:val="none"/>
          <w:lang w:eastAsia="zh-CN"/>
        </w:rPr>
        <w:t>年4月</w:t>
      </w:r>
      <w:r>
        <w:rPr>
          <w:rFonts w:hint="eastAsia" w:ascii="宋体" w:hAnsi="宋体" w:cs="宋体"/>
          <w:color w:val="auto"/>
          <w:sz w:val="24"/>
          <w:szCs w:val="32"/>
          <w:highlight w:val="none"/>
          <w:lang w:val="en-US" w:eastAsia="zh-CN"/>
        </w:rPr>
        <w:t>27</w:t>
      </w:r>
      <w:r>
        <w:rPr>
          <w:rFonts w:hint="eastAsia" w:ascii="宋体" w:hAnsi="宋体" w:cs="宋体"/>
          <w:bCs/>
          <w:color w:val="auto"/>
          <w:sz w:val="24"/>
          <w:szCs w:val="32"/>
          <w:highlight w:val="none"/>
        </w:rPr>
        <w:t>日</w:t>
      </w:r>
      <w:r>
        <w:rPr>
          <w:rFonts w:hint="eastAsia" w:ascii="宋体" w:hAnsi="宋体" w:cs="宋体"/>
          <w:bCs/>
          <w:color w:val="auto"/>
          <w:sz w:val="24"/>
          <w:szCs w:val="32"/>
          <w:highlight w:val="none"/>
          <w:lang w:val="en-US" w:eastAsia="zh-CN"/>
        </w:rPr>
        <w:t>9</w:t>
      </w:r>
      <w:r>
        <w:rPr>
          <w:rFonts w:hint="eastAsia" w:ascii="宋体" w:hAnsi="宋体" w:cs="宋体"/>
          <w:bCs/>
          <w:color w:val="auto"/>
          <w:sz w:val="24"/>
          <w:szCs w:val="32"/>
          <w:highlight w:val="none"/>
        </w:rPr>
        <w:t>时</w:t>
      </w:r>
      <w:r>
        <w:rPr>
          <w:rFonts w:hint="eastAsia" w:ascii="宋体" w:hAnsi="宋体" w:cs="宋体"/>
          <w:bCs/>
          <w:color w:val="auto"/>
          <w:sz w:val="24"/>
          <w:szCs w:val="32"/>
          <w:highlight w:val="none"/>
          <w:lang w:val="en-US" w:eastAsia="zh-CN"/>
        </w:rPr>
        <w:t>30</w:t>
      </w:r>
      <w:r>
        <w:rPr>
          <w:rFonts w:hint="eastAsia" w:ascii="宋体" w:hAnsi="宋体" w:cs="宋体"/>
          <w:bCs/>
          <w:color w:val="auto"/>
          <w:sz w:val="24"/>
          <w:szCs w:val="32"/>
          <w:highlight w:val="none"/>
        </w:rPr>
        <w:t>分截标后</w:t>
      </w:r>
      <w:r>
        <w:rPr>
          <w:rFonts w:hint="eastAsia" w:ascii="宋体" w:hAnsi="宋体" w:cs="宋体"/>
          <w:bCs/>
          <w:color w:val="auto"/>
          <w:sz w:val="24"/>
          <w:highlight w:val="none"/>
        </w:rPr>
        <w:t>（北京时间）</w:t>
      </w:r>
    </w:p>
    <w:p w14:paraId="62661A3A">
      <w:pPr>
        <w:spacing w:line="400" w:lineRule="exact"/>
        <w:ind w:firstLine="480" w:firstLineChars="200"/>
        <w:rPr>
          <w:rFonts w:ascii="宋体" w:hAnsi="宋体" w:cs="宋体"/>
          <w:color w:val="auto"/>
          <w:sz w:val="24"/>
          <w:highlight w:val="none"/>
        </w:rPr>
      </w:pPr>
      <w:r>
        <w:rPr>
          <w:rFonts w:hint="eastAsia" w:ascii="宋体" w:hAnsi="宋体" w:cs="宋体"/>
          <w:bCs/>
          <w:color w:val="auto"/>
          <w:sz w:val="24"/>
          <w:highlight w:val="none"/>
        </w:rPr>
        <w:t>地点：通过广西政府采购云平台（https://www.gcy.zfcg.gxzf.gov.cn/）在线解密开启响应文件。</w:t>
      </w:r>
    </w:p>
    <w:p w14:paraId="5E8ACF26">
      <w:pPr>
        <w:pStyle w:val="3"/>
        <w:spacing w:line="400" w:lineRule="exac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六、公告期限</w:t>
      </w:r>
      <w:bookmarkEnd w:id="28"/>
      <w:bookmarkEnd w:id="29"/>
      <w:bookmarkEnd w:id="30"/>
      <w:bookmarkEnd w:id="31"/>
      <w:bookmarkEnd w:id="32"/>
    </w:p>
    <w:p w14:paraId="3D8E7723">
      <w:pPr>
        <w:spacing w:line="40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自本公告发布之日起</w:t>
      </w:r>
      <w:r>
        <w:rPr>
          <w:rFonts w:hint="eastAsia" w:ascii="宋体" w:hAnsi="宋体" w:cs="宋体"/>
          <w:color w:val="auto"/>
          <w:kern w:val="0"/>
          <w:sz w:val="24"/>
          <w:highlight w:val="none"/>
          <w:lang w:val="en-US" w:eastAsia="zh-CN"/>
        </w:rPr>
        <w:t>5</w:t>
      </w:r>
      <w:r>
        <w:rPr>
          <w:rFonts w:hint="eastAsia" w:ascii="宋体" w:hAnsi="宋体" w:cs="宋体"/>
          <w:color w:val="auto"/>
          <w:kern w:val="0"/>
          <w:sz w:val="24"/>
          <w:highlight w:val="none"/>
        </w:rPr>
        <w:t>个工作日。</w:t>
      </w:r>
    </w:p>
    <w:p w14:paraId="0CAB3B88">
      <w:pPr>
        <w:pStyle w:val="3"/>
        <w:spacing w:line="400" w:lineRule="exact"/>
        <w:rPr>
          <w:rFonts w:ascii="宋体" w:hAnsi="宋体" w:eastAsia="宋体" w:cs="宋体"/>
          <w:color w:val="auto"/>
          <w:sz w:val="24"/>
          <w:szCs w:val="24"/>
          <w:highlight w:val="none"/>
        </w:rPr>
      </w:pPr>
      <w:bookmarkStart w:id="33" w:name="_Toc44405606"/>
      <w:bookmarkStart w:id="34" w:name="_Toc35393626"/>
      <w:bookmarkStart w:id="35" w:name="_Toc35393795"/>
      <w:r>
        <w:rPr>
          <w:rFonts w:hint="eastAsia" w:ascii="宋体" w:hAnsi="宋体" w:eastAsia="宋体" w:cs="宋体"/>
          <w:color w:val="auto"/>
          <w:sz w:val="24"/>
          <w:szCs w:val="24"/>
          <w:highlight w:val="none"/>
        </w:rPr>
        <w:t>七、其他补充事宜</w:t>
      </w:r>
      <w:bookmarkEnd w:id="33"/>
      <w:bookmarkEnd w:id="34"/>
      <w:bookmarkEnd w:id="35"/>
    </w:p>
    <w:p w14:paraId="225A1B6C">
      <w:pPr>
        <w:pStyle w:val="126"/>
        <w:spacing w:line="400" w:lineRule="exact"/>
        <w:ind w:firstLine="480"/>
        <w:rPr>
          <w:rFonts w:hint="eastAsia" w:ascii="宋体" w:hAnsi="宋体" w:cs="宋体"/>
          <w:color w:val="auto"/>
          <w:kern w:val="0"/>
          <w:sz w:val="24"/>
          <w:highlight w:val="none"/>
        </w:rPr>
      </w:pPr>
      <w:r>
        <w:rPr>
          <w:rFonts w:hint="eastAsia" w:ascii="宋体" w:hAnsi="宋体" w:cs="宋体"/>
          <w:color w:val="auto"/>
          <w:kern w:val="0"/>
          <w:sz w:val="24"/>
          <w:highlight w:val="none"/>
        </w:rPr>
        <w:t>1.磋商保证金：人民币</w:t>
      </w:r>
      <w:r>
        <w:rPr>
          <w:rFonts w:hint="eastAsia" w:ascii="宋体" w:hAnsi="宋体" w:cs="宋体"/>
          <w:color w:val="auto"/>
          <w:kern w:val="0"/>
          <w:sz w:val="24"/>
          <w:highlight w:val="none"/>
          <w:lang w:val="en-US" w:eastAsia="zh-CN"/>
        </w:rPr>
        <w:t>140</w:t>
      </w:r>
      <w:r>
        <w:rPr>
          <w:rFonts w:hint="eastAsia" w:ascii="宋体" w:hAnsi="宋体" w:cs="宋体"/>
          <w:color w:val="auto"/>
          <w:kern w:val="0"/>
          <w:sz w:val="24"/>
          <w:highlight w:val="none"/>
        </w:rPr>
        <w:t>00.00元</w:t>
      </w:r>
    </w:p>
    <w:p w14:paraId="0BF66CC1">
      <w:pPr>
        <w:pStyle w:val="126"/>
        <w:spacing w:line="400" w:lineRule="exact"/>
        <w:ind w:firstLine="480"/>
        <w:rPr>
          <w:rFonts w:hint="eastAsia" w:ascii="宋体" w:hAnsi="宋体" w:cs="宋体"/>
          <w:color w:val="auto"/>
          <w:kern w:val="0"/>
          <w:sz w:val="24"/>
          <w:highlight w:val="none"/>
        </w:rPr>
      </w:pPr>
      <w:r>
        <w:rPr>
          <w:rFonts w:hint="eastAsia" w:ascii="宋体" w:hAnsi="宋体" w:cs="宋体"/>
          <w:color w:val="auto"/>
          <w:kern w:val="0"/>
          <w:sz w:val="24"/>
          <w:highlight w:val="none"/>
        </w:rPr>
        <w:t>交纳方式：支票、汇票、本票、网上银行或者银行、保险机构出具的保函等非现金形式。采用银行转账方式的，供应商应于响应文件提交截止时间前将磋商保证金交至以下账户，采用支票、汇票、本票或者保函等方式的，供应商应于响应文件提交截止时间前递交单独密封的支票、汇票、本票或者保函原件至</w:t>
      </w:r>
      <w:r>
        <w:rPr>
          <w:rFonts w:hint="eastAsia" w:ascii="宋体" w:hAnsi="宋体" w:cs="宋体"/>
          <w:color w:val="auto"/>
          <w:kern w:val="0"/>
          <w:sz w:val="24"/>
          <w:highlight w:val="none"/>
          <w:lang w:eastAsia="zh-CN"/>
        </w:rPr>
        <w:t>广西</w:t>
      </w:r>
      <w:r>
        <w:rPr>
          <w:rFonts w:hint="eastAsia" w:ascii="宋体" w:hAnsi="宋体" w:cs="宋体"/>
          <w:color w:val="auto"/>
          <w:kern w:val="0"/>
          <w:sz w:val="24"/>
          <w:highlight w:val="none"/>
        </w:rPr>
        <w:t>众联工程项目管理有限公司</w:t>
      </w:r>
      <w:r>
        <w:rPr>
          <w:rFonts w:hint="eastAsia" w:ascii="宋体" w:hAnsi="宋体" w:cs="宋体"/>
          <w:color w:val="auto"/>
          <w:kern w:val="0"/>
          <w:sz w:val="24"/>
          <w:highlight w:val="none"/>
          <w:lang w:eastAsia="zh-CN"/>
        </w:rPr>
        <w:t>，交由采购代理机构项目联系人保管</w:t>
      </w:r>
      <w:r>
        <w:rPr>
          <w:rFonts w:hint="eastAsia" w:ascii="宋体" w:hAnsi="宋体" w:cs="宋体"/>
          <w:color w:val="auto"/>
          <w:kern w:val="0"/>
          <w:sz w:val="24"/>
          <w:highlight w:val="none"/>
        </w:rPr>
        <w:t>。</w:t>
      </w:r>
    </w:p>
    <w:p w14:paraId="2E7A4884">
      <w:pPr>
        <w:pStyle w:val="126"/>
        <w:spacing w:line="400" w:lineRule="exact"/>
        <w:ind w:firstLine="480"/>
        <w:rPr>
          <w:rFonts w:hint="eastAsia" w:ascii="宋体" w:hAnsi="宋体" w:cs="宋体"/>
          <w:color w:val="auto"/>
          <w:kern w:val="0"/>
          <w:sz w:val="24"/>
          <w:highlight w:val="none"/>
        </w:rPr>
      </w:pPr>
      <w:r>
        <w:rPr>
          <w:rFonts w:hint="eastAsia" w:ascii="宋体" w:hAnsi="宋体" w:cs="宋体"/>
          <w:color w:val="auto"/>
          <w:kern w:val="0"/>
          <w:sz w:val="24"/>
          <w:highlight w:val="none"/>
        </w:rPr>
        <w:t>磋商保证金收款人户名：广西众联工程项目管理有限公司</w:t>
      </w:r>
    </w:p>
    <w:p w14:paraId="69020AD5">
      <w:pPr>
        <w:pStyle w:val="126"/>
        <w:spacing w:line="400" w:lineRule="exact"/>
        <w:ind w:firstLine="480"/>
        <w:rPr>
          <w:rFonts w:hint="eastAsia" w:ascii="宋体" w:hAnsi="宋体" w:cs="宋体"/>
          <w:color w:val="auto"/>
          <w:kern w:val="0"/>
          <w:sz w:val="24"/>
          <w:highlight w:val="none"/>
        </w:rPr>
      </w:pPr>
      <w:r>
        <w:rPr>
          <w:rFonts w:hint="eastAsia" w:ascii="宋体" w:hAnsi="宋体" w:cs="宋体"/>
          <w:color w:val="auto"/>
          <w:kern w:val="0"/>
          <w:sz w:val="24"/>
          <w:highlight w:val="none"/>
        </w:rPr>
        <w:t>开户银行：中国光大银行股份有限公司南宁民主支行</w:t>
      </w:r>
    </w:p>
    <w:p w14:paraId="4CD97AFF">
      <w:pPr>
        <w:pStyle w:val="126"/>
        <w:spacing w:line="400" w:lineRule="exact"/>
        <w:ind w:firstLine="480"/>
        <w:rPr>
          <w:rFonts w:hint="eastAsia" w:ascii="宋体" w:hAnsi="宋体" w:cs="宋体"/>
          <w:color w:val="auto"/>
          <w:kern w:val="0"/>
          <w:sz w:val="24"/>
          <w:highlight w:val="none"/>
        </w:rPr>
      </w:pPr>
      <w:r>
        <w:rPr>
          <w:rFonts w:hint="eastAsia" w:ascii="宋体" w:hAnsi="宋体" w:cs="宋体"/>
          <w:color w:val="auto"/>
          <w:kern w:val="0"/>
          <w:sz w:val="24"/>
          <w:highlight w:val="none"/>
        </w:rPr>
        <w:t>银行账号：78900188000167866</w:t>
      </w:r>
    </w:p>
    <w:p w14:paraId="44DA9B5C">
      <w:pPr>
        <w:pStyle w:val="126"/>
        <w:spacing w:line="400" w:lineRule="exact"/>
        <w:ind w:firstLine="480"/>
        <w:rPr>
          <w:rFonts w:ascii="宋体" w:hAnsi="宋体" w:cs="宋体"/>
          <w:color w:val="auto"/>
          <w:kern w:val="0"/>
          <w:sz w:val="24"/>
          <w:highlight w:val="none"/>
        </w:rPr>
      </w:pPr>
      <w:r>
        <w:rPr>
          <w:rFonts w:hint="eastAsia" w:ascii="宋体" w:hAnsi="宋体" w:cs="宋体"/>
          <w:color w:val="auto"/>
          <w:kern w:val="0"/>
          <w:sz w:val="24"/>
          <w:highlight w:val="none"/>
        </w:rPr>
        <w:t>注：在转账附言栏中写明项目名称或项目编号、分标（如有）及用途（磋商保证金）。</w:t>
      </w:r>
    </w:p>
    <w:p w14:paraId="7EA3E9B5">
      <w:pPr>
        <w:spacing w:line="400" w:lineRule="exact"/>
        <w:ind w:firstLine="480" w:firstLineChars="200"/>
        <w:rPr>
          <w:rFonts w:ascii="宋体" w:hAnsi="宋体" w:cs="宋体"/>
          <w:color w:val="auto"/>
          <w:kern w:val="0"/>
          <w:sz w:val="24"/>
          <w:highlight w:val="none"/>
        </w:rPr>
      </w:pPr>
      <w:bookmarkStart w:id="36" w:name="_Hlk37429585"/>
      <w:r>
        <w:rPr>
          <w:rFonts w:hint="eastAsia" w:ascii="宋体" w:hAnsi="宋体" w:cs="宋体"/>
          <w:color w:val="auto"/>
          <w:kern w:val="0"/>
          <w:sz w:val="24"/>
          <w:highlight w:val="none"/>
        </w:rPr>
        <w:t>2.</w:t>
      </w:r>
      <w:bookmarkStart w:id="37" w:name="_Hlk37429595"/>
      <w:r>
        <w:rPr>
          <w:rFonts w:hint="eastAsia" w:ascii="宋体" w:hAnsi="宋体" w:cs="宋体"/>
          <w:color w:val="auto"/>
          <w:kern w:val="0"/>
          <w:sz w:val="24"/>
          <w:highlight w:val="none"/>
        </w:rPr>
        <w:t>网上查询地址：</w:t>
      </w:r>
      <w:bookmarkEnd w:id="36"/>
      <w:bookmarkEnd w:id="37"/>
      <w:bookmarkStart w:id="38" w:name="_Hlk37429674"/>
    </w:p>
    <w:p w14:paraId="737CFD9C">
      <w:pPr>
        <w:spacing w:line="4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本次公告同时在</w:t>
      </w:r>
      <w:bookmarkStart w:id="39" w:name="_Toc35393805"/>
      <w:bookmarkEnd w:id="39"/>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HYPERLINK "http://www.ccgp.gov.cn/"</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www.ccgp.gov.cn</w:t>
      </w:r>
      <w:r>
        <w:rPr>
          <w:rFonts w:hint="eastAsia" w:ascii="宋体" w:hAnsi="宋体" w:cs="宋体"/>
          <w:color w:val="auto"/>
          <w:sz w:val="24"/>
          <w:highlight w:val="none"/>
        </w:rPr>
        <w:fldChar w:fldCharType="end"/>
      </w:r>
      <w:r>
        <w:rPr>
          <w:rFonts w:hint="eastAsia" w:ascii="宋体" w:hAnsi="宋体" w:cs="宋体"/>
          <w:color w:val="auto"/>
          <w:sz w:val="24"/>
          <w:highlight w:val="none"/>
        </w:rPr>
        <w:t>（中国政府采购网）、</w:t>
      </w:r>
      <w:r>
        <w:rPr>
          <w:rFonts w:hint="eastAsia" w:ascii="宋体" w:hAnsi="宋体" w:cs="宋体"/>
          <w:color w:val="auto"/>
          <w:sz w:val="24"/>
          <w:highlight w:val="none"/>
          <w:lang w:eastAsia="zh-CN"/>
        </w:rPr>
        <w:t>zfcg.gxzf.gov.cn</w:t>
      </w:r>
      <w:r>
        <w:rPr>
          <w:rFonts w:hint="eastAsia" w:ascii="宋体" w:hAnsi="宋体" w:cs="宋体"/>
          <w:color w:val="auto"/>
          <w:sz w:val="24"/>
          <w:highlight w:val="none"/>
        </w:rPr>
        <w:t>（</w:t>
      </w:r>
      <w:r>
        <w:rPr>
          <w:rFonts w:hint="eastAsia" w:ascii="宋体" w:hAnsi="宋体" w:cs="宋体"/>
          <w:color w:val="auto"/>
          <w:sz w:val="24"/>
          <w:highlight w:val="none"/>
          <w:lang w:eastAsia="zh-CN"/>
        </w:rPr>
        <w:t>广西政府采购网</w:t>
      </w:r>
      <w:r>
        <w:rPr>
          <w:rFonts w:hint="eastAsia" w:ascii="宋体" w:hAnsi="宋体" w:cs="宋体"/>
          <w:color w:val="auto"/>
          <w:sz w:val="24"/>
          <w:highlight w:val="none"/>
        </w:rPr>
        <w:t>）网上发布。</w:t>
      </w:r>
    </w:p>
    <w:p w14:paraId="54D68460">
      <w:pPr>
        <w:spacing w:line="400" w:lineRule="exact"/>
        <w:ind w:firstLine="480" w:firstLineChars="200"/>
        <w:rPr>
          <w:rFonts w:hint="eastAsia" w:ascii="宋体" w:hAnsi="宋体" w:cs="宋体"/>
          <w:color w:val="auto"/>
          <w:kern w:val="0"/>
          <w:sz w:val="24"/>
          <w:highlight w:val="none"/>
        </w:rPr>
      </w:pPr>
      <w:r>
        <w:rPr>
          <w:rFonts w:hint="eastAsia" w:ascii="宋体" w:hAnsi="宋体" w:cs="宋体"/>
          <w:color w:val="auto"/>
          <w:sz w:val="24"/>
          <w:highlight w:val="none"/>
        </w:rPr>
        <w:t>3.</w:t>
      </w:r>
      <w:r>
        <w:rPr>
          <w:rFonts w:hint="eastAsia" w:ascii="宋体" w:hAnsi="宋体" w:cs="宋体"/>
          <w:color w:val="auto"/>
          <w:kern w:val="0"/>
          <w:sz w:val="24"/>
          <w:highlight w:val="none"/>
        </w:rPr>
        <w:t>本项目需要落实的政府采购政策：</w:t>
      </w:r>
    </w:p>
    <w:p w14:paraId="756C9F3D">
      <w:pPr>
        <w:spacing w:line="400" w:lineRule="exact"/>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（1）政府采购促进中小企业发展。</w:t>
      </w:r>
    </w:p>
    <w:p w14:paraId="5DF4130F">
      <w:pPr>
        <w:spacing w:line="400" w:lineRule="exact"/>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（2）政府采购促进残疾人就业政策。</w:t>
      </w:r>
    </w:p>
    <w:p w14:paraId="26C3A573">
      <w:pPr>
        <w:spacing w:line="400" w:lineRule="exact"/>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（3）政府采购支持监狱企业发展。</w:t>
      </w:r>
    </w:p>
    <w:p w14:paraId="7705A244">
      <w:pPr>
        <w:spacing w:line="400" w:lineRule="exact"/>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（4）政府采购扶持不发达地区和少数民族地区。</w:t>
      </w:r>
    </w:p>
    <w:bookmarkEnd w:id="38"/>
    <w:p w14:paraId="0EE76CFF">
      <w:pPr>
        <w:spacing w:line="400" w:lineRule="exact"/>
        <w:ind w:firstLine="480" w:firstLineChars="200"/>
        <w:rPr>
          <w:rFonts w:hint="eastAsia" w:ascii="宋体" w:hAnsi="宋体" w:cs="宋体"/>
          <w:color w:val="auto"/>
          <w:sz w:val="24"/>
          <w:highlight w:val="none"/>
          <w:shd w:val="clear" w:color="auto" w:fill="FFFFFF"/>
        </w:rPr>
      </w:pPr>
      <w:bookmarkStart w:id="40" w:name="_Toc28359008"/>
      <w:bookmarkStart w:id="41" w:name="_Toc35393796"/>
      <w:bookmarkStart w:id="42" w:name="_Toc35393627"/>
      <w:bookmarkStart w:id="43" w:name="_Toc28359085"/>
      <w:bookmarkStart w:id="44" w:name="_Toc44405607"/>
      <w:r>
        <w:rPr>
          <w:rFonts w:hint="eastAsia" w:ascii="宋体" w:hAnsi="宋体" w:cs="宋体"/>
          <w:color w:val="auto"/>
          <w:sz w:val="24"/>
          <w:highlight w:val="none"/>
          <w:shd w:val="clear" w:color="auto" w:fill="FFFFFF"/>
        </w:rPr>
        <w:t>4.单位负责人为同一人或者存在直接控股、管理关系的不同供应商，不得参加同一项目下的政府采购活动。为本项目提供过整体设计、规范编制或者项目管理、监理、检测等服务的供应商，不得再参加本项目上述服务以外的其他采购活动。</w:t>
      </w:r>
    </w:p>
    <w:p w14:paraId="43AD4ED0">
      <w:pPr>
        <w:spacing w:line="400" w:lineRule="exact"/>
        <w:ind w:firstLine="480" w:firstLineChars="200"/>
        <w:rPr>
          <w:rFonts w:hint="eastAsia" w:hAnsi="宋体" w:cs="宋体"/>
          <w:color w:val="auto"/>
          <w:sz w:val="24"/>
          <w:highlight w:val="none"/>
          <w:shd w:val="clear" w:color="auto" w:fill="FFFFFF"/>
        </w:rPr>
      </w:pPr>
      <w:r>
        <w:rPr>
          <w:rFonts w:hint="eastAsia" w:hAnsi="宋体" w:cs="宋体"/>
          <w:color w:val="auto"/>
          <w:sz w:val="24"/>
          <w:highlight w:val="none"/>
          <w:shd w:val="clear" w:color="auto" w:fill="FFFFFF"/>
        </w:rPr>
        <w:t>5.对在“信用中国”网站（www.creditchina.gov.cn）、中国政府采购网（www.ccgp.gov.cn）被列入失信执行人、重大税收违法失信主体、政府采购严重违法失信行为记录名单及其他不符合《中华人民共和国政府采购法》第二十二条规定的供应商，不得参与政府采购活动。</w:t>
      </w:r>
    </w:p>
    <w:p w14:paraId="66A01970">
      <w:pPr>
        <w:spacing w:line="400" w:lineRule="exact"/>
        <w:ind w:firstLine="482" w:firstLineChars="200"/>
        <w:rPr>
          <w:rFonts w:hint="eastAsia" w:ascii="宋体" w:hAnsi="宋体" w:cs="宋体"/>
          <w:b/>
          <w:bCs/>
          <w:color w:val="auto"/>
          <w:sz w:val="24"/>
          <w:highlight w:val="none"/>
          <w:shd w:val="clear" w:color="auto" w:fill="FFFFFF"/>
        </w:rPr>
      </w:pPr>
      <w:r>
        <w:rPr>
          <w:rFonts w:hint="eastAsia" w:ascii="宋体" w:hAnsi="宋体" w:cs="宋体"/>
          <w:b/>
          <w:bCs/>
          <w:color w:val="auto"/>
          <w:sz w:val="24"/>
          <w:highlight w:val="none"/>
          <w:shd w:val="clear" w:color="auto" w:fill="FFFFFF"/>
        </w:rPr>
        <w:t>6.在线竞标响应（电子竞标）说明</w:t>
      </w:r>
    </w:p>
    <w:p w14:paraId="2BEFB06E">
      <w:pPr>
        <w:spacing w:line="400" w:lineRule="exact"/>
        <w:ind w:firstLine="482" w:firstLineChars="200"/>
        <w:rPr>
          <w:rFonts w:hint="eastAsia" w:ascii="宋体" w:hAnsi="宋体"/>
          <w:b/>
          <w:bCs/>
          <w:color w:val="auto"/>
          <w:sz w:val="24"/>
          <w:highlight w:val="none"/>
        </w:rPr>
      </w:pPr>
      <w:r>
        <w:rPr>
          <w:rFonts w:hint="eastAsia" w:ascii="宋体" w:hAnsi="宋体" w:cs="宋体"/>
          <w:b/>
          <w:bCs/>
          <w:color w:val="auto"/>
          <w:sz w:val="24"/>
          <w:highlight w:val="none"/>
          <w:shd w:val="clear" w:color="auto" w:fill="FFFFFF"/>
        </w:rPr>
        <w:t>（1）</w:t>
      </w:r>
      <w:r>
        <w:rPr>
          <w:rFonts w:hint="eastAsia" w:ascii="宋体" w:hAnsi="宋体" w:cs="宋体"/>
          <w:b/>
          <w:bCs/>
          <w:color w:val="auto"/>
          <w:sz w:val="24"/>
          <w:highlight w:val="none"/>
        </w:rPr>
        <w:t>本项目为全流程电子化项目，通过广西政府采购云平台（https://www.gcy.zfcg.gxzf.gov.cn/）实行在线电子响应，供应商应先安装“广西政府采购云平台电子交易客户端”（请自行前往广西政府采购云平台进行下载），并按照本项目采购文件和广西政府采购云平台的要求编制、加密后在响应文件</w:t>
      </w:r>
      <w:r>
        <w:rPr>
          <w:rFonts w:hint="eastAsia" w:ascii="宋体" w:hAnsi="宋体" w:cs="宋体"/>
          <w:b/>
          <w:bCs/>
          <w:color w:val="auto"/>
          <w:sz w:val="24"/>
          <w:highlight w:val="none"/>
          <w:lang w:eastAsia="zh-CN"/>
        </w:rPr>
        <w:t>提</w:t>
      </w:r>
      <w:r>
        <w:rPr>
          <w:rFonts w:hint="eastAsia" w:ascii="宋体" w:hAnsi="宋体" w:cs="宋体"/>
          <w:b/>
          <w:bCs/>
          <w:color w:val="auto"/>
          <w:sz w:val="24"/>
          <w:highlight w:val="none"/>
        </w:rPr>
        <w:t>交截止时间前通过网络上传至广西政府采购云平台，供应商在广西政府采购云平台提交电子版响应文件时，请填写参加远程采购活动经办人联系方式，</w:t>
      </w:r>
      <w:r>
        <w:rPr>
          <w:rFonts w:hint="eastAsia" w:ascii="宋体" w:hAnsi="宋体"/>
          <w:b/>
          <w:bCs/>
          <w:color w:val="auto"/>
          <w:sz w:val="24"/>
          <w:highlight w:val="none"/>
        </w:rPr>
        <w:t>电子投标具体操作流程登录政府采购云平台</w:t>
      </w:r>
      <w:r>
        <w:rPr>
          <w:rFonts w:ascii="Arial" w:hAnsi="Arial" w:cs="Arial"/>
          <w:b/>
          <w:bCs/>
          <w:color w:val="auto"/>
          <w:sz w:val="24"/>
          <w:highlight w:val="none"/>
        </w:rPr>
        <w:t>→</w:t>
      </w:r>
      <w:r>
        <w:rPr>
          <w:rFonts w:hint="eastAsia" w:ascii="宋体" w:hAnsi="宋体"/>
          <w:b/>
          <w:bCs/>
          <w:color w:val="auto"/>
          <w:sz w:val="24"/>
          <w:highlight w:val="none"/>
        </w:rPr>
        <w:t>服务中心</w:t>
      </w:r>
      <w:r>
        <w:rPr>
          <w:rFonts w:ascii="Arial" w:hAnsi="Arial" w:cs="Arial"/>
          <w:b/>
          <w:bCs/>
          <w:color w:val="auto"/>
          <w:sz w:val="24"/>
          <w:highlight w:val="none"/>
        </w:rPr>
        <w:t>→</w:t>
      </w:r>
      <w:r>
        <w:rPr>
          <w:rFonts w:hint="eastAsia" w:ascii="Arial" w:hAnsi="Arial" w:cs="Arial"/>
          <w:b/>
          <w:bCs/>
          <w:color w:val="auto"/>
          <w:sz w:val="24"/>
          <w:highlight w:val="none"/>
        </w:rPr>
        <w:t>项目采购</w:t>
      </w:r>
      <w:r>
        <w:rPr>
          <w:rFonts w:ascii="Arial" w:hAnsi="Arial" w:cs="Arial"/>
          <w:b/>
          <w:bCs/>
          <w:color w:val="auto"/>
          <w:sz w:val="24"/>
          <w:highlight w:val="none"/>
        </w:rPr>
        <w:t>→</w:t>
      </w:r>
      <w:r>
        <w:rPr>
          <w:rFonts w:hint="eastAsia" w:ascii="Arial" w:hAnsi="Arial" w:cs="Arial"/>
          <w:b/>
          <w:bCs/>
          <w:color w:val="auto"/>
          <w:sz w:val="24"/>
          <w:highlight w:val="none"/>
        </w:rPr>
        <w:t>操作流程</w:t>
      </w:r>
      <w:r>
        <w:rPr>
          <w:rFonts w:ascii="Arial" w:hAnsi="Arial" w:cs="Arial"/>
          <w:b/>
          <w:bCs/>
          <w:color w:val="auto"/>
          <w:sz w:val="24"/>
          <w:highlight w:val="none"/>
        </w:rPr>
        <w:t>→</w:t>
      </w:r>
      <w:r>
        <w:rPr>
          <w:rFonts w:hint="eastAsia" w:ascii="Arial" w:hAnsi="Arial" w:cs="Arial"/>
          <w:b/>
          <w:bCs/>
          <w:color w:val="auto"/>
          <w:sz w:val="24"/>
          <w:highlight w:val="none"/>
        </w:rPr>
        <w:t>电子招投标</w:t>
      </w:r>
      <w:r>
        <w:rPr>
          <w:rFonts w:ascii="Arial" w:hAnsi="Arial" w:cs="Arial"/>
          <w:b/>
          <w:bCs/>
          <w:color w:val="auto"/>
          <w:sz w:val="24"/>
          <w:highlight w:val="none"/>
        </w:rPr>
        <w:t>→</w:t>
      </w:r>
      <w:r>
        <w:rPr>
          <w:rFonts w:hint="eastAsia" w:ascii="宋体" w:hAnsi="宋体"/>
          <w:b/>
          <w:bCs/>
          <w:color w:val="auto"/>
          <w:sz w:val="24"/>
          <w:highlight w:val="none"/>
        </w:rPr>
        <w:t>参考《政府采购项目电子交易管理操作指南-供应商》。</w:t>
      </w:r>
    </w:p>
    <w:p w14:paraId="2A7969A5">
      <w:pPr>
        <w:spacing w:line="400" w:lineRule="exact"/>
        <w:ind w:firstLine="482" w:firstLineChars="200"/>
        <w:rPr>
          <w:rFonts w:hint="eastAsia" w:ascii="宋体" w:hAnsi="宋体" w:cs="宋体"/>
          <w:b/>
          <w:bCs/>
          <w:color w:val="auto"/>
          <w:sz w:val="24"/>
          <w:highlight w:val="none"/>
        </w:rPr>
      </w:pPr>
      <w:r>
        <w:rPr>
          <w:rFonts w:hint="eastAsia" w:ascii="宋体" w:hAnsi="宋体" w:cs="宋体"/>
          <w:b/>
          <w:bCs/>
          <w:color w:val="auto"/>
          <w:sz w:val="24"/>
          <w:highlight w:val="none"/>
        </w:rPr>
        <w:t>（</w:t>
      </w:r>
      <w:r>
        <w:rPr>
          <w:rFonts w:ascii="宋体" w:hAnsi="宋体" w:cs="宋体"/>
          <w:b/>
          <w:bCs/>
          <w:color w:val="auto"/>
          <w:sz w:val="24"/>
          <w:highlight w:val="none"/>
        </w:rPr>
        <w:t>2</w:t>
      </w:r>
      <w:r>
        <w:rPr>
          <w:rFonts w:hint="eastAsia" w:ascii="宋体" w:hAnsi="宋体" w:cs="宋体"/>
          <w:b/>
          <w:bCs/>
          <w:color w:val="auto"/>
          <w:sz w:val="24"/>
          <w:highlight w:val="none"/>
        </w:rPr>
        <w:t>）未进行网上注册并办理数字证书（</w:t>
      </w:r>
      <w:r>
        <w:rPr>
          <w:rFonts w:ascii="宋体" w:hAnsi="宋体" w:cs="宋体"/>
          <w:b/>
          <w:bCs/>
          <w:color w:val="auto"/>
          <w:sz w:val="24"/>
          <w:highlight w:val="none"/>
        </w:rPr>
        <w:t>CA</w:t>
      </w:r>
      <w:r>
        <w:rPr>
          <w:rFonts w:hint="eastAsia" w:ascii="宋体" w:hAnsi="宋体" w:cs="宋体"/>
          <w:b/>
          <w:bCs/>
          <w:color w:val="auto"/>
          <w:sz w:val="24"/>
          <w:highlight w:val="none"/>
        </w:rPr>
        <w:t>认证）的供应商将无法参与本项目政府采购活动，潜在供应商应当在响应文件</w:t>
      </w:r>
      <w:r>
        <w:rPr>
          <w:rFonts w:hint="eastAsia" w:ascii="宋体" w:hAnsi="宋体" w:cs="宋体"/>
          <w:b/>
          <w:bCs/>
          <w:color w:val="auto"/>
          <w:sz w:val="24"/>
          <w:highlight w:val="none"/>
          <w:lang w:eastAsia="zh-CN"/>
        </w:rPr>
        <w:t>提</w:t>
      </w:r>
      <w:r>
        <w:rPr>
          <w:rFonts w:hint="eastAsia" w:ascii="宋体" w:hAnsi="宋体" w:cs="宋体"/>
          <w:b/>
          <w:bCs/>
          <w:color w:val="auto"/>
          <w:sz w:val="24"/>
          <w:highlight w:val="none"/>
        </w:rPr>
        <w:t>交截止时间前，完成电子交易平台上的</w:t>
      </w:r>
      <w:r>
        <w:rPr>
          <w:rFonts w:ascii="宋体" w:hAnsi="宋体" w:cs="宋体"/>
          <w:b/>
          <w:bCs/>
          <w:color w:val="auto"/>
          <w:sz w:val="24"/>
          <w:highlight w:val="none"/>
        </w:rPr>
        <w:t>CA</w:t>
      </w:r>
      <w:r>
        <w:rPr>
          <w:rFonts w:hint="eastAsia" w:ascii="宋体" w:hAnsi="宋体" w:cs="宋体"/>
          <w:b/>
          <w:bCs/>
          <w:color w:val="auto"/>
          <w:sz w:val="24"/>
          <w:highlight w:val="none"/>
        </w:rPr>
        <w:t>数字证书办理（申领流程见供应商可登录“广西政府采购网”，依次进入“办事服务-下载专区”或者登录“广西政府采购云平台”，依次进入“服务中心-入驻与配置”中查看CA数字证书办理操作流程。</w:t>
      </w:r>
    </w:p>
    <w:p w14:paraId="638B2FA2">
      <w:pPr>
        <w:spacing w:line="400" w:lineRule="exact"/>
        <w:ind w:firstLine="482" w:firstLineChars="200"/>
        <w:rPr>
          <w:rFonts w:hint="eastAsia" w:ascii="宋体" w:hAnsi="宋体" w:cs="宋体"/>
          <w:b/>
          <w:bCs/>
          <w:color w:val="auto"/>
          <w:sz w:val="24"/>
          <w:highlight w:val="none"/>
        </w:rPr>
      </w:pPr>
      <w:r>
        <w:rPr>
          <w:rFonts w:hint="eastAsia" w:ascii="宋体" w:hAnsi="宋体" w:cs="宋体"/>
          <w:b/>
          <w:bCs/>
          <w:color w:val="auto"/>
          <w:sz w:val="24"/>
          <w:highlight w:val="none"/>
        </w:rPr>
        <w:t>（</w:t>
      </w:r>
      <w:r>
        <w:rPr>
          <w:rFonts w:ascii="宋体" w:hAnsi="宋体" w:cs="宋体"/>
          <w:b/>
          <w:bCs/>
          <w:color w:val="auto"/>
          <w:sz w:val="24"/>
          <w:highlight w:val="none"/>
        </w:rPr>
        <w:t>3</w:t>
      </w:r>
      <w:r>
        <w:rPr>
          <w:rFonts w:hint="eastAsia" w:ascii="宋体" w:hAnsi="宋体" w:cs="宋体"/>
          <w:b/>
          <w:bCs/>
          <w:color w:val="auto"/>
          <w:sz w:val="24"/>
          <w:highlight w:val="none"/>
        </w:rPr>
        <w:t>）为确保网上操作合法、有效和安全，请供应商确保在电子响应过程中能够对相关数据电文进行加密和使用电子签章，妥善保管</w:t>
      </w:r>
      <w:r>
        <w:rPr>
          <w:rFonts w:ascii="宋体" w:hAnsi="宋体" w:cs="宋体"/>
          <w:b/>
          <w:bCs/>
          <w:color w:val="auto"/>
          <w:sz w:val="24"/>
          <w:highlight w:val="none"/>
        </w:rPr>
        <w:t>CA</w:t>
      </w:r>
      <w:r>
        <w:rPr>
          <w:rFonts w:hint="eastAsia" w:ascii="宋体" w:hAnsi="宋体" w:cs="宋体"/>
          <w:b/>
          <w:bCs/>
          <w:color w:val="auto"/>
          <w:sz w:val="24"/>
          <w:highlight w:val="none"/>
        </w:rPr>
        <w:t>数字证书并使用有效的</w:t>
      </w:r>
      <w:r>
        <w:rPr>
          <w:rFonts w:ascii="宋体" w:hAnsi="宋体" w:cs="宋体"/>
          <w:b/>
          <w:bCs/>
          <w:color w:val="auto"/>
          <w:sz w:val="24"/>
          <w:highlight w:val="none"/>
        </w:rPr>
        <w:t>CA</w:t>
      </w:r>
      <w:r>
        <w:rPr>
          <w:rFonts w:hint="eastAsia" w:ascii="宋体" w:hAnsi="宋体" w:cs="宋体"/>
          <w:b/>
          <w:bCs/>
          <w:color w:val="auto"/>
          <w:sz w:val="24"/>
          <w:highlight w:val="none"/>
        </w:rPr>
        <w:t>数字证书参与整个采购活动。</w:t>
      </w:r>
    </w:p>
    <w:p w14:paraId="5CF973F3">
      <w:pPr>
        <w:spacing w:line="400" w:lineRule="exact"/>
        <w:ind w:firstLine="482" w:firstLineChars="200"/>
        <w:rPr>
          <w:rFonts w:hint="eastAsia" w:ascii="宋体" w:hAnsi="宋体" w:cs="宋体"/>
          <w:b/>
          <w:bCs/>
          <w:color w:val="auto"/>
          <w:sz w:val="24"/>
          <w:highlight w:val="none"/>
        </w:rPr>
      </w:pPr>
      <w:r>
        <w:rPr>
          <w:rFonts w:hint="eastAsia" w:ascii="宋体" w:hAnsi="宋体" w:cs="宋体"/>
          <w:b/>
          <w:bCs/>
          <w:color w:val="auto"/>
          <w:sz w:val="24"/>
          <w:highlight w:val="none"/>
        </w:rPr>
        <w:t>（4）供应商应当在响应文件提交截止时间前完成电子响应文件的上传、递交，响应文件提交截止时间前可以补充、修改或者撤回响应文件。补充或者修改响应文件的，应当先行撤回原文件，补充、修改后重新上传、递交。响应文件</w:t>
      </w:r>
      <w:r>
        <w:rPr>
          <w:rFonts w:hint="eastAsia" w:ascii="宋体" w:hAnsi="宋体" w:cs="宋体"/>
          <w:b/>
          <w:bCs/>
          <w:color w:val="auto"/>
          <w:sz w:val="24"/>
          <w:highlight w:val="none"/>
          <w:lang w:eastAsia="zh-CN"/>
        </w:rPr>
        <w:t>提</w:t>
      </w:r>
      <w:r>
        <w:rPr>
          <w:rFonts w:hint="eastAsia" w:ascii="宋体" w:hAnsi="宋体" w:cs="宋体"/>
          <w:b/>
          <w:bCs/>
          <w:color w:val="auto"/>
          <w:sz w:val="24"/>
          <w:highlight w:val="none"/>
        </w:rPr>
        <w:t>交截止时间前未完成上传、递交的，视为撤回响应文件。响应文件提交截止时间以后上传递交的响应文件的，广西政府采购云平台将予以拒收。</w:t>
      </w:r>
    </w:p>
    <w:p w14:paraId="67360CF9">
      <w:pPr>
        <w:spacing w:line="400" w:lineRule="exact"/>
        <w:ind w:firstLine="482" w:firstLineChars="200"/>
        <w:rPr>
          <w:rFonts w:hint="eastAsia" w:ascii="宋体" w:hAnsi="宋体" w:cs="宋体"/>
          <w:b/>
          <w:bCs/>
          <w:color w:val="auto"/>
          <w:sz w:val="24"/>
          <w:highlight w:val="none"/>
        </w:rPr>
      </w:pPr>
      <w:r>
        <w:rPr>
          <w:rFonts w:hint="eastAsia" w:ascii="宋体" w:hAnsi="宋体" w:cs="宋体"/>
          <w:b/>
          <w:bCs/>
          <w:color w:val="auto"/>
          <w:sz w:val="24"/>
          <w:highlight w:val="none"/>
        </w:rPr>
        <w:t>（5）供应商需要在具备有摄像头及语音功能且互联网网络状况良好的电脑登录广西政府采购云平台远程开标大厅参与本次磋商，否则后果自负。</w:t>
      </w:r>
    </w:p>
    <w:p w14:paraId="54AA9C9F">
      <w:pPr>
        <w:spacing w:line="400" w:lineRule="exact"/>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w:t>
      </w:r>
      <w:r>
        <w:rPr>
          <w:rFonts w:hint="eastAsia" w:ascii="宋体" w:hAnsi="宋体" w:cs="宋体"/>
          <w:b/>
          <w:bCs/>
          <w:color w:val="auto"/>
          <w:sz w:val="24"/>
          <w:highlight w:val="none"/>
          <w:lang w:val="en-US" w:eastAsia="zh-CN"/>
        </w:rPr>
        <w:t>6</w:t>
      </w:r>
      <w:r>
        <w:rPr>
          <w:rFonts w:hint="eastAsia" w:ascii="宋体" w:hAnsi="宋体" w:cs="宋体"/>
          <w:b/>
          <w:bCs/>
          <w:color w:val="auto"/>
          <w:sz w:val="24"/>
          <w:highlight w:val="none"/>
        </w:rPr>
        <w:t>）若对项目采购电子交易系统操作有疑问，可登录广西政府采购云平台（https://www.gcy.zfcg.gxzf.gov.cn/），点击右侧咨询小采，获取采小蜜智能服务管家帮助，或拨打广西政府采购云平台服务热线95763获取热线服务帮助。</w:t>
      </w:r>
    </w:p>
    <w:p w14:paraId="2A0E387F">
      <w:pPr>
        <w:pStyle w:val="3"/>
        <w:spacing w:line="400" w:lineRule="exac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八、凡对本次采购提出询问，请按以下方式联系。</w:t>
      </w:r>
      <w:bookmarkEnd w:id="40"/>
      <w:bookmarkEnd w:id="41"/>
      <w:bookmarkEnd w:id="42"/>
      <w:bookmarkEnd w:id="43"/>
      <w:bookmarkEnd w:id="44"/>
    </w:p>
    <w:p w14:paraId="503BB50D">
      <w:pPr>
        <w:spacing w:line="400" w:lineRule="exact"/>
        <w:ind w:firstLine="480" w:firstLineChars="200"/>
        <w:rPr>
          <w:rFonts w:ascii="宋体" w:hAnsi="宋体" w:cs="宋体"/>
          <w:color w:val="auto"/>
          <w:sz w:val="24"/>
          <w:highlight w:val="none"/>
        </w:rPr>
      </w:pPr>
      <w:bookmarkStart w:id="45" w:name="_Toc28359010"/>
      <w:bookmarkStart w:id="46" w:name="_Toc28359087"/>
      <w:r>
        <w:rPr>
          <w:rFonts w:hint="eastAsia" w:ascii="宋体" w:hAnsi="宋体" w:cs="宋体"/>
          <w:color w:val="auto"/>
          <w:sz w:val="24"/>
          <w:highlight w:val="none"/>
        </w:rPr>
        <w:t>1.采购人信息</w:t>
      </w:r>
    </w:p>
    <w:p w14:paraId="269A7F07">
      <w:pPr>
        <w:spacing w:line="4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名 称：</w:t>
      </w:r>
      <w:r>
        <w:rPr>
          <w:rFonts w:hint="eastAsia" w:ascii="宋体" w:hAnsi="宋体" w:cs="宋体"/>
          <w:color w:val="auto"/>
          <w:sz w:val="24"/>
          <w:highlight w:val="none"/>
          <w:lang w:eastAsia="zh-CN"/>
        </w:rPr>
        <w:t>广西广播电视学校</w:t>
      </w:r>
      <w:r>
        <w:rPr>
          <w:rFonts w:hint="eastAsia" w:ascii="宋体" w:hAnsi="宋体" w:cs="宋体"/>
          <w:color w:val="auto"/>
          <w:sz w:val="24"/>
          <w:highlight w:val="none"/>
        </w:rPr>
        <w:t xml:space="preserve">  </w:t>
      </w:r>
    </w:p>
    <w:p w14:paraId="12DF7F95">
      <w:pPr>
        <w:spacing w:line="4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地 址：</w:t>
      </w:r>
      <w:r>
        <w:rPr>
          <w:rFonts w:hint="eastAsia" w:ascii="宋体" w:hAnsi="宋体" w:cs="宋体"/>
          <w:color w:val="auto"/>
          <w:sz w:val="24"/>
          <w:highlight w:val="none"/>
          <w:lang w:eastAsia="zh-CN"/>
        </w:rPr>
        <w:t>南宁市亭洪路41号</w:t>
      </w:r>
      <w:r>
        <w:rPr>
          <w:rFonts w:hint="eastAsia" w:ascii="宋体" w:hAnsi="宋体" w:cs="宋体"/>
          <w:color w:val="auto"/>
          <w:sz w:val="24"/>
          <w:highlight w:val="none"/>
        </w:rPr>
        <w:t xml:space="preserve">    </w:t>
      </w:r>
    </w:p>
    <w:p w14:paraId="118D206D">
      <w:pPr>
        <w:widowControl/>
        <w:spacing w:line="400" w:lineRule="exact"/>
        <w:ind w:firstLine="480" w:firstLineChars="200"/>
        <w:jc w:val="left"/>
        <w:textAlignment w:val="baseline"/>
        <w:rPr>
          <w:rFonts w:ascii="宋体" w:hAnsi="宋体" w:cs="宋体"/>
          <w:color w:val="auto"/>
          <w:sz w:val="24"/>
          <w:highlight w:val="none"/>
        </w:rPr>
      </w:pPr>
      <w:r>
        <w:rPr>
          <w:rFonts w:hint="eastAsia" w:ascii="宋体" w:hAnsi="宋体" w:cs="宋体"/>
          <w:color w:val="auto"/>
          <w:sz w:val="24"/>
          <w:highlight w:val="none"/>
        </w:rPr>
        <w:t>联系方式：</w:t>
      </w:r>
      <w:r>
        <w:rPr>
          <w:rFonts w:hint="eastAsia" w:ascii="宋体" w:hAnsi="宋体" w:cs="宋体"/>
          <w:color w:val="auto"/>
          <w:sz w:val="24"/>
          <w:highlight w:val="none"/>
          <w:lang w:eastAsia="zh-CN"/>
        </w:rPr>
        <w:t>江浪</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lang w:eastAsia="zh-CN"/>
        </w:rPr>
        <w:t>0771-4739203</w:t>
      </w:r>
    </w:p>
    <w:p w14:paraId="2AF6356A">
      <w:pPr>
        <w:spacing w:line="4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2.采购代理机构信息</w:t>
      </w:r>
    </w:p>
    <w:p w14:paraId="5053562D">
      <w:pPr>
        <w:spacing w:line="4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名  称：广西众联工程项目管理有限公司 </w:t>
      </w:r>
    </w:p>
    <w:p w14:paraId="3E9F8EDF">
      <w:pPr>
        <w:spacing w:line="4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地　址：南宁市江南区白沙大道53号松宇时代14A层    </w:t>
      </w:r>
    </w:p>
    <w:p w14:paraId="322975DF">
      <w:pPr>
        <w:spacing w:line="4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联系方式：</w:t>
      </w:r>
      <w:r>
        <w:rPr>
          <w:rFonts w:hint="eastAsia" w:ascii="宋体" w:hAnsi="宋体" w:cs="宋体"/>
          <w:color w:val="auto"/>
          <w:sz w:val="24"/>
          <w:highlight w:val="none"/>
          <w:lang w:val="en-US" w:eastAsia="zh-CN"/>
        </w:rPr>
        <w:t>左玲</w:t>
      </w:r>
      <w:r>
        <w:rPr>
          <w:rFonts w:hint="eastAsia" w:ascii="宋体" w:hAnsi="宋体" w:cs="宋体"/>
          <w:color w:val="auto"/>
          <w:sz w:val="24"/>
          <w:highlight w:val="none"/>
          <w:lang w:eastAsia="zh-CN"/>
        </w:rPr>
        <w:t>、戚程、包鹏</w:t>
      </w:r>
      <w:r>
        <w:rPr>
          <w:rFonts w:hint="eastAsia" w:ascii="宋体" w:hAnsi="宋体" w:cs="宋体"/>
          <w:color w:val="auto"/>
          <w:sz w:val="24"/>
          <w:highlight w:val="none"/>
        </w:rPr>
        <w:t xml:space="preserve">0771-4308370 </w:t>
      </w:r>
    </w:p>
    <w:bookmarkEnd w:id="45"/>
    <w:bookmarkEnd w:id="46"/>
    <w:p w14:paraId="3FE52147">
      <w:pPr>
        <w:spacing w:line="400" w:lineRule="exact"/>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3.项目联系方式：</w:t>
      </w:r>
    </w:p>
    <w:p w14:paraId="76FBED37">
      <w:pPr>
        <w:spacing w:line="400" w:lineRule="exact"/>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项目联系人：左玲</w:t>
      </w:r>
      <w:r>
        <w:rPr>
          <w:rFonts w:hint="eastAsia" w:ascii="宋体" w:hAnsi="宋体" w:cs="宋体"/>
          <w:color w:val="auto"/>
          <w:sz w:val="24"/>
          <w:highlight w:val="none"/>
          <w:lang w:eastAsia="zh-CN"/>
        </w:rPr>
        <w:t>、戚程、包鹏</w:t>
      </w:r>
    </w:p>
    <w:p w14:paraId="3E9F51E5">
      <w:pPr>
        <w:spacing w:line="400" w:lineRule="exact"/>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联系方式：0771-4308370</w:t>
      </w:r>
    </w:p>
    <w:p w14:paraId="325DACC3">
      <w:pPr>
        <w:spacing w:line="400" w:lineRule="exact"/>
        <w:ind w:firstLine="240" w:firstLineChars="100"/>
        <w:jc w:val="left"/>
        <w:rPr>
          <w:rFonts w:hint="eastAsia" w:ascii="宋体" w:hAnsi="宋体"/>
          <w:color w:val="auto"/>
          <w:sz w:val="24"/>
          <w:szCs w:val="32"/>
          <w:highlight w:val="none"/>
        </w:rPr>
      </w:pPr>
      <w:bookmarkStart w:id="47" w:name="_Hlk44423971"/>
    </w:p>
    <w:p w14:paraId="55BC0D22">
      <w:pPr>
        <w:spacing w:line="400" w:lineRule="exact"/>
        <w:ind w:firstLine="240" w:firstLineChars="100"/>
        <w:jc w:val="left"/>
        <w:rPr>
          <w:rFonts w:hint="eastAsia" w:ascii="宋体" w:hAnsi="宋体"/>
          <w:color w:val="auto"/>
          <w:sz w:val="24"/>
          <w:szCs w:val="32"/>
          <w:highlight w:val="none"/>
        </w:rPr>
      </w:pPr>
    </w:p>
    <w:p w14:paraId="465745FE">
      <w:pPr>
        <w:spacing w:line="400" w:lineRule="exact"/>
        <w:ind w:firstLine="240" w:firstLineChars="100"/>
        <w:jc w:val="right"/>
        <w:rPr>
          <w:rFonts w:hint="eastAsia" w:ascii="宋体" w:hAnsi="宋体"/>
          <w:color w:val="auto"/>
          <w:sz w:val="24"/>
          <w:szCs w:val="32"/>
          <w:highlight w:val="none"/>
        </w:rPr>
      </w:pPr>
      <w:r>
        <w:rPr>
          <w:rFonts w:hint="eastAsia" w:ascii="宋体" w:hAnsi="宋体"/>
          <w:color w:val="auto"/>
          <w:sz w:val="24"/>
          <w:szCs w:val="32"/>
          <w:highlight w:val="none"/>
        </w:rPr>
        <w:t>广西众联工程项目管理有限公司</w:t>
      </w:r>
    </w:p>
    <w:p w14:paraId="73D7B8FE">
      <w:pPr>
        <w:spacing w:line="400" w:lineRule="exact"/>
        <w:ind w:firstLine="240" w:firstLineChars="100"/>
        <w:jc w:val="right"/>
        <w:rPr>
          <w:rFonts w:ascii="宋体" w:hAnsi="宋体"/>
          <w:color w:val="auto"/>
          <w:sz w:val="32"/>
          <w:szCs w:val="22"/>
          <w:highlight w:val="none"/>
        </w:rPr>
      </w:pPr>
      <w:r>
        <w:rPr>
          <w:rFonts w:hint="eastAsia" w:ascii="宋体" w:hAnsi="宋体"/>
          <w:color w:val="auto"/>
          <w:sz w:val="24"/>
          <w:szCs w:val="32"/>
          <w:highlight w:val="none"/>
        </w:rPr>
        <w:t>202</w:t>
      </w:r>
      <w:r>
        <w:rPr>
          <w:rFonts w:hint="eastAsia" w:ascii="宋体" w:hAnsi="宋体"/>
          <w:color w:val="auto"/>
          <w:sz w:val="24"/>
          <w:szCs w:val="32"/>
          <w:highlight w:val="none"/>
          <w:lang w:val="en-US" w:eastAsia="zh-CN"/>
        </w:rPr>
        <w:t>6</w:t>
      </w:r>
      <w:r>
        <w:rPr>
          <w:rFonts w:hint="eastAsia" w:ascii="宋体" w:hAnsi="宋体"/>
          <w:color w:val="auto"/>
          <w:sz w:val="24"/>
          <w:szCs w:val="32"/>
          <w:highlight w:val="none"/>
        </w:rPr>
        <w:t>年</w:t>
      </w:r>
      <w:r>
        <w:rPr>
          <w:rFonts w:hint="eastAsia" w:ascii="宋体" w:hAnsi="宋体"/>
          <w:color w:val="auto"/>
          <w:sz w:val="24"/>
          <w:szCs w:val="32"/>
          <w:highlight w:val="none"/>
          <w:lang w:val="en-US" w:eastAsia="zh-CN"/>
        </w:rPr>
        <w:t>4</w:t>
      </w:r>
      <w:r>
        <w:rPr>
          <w:rFonts w:hint="eastAsia" w:ascii="宋体" w:hAnsi="宋体"/>
          <w:color w:val="auto"/>
          <w:sz w:val="24"/>
          <w:szCs w:val="32"/>
          <w:highlight w:val="none"/>
        </w:rPr>
        <w:t>月</w:t>
      </w:r>
      <w:r>
        <w:rPr>
          <w:rFonts w:hint="eastAsia" w:ascii="宋体" w:hAnsi="宋体"/>
          <w:color w:val="auto"/>
          <w:sz w:val="24"/>
          <w:szCs w:val="32"/>
          <w:highlight w:val="none"/>
          <w:lang w:val="en-US" w:eastAsia="zh-CN"/>
        </w:rPr>
        <w:t>10</w:t>
      </w:r>
      <w:r>
        <w:rPr>
          <w:rFonts w:hint="eastAsia" w:ascii="宋体" w:hAnsi="宋体"/>
          <w:color w:val="auto"/>
          <w:sz w:val="24"/>
          <w:szCs w:val="32"/>
          <w:highlight w:val="none"/>
        </w:rPr>
        <w:t>日</w:t>
      </w:r>
      <w:bookmarkEnd w:id="47"/>
    </w:p>
    <w:p w14:paraId="16C6DF29">
      <w:pPr>
        <w:spacing w:line="400" w:lineRule="exact"/>
        <w:ind w:firstLine="320" w:firstLineChars="100"/>
        <w:jc w:val="right"/>
        <w:rPr>
          <w:rFonts w:ascii="宋体" w:hAnsi="宋体"/>
          <w:color w:val="auto"/>
          <w:sz w:val="32"/>
          <w:szCs w:val="22"/>
          <w:highlight w:val="none"/>
        </w:rPr>
      </w:pPr>
    </w:p>
    <w:p w14:paraId="682AA081">
      <w:pPr>
        <w:rPr>
          <w:color w:val="auto"/>
          <w:highlight w:val="none"/>
        </w:rPr>
      </w:pPr>
      <w:bookmarkStart w:id="48" w:name="_Toc19686830"/>
    </w:p>
    <w:p w14:paraId="55C65EE1">
      <w:pPr>
        <w:rPr>
          <w:color w:val="auto"/>
          <w:highlight w:val="none"/>
        </w:rPr>
      </w:pPr>
    </w:p>
    <w:p w14:paraId="68A96F65">
      <w:pPr>
        <w:pStyle w:val="30"/>
        <w:rPr>
          <w:color w:val="auto"/>
          <w:highlight w:val="none"/>
        </w:rPr>
      </w:pPr>
    </w:p>
    <w:bookmarkEnd w:id="48"/>
    <w:p w14:paraId="7F209556">
      <w:pPr>
        <w:pStyle w:val="2"/>
        <w:jc w:val="center"/>
        <w:rPr>
          <w:rFonts w:ascii="宋体" w:hAnsi="宋体"/>
          <w:color w:val="auto"/>
          <w:sz w:val="30"/>
          <w:szCs w:val="30"/>
          <w:highlight w:val="none"/>
        </w:rPr>
      </w:pPr>
      <w:bookmarkStart w:id="49" w:name="_Toc19686831"/>
      <w:r>
        <w:rPr>
          <w:rFonts w:hint="eastAsia" w:ascii="宋体" w:hAnsi="宋体"/>
          <w:color w:val="auto"/>
          <w:highlight w:val="none"/>
        </w:rPr>
        <w:br w:type="page"/>
      </w:r>
      <w:bookmarkStart w:id="50" w:name="_Toc21799"/>
      <w:r>
        <w:rPr>
          <w:rStyle w:val="68"/>
          <w:rFonts w:hint="eastAsia" w:ascii="宋体" w:hAnsi="宋体" w:cs="宋体"/>
          <w:b/>
          <w:color w:val="auto"/>
          <w:sz w:val="40"/>
          <w:szCs w:val="40"/>
          <w:highlight w:val="none"/>
        </w:rPr>
        <w:t>第二章  采购需求</w:t>
      </w:r>
      <w:bookmarkEnd w:id="50"/>
    </w:p>
    <w:p w14:paraId="6360A088">
      <w:pPr>
        <w:snapToGrid w:val="0"/>
        <w:spacing w:line="360" w:lineRule="auto"/>
        <w:rPr>
          <w:rFonts w:ascii="宋体" w:hAnsi="宋体" w:cs="宋体"/>
          <w:b/>
          <w:color w:val="auto"/>
          <w:sz w:val="24"/>
          <w:highlight w:val="none"/>
        </w:rPr>
      </w:pPr>
      <w:r>
        <w:rPr>
          <w:rFonts w:hint="eastAsia" w:ascii="宋体" w:hAnsi="宋体" w:cs="宋体"/>
          <w:b/>
          <w:color w:val="auto"/>
          <w:sz w:val="24"/>
          <w:highlight w:val="none"/>
        </w:rPr>
        <w:t>说明：</w:t>
      </w:r>
    </w:p>
    <w:p w14:paraId="3CBD8CB2">
      <w:pPr>
        <w:numPr>
          <w:ilvl w:val="0"/>
          <w:numId w:val="4"/>
        </w:numPr>
        <w:spacing w:line="360" w:lineRule="auto"/>
        <w:jc w:val="left"/>
        <w:rPr>
          <w:rFonts w:ascii="宋体" w:hAnsi="宋体"/>
          <w:color w:val="auto"/>
          <w:sz w:val="24"/>
          <w:szCs w:val="32"/>
          <w:highlight w:val="none"/>
        </w:rPr>
      </w:pPr>
      <w:r>
        <w:rPr>
          <w:rFonts w:hint="eastAsia" w:ascii="宋体" w:hAnsi="宋体"/>
          <w:color w:val="auto"/>
          <w:sz w:val="24"/>
          <w:szCs w:val="32"/>
          <w:highlight w:val="none"/>
        </w:rPr>
        <w:t>本</w:t>
      </w:r>
      <w:r>
        <w:rPr>
          <w:rFonts w:hint="eastAsia" w:ascii="宋体" w:hAnsi="宋体"/>
          <w:color w:val="auto"/>
          <w:sz w:val="24"/>
          <w:szCs w:val="32"/>
          <w:highlight w:val="none"/>
          <w:lang w:eastAsia="zh-CN"/>
        </w:rPr>
        <w:t>磋商</w:t>
      </w:r>
      <w:r>
        <w:rPr>
          <w:rFonts w:hint="eastAsia" w:ascii="宋体" w:hAnsi="宋体"/>
          <w:color w:val="auto"/>
          <w:sz w:val="24"/>
          <w:szCs w:val="32"/>
          <w:highlight w:val="none"/>
        </w:rPr>
        <w:t>文件所称</w:t>
      </w:r>
      <w:r>
        <w:rPr>
          <w:rFonts w:hint="eastAsia" w:ascii="宋体" w:hAnsi="宋体"/>
          <w:color w:val="auto"/>
          <w:sz w:val="24"/>
          <w:szCs w:val="32"/>
          <w:highlight w:val="none"/>
          <w:lang w:eastAsia="zh-CN"/>
        </w:rPr>
        <w:t>中</w:t>
      </w:r>
      <w:r>
        <w:rPr>
          <w:rFonts w:hint="eastAsia" w:ascii="宋体" w:hAnsi="宋体"/>
          <w:color w:val="auto"/>
          <w:sz w:val="24"/>
          <w:szCs w:val="32"/>
          <w:highlight w:val="none"/>
        </w:rPr>
        <w:t>小企业必须符合《政府采购促进中小企业发展管理办法》第二条规定。</w:t>
      </w:r>
    </w:p>
    <w:p w14:paraId="5A43C262">
      <w:pPr>
        <w:numPr>
          <w:ilvl w:val="0"/>
          <w:numId w:val="4"/>
        </w:numPr>
        <w:spacing w:line="360" w:lineRule="auto"/>
        <w:jc w:val="left"/>
        <w:rPr>
          <w:color w:val="auto"/>
          <w:sz w:val="24"/>
          <w:highlight w:val="none"/>
        </w:rPr>
      </w:pPr>
      <w:r>
        <w:rPr>
          <w:rFonts w:hint="eastAsia"/>
          <w:color w:val="auto"/>
          <w:sz w:val="24"/>
          <w:highlight w:val="none"/>
        </w:rPr>
        <w:t>标“▲”为实质性参数要求和条件，供应商必须满足</w:t>
      </w:r>
      <w:r>
        <w:rPr>
          <w:rFonts w:hint="eastAsia"/>
          <w:color w:val="auto"/>
          <w:sz w:val="24"/>
          <w:highlight w:val="none"/>
          <w:lang w:eastAsia="zh-CN"/>
        </w:rPr>
        <w:t>（不允许负偏离）</w:t>
      </w:r>
      <w:r>
        <w:rPr>
          <w:rFonts w:hint="eastAsia"/>
          <w:color w:val="auto"/>
          <w:sz w:val="24"/>
          <w:highlight w:val="none"/>
        </w:rPr>
        <w:t>并在响应文件中如实作出响应，否则磋商无效。</w:t>
      </w:r>
    </w:p>
    <w:p w14:paraId="5E399866">
      <w:pPr>
        <w:numPr>
          <w:ilvl w:val="0"/>
          <w:numId w:val="4"/>
        </w:numPr>
        <w:spacing w:line="360" w:lineRule="auto"/>
        <w:jc w:val="left"/>
        <w:rPr>
          <w:color w:val="auto"/>
          <w:sz w:val="24"/>
          <w:highlight w:val="none"/>
        </w:rPr>
      </w:pPr>
      <w:r>
        <w:rPr>
          <w:rFonts w:hint="eastAsia"/>
          <w:color w:val="auto"/>
          <w:sz w:val="24"/>
          <w:highlight w:val="none"/>
        </w:rPr>
        <w:t>供应商应对响应内容所涉及的专利承担法律责任，并负责保护采购人的利益不受任何损害。一切由于文字、商标、技术和软件专利授权引起的法律裁决、诉讼和赔偿费用均由成交人负责。同时，具有产品专利的供应商应在其响应文件中提供与其自有产品专利相关的有效证明材料，否则，不能就其产品的专利在本项目磋商过程中被侵权问题而提出异议。</w:t>
      </w:r>
    </w:p>
    <w:p w14:paraId="2BC000F4">
      <w:pPr>
        <w:numPr>
          <w:ilvl w:val="0"/>
          <w:numId w:val="4"/>
        </w:numPr>
        <w:spacing w:line="360" w:lineRule="auto"/>
        <w:jc w:val="left"/>
        <w:rPr>
          <w:rFonts w:ascii="宋体" w:hAnsi="宋体" w:cs="Arial"/>
          <w:b/>
          <w:bCs/>
          <w:color w:val="auto"/>
          <w:sz w:val="24"/>
          <w:highlight w:val="none"/>
        </w:rPr>
      </w:pPr>
      <w:r>
        <w:rPr>
          <w:rFonts w:hint="eastAsia"/>
          <w:color w:val="auto"/>
          <w:sz w:val="24"/>
          <w:highlight w:val="none"/>
        </w:rPr>
        <w:t>供应商必须保证所提供的产品或其任何一部分均不会侵犯任何第三方的专利权、商标权或著作权，并且对采购人信息数据保密不得提供给第三方，否则在使用过程中出现的一切经济和法律责任均由成交人负责。</w:t>
      </w:r>
    </w:p>
    <w:tbl>
      <w:tblPr>
        <w:tblStyle w:val="50"/>
        <w:tblW w:w="92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9"/>
        <w:gridCol w:w="1090"/>
        <w:gridCol w:w="154"/>
        <w:gridCol w:w="786"/>
        <w:gridCol w:w="763"/>
        <w:gridCol w:w="6003"/>
      </w:tblGrid>
      <w:tr w14:paraId="2AEC72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jc w:val="center"/>
        </w:trPr>
        <w:tc>
          <w:tcPr>
            <w:tcW w:w="9225" w:type="dxa"/>
            <w:gridSpan w:val="6"/>
            <w:noWrap/>
            <w:vAlign w:val="center"/>
          </w:tcPr>
          <w:p w14:paraId="22D0D683">
            <w:pPr>
              <w:spacing w:line="400" w:lineRule="exac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一、项目要求及</w:t>
            </w:r>
            <w:r>
              <w:rPr>
                <w:rFonts w:hint="eastAsia" w:ascii="宋体" w:hAnsi="宋体" w:cs="宋体"/>
                <w:b/>
                <w:bCs/>
                <w:color w:val="auto"/>
                <w:sz w:val="24"/>
                <w:szCs w:val="24"/>
                <w:highlight w:val="none"/>
                <w:lang w:val="en-US" w:eastAsia="zh-CN"/>
              </w:rPr>
              <w:t>服务</w:t>
            </w:r>
            <w:r>
              <w:rPr>
                <w:rFonts w:hint="eastAsia" w:ascii="宋体" w:hAnsi="宋体" w:cs="宋体"/>
                <w:b/>
                <w:bCs/>
                <w:color w:val="auto"/>
                <w:sz w:val="24"/>
                <w:szCs w:val="24"/>
                <w:highlight w:val="none"/>
              </w:rPr>
              <w:t>需求</w:t>
            </w:r>
          </w:p>
        </w:tc>
      </w:tr>
      <w:tr w14:paraId="1AC685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429" w:type="dxa"/>
            <w:noWrap/>
            <w:vAlign w:val="center"/>
          </w:tcPr>
          <w:p w14:paraId="1D119A79">
            <w:pPr>
              <w:spacing w:line="400" w:lineRule="exact"/>
              <w:jc w:val="center"/>
              <w:rPr>
                <w:rFonts w:ascii="宋体" w:hAnsi="宋体" w:cs="宋体"/>
                <w:b/>
                <w:bCs/>
                <w:color w:val="auto"/>
                <w:sz w:val="24"/>
                <w:szCs w:val="24"/>
                <w:highlight w:val="none"/>
              </w:rPr>
            </w:pPr>
            <w:r>
              <w:rPr>
                <w:rFonts w:hint="eastAsia" w:ascii="宋体" w:hAnsi="宋体" w:cs="宋体"/>
                <w:b/>
                <w:bCs/>
                <w:color w:val="auto"/>
                <w:sz w:val="24"/>
                <w:szCs w:val="24"/>
                <w:highlight w:val="none"/>
              </w:rPr>
              <w:t>序号</w:t>
            </w:r>
          </w:p>
        </w:tc>
        <w:tc>
          <w:tcPr>
            <w:tcW w:w="1090" w:type="dxa"/>
            <w:noWrap/>
            <w:vAlign w:val="center"/>
          </w:tcPr>
          <w:p w14:paraId="64A1A8C6">
            <w:pPr>
              <w:spacing w:line="400" w:lineRule="exact"/>
              <w:jc w:val="center"/>
              <w:rPr>
                <w:rFonts w:ascii="宋体" w:hAnsi="宋体" w:cs="宋体"/>
                <w:b/>
                <w:bCs/>
                <w:color w:val="auto"/>
                <w:sz w:val="24"/>
                <w:szCs w:val="24"/>
                <w:highlight w:val="none"/>
              </w:rPr>
            </w:pPr>
            <w:r>
              <w:rPr>
                <w:rFonts w:hint="eastAsia" w:ascii="宋体" w:hAnsi="宋体" w:cs="宋体"/>
                <w:b/>
                <w:bCs/>
                <w:color w:val="auto"/>
                <w:sz w:val="24"/>
                <w:szCs w:val="24"/>
                <w:highlight w:val="none"/>
              </w:rPr>
              <w:t>标的的名称</w:t>
            </w:r>
          </w:p>
        </w:tc>
        <w:tc>
          <w:tcPr>
            <w:tcW w:w="940" w:type="dxa"/>
            <w:gridSpan w:val="2"/>
            <w:noWrap/>
            <w:vAlign w:val="center"/>
          </w:tcPr>
          <w:p w14:paraId="299F8736">
            <w:pPr>
              <w:spacing w:line="400" w:lineRule="exact"/>
              <w:jc w:val="center"/>
              <w:rPr>
                <w:rFonts w:ascii="宋体" w:hAnsi="宋体" w:cs="宋体"/>
                <w:b/>
                <w:bCs/>
                <w:color w:val="auto"/>
                <w:sz w:val="24"/>
                <w:szCs w:val="24"/>
                <w:highlight w:val="none"/>
              </w:rPr>
            </w:pPr>
            <w:r>
              <w:rPr>
                <w:rFonts w:hint="eastAsia" w:ascii="宋体" w:hAnsi="宋体" w:cs="宋体"/>
                <w:b/>
                <w:bCs/>
                <w:color w:val="auto"/>
                <w:sz w:val="24"/>
                <w:szCs w:val="24"/>
                <w:highlight w:val="none"/>
              </w:rPr>
              <w:t>数量及单位</w:t>
            </w:r>
          </w:p>
        </w:tc>
        <w:tc>
          <w:tcPr>
            <w:tcW w:w="763" w:type="dxa"/>
            <w:noWrap/>
            <w:vAlign w:val="center"/>
          </w:tcPr>
          <w:p w14:paraId="73F989DD">
            <w:pPr>
              <w:spacing w:line="400" w:lineRule="exact"/>
              <w:jc w:val="center"/>
              <w:rPr>
                <w:rFonts w:ascii="宋体" w:hAnsi="宋体" w:cs="宋体"/>
                <w:b/>
                <w:bCs/>
                <w:color w:val="auto"/>
                <w:sz w:val="24"/>
                <w:szCs w:val="24"/>
                <w:highlight w:val="none"/>
              </w:rPr>
            </w:pPr>
            <w:r>
              <w:rPr>
                <w:rFonts w:hint="eastAsia" w:ascii="宋体" w:hAnsi="宋体" w:cs="宋体"/>
                <w:b/>
                <w:bCs/>
                <w:color w:val="auto"/>
                <w:sz w:val="24"/>
                <w:szCs w:val="24"/>
                <w:highlight w:val="none"/>
              </w:rPr>
              <w:t>所属</w:t>
            </w:r>
          </w:p>
          <w:p w14:paraId="0ABCD51E">
            <w:pPr>
              <w:spacing w:line="400" w:lineRule="exact"/>
              <w:jc w:val="center"/>
              <w:rPr>
                <w:rFonts w:ascii="宋体" w:hAnsi="宋体" w:cs="宋体"/>
                <w:b/>
                <w:bCs/>
                <w:color w:val="auto"/>
                <w:sz w:val="24"/>
                <w:szCs w:val="24"/>
                <w:highlight w:val="none"/>
              </w:rPr>
            </w:pPr>
            <w:r>
              <w:rPr>
                <w:rFonts w:hint="eastAsia" w:ascii="宋体" w:hAnsi="宋体" w:cs="宋体"/>
                <w:b/>
                <w:bCs/>
                <w:color w:val="auto"/>
                <w:sz w:val="24"/>
                <w:szCs w:val="24"/>
                <w:highlight w:val="none"/>
              </w:rPr>
              <w:t>行业</w:t>
            </w:r>
          </w:p>
        </w:tc>
        <w:tc>
          <w:tcPr>
            <w:tcW w:w="6003" w:type="dxa"/>
            <w:noWrap/>
            <w:vAlign w:val="center"/>
          </w:tcPr>
          <w:p w14:paraId="668E77CE">
            <w:pPr>
              <w:spacing w:line="400" w:lineRule="exact"/>
              <w:jc w:val="center"/>
              <w:rPr>
                <w:rFonts w:hint="eastAsia" w:ascii="宋体" w:hAnsi="宋体" w:eastAsia="宋体" w:cs="宋体"/>
                <w:b/>
                <w:bCs/>
                <w:color w:val="auto"/>
                <w:sz w:val="24"/>
                <w:szCs w:val="24"/>
                <w:highlight w:val="none"/>
                <w:lang w:eastAsia="zh-CN"/>
              </w:rPr>
            </w:pPr>
            <w:r>
              <w:rPr>
                <w:rFonts w:hint="eastAsia" w:ascii="宋体" w:hAnsi="宋体" w:cs="宋体"/>
                <w:b/>
                <w:bCs/>
                <w:color w:val="auto"/>
                <w:sz w:val="24"/>
                <w:szCs w:val="24"/>
                <w:highlight w:val="none"/>
                <w:lang w:val="en-US" w:eastAsia="zh-CN"/>
              </w:rPr>
              <w:t>服务内容及</w:t>
            </w:r>
            <w:r>
              <w:rPr>
                <w:rFonts w:hint="eastAsia" w:ascii="宋体" w:hAnsi="宋体" w:cs="宋体"/>
                <w:b/>
                <w:bCs/>
                <w:color w:val="auto"/>
                <w:sz w:val="24"/>
                <w:szCs w:val="24"/>
                <w:highlight w:val="none"/>
              </w:rPr>
              <w:t>要求</w:t>
            </w:r>
          </w:p>
        </w:tc>
      </w:tr>
      <w:tr w14:paraId="6FE4DF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29" w:type="dxa"/>
            <w:noWrap/>
            <w:vAlign w:val="center"/>
          </w:tcPr>
          <w:p w14:paraId="75EB3808">
            <w:pPr>
              <w:spacing w:line="400" w:lineRule="exact"/>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p>
        </w:tc>
        <w:tc>
          <w:tcPr>
            <w:tcW w:w="1090" w:type="dxa"/>
            <w:noWrap/>
            <w:vAlign w:val="center"/>
          </w:tcPr>
          <w:p w14:paraId="684BC6C9">
            <w:pPr>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eastAsia="zh-CN"/>
              </w:rPr>
              <w:t>2026年校园安全保卫及学生管理服务采购</w:t>
            </w:r>
            <w:r>
              <w:rPr>
                <w:rFonts w:hint="eastAsia" w:ascii="宋体" w:hAnsi="宋体" w:cs="宋体"/>
                <w:color w:val="auto"/>
                <w:sz w:val="24"/>
                <w:szCs w:val="24"/>
                <w:highlight w:val="none"/>
              </w:rPr>
              <w:t xml:space="preserve"> </w:t>
            </w:r>
          </w:p>
        </w:tc>
        <w:tc>
          <w:tcPr>
            <w:tcW w:w="940" w:type="dxa"/>
            <w:gridSpan w:val="2"/>
            <w:noWrap/>
            <w:vAlign w:val="center"/>
          </w:tcPr>
          <w:p w14:paraId="249D8296">
            <w:pPr>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1项</w:t>
            </w:r>
          </w:p>
        </w:tc>
        <w:tc>
          <w:tcPr>
            <w:tcW w:w="763" w:type="dxa"/>
            <w:noWrap/>
            <w:vAlign w:val="center"/>
          </w:tcPr>
          <w:p w14:paraId="146863B5">
            <w:pPr>
              <w:tabs>
                <w:tab w:val="left" w:pos="180"/>
                <w:tab w:val="left" w:pos="1620"/>
              </w:tabs>
              <w:spacing w:line="40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租赁和商务服务业</w:t>
            </w:r>
          </w:p>
        </w:tc>
        <w:tc>
          <w:tcPr>
            <w:tcW w:w="6003" w:type="dxa"/>
            <w:noWrap/>
            <w:vAlign w:val="center"/>
          </w:tcPr>
          <w:p w14:paraId="2BFC5976">
            <w:pPr>
              <w:keepNext w:val="0"/>
              <w:keepLines w:val="0"/>
              <w:pageBreakBefore w:val="0"/>
              <w:tabs>
                <w:tab w:val="left" w:pos="2160"/>
              </w:tabs>
              <w:kinsoku/>
              <w:wordWrap/>
              <w:overflowPunct/>
              <w:topLinePunct w:val="0"/>
              <w:autoSpaceDE/>
              <w:autoSpaceDN/>
              <w:bidi w:val="0"/>
              <w:adjustRightInd/>
              <w:spacing w:line="380" w:lineRule="exact"/>
              <w:ind w:right="709" w:firstLine="482" w:firstLineChars="200"/>
              <w:textAlignment w:val="auto"/>
              <w:rPr>
                <w:rFonts w:hint="eastAsia" w:ascii="宋体" w:hAnsi="宋体" w:cs="仿宋"/>
                <w:b/>
                <w:color w:val="auto"/>
                <w:sz w:val="24"/>
                <w:szCs w:val="24"/>
                <w:highlight w:val="none"/>
              </w:rPr>
            </w:pPr>
            <w:r>
              <w:rPr>
                <w:rFonts w:hint="eastAsia" w:ascii="宋体" w:hAnsi="宋体" w:cs="仿宋"/>
                <w:b/>
                <w:color w:val="auto"/>
                <w:sz w:val="24"/>
                <w:szCs w:val="24"/>
                <w:highlight w:val="none"/>
                <w:lang w:eastAsia="zh-CN"/>
              </w:rPr>
              <w:t>一、</w:t>
            </w:r>
            <w:r>
              <w:rPr>
                <w:rFonts w:hint="eastAsia" w:ascii="宋体" w:hAnsi="宋体" w:cs="仿宋"/>
                <w:b/>
                <w:color w:val="auto"/>
                <w:sz w:val="24"/>
                <w:szCs w:val="24"/>
                <w:highlight w:val="none"/>
              </w:rPr>
              <w:t>项目单位概况：</w:t>
            </w:r>
          </w:p>
          <w:p w14:paraId="7C0F3107">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olor w:val="auto"/>
                <w:sz w:val="24"/>
                <w:szCs w:val="24"/>
                <w:highlight w:val="none"/>
              </w:rPr>
            </w:pPr>
            <w:r>
              <w:rPr>
                <w:rFonts w:hint="eastAsia" w:ascii="宋体" w:hAnsi="宋体"/>
                <w:color w:val="auto"/>
                <w:sz w:val="24"/>
                <w:szCs w:val="24"/>
                <w:highlight w:val="none"/>
              </w:rPr>
              <w:t>广西广播电视学校位于南宁市江南区亭洪路41号，</w:t>
            </w:r>
            <w:r>
              <w:rPr>
                <w:rFonts w:hint="eastAsia" w:ascii="宋体" w:hAnsi="宋体"/>
                <w:color w:val="auto"/>
                <w:sz w:val="24"/>
                <w:szCs w:val="24"/>
                <w:highlight w:val="none"/>
                <w:lang w:eastAsia="zh-CN"/>
              </w:rPr>
              <w:t>学校规模</w:t>
            </w:r>
            <w:r>
              <w:rPr>
                <w:rFonts w:hint="eastAsia" w:ascii="宋体" w:hAnsi="宋体"/>
                <w:color w:val="auto"/>
                <w:sz w:val="24"/>
                <w:szCs w:val="24"/>
                <w:highlight w:val="none"/>
              </w:rPr>
              <w:t>：总用地面积约21666平方米，总建筑面积约</w:t>
            </w:r>
            <w:r>
              <w:rPr>
                <w:rFonts w:hint="eastAsia" w:ascii="宋体" w:hAnsi="宋体"/>
                <w:color w:val="auto"/>
                <w:sz w:val="24"/>
                <w:szCs w:val="24"/>
                <w:highlight w:val="none"/>
                <w:lang w:val="en-US" w:eastAsia="zh-CN"/>
              </w:rPr>
              <w:t>30</w:t>
            </w:r>
            <w:r>
              <w:rPr>
                <w:rFonts w:hint="eastAsia" w:ascii="宋体" w:hAnsi="宋体"/>
                <w:color w:val="auto"/>
                <w:sz w:val="24"/>
                <w:szCs w:val="24"/>
                <w:highlight w:val="none"/>
              </w:rPr>
              <w:t>000平方米</w:t>
            </w:r>
            <w:r>
              <w:rPr>
                <w:rFonts w:hint="eastAsia" w:ascii="宋体" w:hAnsi="宋体"/>
                <w:color w:val="auto"/>
                <w:sz w:val="24"/>
                <w:szCs w:val="24"/>
                <w:highlight w:val="none"/>
                <w:lang w:eastAsia="zh-CN"/>
              </w:rPr>
              <w:t>，</w:t>
            </w:r>
            <w:r>
              <w:rPr>
                <w:rFonts w:hint="eastAsia" w:ascii="宋体" w:hAnsi="宋体"/>
                <w:color w:val="auto"/>
                <w:sz w:val="24"/>
                <w:szCs w:val="24"/>
                <w:highlight w:val="none"/>
                <w:lang w:val="en-US" w:eastAsia="zh-CN"/>
              </w:rPr>
              <w:t>有6</w:t>
            </w:r>
            <w:r>
              <w:rPr>
                <w:rFonts w:hint="eastAsia" w:ascii="宋体" w:hAnsi="宋体"/>
                <w:color w:val="auto"/>
                <w:sz w:val="24"/>
                <w:szCs w:val="24"/>
                <w:highlight w:val="none"/>
              </w:rPr>
              <w:t>栋学生宿舍楼，</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栋教学综合楼、食堂综合楼、实训中心楼等，多媒体教室、配电房等相关附属用房约5栋，运动场地等其他设施，</w:t>
            </w:r>
            <w:r>
              <w:rPr>
                <w:rFonts w:hint="eastAsia" w:ascii="宋体" w:hAnsi="宋体"/>
                <w:color w:val="auto"/>
                <w:sz w:val="24"/>
                <w:szCs w:val="24"/>
                <w:highlight w:val="none"/>
                <w:lang w:val="en-US" w:eastAsia="zh-CN"/>
              </w:rPr>
              <w:t>住</w:t>
            </w:r>
            <w:r>
              <w:rPr>
                <w:rFonts w:hint="eastAsia" w:ascii="宋体" w:hAnsi="宋体"/>
                <w:color w:val="auto"/>
                <w:sz w:val="24"/>
                <w:szCs w:val="24"/>
                <w:highlight w:val="none"/>
              </w:rPr>
              <w:t>校学生人数约</w:t>
            </w:r>
            <w:r>
              <w:rPr>
                <w:rFonts w:hint="eastAsia" w:ascii="宋体" w:hAnsi="宋体"/>
                <w:color w:val="auto"/>
                <w:sz w:val="24"/>
                <w:szCs w:val="24"/>
                <w:highlight w:val="none"/>
                <w:lang w:val="en-US" w:eastAsia="zh-CN"/>
              </w:rPr>
              <w:t>2000</w:t>
            </w:r>
            <w:r>
              <w:rPr>
                <w:rFonts w:hint="eastAsia" w:ascii="宋体" w:hAnsi="宋体"/>
                <w:color w:val="auto"/>
                <w:sz w:val="24"/>
                <w:szCs w:val="24"/>
                <w:highlight w:val="none"/>
              </w:rPr>
              <w:t>人。</w:t>
            </w:r>
          </w:p>
          <w:p w14:paraId="6B042A40">
            <w:pPr>
              <w:keepNext w:val="0"/>
              <w:keepLines w:val="0"/>
              <w:pageBreakBefore w:val="0"/>
              <w:widowControl/>
              <w:kinsoku/>
              <w:wordWrap/>
              <w:overflowPunct/>
              <w:topLinePunct w:val="0"/>
              <w:autoSpaceDE/>
              <w:autoSpaceDN/>
              <w:bidi w:val="0"/>
              <w:adjustRightInd/>
              <w:spacing w:line="380" w:lineRule="exact"/>
              <w:ind w:firstLine="482" w:firstLineChars="200"/>
              <w:textAlignment w:val="auto"/>
              <w:rPr>
                <w:rFonts w:hint="eastAsia" w:ascii="宋体" w:hAnsi="宋体" w:cs="仿宋"/>
                <w:b/>
                <w:color w:val="auto"/>
                <w:kern w:val="0"/>
                <w:sz w:val="24"/>
                <w:szCs w:val="24"/>
                <w:highlight w:val="none"/>
              </w:rPr>
            </w:pPr>
            <w:r>
              <w:rPr>
                <w:rFonts w:hint="eastAsia" w:ascii="宋体" w:hAnsi="宋体" w:cs="仿宋"/>
                <w:b/>
                <w:color w:val="auto"/>
                <w:kern w:val="0"/>
                <w:sz w:val="24"/>
                <w:szCs w:val="24"/>
                <w:highlight w:val="none"/>
                <w:lang w:eastAsia="zh-CN"/>
              </w:rPr>
              <w:t>二、</w:t>
            </w:r>
            <w:r>
              <w:rPr>
                <w:rFonts w:hint="eastAsia" w:ascii="宋体" w:hAnsi="宋体" w:cs="仿宋"/>
                <w:b/>
                <w:color w:val="auto"/>
                <w:kern w:val="0"/>
                <w:sz w:val="24"/>
                <w:szCs w:val="24"/>
                <w:highlight w:val="none"/>
              </w:rPr>
              <w:t>项目服务内容</w:t>
            </w:r>
          </w:p>
          <w:p w14:paraId="743170B0">
            <w:pPr>
              <w:keepNext w:val="0"/>
              <w:keepLines w:val="0"/>
              <w:pageBreakBefore w:val="0"/>
              <w:tabs>
                <w:tab w:val="left" w:pos="2160"/>
              </w:tabs>
              <w:kinsoku/>
              <w:wordWrap/>
              <w:overflowPunct/>
              <w:topLinePunct w:val="0"/>
              <w:autoSpaceDE/>
              <w:autoSpaceDN/>
              <w:bidi w:val="0"/>
              <w:adjustRightInd/>
              <w:spacing w:line="380" w:lineRule="exact"/>
              <w:ind w:right="709" w:firstLine="482" w:firstLineChars="200"/>
              <w:textAlignment w:val="auto"/>
              <w:rPr>
                <w:rFonts w:hint="eastAsia" w:ascii="宋体" w:hAnsi="宋体" w:cs="仿宋"/>
                <w:b/>
                <w:color w:val="auto"/>
                <w:kern w:val="0"/>
                <w:sz w:val="24"/>
                <w:szCs w:val="24"/>
                <w:highlight w:val="none"/>
              </w:rPr>
            </w:pPr>
            <w:r>
              <w:rPr>
                <w:rFonts w:hint="eastAsia" w:ascii="宋体" w:hAnsi="宋体" w:cs="仿宋"/>
                <w:b/>
                <w:color w:val="auto"/>
                <w:kern w:val="0"/>
                <w:sz w:val="24"/>
                <w:szCs w:val="24"/>
                <w:highlight w:val="none"/>
              </w:rPr>
              <w:t>（一）基本要求：</w:t>
            </w:r>
          </w:p>
          <w:p w14:paraId="57AADDEF">
            <w:pPr>
              <w:keepNext w:val="0"/>
              <w:keepLines w:val="0"/>
              <w:pageBreakBefore w:val="0"/>
              <w:kinsoku/>
              <w:wordWrap/>
              <w:overflowPunct/>
              <w:topLinePunct w:val="0"/>
              <w:autoSpaceDE/>
              <w:autoSpaceDN/>
              <w:bidi w:val="0"/>
              <w:adjustRightInd/>
              <w:snapToGrid w:val="0"/>
              <w:spacing w:line="380" w:lineRule="exact"/>
              <w:ind w:firstLine="482" w:firstLineChars="200"/>
              <w:textAlignment w:val="auto"/>
              <w:rPr>
                <w:rFonts w:hint="eastAsia" w:ascii="宋体" w:hAnsi="宋体" w:cs="仿宋"/>
                <w:color w:val="auto"/>
                <w:kern w:val="0"/>
                <w:sz w:val="24"/>
                <w:szCs w:val="24"/>
                <w:highlight w:val="none"/>
              </w:rPr>
            </w:pPr>
            <w:r>
              <w:rPr>
                <w:rFonts w:hint="eastAsia" w:ascii="宋体" w:hAnsi="宋体" w:cs="仿宋"/>
                <w:b/>
                <w:color w:val="auto"/>
                <w:kern w:val="0"/>
                <w:sz w:val="24"/>
                <w:szCs w:val="24"/>
                <w:highlight w:val="none"/>
              </w:rPr>
              <w:t>1.服务范围：</w:t>
            </w:r>
            <w:r>
              <w:rPr>
                <w:rFonts w:hint="eastAsia" w:ascii="宋体" w:hAnsi="宋体" w:cs="仿宋"/>
                <w:color w:val="auto"/>
                <w:sz w:val="24"/>
                <w:szCs w:val="24"/>
                <w:highlight w:val="none"/>
              </w:rPr>
              <w:t>校园及周边的安全保卫管理、学生管理服务</w:t>
            </w:r>
            <w:r>
              <w:rPr>
                <w:rFonts w:hint="eastAsia" w:ascii="宋体" w:hAnsi="宋体" w:cs="仿宋"/>
                <w:color w:val="auto"/>
                <w:sz w:val="24"/>
                <w:szCs w:val="24"/>
                <w:highlight w:val="none"/>
                <w:lang w:eastAsia="zh-CN"/>
              </w:rPr>
              <w:t>（包括</w:t>
            </w:r>
            <w:r>
              <w:rPr>
                <w:rFonts w:hint="eastAsia" w:ascii="宋体" w:hAnsi="宋体" w:cs="仿宋"/>
                <w:color w:val="auto"/>
                <w:sz w:val="24"/>
                <w:szCs w:val="24"/>
                <w:highlight w:val="none"/>
              </w:rPr>
              <w:t>学生宿舍区管理、</w:t>
            </w:r>
            <w:r>
              <w:rPr>
                <w:rFonts w:hint="eastAsia" w:ascii="宋体" w:hAnsi="宋体" w:cs="仿宋"/>
                <w:color w:val="auto"/>
                <w:sz w:val="24"/>
                <w:szCs w:val="24"/>
                <w:highlight w:val="none"/>
                <w:lang w:val="en-US" w:eastAsia="zh-CN"/>
              </w:rPr>
              <w:t>学生实习管理、</w:t>
            </w:r>
            <w:r>
              <w:rPr>
                <w:rFonts w:hint="eastAsia" w:ascii="宋体" w:hAnsi="宋体" w:cs="仿宋"/>
                <w:color w:val="auto"/>
                <w:sz w:val="24"/>
                <w:szCs w:val="24"/>
                <w:highlight w:val="none"/>
              </w:rPr>
              <w:t>各种学生集会组织及纪律管理</w:t>
            </w:r>
            <w:r>
              <w:rPr>
                <w:rFonts w:hint="eastAsia" w:ascii="宋体" w:hAnsi="宋体" w:cs="仿宋"/>
                <w:color w:val="auto"/>
                <w:sz w:val="24"/>
                <w:szCs w:val="24"/>
                <w:highlight w:val="none"/>
                <w:lang w:eastAsia="zh-CN"/>
              </w:rPr>
              <w:t>、</w:t>
            </w:r>
            <w:r>
              <w:rPr>
                <w:rFonts w:hint="eastAsia" w:ascii="宋体" w:hAnsi="宋体" w:cs="仿宋"/>
                <w:color w:val="auto"/>
                <w:sz w:val="24"/>
                <w:szCs w:val="24"/>
                <w:highlight w:val="none"/>
                <w:lang w:val="en-US" w:eastAsia="zh-CN"/>
              </w:rPr>
              <w:t>卫生管理</w:t>
            </w:r>
            <w:r>
              <w:rPr>
                <w:rFonts w:hint="eastAsia" w:ascii="宋体" w:hAnsi="宋体" w:cs="仿宋"/>
                <w:color w:val="auto"/>
                <w:sz w:val="24"/>
                <w:szCs w:val="24"/>
                <w:highlight w:val="none"/>
              </w:rPr>
              <w:t>等</w:t>
            </w:r>
            <w:r>
              <w:rPr>
                <w:rFonts w:hint="eastAsia" w:ascii="宋体" w:hAnsi="宋体" w:cs="仿宋"/>
                <w:color w:val="auto"/>
                <w:sz w:val="24"/>
                <w:szCs w:val="24"/>
                <w:highlight w:val="none"/>
                <w:lang w:eastAsia="zh-CN"/>
              </w:rPr>
              <w:t>）</w:t>
            </w:r>
            <w:r>
              <w:rPr>
                <w:rFonts w:hint="eastAsia" w:ascii="宋体" w:hAnsi="宋体" w:cs="仿宋"/>
                <w:color w:val="auto"/>
                <w:sz w:val="24"/>
                <w:szCs w:val="24"/>
                <w:highlight w:val="none"/>
              </w:rPr>
              <w:t>。</w:t>
            </w:r>
          </w:p>
          <w:p w14:paraId="7B455944">
            <w:pPr>
              <w:keepNext w:val="0"/>
              <w:keepLines w:val="0"/>
              <w:pageBreakBefore w:val="0"/>
              <w:tabs>
                <w:tab w:val="left" w:pos="2160"/>
              </w:tabs>
              <w:kinsoku/>
              <w:wordWrap/>
              <w:overflowPunct/>
              <w:topLinePunct w:val="0"/>
              <w:autoSpaceDE/>
              <w:autoSpaceDN/>
              <w:bidi w:val="0"/>
              <w:adjustRightInd/>
              <w:spacing w:line="380" w:lineRule="exact"/>
              <w:ind w:right="-114" w:firstLine="482" w:firstLineChars="200"/>
              <w:textAlignment w:val="auto"/>
              <w:rPr>
                <w:rFonts w:hint="eastAsia" w:ascii="宋体" w:hAnsi="宋体" w:cs="仿宋"/>
                <w:color w:val="auto"/>
                <w:sz w:val="24"/>
                <w:szCs w:val="24"/>
                <w:highlight w:val="none"/>
              </w:rPr>
            </w:pPr>
            <w:r>
              <w:rPr>
                <w:rFonts w:hint="eastAsia" w:ascii="宋体" w:hAnsi="宋体" w:cs="仿宋"/>
                <w:b/>
                <w:color w:val="auto"/>
                <w:sz w:val="24"/>
                <w:szCs w:val="24"/>
                <w:highlight w:val="none"/>
              </w:rPr>
              <w:t>2.服务期限：</w:t>
            </w:r>
            <w:r>
              <w:rPr>
                <w:rFonts w:hint="eastAsia" w:ascii="宋体" w:hAnsi="宋体" w:cs="仿宋"/>
                <w:color w:val="auto"/>
                <w:sz w:val="24"/>
                <w:szCs w:val="24"/>
                <w:highlight w:val="none"/>
              </w:rPr>
              <w:t>从</w:t>
            </w:r>
            <w:r>
              <w:rPr>
                <w:rFonts w:hint="eastAsia" w:ascii="宋体" w:hAnsi="宋体"/>
                <w:color w:val="auto"/>
                <w:sz w:val="24"/>
                <w:szCs w:val="24"/>
                <w:highlight w:val="none"/>
              </w:rPr>
              <w:t>202</w:t>
            </w:r>
            <w:r>
              <w:rPr>
                <w:rFonts w:hint="eastAsia" w:ascii="宋体" w:hAnsi="宋体"/>
                <w:color w:val="auto"/>
                <w:sz w:val="24"/>
                <w:szCs w:val="24"/>
                <w:highlight w:val="none"/>
                <w:lang w:val="en-US" w:eastAsia="zh-CN"/>
              </w:rPr>
              <w:t>6</w:t>
            </w:r>
            <w:r>
              <w:rPr>
                <w:rFonts w:hint="eastAsia" w:ascii="宋体" w:hAnsi="宋体"/>
                <w:color w:val="auto"/>
                <w:sz w:val="24"/>
                <w:szCs w:val="24"/>
                <w:highlight w:val="none"/>
              </w:rPr>
              <w:t>年</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月1日起至202</w:t>
            </w:r>
            <w:r>
              <w:rPr>
                <w:rFonts w:hint="eastAsia" w:ascii="宋体" w:hAnsi="宋体"/>
                <w:color w:val="auto"/>
                <w:sz w:val="24"/>
                <w:szCs w:val="24"/>
                <w:highlight w:val="none"/>
                <w:lang w:val="en-US" w:eastAsia="zh-CN"/>
              </w:rPr>
              <w:t>7</w:t>
            </w:r>
            <w:r>
              <w:rPr>
                <w:rFonts w:hint="eastAsia" w:ascii="宋体" w:hAnsi="宋体"/>
                <w:color w:val="auto"/>
                <w:sz w:val="24"/>
                <w:szCs w:val="24"/>
                <w:highlight w:val="none"/>
              </w:rPr>
              <w:t>年</w:t>
            </w:r>
            <w:r>
              <w:rPr>
                <w:rFonts w:hint="eastAsia" w:ascii="宋体" w:hAnsi="宋体"/>
                <w:color w:val="auto"/>
                <w:sz w:val="24"/>
                <w:szCs w:val="24"/>
                <w:highlight w:val="none"/>
                <w:lang w:val="en-US" w:eastAsia="zh-CN"/>
              </w:rPr>
              <w:t>4</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30</w:t>
            </w:r>
            <w:r>
              <w:rPr>
                <w:rFonts w:hint="eastAsia" w:ascii="宋体" w:hAnsi="宋体"/>
                <w:color w:val="auto"/>
                <w:sz w:val="24"/>
                <w:szCs w:val="24"/>
                <w:highlight w:val="none"/>
              </w:rPr>
              <w:t>日止</w:t>
            </w:r>
            <w:r>
              <w:rPr>
                <w:rFonts w:hint="eastAsia" w:ascii="宋体" w:hAnsi="宋体" w:cs="仿宋"/>
                <w:color w:val="auto"/>
                <w:sz w:val="24"/>
                <w:szCs w:val="24"/>
                <w:highlight w:val="none"/>
              </w:rPr>
              <w:t>。</w:t>
            </w:r>
          </w:p>
          <w:p w14:paraId="4773D4C8">
            <w:pPr>
              <w:keepNext w:val="0"/>
              <w:keepLines w:val="0"/>
              <w:pageBreakBefore w:val="0"/>
              <w:widowControl/>
              <w:kinsoku/>
              <w:wordWrap/>
              <w:overflowPunct/>
              <w:topLinePunct w:val="0"/>
              <w:autoSpaceDE/>
              <w:autoSpaceDN/>
              <w:bidi w:val="0"/>
              <w:adjustRightInd/>
              <w:spacing w:line="380" w:lineRule="exact"/>
              <w:ind w:firstLine="482" w:firstLineChars="200"/>
              <w:textAlignment w:val="auto"/>
              <w:rPr>
                <w:rFonts w:hint="eastAsia" w:ascii="宋体" w:hAnsi="宋体" w:cs="仿宋"/>
                <w:b/>
                <w:color w:val="auto"/>
                <w:kern w:val="0"/>
                <w:sz w:val="24"/>
                <w:szCs w:val="24"/>
                <w:highlight w:val="none"/>
              </w:rPr>
            </w:pPr>
            <w:r>
              <w:rPr>
                <w:rFonts w:hint="eastAsia" w:ascii="宋体" w:hAnsi="宋体" w:cs="仿宋"/>
                <w:b/>
                <w:color w:val="auto"/>
                <w:kern w:val="0"/>
                <w:sz w:val="24"/>
                <w:szCs w:val="24"/>
                <w:highlight w:val="none"/>
              </w:rPr>
              <w:t>（二）服务项目需求</w:t>
            </w:r>
          </w:p>
          <w:p w14:paraId="0FE1B2F0">
            <w:pPr>
              <w:keepNext w:val="0"/>
              <w:keepLines w:val="0"/>
              <w:pageBreakBefore w:val="0"/>
              <w:kinsoku/>
              <w:wordWrap/>
              <w:overflowPunct/>
              <w:topLinePunct w:val="0"/>
              <w:autoSpaceDE/>
              <w:autoSpaceDN/>
              <w:bidi w:val="0"/>
              <w:adjustRightInd/>
              <w:snapToGrid w:val="0"/>
              <w:spacing w:line="380" w:lineRule="exact"/>
              <w:ind w:firstLine="480" w:firstLineChars="200"/>
              <w:textAlignment w:val="auto"/>
              <w:rPr>
                <w:rFonts w:hint="eastAsia" w:ascii="宋体" w:hAnsi="宋体" w:cs="仿宋"/>
                <w:color w:val="auto"/>
                <w:kern w:val="0"/>
                <w:sz w:val="24"/>
                <w:szCs w:val="24"/>
                <w:highlight w:val="none"/>
              </w:rPr>
            </w:pPr>
            <w:r>
              <w:rPr>
                <w:rFonts w:hint="eastAsia" w:ascii="宋体" w:hAnsi="宋体" w:cs="仿宋"/>
                <w:color w:val="auto"/>
                <w:kern w:val="0"/>
                <w:sz w:val="24"/>
                <w:szCs w:val="24"/>
                <w:highlight w:val="none"/>
                <w:lang w:val="en-US" w:eastAsia="zh-CN"/>
              </w:rPr>
              <w:t>1.</w:t>
            </w:r>
            <w:r>
              <w:rPr>
                <w:rFonts w:hint="eastAsia" w:ascii="宋体" w:hAnsi="宋体" w:cs="仿宋"/>
                <w:color w:val="auto"/>
                <w:kern w:val="0"/>
                <w:sz w:val="24"/>
                <w:szCs w:val="24"/>
                <w:highlight w:val="none"/>
              </w:rPr>
              <w:t>服务范围包括</w:t>
            </w:r>
            <w:r>
              <w:rPr>
                <w:rFonts w:hint="eastAsia" w:ascii="宋体" w:hAnsi="宋体" w:cs="仿宋"/>
                <w:color w:val="auto"/>
                <w:sz w:val="24"/>
                <w:szCs w:val="24"/>
                <w:highlight w:val="none"/>
              </w:rPr>
              <w:t>校园及周边的安全保卫管理、学生宿舍区管理、学生管理服务、</w:t>
            </w:r>
            <w:r>
              <w:rPr>
                <w:rFonts w:hint="eastAsia" w:ascii="宋体" w:hAnsi="宋体" w:cs="仿宋"/>
                <w:color w:val="auto"/>
                <w:sz w:val="24"/>
                <w:szCs w:val="24"/>
                <w:highlight w:val="none"/>
                <w:lang w:val="en-US" w:eastAsia="zh-CN"/>
              </w:rPr>
              <w:t>学生实习管理、</w:t>
            </w:r>
            <w:r>
              <w:rPr>
                <w:rFonts w:hint="eastAsia" w:ascii="宋体" w:hAnsi="宋体" w:cs="仿宋"/>
                <w:color w:val="auto"/>
                <w:sz w:val="24"/>
                <w:szCs w:val="24"/>
                <w:highlight w:val="none"/>
              </w:rPr>
              <w:t>各种学生集会组织及纪律管理</w:t>
            </w:r>
            <w:r>
              <w:rPr>
                <w:rFonts w:hint="eastAsia" w:ascii="宋体" w:hAnsi="宋体" w:cs="仿宋"/>
                <w:color w:val="auto"/>
                <w:sz w:val="24"/>
                <w:szCs w:val="24"/>
                <w:highlight w:val="none"/>
                <w:lang w:eastAsia="zh-CN"/>
              </w:rPr>
              <w:t>、</w:t>
            </w:r>
            <w:r>
              <w:rPr>
                <w:rFonts w:hint="eastAsia" w:ascii="宋体" w:hAnsi="宋体" w:cs="仿宋"/>
                <w:color w:val="auto"/>
                <w:sz w:val="24"/>
                <w:szCs w:val="24"/>
                <w:highlight w:val="none"/>
                <w:lang w:val="en-US" w:eastAsia="zh-CN"/>
              </w:rPr>
              <w:t>卫生管理</w:t>
            </w:r>
            <w:r>
              <w:rPr>
                <w:rFonts w:hint="eastAsia" w:ascii="宋体" w:hAnsi="宋体" w:cs="仿宋"/>
                <w:color w:val="auto"/>
                <w:sz w:val="24"/>
                <w:szCs w:val="24"/>
                <w:highlight w:val="none"/>
              </w:rPr>
              <w:t>等。</w:t>
            </w:r>
          </w:p>
          <w:p w14:paraId="4766E760">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color w:val="auto"/>
                <w:kern w:val="0"/>
                <w:sz w:val="24"/>
                <w:szCs w:val="24"/>
                <w:highlight w:val="none"/>
              </w:rPr>
            </w:pPr>
            <w:r>
              <w:rPr>
                <w:rFonts w:hint="eastAsia" w:ascii="宋体" w:hAnsi="宋体" w:cs="仿宋"/>
                <w:color w:val="auto"/>
                <w:kern w:val="0"/>
                <w:sz w:val="24"/>
                <w:szCs w:val="24"/>
                <w:highlight w:val="none"/>
                <w:lang w:val="en-US" w:eastAsia="zh-CN"/>
              </w:rPr>
              <w:t>2.</w:t>
            </w:r>
            <w:r>
              <w:rPr>
                <w:rFonts w:hint="eastAsia" w:ascii="宋体" w:hAnsi="宋体" w:cs="仿宋"/>
                <w:color w:val="auto"/>
                <w:kern w:val="0"/>
                <w:sz w:val="24"/>
                <w:szCs w:val="24"/>
                <w:highlight w:val="none"/>
              </w:rPr>
              <w:t>门岗实行24小时单岗三班倒值班制度，在上下班、节假日、学生收放假等重要时段实行双人值班制度，严格查验进出校园人员、车辆和物品，并做好登记；宿舍岗实行24小时三班倒值班制度，在学生管理上，重点抓好学生宿舍内务卫生、纪律等管理工作，培养学生良好的生活习惯，同时抓好学生课外校园生活管理，在学生德育培养上，做好学生日常思想教育，对违纪学生进行强化教育，提高广大学生遵规守纪的自觉性；</w:t>
            </w:r>
            <w:r>
              <w:rPr>
                <w:rFonts w:hint="eastAsia" w:ascii="宋体" w:hAnsi="宋体" w:cs="仿宋"/>
                <w:color w:val="auto"/>
                <w:kern w:val="0"/>
                <w:sz w:val="24"/>
                <w:szCs w:val="24"/>
                <w:highlight w:val="none"/>
                <w:lang w:val="en-US" w:eastAsia="zh-CN"/>
              </w:rPr>
              <w:t>校园</w:t>
            </w:r>
            <w:r>
              <w:rPr>
                <w:rFonts w:hint="eastAsia" w:ascii="宋体" w:hAnsi="宋体" w:cs="仿宋"/>
                <w:color w:val="auto"/>
                <w:kern w:val="0"/>
                <w:sz w:val="24"/>
                <w:szCs w:val="24"/>
                <w:highlight w:val="none"/>
              </w:rPr>
              <w:t>巡逻</w:t>
            </w:r>
            <w:r>
              <w:rPr>
                <w:rFonts w:hint="eastAsia" w:ascii="宋体" w:hAnsi="宋体" w:cs="仿宋"/>
                <w:color w:val="auto"/>
                <w:kern w:val="0"/>
                <w:sz w:val="24"/>
                <w:szCs w:val="24"/>
                <w:highlight w:val="none"/>
                <w:lang w:val="en-US" w:eastAsia="zh-CN"/>
              </w:rPr>
              <w:t>按学校规定做好校园秩序管理、车辆管理，</w:t>
            </w:r>
            <w:r>
              <w:rPr>
                <w:rFonts w:hint="eastAsia" w:ascii="宋体" w:hAnsi="宋体" w:cs="仿宋"/>
                <w:color w:val="auto"/>
                <w:kern w:val="0"/>
                <w:sz w:val="24"/>
                <w:szCs w:val="24"/>
                <w:highlight w:val="none"/>
              </w:rPr>
              <w:t>对校园实施实时监控；校园内适当组织力量在夜间对校园监控盲区进行巡逻检查；做好学生</w:t>
            </w:r>
            <w:r>
              <w:rPr>
                <w:rFonts w:hint="eastAsia" w:ascii="宋体" w:hAnsi="宋体" w:cs="仿宋"/>
                <w:color w:val="auto"/>
                <w:kern w:val="0"/>
                <w:sz w:val="24"/>
                <w:szCs w:val="24"/>
                <w:highlight w:val="none"/>
                <w:lang w:val="en-US" w:eastAsia="zh-CN"/>
              </w:rPr>
              <w:t>实习</w:t>
            </w:r>
            <w:r>
              <w:rPr>
                <w:rFonts w:hint="eastAsia" w:ascii="宋体" w:hAnsi="宋体" w:cs="仿宋"/>
                <w:color w:val="auto"/>
                <w:kern w:val="0"/>
                <w:sz w:val="24"/>
                <w:szCs w:val="24"/>
                <w:highlight w:val="none"/>
              </w:rPr>
              <w:t>管理等各方面工作。</w:t>
            </w:r>
          </w:p>
          <w:p w14:paraId="04DB039A">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color w:val="auto"/>
                <w:kern w:val="0"/>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消防控制值班室值班</w:t>
            </w:r>
            <w:r>
              <w:rPr>
                <w:rFonts w:hint="default" w:ascii="宋体" w:hAnsi="宋体" w:eastAsia="宋体" w:cs="宋体"/>
                <w:color w:val="auto"/>
                <w:sz w:val="24"/>
                <w:szCs w:val="24"/>
                <w:highlight w:val="none"/>
              </w:rPr>
              <w:t>实行24小时专人值班制度，每班不少于2人，值班人员需坚守岗位，不得擅离职守。</w:t>
            </w:r>
          </w:p>
          <w:p w14:paraId="6002A067">
            <w:pPr>
              <w:keepNext w:val="0"/>
              <w:keepLines w:val="0"/>
              <w:pageBreakBefore w:val="0"/>
              <w:widowControl/>
              <w:kinsoku/>
              <w:wordWrap/>
              <w:overflowPunct/>
              <w:topLinePunct w:val="0"/>
              <w:autoSpaceDE/>
              <w:autoSpaceDN/>
              <w:bidi w:val="0"/>
              <w:adjustRightInd/>
              <w:spacing w:line="380" w:lineRule="exact"/>
              <w:ind w:firstLine="482" w:firstLineChars="200"/>
              <w:textAlignment w:val="auto"/>
              <w:rPr>
                <w:rFonts w:hint="eastAsia" w:ascii="宋体" w:hAnsi="宋体" w:cs="仿宋"/>
                <w:b/>
                <w:color w:val="auto"/>
                <w:kern w:val="0"/>
                <w:sz w:val="24"/>
                <w:szCs w:val="24"/>
                <w:highlight w:val="none"/>
              </w:rPr>
            </w:pPr>
            <w:r>
              <w:rPr>
                <w:rFonts w:hint="eastAsia" w:ascii="宋体" w:hAnsi="宋体" w:cs="仿宋"/>
                <w:b/>
                <w:color w:val="auto"/>
                <w:kern w:val="0"/>
                <w:sz w:val="24"/>
                <w:szCs w:val="24"/>
                <w:highlight w:val="none"/>
              </w:rPr>
              <w:t>（三）项目管理的内容及职责</w:t>
            </w:r>
          </w:p>
          <w:p w14:paraId="05ED04EA">
            <w:pPr>
              <w:keepNext w:val="0"/>
              <w:keepLines w:val="0"/>
              <w:pageBreakBefore w:val="0"/>
              <w:widowControl/>
              <w:kinsoku/>
              <w:wordWrap/>
              <w:overflowPunct/>
              <w:topLinePunct w:val="0"/>
              <w:autoSpaceDE/>
              <w:autoSpaceDN/>
              <w:bidi w:val="0"/>
              <w:adjustRightInd/>
              <w:spacing w:line="380" w:lineRule="exact"/>
              <w:ind w:firstLine="482" w:firstLineChars="200"/>
              <w:textAlignment w:val="auto"/>
              <w:rPr>
                <w:rFonts w:hint="eastAsia" w:ascii="宋体" w:hAnsi="宋体" w:cs="仿宋"/>
                <w:b/>
                <w:color w:val="auto"/>
                <w:kern w:val="0"/>
                <w:sz w:val="24"/>
                <w:szCs w:val="24"/>
                <w:highlight w:val="none"/>
              </w:rPr>
            </w:pPr>
            <w:r>
              <w:rPr>
                <w:rFonts w:hint="eastAsia" w:ascii="宋体" w:hAnsi="宋体" w:cs="仿宋"/>
                <w:b/>
                <w:color w:val="auto"/>
                <w:kern w:val="0"/>
                <w:sz w:val="24"/>
                <w:szCs w:val="24"/>
                <w:highlight w:val="none"/>
              </w:rPr>
              <w:t>1.管理内容</w:t>
            </w:r>
          </w:p>
          <w:p w14:paraId="39D207A9">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bCs/>
                <w:color w:val="auto"/>
                <w:kern w:val="0"/>
                <w:sz w:val="24"/>
                <w:szCs w:val="24"/>
                <w:highlight w:val="none"/>
              </w:rPr>
            </w:pPr>
            <w:r>
              <w:rPr>
                <w:rFonts w:hint="eastAsia" w:ascii="宋体" w:hAnsi="宋体" w:cs="仿宋"/>
                <w:bCs/>
                <w:color w:val="auto"/>
                <w:kern w:val="0"/>
                <w:sz w:val="24"/>
                <w:szCs w:val="24"/>
                <w:highlight w:val="none"/>
              </w:rPr>
              <w:t>（1）安全保卫管理，包括大门值班、消防监控室值班</w:t>
            </w:r>
            <w:r>
              <w:rPr>
                <w:rFonts w:hint="eastAsia" w:ascii="宋体" w:hAnsi="宋体" w:cs="仿宋"/>
                <w:bCs/>
                <w:color w:val="auto"/>
                <w:kern w:val="0"/>
                <w:sz w:val="24"/>
                <w:szCs w:val="24"/>
                <w:highlight w:val="none"/>
              </w:rPr>
              <w:t>、校园内及周边治安秩序巡逻检查、校园消防安全检查、校园交通车辆秩序管理、违禁物品清查等；</w:t>
            </w:r>
          </w:p>
          <w:p w14:paraId="4081CC77">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eastAsia="宋体" w:cs="仿宋"/>
                <w:bCs/>
                <w:color w:val="auto"/>
                <w:kern w:val="0"/>
                <w:sz w:val="24"/>
                <w:szCs w:val="24"/>
                <w:highlight w:val="none"/>
                <w:lang w:eastAsia="zh-CN"/>
              </w:rPr>
            </w:pPr>
            <w:r>
              <w:rPr>
                <w:rFonts w:hint="eastAsia" w:ascii="宋体" w:hAnsi="宋体" w:cs="仿宋"/>
                <w:bCs/>
                <w:color w:val="auto"/>
                <w:kern w:val="0"/>
                <w:sz w:val="24"/>
                <w:szCs w:val="24"/>
                <w:highlight w:val="none"/>
              </w:rPr>
              <w:t>（2）学生宿舍区作息纪律、卫生的检查管理，校园公共区域、宿舍、教室卫生检查、评比、公布</w:t>
            </w:r>
            <w:r>
              <w:rPr>
                <w:rFonts w:hint="eastAsia" w:ascii="宋体" w:hAnsi="宋体" w:cs="仿宋"/>
                <w:bCs/>
                <w:color w:val="auto"/>
                <w:kern w:val="0"/>
                <w:sz w:val="24"/>
                <w:szCs w:val="24"/>
                <w:highlight w:val="none"/>
                <w:lang w:eastAsia="zh-CN"/>
              </w:rPr>
              <w:t>；</w:t>
            </w:r>
          </w:p>
          <w:p w14:paraId="2B49A3AB">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bCs/>
                <w:color w:val="auto"/>
                <w:kern w:val="0"/>
                <w:sz w:val="24"/>
                <w:szCs w:val="24"/>
                <w:highlight w:val="none"/>
              </w:rPr>
            </w:pPr>
            <w:r>
              <w:rPr>
                <w:rFonts w:hint="eastAsia" w:ascii="宋体" w:hAnsi="宋体" w:cs="仿宋"/>
                <w:bCs/>
                <w:color w:val="auto"/>
                <w:kern w:val="0"/>
                <w:sz w:val="24"/>
                <w:szCs w:val="24"/>
                <w:highlight w:val="none"/>
              </w:rPr>
              <w:t>（3）各种学生集会组织及纪律管理；</w:t>
            </w:r>
          </w:p>
          <w:p w14:paraId="213FCC51">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bCs/>
                <w:color w:val="auto"/>
                <w:kern w:val="0"/>
                <w:sz w:val="24"/>
                <w:szCs w:val="24"/>
                <w:highlight w:val="none"/>
              </w:rPr>
            </w:pPr>
            <w:r>
              <w:rPr>
                <w:rFonts w:hint="eastAsia" w:ascii="宋体" w:hAnsi="宋体" w:cs="仿宋"/>
                <w:bCs/>
                <w:color w:val="auto"/>
                <w:kern w:val="0"/>
                <w:sz w:val="24"/>
                <w:szCs w:val="24"/>
                <w:highlight w:val="none"/>
              </w:rPr>
              <w:t>（4）学生行为规范检查和日常违纪的教育管理、重大突发事件处置、处理，对违纪学生的批评教育；</w:t>
            </w:r>
          </w:p>
          <w:p w14:paraId="33714A26">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bCs/>
                <w:color w:val="auto"/>
                <w:kern w:val="0"/>
                <w:sz w:val="24"/>
                <w:szCs w:val="24"/>
                <w:highlight w:val="none"/>
              </w:rPr>
            </w:pPr>
            <w:r>
              <w:rPr>
                <w:rFonts w:hint="eastAsia" w:ascii="宋体" w:hAnsi="宋体" w:cs="仿宋"/>
                <w:bCs/>
                <w:color w:val="auto"/>
                <w:kern w:val="0"/>
                <w:sz w:val="24"/>
                <w:szCs w:val="24"/>
                <w:highlight w:val="none"/>
              </w:rPr>
              <w:t>（5）学生晚自习纪律管理；</w:t>
            </w:r>
          </w:p>
          <w:p w14:paraId="43681C6D">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eastAsia="宋体" w:cs="仿宋"/>
                <w:bCs/>
                <w:color w:val="auto"/>
                <w:kern w:val="0"/>
                <w:sz w:val="24"/>
                <w:szCs w:val="24"/>
                <w:highlight w:val="none"/>
                <w:lang w:eastAsia="zh-CN"/>
              </w:rPr>
            </w:pPr>
            <w:r>
              <w:rPr>
                <w:rFonts w:hint="eastAsia" w:ascii="宋体" w:hAnsi="宋体" w:cs="仿宋"/>
                <w:bCs/>
                <w:color w:val="auto"/>
                <w:kern w:val="0"/>
                <w:sz w:val="24"/>
                <w:szCs w:val="24"/>
                <w:highlight w:val="none"/>
              </w:rPr>
              <w:t>（6）</w:t>
            </w:r>
            <w:r>
              <w:rPr>
                <w:rFonts w:hint="eastAsia" w:ascii="宋体" w:hAnsi="宋体" w:cs="仿宋"/>
                <w:bCs/>
                <w:color w:val="auto"/>
                <w:kern w:val="0"/>
                <w:sz w:val="24"/>
                <w:szCs w:val="24"/>
                <w:highlight w:val="none"/>
                <w:lang w:val="en-US" w:eastAsia="zh-CN"/>
              </w:rPr>
              <w:t>校园车辆停放管理</w:t>
            </w:r>
            <w:r>
              <w:rPr>
                <w:rFonts w:hint="eastAsia" w:ascii="宋体" w:hAnsi="宋体" w:cs="仿宋"/>
                <w:bCs/>
                <w:color w:val="auto"/>
                <w:kern w:val="0"/>
                <w:sz w:val="24"/>
                <w:szCs w:val="24"/>
                <w:highlight w:val="none"/>
                <w:lang w:eastAsia="zh-CN"/>
              </w:rPr>
              <w:t>。</w:t>
            </w:r>
          </w:p>
          <w:p w14:paraId="211093E4">
            <w:pPr>
              <w:keepNext w:val="0"/>
              <w:keepLines w:val="0"/>
              <w:pageBreakBefore w:val="0"/>
              <w:widowControl/>
              <w:kinsoku/>
              <w:wordWrap/>
              <w:overflowPunct/>
              <w:topLinePunct w:val="0"/>
              <w:autoSpaceDE/>
              <w:autoSpaceDN/>
              <w:bidi w:val="0"/>
              <w:adjustRightInd/>
              <w:spacing w:line="380" w:lineRule="exact"/>
              <w:ind w:firstLine="482" w:firstLineChars="200"/>
              <w:textAlignment w:val="auto"/>
              <w:rPr>
                <w:rFonts w:hint="eastAsia" w:ascii="宋体" w:hAnsi="宋体" w:cs="仿宋"/>
                <w:b/>
                <w:color w:val="auto"/>
                <w:sz w:val="24"/>
                <w:szCs w:val="24"/>
                <w:highlight w:val="none"/>
              </w:rPr>
            </w:pPr>
            <w:r>
              <w:rPr>
                <w:rFonts w:hint="eastAsia" w:ascii="宋体" w:hAnsi="宋体" w:cs="仿宋"/>
                <w:b/>
                <w:color w:val="auto"/>
                <w:kern w:val="0"/>
                <w:sz w:val="24"/>
                <w:szCs w:val="24"/>
                <w:highlight w:val="none"/>
              </w:rPr>
              <w:t>2.人员素质要求</w:t>
            </w:r>
          </w:p>
          <w:p w14:paraId="29173E7B">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color w:val="auto"/>
                <w:sz w:val="24"/>
                <w:szCs w:val="24"/>
                <w:highlight w:val="none"/>
              </w:rPr>
            </w:pPr>
            <w:r>
              <w:rPr>
                <w:rFonts w:hint="eastAsia" w:ascii="宋体" w:hAnsi="宋体" w:cs="仿宋"/>
                <w:color w:val="auto"/>
                <w:kern w:val="0"/>
                <w:sz w:val="24"/>
                <w:szCs w:val="24"/>
                <w:highlight w:val="none"/>
              </w:rPr>
              <w:t>（1）</w:t>
            </w:r>
            <w:r>
              <w:rPr>
                <w:rFonts w:hint="eastAsia" w:ascii="宋体" w:hAnsi="宋体" w:cs="仿宋"/>
                <w:color w:val="auto"/>
                <w:kern w:val="0"/>
                <w:sz w:val="24"/>
                <w:szCs w:val="24"/>
                <w:highlight w:val="none"/>
                <w:lang w:eastAsia="zh-CN"/>
              </w:rPr>
              <w:t>服务</w:t>
            </w:r>
            <w:r>
              <w:rPr>
                <w:rFonts w:hint="eastAsia" w:ascii="宋体" w:hAnsi="宋体" w:cs="仿宋"/>
                <w:color w:val="auto"/>
                <w:kern w:val="0"/>
                <w:sz w:val="24"/>
                <w:szCs w:val="24"/>
                <w:highlight w:val="none"/>
              </w:rPr>
              <w:t>人员应知法，懂法，守法，依法办事，必须严格遵守保安从业规范</w:t>
            </w:r>
            <w:r>
              <w:rPr>
                <w:rFonts w:hint="eastAsia" w:ascii="宋体" w:hAnsi="宋体" w:cs="仿宋"/>
                <w:color w:val="auto"/>
                <w:kern w:val="0"/>
                <w:sz w:val="24"/>
                <w:szCs w:val="24"/>
                <w:highlight w:val="none"/>
                <w:lang w:eastAsia="zh-CN"/>
              </w:rPr>
              <w:t>、</w:t>
            </w:r>
            <w:r>
              <w:rPr>
                <w:rFonts w:hint="eastAsia" w:ascii="宋体" w:hAnsi="宋体" w:cs="仿宋"/>
                <w:color w:val="auto"/>
                <w:kern w:val="0"/>
                <w:sz w:val="24"/>
                <w:szCs w:val="24"/>
                <w:highlight w:val="none"/>
              </w:rPr>
              <w:t>遵守校园安全管理规定；</w:t>
            </w:r>
          </w:p>
          <w:p w14:paraId="26D56FB8">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eastAsia="宋体" w:cs="仿宋"/>
                <w:color w:val="auto"/>
                <w:sz w:val="24"/>
                <w:szCs w:val="24"/>
                <w:highlight w:val="none"/>
                <w:lang w:eastAsia="zh-CN"/>
              </w:rPr>
            </w:pPr>
            <w:r>
              <w:rPr>
                <w:rFonts w:hint="eastAsia" w:ascii="宋体" w:hAnsi="宋体" w:cs="仿宋"/>
                <w:color w:val="auto"/>
                <w:kern w:val="0"/>
                <w:sz w:val="24"/>
                <w:szCs w:val="24"/>
                <w:highlight w:val="none"/>
              </w:rPr>
              <w:t>（2）驻校队伍</w:t>
            </w:r>
            <w:r>
              <w:rPr>
                <w:rFonts w:hint="eastAsia" w:ascii="宋体" w:hAnsi="宋体" w:cs="仿宋"/>
                <w:color w:val="auto"/>
                <w:kern w:val="0"/>
                <w:sz w:val="24"/>
                <w:szCs w:val="24"/>
                <w:highlight w:val="none"/>
                <w:lang w:eastAsia="zh-CN"/>
              </w:rPr>
              <w:t>的队长</w:t>
            </w:r>
            <w:r>
              <w:rPr>
                <w:rFonts w:hint="eastAsia" w:ascii="宋体" w:hAnsi="宋体" w:cs="仿宋"/>
                <w:color w:val="auto"/>
                <w:kern w:val="0"/>
                <w:sz w:val="24"/>
                <w:szCs w:val="24"/>
                <w:highlight w:val="none"/>
              </w:rPr>
              <w:t>应具有较高的政治思想素养和业务水平，有较强的组织协调能力，受过专门的业务培训，具备高中以上学历，精神面貌较好</w:t>
            </w:r>
            <w:r>
              <w:rPr>
                <w:rFonts w:hint="eastAsia" w:ascii="宋体" w:hAnsi="宋体" w:cs="仿宋"/>
                <w:color w:val="auto"/>
                <w:kern w:val="0"/>
                <w:sz w:val="24"/>
                <w:szCs w:val="24"/>
                <w:highlight w:val="none"/>
                <w:lang w:eastAsia="zh-CN"/>
              </w:rPr>
              <w:t>；</w:t>
            </w:r>
          </w:p>
          <w:p w14:paraId="0830AA6D">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eastAsia="宋体" w:cs="仿宋"/>
                <w:color w:val="auto"/>
                <w:kern w:val="0"/>
                <w:sz w:val="24"/>
                <w:szCs w:val="24"/>
                <w:highlight w:val="none"/>
                <w:lang w:eastAsia="zh-CN"/>
              </w:rPr>
            </w:pPr>
            <w:r>
              <w:rPr>
                <w:rFonts w:hint="eastAsia" w:ascii="宋体" w:hAnsi="宋体" w:cs="仿宋"/>
                <w:color w:val="auto"/>
                <w:kern w:val="0"/>
                <w:sz w:val="24"/>
                <w:szCs w:val="24"/>
                <w:highlight w:val="none"/>
              </w:rPr>
              <w:t>（3）本项目配置服务人员要求：驻校教官27人，其中队长1名、副队长2名、普通教官24名（其中女教官不少于7名）</w:t>
            </w:r>
            <w:r>
              <w:rPr>
                <w:rFonts w:hint="eastAsia" w:ascii="宋体" w:hAnsi="宋体" w:cs="仿宋"/>
                <w:color w:val="auto"/>
                <w:kern w:val="0"/>
                <w:sz w:val="24"/>
                <w:szCs w:val="24"/>
                <w:highlight w:val="none"/>
                <w:lang w:eastAsia="zh-CN"/>
              </w:rPr>
              <w:t>。</w:t>
            </w:r>
            <w:r>
              <w:rPr>
                <w:rFonts w:hint="eastAsia" w:ascii="宋体" w:hAnsi="宋体" w:cs="仿宋"/>
                <w:color w:val="auto"/>
                <w:kern w:val="0"/>
                <w:sz w:val="24"/>
                <w:szCs w:val="24"/>
                <w:highlight w:val="none"/>
              </w:rPr>
              <w:t>男性身高在165cm以上，女性身高在158cm以上，上述人员身体健康，相貌端正，仪表大方，无传染疾病及精神病等不能控制自己行为能力的疾病病史，无违法犯罪记录，年龄应在</w:t>
            </w:r>
            <w:r>
              <w:rPr>
                <w:rFonts w:hint="eastAsia" w:ascii="宋体" w:hAnsi="宋体" w:cs="仿宋"/>
                <w:color w:val="auto"/>
                <w:sz w:val="24"/>
                <w:szCs w:val="24"/>
                <w:highlight w:val="none"/>
              </w:rPr>
              <w:t>20—45</w:t>
            </w:r>
            <w:r>
              <w:rPr>
                <w:rFonts w:hint="eastAsia" w:ascii="宋体" w:hAnsi="宋体" w:cs="仿宋"/>
                <w:bCs/>
                <w:color w:val="auto"/>
                <w:kern w:val="0"/>
                <w:sz w:val="24"/>
                <w:szCs w:val="24"/>
                <w:highlight w:val="none"/>
              </w:rPr>
              <w:t>岁</w:t>
            </w:r>
            <w:r>
              <w:rPr>
                <w:rFonts w:hint="eastAsia" w:ascii="宋体" w:hAnsi="宋体" w:cs="仿宋"/>
                <w:color w:val="auto"/>
                <w:kern w:val="0"/>
                <w:sz w:val="24"/>
                <w:szCs w:val="24"/>
                <w:highlight w:val="none"/>
              </w:rPr>
              <w:t>之间，高中以上学历，80%以上的队员为退伍军人</w:t>
            </w:r>
            <w:r>
              <w:rPr>
                <w:rFonts w:hint="eastAsia" w:ascii="宋体" w:hAnsi="宋体" w:cs="仿宋"/>
                <w:color w:val="auto"/>
                <w:sz w:val="24"/>
                <w:szCs w:val="24"/>
                <w:highlight w:val="none"/>
              </w:rPr>
              <w:t>或警校毕业生（有退役军人证或警校毕业证</w:t>
            </w:r>
            <w:r>
              <w:rPr>
                <w:rFonts w:hint="eastAsia" w:ascii="宋体" w:hAnsi="宋体" w:cs="仿宋"/>
                <w:color w:val="auto"/>
                <w:sz w:val="24"/>
                <w:szCs w:val="24"/>
                <w:highlight w:val="none"/>
                <w:lang w:eastAsia="zh-CN"/>
              </w:rPr>
              <w:t>）</w:t>
            </w:r>
            <w:r>
              <w:rPr>
                <w:rFonts w:hint="eastAsia" w:ascii="宋体" w:hAnsi="宋体" w:cs="仿宋"/>
                <w:color w:val="auto"/>
                <w:sz w:val="24"/>
                <w:szCs w:val="24"/>
                <w:highlight w:val="none"/>
                <w:lang w:eastAsia="zh-CN"/>
              </w:rPr>
              <w:t>，</w:t>
            </w:r>
            <w:r>
              <w:rPr>
                <w:rFonts w:hint="eastAsia" w:ascii="宋体" w:hAnsi="宋体" w:cs="仿宋"/>
                <w:color w:val="auto"/>
                <w:sz w:val="24"/>
                <w:szCs w:val="24"/>
                <w:highlight w:val="none"/>
                <w:lang w:val="en-US" w:eastAsia="zh-CN"/>
              </w:rPr>
              <w:t>供应商</w:t>
            </w:r>
            <w:r>
              <w:rPr>
                <w:rFonts w:hint="eastAsia" w:ascii="宋体" w:hAnsi="宋体" w:cs="仿宋"/>
                <w:color w:val="auto"/>
                <w:sz w:val="24"/>
                <w:szCs w:val="24"/>
                <w:highlight w:val="none"/>
                <w:lang w:eastAsia="zh-CN"/>
              </w:rPr>
              <w:t>优先</w:t>
            </w:r>
            <w:r>
              <w:rPr>
                <w:rFonts w:hint="eastAsia" w:ascii="宋体" w:hAnsi="宋体" w:cs="仿宋"/>
                <w:color w:val="auto"/>
                <w:sz w:val="24"/>
                <w:szCs w:val="24"/>
                <w:highlight w:val="none"/>
                <w:lang w:val="en-US" w:eastAsia="zh-CN"/>
              </w:rPr>
              <w:t>选派</w:t>
            </w:r>
            <w:r>
              <w:rPr>
                <w:rFonts w:hint="eastAsia" w:ascii="宋体" w:hAnsi="宋体" w:cs="仿宋"/>
                <w:color w:val="auto"/>
                <w:sz w:val="24"/>
                <w:szCs w:val="24"/>
                <w:highlight w:val="none"/>
                <w:lang w:eastAsia="zh-CN"/>
              </w:rPr>
              <w:t>持有公安机关核发的《保安员证》</w:t>
            </w:r>
            <w:r>
              <w:rPr>
                <w:rFonts w:hint="eastAsia" w:ascii="宋体" w:hAnsi="宋体" w:cs="仿宋"/>
                <w:color w:val="auto"/>
                <w:sz w:val="24"/>
                <w:szCs w:val="24"/>
                <w:highlight w:val="none"/>
                <w:lang w:val="en-US" w:eastAsia="zh-CN"/>
              </w:rPr>
              <w:t>的人员</w:t>
            </w:r>
            <w:r>
              <w:rPr>
                <w:rFonts w:hint="eastAsia" w:ascii="宋体" w:hAnsi="宋体" w:cs="仿宋"/>
                <w:color w:val="auto"/>
                <w:sz w:val="24"/>
                <w:szCs w:val="24"/>
                <w:highlight w:val="none"/>
                <w:lang w:eastAsia="zh-CN"/>
              </w:rPr>
              <w:t>，</w:t>
            </w:r>
            <w:r>
              <w:rPr>
                <w:rFonts w:hint="eastAsia" w:ascii="宋体" w:hAnsi="宋体" w:cs="仿宋"/>
                <w:color w:val="auto"/>
                <w:sz w:val="24"/>
                <w:szCs w:val="24"/>
                <w:highlight w:val="none"/>
                <w:lang w:val="en-US" w:eastAsia="zh-CN"/>
              </w:rPr>
              <w:t>学校对教官进行面试审核同意才能入驻</w:t>
            </w:r>
            <w:r>
              <w:rPr>
                <w:rFonts w:hint="eastAsia" w:ascii="宋体" w:hAnsi="宋体" w:cs="仿宋"/>
                <w:color w:val="auto"/>
                <w:kern w:val="0"/>
                <w:sz w:val="24"/>
                <w:szCs w:val="24"/>
                <w:highlight w:val="none"/>
                <w:lang w:eastAsia="zh-CN"/>
              </w:rPr>
              <w:t>；</w:t>
            </w:r>
          </w:p>
          <w:p w14:paraId="7690ED7A">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color w:val="auto"/>
                <w:kern w:val="0"/>
                <w:sz w:val="24"/>
                <w:szCs w:val="24"/>
                <w:highlight w:val="none"/>
              </w:rPr>
            </w:pPr>
            <w:r>
              <w:rPr>
                <w:rFonts w:hint="eastAsia" w:ascii="宋体" w:hAnsi="宋体" w:cs="仿宋"/>
                <w:color w:val="auto"/>
                <w:kern w:val="0"/>
                <w:sz w:val="24"/>
                <w:szCs w:val="24"/>
                <w:highlight w:val="none"/>
              </w:rPr>
              <w:t>（4）所聘用的</w:t>
            </w:r>
            <w:r>
              <w:rPr>
                <w:rFonts w:hint="eastAsia" w:ascii="宋体" w:hAnsi="宋体" w:cs="仿宋"/>
                <w:color w:val="auto"/>
                <w:kern w:val="0"/>
                <w:sz w:val="24"/>
                <w:szCs w:val="24"/>
                <w:highlight w:val="none"/>
                <w:lang w:eastAsia="zh-CN"/>
              </w:rPr>
              <w:t>服务</w:t>
            </w:r>
            <w:r>
              <w:rPr>
                <w:rFonts w:hint="eastAsia" w:ascii="宋体" w:hAnsi="宋体" w:cs="仿宋"/>
                <w:color w:val="auto"/>
                <w:kern w:val="0"/>
                <w:sz w:val="24"/>
                <w:szCs w:val="24"/>
                <w:highlight w:val="none"/>
              </w:rPr>
              <w:t>人员有吃苦耐劳的精神和高度的责任感，受过专门的岗前培训，熟知学校的管理规定，严格履行岗位职责，善于发现各类问题，具备一定的管理经验和处理突发事件能力。</w:t>
            </w:r>
          </w:p>
          <w:p w14:paraId="178864D9">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eastAsia="宋体" w:cs="宋体"/>
                <w:color w:val="auto"/>
                <w:kern w:val="0"/>
                <w:sz w:val="24"/>
                <w:szCs w:val="24"/>
                <w:highlight w:val="none"/>
                <w:lang w:eastAsia="zh-CN"/>
              </w:rPr>
            </w:pPr>
            <w:r>
              <w:rPr>
                <w:rFonts w:hint="eastAsia" w:ascii="宋体" w:hAnsi="宋体" w:cs="仿宋"/>
                <w:color w:val="auto"/>
                <w:kern w:val="0"/>
                <w:sz w:val="24"/>
                <w:szCs w:val="24"/>
                <w:highlight w:val="none"/>
                <w:lang w:eastAsia="zh-CN"/>
              </w:rPr>
              <w:t>（</w:t>
            </w:r>
            <w:r>
              <w:rPr>
                <w:rFonts w:hint="eastAsia" w:ascii="宋体" w:hAnsi="宋体" w:cs="仿宋"/>
                <w:color w:val="auto"/>
                <w:kern w:val="0"/>
                <w:sz w:val="24"/>
                <w:szCs w:val="24"/>
                <w:highlight w:val="none"/>
                <w:lang w:val="en-US" w:eastAsia="zh-CN"/>
              </w:rPr>
              <w:t>5</w:t>
            </w:r>
            <w:r>
              <w:rPr>
                <w:rFonts w:hint="eastAsia" w:ascii="宋体" w:hAnsi="宋体" w:cs="仿宋"/>
                <w:color w:val="auto"/>
                <w:kern w:val="0"/>
                <w:sz w:val="24"/>
                <w:szCs w:val="24"/>
                <w:highlight w:val="none"/>
                <w:lang w:eastAsia="zh-CN"/>
              </w:rPr>
              <w:t>）消防控制值班室值班人员需符合以下执业资格要</w:t>
            </w:r>
            <w:r>
              <w:rPr>
                <w:rFonts w:hint="eastAsia" w:ascii="宋体" w:hAnsi="宋体" w:eastAsia="宋体" w:cs="宋体"/>
                <w:color w:val="auto"/>
                <w:kern w:val="0"/>
                <w:sz w:val="24"/>
                <w:szCs w:val="24"/>
                <w:highlight w:val="none"/>
                <w:lang w:eastAsia="zh-CN"/>
              </w:rPr>
              <w:t>求：</w:t>
            </w:r>
          </w:p>
          <w:p w14:paraId="37C08405">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①持证上岗：必须取得消防行业特有工种职业资格证书，具体为《消防设施操作员》国家职业资格证书（中级及以上）。证书需在有效期内，并通过定期复核。</w:t>
            </w:r>
          </w:p>
          <w:p w14:paraId="1CFB4327">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②技能等级：根据《消防设施操作员国家职业技能标准》，消防控制室值班人员应具备中级（四级）及以上操作技能水平，掌握火灾报警控制器的操作、火灾应急处置、消防设施联动控制等专业技能。</w:t>
            </w:r>
          </w:p>
          <w:p w14:paraId="5DA4BF2A">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③身体条件：无妨碍从事消防控制室值班工作的疾病和生理缺陷（如色盲、听力障碍等），能够适应24小时轮班工作。</w:t>
            </w:r>
          </w:p>
          <w:p w14:paraId="471EFB5D">
            <w:pPr>
              <w:keepNext w:val="0"/>
              <w:keepLines w:val="0"/>
              <w:pageBreakBefore w:val="0"/>
              <w:widowControl/>
              <w:kinsoku/>
              <w:wordWrap/>
              <w:overflowPunct/>
              <w:topLinePunct w:val="0"/>
              <w:autoSpaceDE/>
              <w:autoSpaceDN/>
              <w:bidi w:val="0"/>
              <w:adjustRightInd/>
              <w:spacing w:line="380" w:lineRule="exact"/>
              <w:ind w:firstLine="482" w:firstLineChars="200"/>
              <w:textAlignment w:val="auto"/>
              <w:rPr>
                <w:rFonts w:hint="eastAsia" w:ascii="宋体" w:hAnsi="宋体" w:cs="仿宋"/>
                <w:b/>
                <w:color w:val="auto"/>
                <w:sz w:val="24"/>
                <w:szCs w:val="24"/>
                <w:highlight w:val="none"/>
              </w:rPr>
            </w:pPr>
            <w:r>
              <w:rPr>
                <w:rFonts w:hint="eastAsia" w:ascii="宋体" w:hAnsi="宋体" w:cs="仿宋"/>
                <w:b/>
                <w:color w:val="auto"/>
                <w:kern w:val="0"/>
                <w:sz w:val="24"/>
                <w:szCs w:val="24"/>
                <w:highlight w:val="none"/>
              </w:rPr>
              <w:t>3.质量目标要求</w:t>
            </w:r>
          </w:p>
          <w:p w14:paraId="63A28D90">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color w:val="auto"/>
                <w:sz w:val="24"/>
                <w:szCs w:val="24"/>
                <w:highlight w:val="none"/>
              </w:rPr>
            </w:pPr>
            <w:r>
              <w:rPr>
                <w:rFonts w:hint="eastAsia" w:ascii="宋体" w:hAnsi="宋体" w:cs="仿宋"/>
                <w:color w:val="auto"/>
                <w:kern w:val="0"/>
                <w:sz w:val="24"/>
                <w:szCs w:val="24"/>
                <w:highlight w:val="none"/>
              </w:rPr>
              <w:t>（1）</w:t>
            </w:r>
            <w:r>
              <w:rPr>
                <w:rFonts w:hint="eastAsia" w:ascii="宋体" w:hAnsi="宋体" w:cs="仿宋"/>
                <w:color w:val="auto"/>
                <w:kern w:val="0"/>
                <w:sz w:val="24"/>
                <w:szCs w:val="24"/>
                <w:highlight w:val="none"/>
                <w:lang w:eastAsia="zh-CN"/>
              </w:rPr>
              <w:t>依据</w:t>
            </w:r>
            <w:r>
              <w:rPr>
                <w:rFonts w:hint="eastAsia" w:ascii="宋体" w:hAnsi="宋体" w:cs="仿宋"/>
                <w:color w:val="auto"/>
                <w:kern w:val="0"/>
                <w:sz w:val="24"/>
                <w:szCs w:val="24"/>
                <w:highlight w:val="none"/>
              </w:rPr>
              <w:t>行业标准</w:t>
            </w:r>
            <w:r>
              <w:rPr>
                <w:rFonts w:hint="eastAsia" w:ascii="宋体" w:hAnsi="宋体" w:cs="仿宋"/>
                <w:color w:val="auto"/>
                <w:kern w:val="0"/>
                <w:sz w:val="24"/>
                <w:szCs w:val="24"/>
                <w:highlight w:val="none"/>
                <w:lang w:eastAsia="zh-CN"/>
              </w:rPr>
              <w:t>、</w:t>
            </w:r>
            <w:r>
              <w:rPr>
                <w:rFonts w:hint="eastAsia" w:ascii="宋体" w:hAnsi="宋体" w:cs="仿宋"/>
                <w:color w:val="auto"/>
                <w:kern w:val="0"/>
                <w:sz w:val="24"/>
                <w:szCs w:val="24"/>
                <w:highlight w:val="none"/>
              </w:rPr>
              <w:t>学校管理规定与服务要求，制定切实可行的校园安保服务方案和应急预案，以及学生宿舍管理方案，突发事件反应迅速，预案处置有力；</w:t>
            </w:r>
          </w:p>
          <w:p w14:paraId="1D5D9E08">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color w:val="auto"/>
                <w:sz w:val="24"/>
                <w:szCs w:val="24"/>
                <w:highlight w:val="none"/>
              </w:rPr>
            </w:pPr>
            <w:r>
              <w:rPr>
                <w:rFonts w:hint="eastAsia" w:ascii="宋体" w:hAnsi="宋体" w:cs="仿宋"/>
                <w:color w:val="auto"/>
                <w:kern w:val="0"/>
                <w:sz w:val="24"/>
                <w:szCs w:val="24"/>
                <w:highlight w:val="none"/>
              </w:rPr>
              <w:t>（2）依法办事，文明值勤，严格管理，保障学校财产和师生人身不受侵害，维护正常的教学、科研、生活秩序；</w:t>
            </w:r>
          </w:p>
          <w:p w14:paraId="080720FC">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color w:val="auto"/>
                <w:sz w:val="24"/>
                <w:szCs w:val="24"/>
                <w:highlight w:val="none"/>
              </w:rPr>
            </w:pPr>
            <w:r>
              <w:rPr>
                <w:rFonts w:hint="eastAsia" w:ascii="宋体" w:hAnsi="宋体" w:cs="仿宋"/>
                <w:color w:val="auto"/>
                <w:kern w:val="0"/>
                <w:sz w:val="24"/>
                <w:szCs w:val="24"/>
                <w:highlight w:val="none"/>
              </w:rPr>
              <w:t>（3）全年无责任事故和责任案件发生，让师生有安全感。</w:t>
            </w:r>
          </w:p>
          <w:p w14:paraId="6BE8450C">
            <w:pPr>
              <w:keepNext w:val="0"/>
              <w:keepLines w:val="0"/>
              <w:pageBreakBefore w:val="0"/>
              <w:widowControl/>
              <w:kinsoku/>
              <w:wordWrap/>
              <w:overflowPunct/>
              <w:topLinePunct w:val="0"/>
              <w:autoSpaceDE/>
              <w:autoSpaceDN/>
              <w:bidi w:val="0"/>
              <w:adjustRightInd/>
              <w:spacing w:line="380" w:lineRule="exact"/>
              <w:ind w:firstLine="482" w:firstLineChars="200"/>
              <w:textAlignment w:val="auto"/>
              <w:rPr>
                <w:rFonts w:hint="eastAsia" w:ascii="宋体" w:hAnsi="宋体" w:cs="仿宋"/>
                <w:b/>
                <w:color w:val="auto"/>
                <w:sz w:val="24"/>
                <w:szCs w:val="24"/>
                <w:highlight w:val="none"/>
              </w:rPr>
            </w:pPr>
            <w:r>
              <w:rPr>
                <w:rFonts w:hint="eastAsia" w:ascii="宋体" w:hAnsi="宋体" w:cs="仿宋"/>
                <w:b/>
                <w:color w:val="auto"/>
                <w:kern w:val="0"/>
                <w:sz w:val="24"/>
                <w:szCs w:val="24"/>
                <w:highlight w:val="none"/>
              </w:rPr>
              <w:t>4.服务要求</w:t>
            </w:r>
          </w:p>
          <w:p w14:paraId="17F57A5B">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color w:val="auto"/>
                <w:sz w:val="24"/>
                <w:szCs w:val="24"/>
                <w:highlight w:val="none"/>
              </w:rPr>
            </w:pPr>
            <w:r>
              <w:rPr>
                <w:rFonts w:hint="eastAsia" w:ascii="宋体" w:hAnsi="宋体" w:cs="仿宋"/>
                <w:color w:val="auto"/>
                <w:kern w:val="0"/>
                <w:sz w:val="24"/>
                <w:szCs w:val="24"/>
                <w:highlight w:val="none"/>
              </w:rPr>
              <w:t>（1）树立“服务第一，师生至上”的思想，切实维护学校与师生的人身和财产安全；</w:t>
            </w:r>
          </w:p>
          <w:p w14:paraId="1CC824E2">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color w:val="auto"/>
                <w:sz w:val="24"/>
                <w:szCs w:val="24"/>
                <w:highlight w:val="none"/>
              </w:rPr>
            </w:pPr>
            <w:r>
              <w:rPr>
                <w:rFonts w:hint="eastAsia" w:ascii="宋体" w:hAnsi="宋体" w:cs="仿宋"/>
                <w:color w:val="auto"/>
                <w:kern w:val="0"/>
                <w:sz w:val="24"/>
                <w:szCs w:val="24"/>
                <w:highlight w:val="none"/>
              </w:rPr>
              <w:t>（2）管理坚持原则、缜密严谨；服务以人为本、主动热情；处理问题高度警惕、有</w:t>
            </w:r>
            <w:r>
              <w:rPr>
                <w:rFonts w:hint="eastAsia" w:ascii="宋体" w:hAnsi="宋体" w:cs="仿宋"/>
                <w:color w:val="auto"/>
                <w:kern w:val="0"/>
                <w:sz w:val="24"/>
                <w:szCs w:val="24"/>
                <w:highlight w:val="none"/>
                <w:lang w:eastAsia="zh-CN"/>
              </w:rPr>
              <w:t>礼</w:t>
            </w:r>
            <w:r>
              <w:rPr>
                <w:rFonts w:hint="eastAsia" w:ascii="宋体" w:hAnsi="宋体" w:cs="仿宋"/>
                <w:color w:val="auto"/>
                <w:kern w:val="0"/>
                <w:sz w:val="24"/>
                <w:szCs w:val="24"/>
                <w:highlight w:val="none"/>
              </w:rPr>
              <w:t>有节；</w:t>
            </w:r>
          </w:p>
          <w:p w14:paraId="64524E13">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color w:val="auto"/>
                <w:sz w:val="24"/>
                <w:szCs w:val="24"/>
                <w:highlight w:val="none"/>
              </w:rPr>
            </w:pPr>
            <w:r>
              <w:rPr>
                <w:rFonts w:hint="eastAsia" w:ascii="宋体" w:hAnsi="宋体" w:cs="仿宋"/>
                <w:color w:val="auto"/>
                <w:kern w:val="0"/>
                <w:sz w:val="24"/>
                <w:szCs w:val="24"/>
                <w:highlight w:val="none"/>
              </w:rPr>
              <w:t>（3）上岗人员着装统一，仪表整洁，业务操作规范，礼貌待人，保持岗位卫生整洁；</w:t>
            </w:r>
          </w:p>
          <w:p w14:paraId="2C2BB240">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color w:val="auto"/>
                <w:sz w:val="24"/>
                <w:szCs w:val="24"/>
                <w:highlight w:val="none"/>
              </w:rPr>
            </w:pPr>
            <w:r>
              <w:rPr>
                <w:rFonts w:hint="eastAsia" w:ascii="宋体" w:hAnsi="宋体" w:cs="仿宋"/>
                <w:color w:val="auto"/>
                <w:kern w:val="0"/>
                <w:sz w:val="24"/>
                <w:szCs w:val="24"/>
                <w:highlight w:val="none"/>
              </w:rPr>
              <w:t>（4）依法办事，文明执勤，不与师生发生争吵，杜绝管理服务人员与师生发生冲突，禁止管理服务人员出手伤及师生人身安全。</w:t>
            </w:r>
          </w:p>
          <w:p w14:paraId="0C5F47DB">
            <w:pPr>
              <w:keepNext w:val="0"/>
              <w:keepLines w:val="0"/>
              <w:pageBreakBefore w:val="0"/>
              <w:widowControl/>
              <w:kinsoku/>
              <w:wordWrap/>
              <w:overflowPunct/>
              <w:topLinePunct w:val="0"/>
              <w:autoSpaceDE/>
              <w:autoSpaceDN/>
              <w:bidi w:val="0"/>
              <w:adjustRightInd/>
              <w:spacing w:line="380" w:lineRule="exact"/>
              <w:ind w:firstLine="482" w:firstLineChars="200"/>
              <w:textAlignment w:val="auto"/>
              <w:rPr>
                <w:rFonts w:hint="eastAsia" w:ascii="宋体" w:hAnsi="宋体" w:cs="仿宋"/>
                <w:b/>
                <w:color w:val="auto"/>
                <w:kern w:val="0"/>
                <w:sz w:val="24"/>
                <w:szCs w:val="24"/>
                <w:highlight w:val="none"/>
              </w:rPr>
            </w:pPr>
            <w:r>
              <w:rPr>
                <w:rFonts w:hint="eastAsia" w:ascii="宋体" w:hAnsi="宋体" w:cs="仿宋"/>
                <w:b/>
                <w:color w:val="auto"/>
                <w:kern w:val="0"/>
                <w:sz w:val="24"/>
                <w:szCs w:val="24"/>
                <w:highlight w:val="none"/>
              </w:rPr>
              <w:t>5.服务人员</w:t>
            </w:r>
            <w:r>
              <w:rPr>
                <w:rFonts w:hint="eastAsia" w:ascii="宋体" w:hAnsi="宋体" w:cs="仿宋"/>
                <w:b/>
                <w:color w:val="auto"/>
                <w:kern w:val="0"/>
                <w:sz w:val="24"/>
                <w:szCs w:val="24"/>
                <w:highlight w:val="none"/>
                <w:lang w:eastAsia="zh-CN"/>
              </w:rPr>
              <w:t>团队</w:t>
            </w:r>
            <w:r>
              <w:rPr>
                <w:rFonts w:hint="eastAsia" w:ascii="宋体" w:hAnsi="宋体" w:cs="仿宋"/>
                <w:b/>
                <w:color w:val="auto"/>
                <w:kern w:val="0"/>
                <w:sz w:val="24"/>
                <w:szCs w:val="24"/>
                <w:highlight w:val="none"/>
              </w:rPr>
              <w:t>建设与管理要求</w:t>
            </w:r>
          </w:p>
          <w:p w14:paraId="5094E5D6">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color w:val="auto"/>
                <w:sz w:val="24"/>
                <w:szCs w:val="24"/>
                <w:highlight w:val="none"/>
              </w:rPr>
            </w:pPr>
            <w:r>
              <w:rPr>
                <w:rFonts w:hint="eastAsia" w:ascii="宋体" w:hAnsi="宋体" w:cs="仿宋"/>
                <w:color w:val="auto"/>
                <w:kern w:val="0"/>
                <w:sz w:val="24"/>
                <w:szCs w:val="24"/>
                <w:highlight w:val="none"/>
              </w:rPr>
              <w:t>（1）根据行业服务标准与</w:t>
            </w:r>
            <w:r>
              <w:rPr>
                <w:rFonts w:hint="eastAsia" w:ascii="宋体" w:hAnsi="宋体" w:cs="仿宋"/>
                <w:color w:val="auto"/>
                <w:kern w:val="0"/>
                <w:sz w:val="24"/>
                <w:szCs w:val="24"/>
                <w:highlight w:val="none"/>
                <w:lang w:val="en-US" w:eastAsia="zh-CN"/>
              </w:rPr>
              <w:t>采购人</w:t>
            </w:r>
            <w:r>
              <w:rPr>
                <w:rFonts w:hint="eastAsia" w:ascii="宋体" w:hAnsi="宋体" w:cs="仿宋"/>
                <w:color w:val="auto"/>
                <w:kern w:val="0"/>
                <w:sz w:val="24"/>
                <w:szCs w:val="24"/>
                <w:highlight w:val="none"/>
              </w:rPr>
              <w:t>规定要求，在</w:t>
            </w:r>
            <w:r>
              <w:rPr>
                <w:rFonts w:hint="eastAsia" w:ascii="宋体" w:hAnsi="宋体" w:cs="仿宋"/>
                <w:color w:val="auto"/>
                <w:kern w:val="0"/>
                <w:sz w:val="24"/>
                <w:szCs w:val="24"/>
                <w:highlight w:val="none"/>
                <w:lang w:val="en-US" w:eastAsia="zh-CN"/>
              </w:rPr>
              <w:t>采购人</w:t>
            </w:r>
            <w:r>
              <w:rPr>
                <w:rFonts w:hint="eastAsia" w:ascii="宋体" w:hAnsi="宋体" w:cs="仿宋"/>
                <w:color w:val="auto"/>
                <w:kern w:val="0"/>
                <w:sz w:val="24"/>
                <w:szCs w:val="24"/>
                <w:highlight w:val="none"/>
              </w:rPr>
              <w:t>学生科指导下，独立运作，落实校园安全保卫和学生工作整体方案，并结合校园变化在实践中不断完善；</w:t>
            </w:r>
          </w:p>
          <w:p w14:paraId="7ED937D4">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color w:val="auto"/>
                <w:kern w:val="0"/>
                <w:sz w:val="24"/>
                <w:szCs w:val="24"/>
                <w:highlight w:val="none"/>
              </w:rPr>
            </w:pPr>
            <w:r>
              <w:rPr>
                <w:rFonts w:hint="eastAsia" w:ascii="宋体" w:hAnsi="宋体" w:cs="仿宋"/>
                <w:color w:val="auto"/>
                <w:kern w:val="0"/>
                <w:sz w:val="24"/>
                <w:szCs w:val="24"/>
                <w:highlight w:val="none"/>
              </w:rPr>
              <w:t>（2）供应商负责提供进驻管理服务人员值勤所需的服装、标志牌等，负责安排其人员的食宿；</w:t>
            </w:r>
          </w:p>
          <w:p w14:paraId="532E1BC1">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eastAsia="宋体" w:cs="仿宋"/>
                <w:color w:val="auto"/>
                <w:sz w:val="24"/>
                <w:szCs w:val="24"/>
                <w:highlight w:val="none"/>
                <w:lang w:eastAsia="zh-CN"/>
              </w:rPr>
            </w:pPr>
            <w:r>
              <w:rPr>
                <w:rFonts w:hint="eastAsia" w:ascii="宋体" w:hAnsi="宋体" w:cs="仿宋"/>
                <w:color w:val="auto"/>
                <w:kern w:val="0"/>
                <w:sz w:val="24"/>
                <w:szCs w:val="24"/>
                <w:highlight w:val="none"/>
              </w:rPr>
              <w:t>（3）供应商在组织、安排人员工作时，应符合国家相关法规，维护工作人员的正当权益；工作人员在履行工作职责时，本人致伤、致残、致亡的，或者导致公司财产、人身损害的，</w:t>
            </w:r>
            <w:r>
              <w:rPr>
                <w:rFonts w:hint="eastAsia" w:ascii="宋体" w:hAnsi="宋体" w:cs="仿宋"/>
                <w:color w:val="auto"/>
                <w:kern w:val="0"/>
                <w:sz w:val="24"/>
                <w:szCs w:val="24"/>
                <w:highlight w:val="none"/>
                <w:lang w:val="en-US" w:eastAsia="zh-CN"/>
              </w:rPr>
              <w:t>采购人</w:t>
            </w:r>
            <w:r>
              <w:rPr>
                <w:rFonts w:hint="eastAsia" w:ascii="宋体" w:hAnsi="宋体" w:cs="仿宋"/>
                <w:color w:val="auto"/>
                <w:kern w:val="0"/>
                <w:sz w:val="24"/>
                <w:szCs w:val="24"/>
                <w:highlight w:val="none"/>
              </w:rPr>
              <w:t>不承担任何责任，由供应商承担相应责任，并负责妥善处理善后工作；因供应商原因造成的劳资纠纷，由供应商承担全部责任</w:t>
            </w:r>
            <w:r>
              <w:rPr>
                <w:rFonts w:hint="eastAsia" w:ascii="宋体" w:hAnsi="宋体" w:cs="仿宋"/>
                <w:color w:val="auto"/>
                <w:kern w:val="0"/>
                <w:sz w:val="24"/>
                <w:szCs w:val="24"/>
                <w:highlight w:val="none"/>
                <w:lang w:val="en-US" w:eastAsia="zh-CN"/>
              </w:rPr>
              <w:t>；</w:t>
            </w:r>
          </w:p>
          <w:p w14:paraId="66269C22">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color w:val="auto"/>
                <w:sz w:val="24"/>
                <w:szCs w:val="24"/>
                <w:highlight w:val="none"/>
              </w:rPr>
            </w:pPr>
            <w:r>
              <w:rPr>
                <w:rFonts w:hint="eastAsia" w:ascii="宋体" w:hAnsi="宋体" w:cs="仿宋"/>
                <w:color w:val="auto"/>
                <w:kern w:val="0"/>
                <w:sz w:val="24"/>
                <w:szCs w:val="24"/>
                <w:highlight w:val="none"/>
              </w:rPr>
              <w:t>（4）从学校安全实际出发，经常性开展在岗人员业务培训和紧急预案演练；</w:t>
            </w:r>
          </w:p>
          <w:p w14:paraId="7064B21B">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color w:val="auto"/>
                <w:kern w:val="0"/>
                <w:sz w:val="24"/>
                <w:szCs w:val="24"/>
                <w:highlight w:val="none"/>
              </w:rPr>
            </w:pPr>
            <w:r>
              <w:rPr>
                <w:rFonts w:hint="eastAsia" w:ascii="宋体" w:hAnsi="宋体" w:cs="仿宋"/>
                <w:color w:val="auto"/>
                <w:kern w:val="0"/>
                <w:sz w:val="24"/>
                <w:szCs w:val="24"/>
                <w:highlight w:val="none"/>
              </w:rPr>
              <w:t>（5）内部管理机制健全，队伍日常管理规范；</w:t>
            </w:r>
          </w:p>
          <w:p w14:paraId="555488D7">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color w:val="auto"/>
                <w:kern w:val="0"/>
                <w:sz w:val="24"/>
                <w:szCs w:val="24"/>
                <w:highlight w:val="none"/>
              </w:rPr>
            </w:pPr>
            <w:r>
              <w:rPr>
                <w:rFonts w:hint="eastAsia"/>
                <w:b w:val="0"/>
                <w:bCs w:val="0"/>
                <w:color w:val="auto"/>
                <w:sz w:val="24"/>
                <w:highlight w:val="none"/>
              </w:rPr>
              <w:t>▲</w:t>
            </w:r>
            <w:r>
              <w:rPr>
                <w:rFonts w:hint="eastAsia" w:ascii="宋体" w:hAnsi="宋体" w:cs="仿宋"/>
                <w:color w:val="auto"/>
                <w:kern w:val="0"/>
                <w:sz w:val="24"/>
                <w:szCs w:val="24"/>
                <w:highlight w:val="none"/>
              </w:rPr>
              <w:t>（6）</w:t>
            </w:r>
            <w:r>
              <w:rPr>
                <w:rFonts w:hint="eastAsia" w:ascii="宋体" w:hAnsi="宋体" w:cs="仿宋"/>
                <w:color w:val="auto"/>
                <w:kern w:val="0"/>
                <w:sz w:val="24"/>
                <w:szCs w:val="24"/>
                <w:highlight w:val="none"/>
                <w:lang w:eastAsia="zh-CN"/>
              </w:rPr>
              <w:t>供应商进场服务前，必须提供服务人员的相关证书原件供采购人核验，确保实际投入的服务人员与响应文件中承诺的人员一致。供应商</w:t>
            </w:r>
            <w:r>
              <w:rPr>
                <w:rFonts w:hint="eastAsia" w:ascii="宋体" w:hAnsi="宋体" w:cs="仿宋"/>
                <w:color w:val="auto"/>
                <w:kern w:val="0"/>
                <w:sz w:val="24"/>
                <w:szCs w:val="24"/>
                <w:highlight w:val="none"/>
              </w:rPr>
              <w:t>必须采取切实有效措施保持队伍稳定，严格控制人员轮换岗比例，合同期限内轮换岗人数不得超过合同</w:t>
            </w:r>
            <w:r>
              <w:rPr>
                <w:rFonts w:hint="eastAsia" w:ascii="宋体" w:hAnsi="宋体" w:cs="仿宋"/>
                <w:color w:val="auto"/>
                <w:kern w:val="0"/>
                <w:sz w:val="24"/>
                <w:szCs w:val="24"/>
                <w:highlight w:val="none"/>
                <w:lang w:eastAsia="zh-CN"/>
              </w:rPr>
              <w:t>确定</w:t>
            </w:r>
            <w:r>
              <w:rPr>
                <w:rFonts w:hint="eastAsia" w:ascii="宋体" w:hAnsi="宋体" w:cs="仿宋"/>
                <w:color w:val="auto"/>
                <w:kern w:val="0"/>
                <w:sz w:val="24"/>
                <w:szCs w:val="24"/>
                <w:highlight w:val="none"/>
              </w:rPr>
              <w:t>的20%；主要管理人员更换，应提前一个月以书面形式通知</w:t>
            </w:r>
            <w:r>
              <w:rPr>
                <w:rFonts w:hint="eastAsia" w:ascii="宋体" w:hAnsi="宋体" w:cs="仿宋"/>
                <w:color w:val="auto"/>
                <w:kern w:val="0"/>
                <w:sz w:val="24"/>
                <w:szCs w:val="24"/>
                <w:highlight w:val="none"/>
                <w:lang w:val="en-US" w:eastAsia="zh-CN"/>
              </w:rPr>
              <w:t>采购人</w:t>
            </w:r>
            <w:r>
              <w:rPr>
                <w:rFonts w:hint="eastAsia" w:ascii="宋体" w:hAnsi="宋体" w:cs="仿宋"/>
                <w:color w:val="auto"/>
                <w:kern w:val="0"/>
                <w:sz w:val="24"/>
                <w:szCs w:val="24"/>
                <w:highlight w:val="none"/>
              </w:rPr>
              <w:t>学生科并</w:t>
            </w:r>
            <w:r>
              <w:rPr>
                <w:rFonts w:hint="eastAsia" w:ascii="宋体" w:hAnsi="宋体" w:cs="仿宋"/>
                <w:color w:val="auto"/>
                <w:kern w:val="0"/>
                <w:sz w:val="24"/>
                <w:szCs w:val="24"/>
                <w:highlight w:val="none"/>
                <w:lang w:eastAsia="zh-CN"/>
              </w:rPr>
              <w:t>征</w:t>
            </w:r>
            <w:r>
              <w:rPr>
                <w:rFonts w:hint="eastAsia" w:ascii="宋体" w:hAnsi="宋体" w:cs="仿宋"/>
                <w:color w:val="auto"/>
                <w:kern w:val="0"/>
                <w:sz w:val="24"/>
                <w:szCs w:val="24"/>
                <w:highlight w:val="none"/>
              </w:rPr>
              <w:t>得采购人同意，其他队员更换要提前7天告知</w:t>
            </w:r>
            <w:r>
              <w:rPr>
                <w:rFonts w:hint="eastAsia" w:ascii="宋体" w:hAnsi="宋体" w:cs="仿宋"/>
                <w:color w:val="auto"/>
                <w:kern w:val="0"/>
                <w:sz w:val="24"/>
                <w:szCs w:val="24"/>
                <w:highlight w:val="none"/>
                <w:lang w:val="en-US" w:eastAsia="zh-CN"/>
              </w:rPr>
              <w:t>采购人</w:t>
            </w:r>
            <w:r>
              <w:rPr>
                <w:rFonts w:hint="eastAsia" w:ascii="宋体" w:hAnsi="宋体" w:cs="仿宋"/>
                <w:color w:val="auto"/>
                <w:kern w:val="0"/>
                <w:sz w:val="24"/>
                <w:szCs w:val="24"/>
                <w:highlight w:val="none"/>
              </w:rPr>
              <w:t>学生科并</w:t>
            </w:r>
            <w:r>
              <w:rPr>
                <w:rFonts w:hint="eastAsia" w:ascii="宋体" w:hAnsi="宋体" w:cs="仿宋"/>
                <w:color w:val="auto"/>
                <w:kern w:val="0"/>
                <w:sz w:val="24"/>
                <w:szCs w:val="24"/>
                <w:highlight w:val="none"/>
                <w:lang w:eastAsia="zh-CN"/>
              </w:rPr>
              <w:t>征</w:t>
            </w:r>
            <w:r>
              <w:rPr>
                <w:rFonts w:hint="eastAsia" w:ascii="宋体" w:hAnsi="宋体" w:cs="仿宋"/>
                <w:color w:val="auto"/>
                <w:kern w:val="0"/>
                <w:sz w:val="24"/>
                <w:szCs w:val="24"/>
                <w:highlight w:val="none"/>
              </w:rPr>
              <w:t>得采购人同意，</w:t>
            </w:r>
            <w:r>
              <w:rPr>
                <w:rFonts w:hint="eastAsia" w:ascii="宋体" w:hAnsi="宋体" w:cs="仿宋"/>
                <w:color w:val="auto"/>
                <w:kern w:val="0"/>
                <w:sz w:val="24"/>
                <w:szCs w:val="24"/>
                <w:highlight w:val="none"/>
                <w:lang w:eastAsia="zh-CN"/>
              </w:rPr>
              <w:t>调换的人员素质必须优于或与响应文件中原投入人员素质相同，</w:t>
            </w:r>
            <w:r>
              <w:rPr>
                <w:rFonts w:hint="eastAsia" w:ascii="宋体" w:hAnsi="宋体" w:cs="仿宋"/>
                <w:color w:val="auto"/>
                <w:kern w:val="0"/>
                <w:sz w:val="24"/>
                <w:szCs w:val="24"/>
                <w:highlight w:val="none"/>
              </w:rPr>
              <w:t>确保服务质量不因人员变动而受影响；</w:t>
            </w:r>
          </w:p>
          <w:p w14:paraId="3EA9096C">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color w:val="auto"/>
                <w:sz w:val="24"/>
                <w:szCs w:val="24"/>
                <w:highlight w:val="none"/>
              </w:rPr>
            </w:pPr>
            <w:r>
              <w:rPr>
                <w:rFonts w:hint="eastAsia" w:ascii="宋体" w:hAnsi="宋体" w:cs="仿宋"/>
                <w:color w:val="auto"/>
                <w:kern w:val="0"/>
                <w:sz w:val="24"/>
                <w:szCs w:val="24"/>
                <w:highlight w:val="none"/>
              </w:rPr>
              <w:t>（7）</w:t>
            </w:r>
            <w:r>
              <w:rPr>
                <w:rFonts w:hint="eastAsia" w:ascii="宋体" w:hAnsi="宋体" w:cs="仿宋"/>
                <w:color w:val="auto"/>
                <w:kern w:val="0"/>
                <w:sz w:val="24"/>
                <w:szCs w:val="24"/>
                <w:highlight w:val="none"/>
                <w:lang w:eastAsia="zh-CN"/>
              </w:rPr>
              <w:t>服务</w:t>
            </w:r>
            <w:r>
              <w:rPr>
                <w:rFonts w:hint="eastAsia" w:ascii="宋体" w:hAnsi="宋体" w:cs="仿宋"/>
                <w:color w:val="auto"/>
                <w:kern w:val="0"/>
                <w:sz w:val="24"/>
                <w:szCs w:val="24"/>
                <w:highlight w:val="none"/>
              </w:rPr>
              <w:t>人员应聘、录用、离职等管理档案规范，手续齐全，相应资料必须报</w:t>
            </w:r>
            <w:r>
              <w:rPr>
                <w:rFonts w:hint="eastAsia" w:ascii="宋体" w:hAnsi="宋体" w:cs="仿宋"/>
                <w:color w:val="auto"/>
                <w:kern w:val="0"/>
                <w:sz w:val="24"/>
                <w:szCs w:val="24"/>
                <w:highlight w:val="none"/>
                <w:lang w:val="en-US" w:eastAsia="zh-CN"/>
              </w:rPr>
              <w:t>采购人</w:t>
            </w:r>
            <w:r>
              <w:rPr>
                <w:rFonts w:hint="eastAsia" w:ascii="宋体" w:hAnsi="宋体" w:cs="仿宋"/>
                <w:color w:val="auto"/>
                <w:kern w:val="0"/>
                <w:sz w:val="24"/>
                <w:szCs w:val="24"/>
                <w:highlight w:val="none"/>
              </w:rPr>
              <w:t>学生科备案，禁止离职人员进入校园；</w:t>
            </w:r>
          </w:p>
          <w:p w14:paraId="2D1DD9FE">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color w:val="auto"/>
                <w:kern w:val="0"/>
                <w:sz w:val="24"/>
                <w:szCs w:val="24"/>
                <w:highlight w:val="none"/>
              </w:rPr>
            </w:pPr>
            <w:r>
              <w:rPr>
                <w:rFonts w:hint="eastAsia" w:ascii="宋体" w:hAnsi="宋体" w:cs="仿宋"/>
                <w:color w:val="auto"/>
                <w:kern w:val="0"/>
                <w:sz w:val="24"/>
                <w:szCs w:val="24"/>
                <w:highlight w:val="none"/>
              </w:rPr>
              <w:t>（8）要加强对</w:t>
            </w:r>
            <w:r>
              <w:rPr>
                <w:rFonts w:hint="eastAsia" w:ascii="宋体" w:hAnsi="宋体" w:cs="仿宋"/>
                <w:color w:val="auto"/>
                <w:kern w:val="0"/>
                <w:sz w:val="24"/>
                <w:szCs w:val="24"/>
                <w:highlight w:val="none"/>
                <w:lang w:eastAsia="zh-CN"/>
              </w:rPr>
              <w:t>服务</w:t>
            </w:r>
            <w:r>
              <w:rPr>
                <w:rFonts w:hint="eastAsia" w:ascii="宋体" w:hAnsi="宋体" w:cs="仿宋"/>
                <w:color w:val="auto"/>
                <w:kern w:val="0"/>
                <w:sz w:val="24"/>
                <w:szCs w:val="24"/>
                <w:highlight w:val="none"/>
              </w:rPr>
              <w:t>人员业务的</w:t>
            </w:r>
            <w:r>
              <w:rPr>
                <w:rFonts w:hint="eastAsia" w:ascii="宋体" w:hAnsi="宋体" w:cs="仿宋"/>
                <w:color w:val="auto"/>
                <w:kern w:val="0"/>
                <w:sz w:val="24"/>
                <w:szCs w:val="24"/>
                <w:highlight w:val="none"/>
                <w:lang w:eastAsia="zh-CN"/>
              </w:rPr>
              <w:t>培训及</w:t>
            </w:r>
            <w:r>
              <w:rPr>
                <w:rFonts w:hint="eastAsia" w:ascii="宋体" w:hAnsi="宋体" w:cs="仿宋"/>
                <w:color w:val="auto"/>
                <w:kern w:val="0"/>
                <w:sz w:val="24"/>
                <w:szCs w:val="24"/>
                <w:highlight w:val="none"/>
              </w:rPr>
              <w:t>管理，严格遵守法纪校规，严禁</w:t>
            </w:r>
            <w:r>
              <w:rPr>
                <w:rFonts w:hint="eastAsia" w:ascii="宋体" w:hAnsi="宋体" w:cs="仿宋"/>
                <w:color w:val="auto"/>
                <w:kern w:val="0"/>
                <w:sz w:val="24"/>
                <w:szCs w:val="24"/>
                <w:highlight w:val="none"/>
                <w:lang w:eastAsia="zh-CN"/>
              </w:rPr>
              <w:t>服务</w:t>
            </w:r>
            <w:r>
              <w:rPr>
                <w:rFonts w:hint="eastAsia" w:ascii="宋体" w:hAnsi="宋体" w:cs="仿宋"/>
                <w:color w:val="auto"/>
                <w:kern w:val="0"/>
                <w:sz w:val="24"/>
                <w:szCs w:val="24"/>
                <w:highlight w:val="none"/>
              </w:rPr>
              <w:t>人员与在校学生谈恋爱、男女行为过密、与师生员工发生交易行为等，确保在校园内无违规事件发生；</w:t>
            </w:r>
          </w:p>
          <w:p w14:paraId="31C5C6B4">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color w:val="auto"/>
                <w:sz w:val="24"/>
                <w:szCs w:val="24"/>
                <w:highlight w:val="none"/>
              </w:rPr>
            </w:pPr>
            <w:r>
              <w:rPr>
                <w:rFonts w:hint="eastAsia" w:ascii="宋体" w:hAnsi="宋体" w:cs="仿宋"/>
                <w:color w:val="auto"/>
                <w:kern w:val="0"/>
                <w:sz w:val="24"/>
                <w:szCs w:val="24"/>
                <w:highlight w:val="none"/>
              </w:rPr>
              <w:t>（9）驻校</w:t>
            </w:r>
            <w:r>
              <w:rPr>
                <w:rFonts w:hint="eastAsia" w:ascii="宋体" w:hAnsi="宋体" w:cs="仿宋"/>
                <w:color w:val="auto"/>
                <w:kern w:val="0"/>
                <w:sz w:val="24"/>
                <w:szCs w:val="24"/>
                <w:highlight w:val="none"/>
                <w:lang w:eastAsia="zh-CN"/>
              </w:rPr>
              <w:t>队长</w:t>
            </w:r>
            <w:r>
              <w:rPr>
                <w:rFonts w:hint="eastAsia" w:ascii="宋体" w:hAnsi="宋体" w:cs="仿宋"/>
                <w:color w:val="auto"/>
                <w:kern w:val="0"/>
                <w:sz w:val="24"/>
                <w:szCs w:val="24"/>
                <w:highlight w:val="none"/>
              </w:rPr>
              <w:t>每天必须向</w:t>
            </w:r>
            <w:r>
              <w:rPr>
                <w:rFonts w:hint="eastAsia" w:ascii="宋体" w:hAnsi="宋体" w:cs="仿宋"/>
                <w:color w:val="auto"/>
                <w:kern w:val="0"/>
                <w:sz w:val="24"/>
                <w:szCs w:val="24"/>
                <w:highlight w:val="none"/>
                <w:lang w:val="en-US" w:eastAsia="zh-CN"/>
              </w:rPr>
              <w:t>采购人</w:t>
            </w:r>
            <w:r>
              <w:rPr>
                <w:rFonts w:hint="eastAsia" w:ascii="宋体" w:hAnsi="宋体" w:cs="仿宋"/>
                <w:color w:val="auto"/>
                <w:kern w:val="0"/>
                <w:sz w:val="24"/>
                <w:szCs w:val="24"/>
                <w:highlight w:val="none"/>
              </w:rPr>
              <w:t>学生科相关主管人员口头或书面汇报工作，每星期向</w:t>
            </w:r>
            <w:r>
              <w:rPr>
                <w:rFonts w:hint="eastAsia" w:ascii="宋体" w:hAnsi="宋体" w:cs="仿宋"/>
                <w:color w:val="auto"/>
                <w:kern w:val="0"/>
                <w:sz w:val="24"/>
                <w:szCs w:val="24"/>
                <w:highlight w:val="none"/>
                <w:lang w:val="en-US" w:eastAsia="zh-CN"/>
              </w:rPr>
              <w:t>采购人</w:t>
            </w:r>
            <w:r>
              <w:rPr>
                <w:rFonts w:hint="eastAsia" w:ascii="宋体" w:hAnsi="宋体" w:cs="仿宋"/>
                <w:color w:val="auto"/>
                <w:kern w:val="0"/>
                <w:sz w:val="24"/>
                <w:szCs w:val="24"/>
                <w:highlight w:val="none"/>
              </w:rPr>
              <w:t>学生科书面汇报一次所承担的安保工作和宿舍区管理工作开展情况及信息反馈，重大情况须第一时间报告；</w:t>
            </w:r>
          </w:p>
          <w:p w14:paraId="5E440DCD">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color w:val="auto"/>
                <w:sz w:val="24"/>
                <w:szCs w:val="24"/>
                <w:highlight w:val="none"/>
              </w:rPr>
            </w:pPr>
            <w:r>
              <w:rPr>
                <w:rFonts w:hint="eastAsia" w:ascii="宋体" w:hAnsi="宋体" w:cs="仿宋"/>
                <w:color w:val="auto"/>
                <w:kern w:val="0"/>
                <w:sz w:val="24"/>
                <w:szCs w:val="24"/>
                <w:highlight w:val="none"/>
              </w:rPr>
              <w:t>（10）做好详细的执勤记录，原始台</w:t>
            </w:r>
            <w:r>
              <w:rPr>
                <w:rFonts w:hint="eastAsia" w:ascii="宋体" w:hAnsi="宋体" w:cs="仿宋"/>
                <w:color w:val="auto"/>
                <w:kern w:val="0"/>
                <w:sz w:val="24"/>
                <w:szCs w:val="24"/>
                <w:highlight w:val="none"/>
                <w:lang w:eastAsia="zh-CN"/>
              </w:rPr>
              <w:t>账</w:t>
            </w:r>
            <w:r>
              <w:rPr>
                <w:rFonts w:hint="eastAsia" w:ascii="宋体" w:hAnsi="宋体" w:cs="仿宋"/>
                <w:color w:val="auto"/>
                <w:kern w:val="0"/>
                <w:sz w:val="24"/>
                <w:szCs w:val="24"/>
                <w:highlight w:val="none"/>
              </w:rPr>
              <w:t>保存完好，以备核查；</w:t>
            </w:r>
          </w:p>
          <w:p w14:paraId="434E2A08">
            <w:pPr>
              <w:keepNext w:val="0"/>
              <w:keepLines w:val="0"/>
              <w:pageBreakBefore w:val="0"/>
              <w:widowControl/>
              <w:kinsoku/>
              <w:wordWrap/>
              <w:overflowPunct/>
              <w:topLinePunct w:val="0"/>
              <w:autoSpaceDE/>
              <w:autoSpaceDN/>
              <w:bidi w:val="0"/>
              <w:adjustRightInd/>
              <w:spacing w:line="380" w:lineRule="exact"/>
              <w:ind w:firstLine="480" w:firstLineChars="200"/>
              <w:textAlignment w:val="auto"/>
              <w:rPr>
                <w:rFonts w:hint="eastAsia" w:ascii="宋体" w:hAnsi="宋体" w:cs="仿宋"/>
                <w:color w:val="auto"/>
                <w:sz w:val="24"/>
                <w:szCs w:val="24"/>
                <w:highlight w:val="none"/>
              </w:rPr>
            </w:pPr>
            <w:r>
              <w:rPr>
                <w:rFonts w:hint="eastAsia" w:ascii="宋体" w:hAnsi="宋体" w:cs="仿宋"/>
                <w:color w:val="auto"/>
                <w:kern w:val="0"/>
                <w:sz w:val="24"/>
                <w:szCs w:val="24"/>
                <w:highlight w:val="none"/>
              </w:rPr>
              <w:t>（11）与</w:t>
            </w:r>
            <w:r>
              <w:rPr>
                <w:rFonts w:hint="eastAsia" w:ascii="宋体" w:hAnsi="宋体" w:cs="仿宋"/>
                <w:color w:val="auto"/>
                <w:kern w:val="0"/>
                <w:sz w:val="24"/>
                <w:szCs w:val="24"/>
                <w:highlight w:val="none"/>
                <w:lang w:val="en-US" w:eastAsia="zh-CN"/>
              </w:rPr>
              <w:t>采购人</w:t>
            </w:r>
            <w:r>
              <w:rPr>
                <w:rFonts w:hint="eastAsia" w:ascii="宋体" w:hAnsi="宋体" w:cs="仿宋"/>
                <w:color w:val="auto"/>
                <w:kern w:val="0"/>
                <w:sz w:val="24"/>
                <w:szCs w:val="24"/>
                <w:highlight w:val="none"/>
              </w:rPr>
              <w:t>其他安保力量和学生管理部门协作联动。</w:t>
            </w:r>
          </w:p>
          <w:p w14:paraId="623B4E01">
            <w:pPr>
              <w:keepNext w:val="0"/>
              <w:keepLines w:val="0"/>
              <w:pageBreakBefore w:val="0"/>
              <w:widowControl/>
              <w:kinsoku/>
              <w:wordWrap/>
              <w:overflowPunct/>
              <w:topLinePunct w:val="0"/>
              <w:autoSpaceDE/>
              <w:autoSpaceDN/>
              <w:bidi w:val="0"/>
              <w:adjustRightInd/>
              <w:spacing w:line="380" w:lineRule="exact"/>
              <w:ind w:firstLine="482" w:firstLineChars="200"/>
              <w:textAlignment w:val="auto"/>
              <w:rPr>
                <w:rFonts w:hint="eastAsia" w:ascii="宋体" w:hAnsi="宋体" w:cs="仿宋"/>
                <w:b/>
                <w:color w:val="auto"/>
                <w:kern w:val="0"/>
                <w:sz w:val="24"/>
                <w:szCs w:val="24"/>
                <w:highlight w:val="none"/>
              </w:rPr>
            </w:pPr>
            <w:r>
              <w:rPr>
                <w:rFonts w:hint="eastAsia" w:ascii="宋体" w:hAnsi="宋体" w:cs="仿宋"/>
                <w:b/>
                <w:color w:val="auto"/>
                <w:kern w:val="0"/>
                <w:sz w:val="24"/>
                <w:szCs w:val="24"/>
                <w:highlight w:val="none"/>
              </w:rPr>
              <w:t>6.履行岗位工作职责要求（包括但不仅限于以下要求）</w:t>
            </w:r>
          </w:p>
          <w:p w14:paraId="506CE494">
            <w:pPr>
              <w:keepNext w:val="0"/>
              <w:keepLines w:val="0"/>
              <w:pageBreakBefore w:val="0"/>
              <w:kinsoku/>
              <w:wordWrap/>
              <w:overflowPunct/>
              <w:topLinePunct w:val="0"/>
              <w:autoSpaceDE/>
              <w:autoSpaceDN/>
              <w:bidi w:val="0"/>
              <w:adjustRightInd/>
              <w:spacing w:line="380" w:lineRule="exact"/>
              <w:ind w:firstLine="480" w:firstLineChars="200"/>
              <w:textAlignment w:val="auto"/>
              <w:rPr>
                <w:rFonts w:hint="eastAsia" w:ascii="宋体" w:hAnsi="宋体" w:eastAsia="宋体" w:cs="仿宋"/>
                <w:color w:val="auto"/>
                <w:sz w:val="24"/>
                <w:szCs w:val="24"/>
                <w:highlight w:val="none"/>
                <w:lang w:eastAsia="zh-CN"/>
              </w:rPr>
            </w:pPr>
            <w:r>
              <w:rPr>
                <w:rFonts w:hint="eastAsia" w:ascii="宋体" w:hAnsi="宋体" w:cs="仿宋"/>
                <w:color w:val="auto"/>
                <w:sz w:val="24"/>
                <w:szCs w:val="24"/>
                <w:highlight w:val="none"/>
              </w:rPr>
              <w:t>（1）</w:t>
            </w:r>
            <w:r>
              <w:rPr>
                <w:rFonts w:hint="eastAsia" w:ascii="宋体" w:hAnsi="宋体" w:cs="仿宋"/>
                <w:color w:val="auto"/>
                <w:kern w:val="0"/>
                <w:sz w:val="24"/>
                <w:szCs w:val="24"/>
                <w:highlight w:val="none"/>
              </w:rPr>
              <w:t>供应商</w:t>
            </w:r>
            <w:r>
              <w:rPr>
                <w:rFonts w:hint="eastAsia" w:ascii="宋体" w:hAnsi="宋体" w:cs="仿宋"/>
                <w:color w:val="auto"/>
                <w:sz w:val="24"/>
                <w:szCs w:val="24"/>
                <w:highlight w:val="none"/>
              </w:rPr>
              <w:t>负责落实采购人安全保卫及学生宿舍区管理的各项规章制度；参与学校学生教育活动，如学生集会、一日一排、军事日、应急疏散演练、违禁物品清查等活动；配合</w:t>
            </w:r>
            <w:r>
              <w:rPr>
                <w:rFonts w:hint="eastAsia" w:ascii="宋体" w:hAnsi="宋体" w:cs="仿宋"/>
                <w:color w:val="auto"/>
                <w:kern w:val="0"/>
                <w:sz w:val="24"/>
                <w:szCs w:val="24"/>
                <w:highlight w:val="none"/>
                <w:lang w:val="en-US" w:eastAsia="zh-CN"/>
              </w:rPr>
              <w:t>采购人</w:t>
            </w:r>
            <w:r>
              <w:rPr>
                <w:rFonts w:hint="eastAsia" w:ascii="宋体" w:hAnsi="宋体" w:cs="仿宋"/>
                <w:color w:val="auto"/>
                <w:sz w:val="24"/>
                <w:szCs w:val="24"/>
                <w:highlight w:val="none"/>
              </w:rPr>
              <w:t>对学生进行国防、军事、纪律、法制、安全、反恐、爱国卫生等教育活动；</w:t>
            </w:r>
            <w:r>
              <w:rPr>
                <w:rFonts w:hint="eastAsia" w:ascii="宋体" w:hAnsi="宋体" w:cs="仿宋"/>
                <w:bCs/>
                <w:color w:val="auto"/>
                <w:kern w:val="0"/>
                <w:sz w:val="24"/>
                <w:szCs w:val="24"/>
                <w:highlight w:val="none"/>
              </w:rPr>
              <w:t>校园公共区域、宿舍、教室卫生检查、评比、公布</w:t>
            </w:r>
            <w:r>
              <w:rPr>
                <w:rFonts w:hint="eastAsia" w:ascii="宋体" w:hAnsi="宋体" w:cs="仿宋"/>
                <w:bCs/>
                <w:color w:val="auto"/>
                <w:kern w:val="0"/>
                <w:sz w:val="24"/>
                <w:szCs w:val="24"/>
                <w:highlight w:val="none"/>
                <w:lang w:eastAsia="zh-CN"/>
              </w:rPr>
              <w:t>；</w:t>
            </w:r>
          </w:p>
          <w:p w14:paraId="0AFB4C2D">
            <w:pPr>
              <w:keepNext w:val="0"/>
              <w:keepLines w:val="0"/>
              <w:pageBreakBefore w:val="0"/>
              <w:kinsoku/>
              <w:wordWrap/>
              <w:overflowPunct/>
              <w:topLinePunct w:val="0"/>
              <w:autoSpaceDE/>
              <w:autoSpaceDN/>
              <w:bidi w:val="0"/>
              <w:adjustRightInd/>
              <w:spacing w:line="380" w:lineRule="exact"/>
              <w:ind w:firstLine="480" w:firstLineChars="200"/>
              <w:textAlignment w:val="auto"/>
              <w:rPr>
                <w:rFonts w:hint="eastAsia" w:ascii="宋体" w:hAnsi="宋体" w:eastAsia="宋体" w:cs="仿宋"/>
                <w:color w:val="auto"/>
                <w:sz w:val="24"/>
                <w:szCs w:val="24"/>
                <w:highlight w:val="none"/>
                <w:lang w:eastAsia="zh-CN"/>
              </w:rPr>
            </w:pPr>
            <w:r>
              <w:rPr>
                <w:rFonts w:hint="eastAsia" w:ascii="宋体" w:hAnsi="宋体" w:cs="仿宋"/>
                <w:color w:val="auto"/>
                <w:sz w:val="24"/>
                <w:szCs w:val="24"/>
                <w:highlight w:val="none"/>
              </w:rPr>
              <w:t>（2）</w:t>
            </w:r>
            <w:r>
              <w:rPr>
                <w:rFonts w:hint="eastAsia" w:ascii="宋体" w:hAnsi="宋体" w:cs="仿宋"/>
                <w:color w:val="auto"/>
                <w:kern w:val="0"/>
                <w:sz w:val="24"/>
                <w:szCs w:val="24"/>
                <w:highlight w:val="none"/>
              </w:rPr>
              <w:t>供应商</w:t>
            </w:r>
            <w:r>
              <w:rPr>
                <w:rFonts w:hint="eastAsia" w:ascii="宋体" w:hAnsi="宋体" w:cs="仿宋"/>
                <w:color w:val="auto"/>
                <w:sz w:val="24"/>
                <w:szCs w:val="24"/>
                <w:highlight w:val="none"/>
              </w:rPr>
              <w:t>派驻人员</w:t>
            </w:r>
            <w:r>
              <w:rPr>
                <w:rFonts w:hint="eastAsia" w:ascii="宋体" w:hAnsi="宋体" w:cs="仿宋"/>
                <w:color w:val="auto"/>
                <w:sz w:val="24"/>
                <w:szCs w:val="24"/>
                <w:highlight w:val="none"/>
                <w:lang w:eastAsia="zh-CN"/>
              </w:rPr>
              <w:t>，</w:t>
            </w:r>
            <w:r>
              <w:rPr>
                <w:rFonts w:hint="eastAsia" w:ascii="宋体" w:hAnsi="宋体" w:cs="仿宋"/>
                <w:color w:val="auto"/>
                <w:sz w:val="24"/>
                <w:szCs w:val="24"/>
                <w:highlight w:val="none"/>
              </w:rPr>
              <w:t>按照采购人岗位工作安排</w:t>
            </w:r>
            <w:r>
              <w:rPr>
                <w:rFonts w:hint="eastAsia" w:ascii="宋体" w:hAnsi="宋体" w:cs="仿宋"/>
                <w:color w:val="auto"/>
                <w:sz w:val="24"/>
                <w:szCs w:val="24"/>
                <w:highlight w:val="none"/>
                <w:lang w:eastAsia="zh-CN"/>
              </w:rPr>
              <w:t>，</w:t>
            </w:r>
            <w:r>
              <w:rPr>
                <w:rFonts w:hint="eastAsia" w:ascii="宋体" w:hAnsi="宋体" w:cs="仿宋"/>
                <w:color w:val="auto"/>
                <w:sz w:val="24"/>
                <w:szCs w:val="24"/>
                <w:highlight w:val="none"/>
              </w:rPr>
              <w:t>对工作岗位范围内的区域做好全面安全防范工作，落实防火、防盗、防枪、防暴、防毒、防破坏等安全防范措施，按</w:t>
            </w:r>
            <w:r>
              <w:rPr>
                <w:rFonts w:hint="eastAsia" w:ascii="宋体" w:hAnsi="宋体" w:cs="仿宋"/>
                <w:color w:val="auto"/>
                <w:kern w:val="0"/>
                <w:sz w:val="24"/>
                <w:szCs w:val="24"/>
                <w:highlight w:val="none"/>
                <w:lang w:val="en-US" w:eastAsia="zh-CN"/>
              </w:rPr>
              <w:t>采购人</w:t>
            </w:r>
            <w:r>
              <w:rPr>
                <w:rFonts w:hint="eastAsia" w:ascii="宋体" w:hAnsi="宋体" w:cs="仿宋"/>
                <w:color w:val="auto"/>
                <w:sz w:val="24"/>
                <w:szCs w:val="24"/>
                <w:highlight w:val="none"/>
              </w:rPr>
              <w:t>应急预案程序和要求</w:t>
            </w:r>
            <w:r>
              <w:rPr>
                <w:rFonts w:hint="eastAsia" w:ascii="宋体" w:hAnsi="宋体" w:cs="仿宋"/>
                <w:color w:val="auto"/>
                <w:sz w:val="24"/>
                <w:szCs w:val="24"/>
                <w:highlight w:val="none"/>
                <w:lang w:eastAsia="zh-CN"/>
              </w:rPr>
              <w:t>，</w:t>
            </w:r>
            <w:r>
              <w:rPr>
                <w:rFonts w:hint="eastAsia" w:ascii="宋体" w:hAnsi="宋体" w:cs="仿宋"/>
                <w:color w:val="auto"/>
                <w:sz w:val="24"/>
                <w:szCs w:val="24"/>
                <w:highlight w:val="none"/>
              </w:rPr>
              <w:t>及时妥善处理校园范围内出现突发事件（含自然灾害和刑事、治安案件等），协助</w:t>
            </w:r>
            <w:r>
              <w:rPr>
                <w:rFonts w:hint="eastAsia" w:ascii="宋体" w:hAnsi="宋体" w:cs="仿宋"/>
                <w:color w:val="auto"/>
                <w:kern w:val="0"/>
                <w:sz w:val="24"/>
                <w:szCs w:val="24"/>
                <w:highlight w:val="none"/>
                <w:lang w:val="en-US" w:eastAsia="zh-CN"/>
              </w:rPr>
              <w:t>采购人</w:t>
            </w:r>
            <w:r>
              <w:rPr>
                <w:rFonts w:hint="eastAsia" w:ascii="宋体" w:hAnsi="宋体" w:cs="仿宋"/>
                <w:color w:val="auto"/>
                <w:sz w:val="24"/>
                <w:szCs w:val="24"/>
                <w:highlight w:val="none"/>
              </w:rPr>
              <w:t>有关部门侦查各类治安、刑事案件</w:t>
            </w:r>
            <w:r>
              <w:rPr>
                <w:rFonts w:hint="eastAsia" w:ascii="宋体" w:hAnsi="宋体" w:cs="仿宋"/>
                <w:color w:val="auto"/>
                <w:sz w:val="24"/>
                <w:szCs w:val="24"/>
                <w:highlight w:val="none"/>
                <w:lang w:eastAsia="zh-CN"/>
              </w:rPr>
              <w:t>；</w:t>
            </w:r>
          </w:p>
          <w:p w14:paraId="10834008">
            <w:pPr>
              <w:keepNext w:val="0"/>
              <w:keepLines w:val="0"/>
              <w:pageBreakBefore w:val="0"/>
              <w:kinsoku/>
              <w:wordWrap/>
              <w:overflowPunct/>
              <w:topLinePunct w:val="0"/>
              <w:autoSpaceDE/>
              <w:autoSpaceDN/>
              <w:bidi w:val="0"/>
              <w:adjustRightInd/>
              <w:spacing w:line="380" w:lineRule="exact"/>
              <w:ind w:firstLine="480" w:firstLineChars="200"/>
              <w:textAlignment w:val="auto"/>
              <w:rPr>
                <w:rFonts w:hint="eastAsia" w:ascii="宋体" w:hAnsi="宋体" w:eastAsia="宋体" w:cs="仿宋"/>
                <w:color w:val="auto"/>
                <w:sz w:val="24"/>
                <w:szCs w:val="24"/>
                <w:highlight w:val="none"/>
                <w:lang w:eastAsia="zh-CN"/>
              </w:rPr>
            </w:pPr>
            <w:r>
              <w:rPr>
                <w:rFonts w:hint="eastAsia" w:ascii="宋体" w:hAnsi="宋体" w:cs="仿宋"/>
                <w:color w:val="auto"/>
                <w:sz w:val="24"/>
                <w:szCs w:val="24"/>
                <w:highlight w:val="none"/>
              </w:rPr>
              <w:t>（3）</w:t>
            </w:r>
            <w:r>
              <w:rPr>
                <w:rFonts w:hint="eastAsia" w:ascii="宋体" w:hAnsi="宋体" w:cs="仿宋"/>
                <w:color w:val="auto"/>
                <w:kern w:val="0"/>
                <w:sz w:val="24"/>
                <w:szCs w:val="24"/>
                <w:highlight w:val="none"/>
              </w:rPr>
              <w:t>供应商</w:t>
            </w:r>
            <w:r>
              <w:rPr>
                <w:rFonts w:hint="eastAsia" w:ascii="宋体" w:hAnsi="宋体" w:cs="仿宋"/>
                <w:color w:val="auto"/>
                <w:sz w:val="24"/>
                <w:szCs w:val="24"/>
                <w:highlight w:val="none"/>
              </w:rPr>
              <w:t>各项管理工作必须认真负责，必须符合教育原则，遵守教育的政策法规，坚持正面教育与严格管理相结合、严格要求与尊重爱护相结合的原则，不能以罚代管、以罚代教。要经常性</w:t>
            </w:r>
            <w:r>
              <w:rPr>
                <w:rFonts w:hint="eastAsia" w:ascii="宋体" w:hAnsi="宋体" w:cs="仿宋"/>
                <w:color w:val="auto"/>
                <w:sz w:val="24"/>
                <w:szCs w:val="24"/>
                <w:highlight w:val="none"/>
                <w:lang w:eastAsia="zh-CN"/>
              </w:rPr>
              <w:t>、</w:t>
            </w:r>
            <w:r>
              <w:rPr>
                <w:rFonts w:hint="eastAsia" w:ascii="宋体" w:hAnsi="宋体" w:cs="仿宋"/>
                <w:color w:val="auto"/>
                <w:sz w:val="24"/>
                <w:szCs w:val="24"/>
                <w:highlight w:val="none"/>
              </w:rPr>
              <w:t>灵活地对学生开展思想教育工作并做好谈心记录。在工作中遇到解决不了的问题，报告采购人协商解决</w:t>
            </w:r>
            <w:r>
              <w:rPr>
                <w:rFonts w:hint="eastAsia" w:ascii="宋体" w:hAnsi="宋体" w:cs="仿宋"/>
                <w:color w:val="auto"/>
                <w:sz w:val="24"/>
                <w:szCs w:val="24"/>
                <w:highlight w:val="none"/>
                <w:lang w:eastAsia="zh-CN"/>
              </w:rPr>
              <w:t>；</w:t>
            </w:r>
          </w:p>
          <w:p w14:paraId="0718B325">
            <w:pPr>
              <w:keepNext w:val="0"/>
              <w:keepLines w:val="0"/>
              <w:pageBreakBefore w:val="0"/>
              <w:kinsoku/>
              <w:wordWrap/>
              <w:overflowPunct/>
              <w:topLinePunct w:val="0"/>
              <w:autoSpaceDE/>
              <w:autoSpaceDN/>
              <w:bidi w:val="0"/>
              <w:adjustRightInd/>
              <w:spacing w:line="380" w:lineRule="exact"/>
              <w:ind w:firstLine="480" w:firstLineChars="200"/>
              <w:textAlignment w:val="auto"/>
              <w:rPr>
                <w:rFonts w:hint="eastAsia" w:ascii="宋体" w:hAnsi="宋体" w:eastAsia="宋体" w:cs="仿宋"/>
                <w:color w:val="auto"/>
                <w:sz w:val="24"/>
                <w:szCs w:val="24"/>
                <w:highlight w:val="none"/>
                <w:lang w:eastAsia="zh-CN"/>
              </w:rPr>
            </w:pPr>
            <w:r>
              <w:rPr>
                <w:rFonts w:hint="eastAsia" w:ascii="宋体" w:hAnsi="宋体" w:cs="仿宋"/>
                <w:color w:val="auto"/>
                <w:sz w:val="24"/>
                <w:szCs w:val="24"/>
                <w:highlight w:val="none"/>
              </w:rPr>
              <w:t>（4）</w:t>
            </w:r>
            <w:r>
              <w:rPr>
                <w:rFonts w:hint="eastAsia" w:ascii="宋体" w:hAnsi="宋体" w:cs="仿宋"/>
                <w:color w:val="auto"/>
                <w:kern w:val="0"/>
                <w:sz w:val="24"/>
                <w:szCs w:val="24"/>
                <w:highlight w:val="none"/>
              </w:rPr>
              <w:t>供应商</w:t>
            </w:r>
            <w:r>
              <w:rPr>
                <w:rFonts w:hint="eastAsia" w:ascii="宋体" w:hAnsi="宋体" w:cs="仿宋"/>
                <w:color w:val="auto"/>
                <w:sz w:val="24"/>
                <w:szCs w:val="24"/>
                <w:highlight w:val="none"/>
              </w:rPr>
              <w:t>派驻人员按学校要求每天24小时均有人上班值岗（在岗具体的人数根据不同时段进行安排），认真做好上班工作记录，向采购人主管部门做好周、月的工作情况汇报（遇突发事件要及时报告）</w:t>
            </w:r>
            <w:r>
              <w:rPr>
                <w:rFonts w:hint="eastAsia" w:ascii="宋体" w:hAnsi="宋体" w:cs="仿宋"/>
                <w:color w:val="auto"/>
                <w:sz w:val="24"/>
                <w:szCs w:val="24"/>
                <w:highlight w:val="none"/>
                <w:lang w:eastAsia="zh-CN"/>
              </w:rPr>
              <w:t>；</w:t>
            </w:r>
          </w:p>
          <w:p w14:paraId="7711DC43">
            <w:pPr>
              <w:keepNext w:val="0"/>
              <w:keepLines w:val="0"/>
              <w:pageBreakBefore w:val="0"/>
              <w:kinsoku/>
              <w:wordWrap/>
              <w:overflowPunct/>
              <w:topLinePunct w:val="0"/>
              <w:autoSpaceDE/>
              <w:autoSpaceDN/>
              <w:bidi w:val="0"/>
              <w:adjustRightInd/>
              <w:spacing w:line="380" w:lineRule="exact"/>
              <w:ind w:firstLine="480" w:firstLineChars="200"/>
              <w:textAlignment w:val="auto"/>
              <w:rPr>
                <w:rFonts w:hint="eastAsia" w:ascii="宋体" w:hAnsi="宋体" w:eastAsia="宋体" w:cs="仿宋"/>
                <w:color w:val="auto"/>
                <w:sz w:val="24"/>
                <w:szCs w:val="24"/>
                <w:highlight w:val="none"/>
                <w:lang w:eastAsia="zh-CN"/>
              </w:rPr>
            </w:pPr>
            <w:r>
              <w:rPr>
                <w:rFonts w:hint="eastAsia" w:ascii="宋体" w:hAnsi="宋体" w:cs="仿宋"/>
                <w:color w:val="auto"/>
                <w:sz w:val="24"/>
                <w:szCs w:val="24"/>
                <w:highlight w:val="none"/>
              </w:rPr>
              <w:t>（5）</w:t>
            </w:r>
            <w:r>
              <w:rPr>
                <w:rFonts w:hint="eastAsia" w:ascii="宋体" w:hAnsi="宋体" w:cs="仿宋"/>
                <w:color w:val="auto"/>
                <w:kern w:val="0"/>
                <w:sz w:val="24"/>
                <w:szCs w:val="24"/>
                <w:highlight w:val="none"/>
              </w:rPr>
              <w:t>供应商</w:t>
            </w:r>
            <w:r>
              <w:rPr>
                <w:rFonts w:hint="eastAsia" w:ascii="宋体" w:hAnsi="宋体" w:cs="仿宋"/>
                <w:color w:val="auto"/>
                <w:sz w:val="24"/>
                <w:szCs w:val="24"/>
                <w:highlight w:val="none"/>
              </w:rPr>
              <w:t>要积极参与校园文化建设，积极开展各种有益于学生身心成长的文化活动，要加强与学生文化交流</w:t>
            </w:r>
            <w:r>
              <w:rPr>
                <w:rFonts w:hint="eastAsia" w:ascii="宋体" w:hAnsi="宋体" w:cs="仿宋"/>
                <w:color w:val="auto"/>
                <w:sz w:val="24"/>
                <w:szCs w:val="24"/>
                <w:highlight w:val="none"/>
                <w:lang w:eastAsia="zh-CN"/>
              </w:rPr>
              <w:t>；</w:t>
            </w:r>
          </w:p>
          <w:p w14:paraId="2DDE0106">
            <w:pPr>
              <w:keepNext w:val="0"/>
              <w:keepLines w:val="0"/>
              <w:pageBreakBefore w:val="0"/>
              <w:kinsoku/>
              <w:wordWrap/>
              <w:overflowPunct/>
              <w:topLinePunct w:val="0"/>
              <w:autoSpaceDE/>
              <w:autoSpaceDN/>
              <w:bidi w:val="0"/>
              <w:adjustRightInd/>
              <w:snapToGrid w:val="0"/>
              <w:spacing w:line="380" w:lineRule="exact"/>
              <w:ind w:firstLine="480" w:firstLineChars="200"/>
              <w:textAlignment w:val="auto"/>
              <w:rPr>
                <w:rFonts w:hint="eastAsia" w:ascii="宋体" w:hAnsi="宋体" w:cs="仿宋"/>
                <w:color w:val="auto"/>
                <w:sz w:val="24"/>
                <w:szCs w:val="24"/>
                <w:highlight w:val="none"/>
              </w:rPr>
            </w:pPr>
            <w:r>
              <w:rPr>
                <w:rFonts w:hint="eastAsia" w:ascii="宋体" w:hAnsi="宋体" w:cs="仿宋"/>
                <w:color w:val="auto"/>
                <w:sz w:val="24"/>
                <w:szCs w:val="24"/>
                <w:highlight w:val="none"/>
              </w:rPr>
              <w:t>（6）在学校放假期间，根据学校假期工作需要，无条件完成好采购人安排的工作任务。</w:t>
            </w:r>
          </w:p>
          <w:p w14:paraId="5C51CBA5">
            <w:pPr>
              <w:snapToGrid w:val="0"/>
              <w:spacing w:line="400" w:lineRule="exact"/>
              <w:ind w:firstLine="480" w:firstLineChars="200"/>
              <w:rPr>
                <w:rFonts w:hint="eastAsia" w:ascii="宋体" w:hAnsi="宋体" w:cs="宋体"/>
                <w:color w:val="auto"/>
                <w:sz w:val="24"/>
                <w:szCs w:val="24"/>
                <w:highlight w:val="none"/>
                <w:lang w:eastAsia="zh-CN"/>
              </w:rPr>
            </w:pPr>
            <w:r>
              <w:rPr>
                <w:rFonts w:hint="eastAsia"/>
                <w:b w:val="0"/>
                <w:bCs w:val="0"/>
                <w:color w:val="auto"/>
                <w:sz w:val="24"/>
                <w:highlight w:val="none"/>
              </w:rPr>
              <w:t>▲</w:t>
            </w:r>
            <w:r>
              <w:rPr>
                <w:rFonts w:hint="eastAsia" w:ascii="宋体" w:hAnsi="宋体"/>
                <w:b w:val="0"/>
                <w:bCs w:val="0"/>
                <w:color w:val="auto"/>
                <w:sz w:val="24"/>
                <w:szCs w:val="24"/>
                <w:highlight w:val="none"/>
                <w:lang w:eastAsia="zh-CN"/>
              </w:rPr>
              <w:t>三、</w:t>
            </w:r>
            <w:r>
              <w:rPr>
                <w:rFonts w:hint="eastAsia" w:ascii="宋体" w:hAnsi="宋体"/>
                <w:b w:val="0"/>
                <w:bCs w:val="0"/>
                <w:color w:val="auto"/>
                <w:sz w:val="24"/>
                <w:szCs w:val="24"/>
                <w:highlight w:val="none"/>
                <w:lang w:val="en-US" w:eastAsia="zh-CN"/>
              </w:rPr>
              <w:t>供应商须严格按照《</w:t>
            </w:r>
            <w:r>
              <w:rPr>
                <w:rFonts w:hint="eastAsia" w:ascii="宋体" w:hAnsi="宋体"/>
                <w:b w:val="0"/>
                <w:bCs w:val="0"/>
                <w:color w:val="auto"/>
                <w:sz w:val="24"/>
                <w:szCs w:val="24"/>
                <w:highlight w:val="none"/>
              </w:rPr>
              <w:t>校园安保人员工作职责</w:t>
            </w:r>
            <w:r>
              <w:rPr>
                <w:rFonts w:hint="eastAsia" w:ascii="宋体" w:hAnsi="宋体"/>
                <w:b w:val="0"/>
                <w:bCs w:val="0"/>
                <w:color w:val="auto"/>
                <w:sz w:val="24"/>
                <w:szCs w:val="24"/>
                <w:highlight w:val="none"/>
                <w:lang w:eastAsia="zh-CN"/>
              </w:rPr>
              <w:t>》</w:t>
            </w:r>
            <w:r>
              <w:rPr>
                <w:rFonts w:hint="eastAsia" w:ascii="宋体" w:hAnsi="宋体"/>
                <w:b w:val="0"/>
                <w:bCs w:val="0"/>
                <w:color w:val="auto"/>
                <w:sz w:val="24"/>
                <w:szCs w:val="24"/>
                <w:highlight w:val="none"/>
              </w:rPr>
              <w:t>（附件</w:t>
            </w:r>
            <w:r>
              <w:rPr>
                <w:rFonts w:hint="eastAsia" w:ascii="宋体" w:hAnsi="宋体"/>
                <w:b w:val="0"/>
                <w:bCs w:val="0"/>
                <w:color w:val="auto"/>
                <w:sz w:val="24"/>
                <w:szCs w:val="24"/>
                <w:highlight w:val="none"/>
                <w:lang w:val="en-US" w:eastAsia="zh-CN"/>
              </w:rPr>
              <w:t>一</w:t>
            </w:r>
            <w:r>
              <w:rPr>
                <w:rFonts w:hint="eastAsia" w:ascii="宋体" w:hAnsi="宋体"/>
                <w:b w:val="0"/>
                <w:bCs w:val="0"/>
                <w:color w:val="auto"/>
                <w:sz w:val="24"/>
                <w:szCs w:val="24"/>
                <w:highlight w:val="none"/>
              </w:rPr>
              <w:t>）</w:t>
            </w:r>
            <w:r>
              <w:rPr>
                <w:rFonts w:hint="eastAsia" w:ascii="宋体" w:hAnsi="宋体"/>
                <w:b w:val="0"/>
                <w:bCs w:val="0"/>
                <w:color w:val="auto"/>
                <w:sz w:val="24"/>
                <w:szCs w:val="24"/>
                <w:highlight w:val="none"/>
                <w:lang w:eastAsia="zh-CN"/>
              </w:rPr>
              <w:t>、《</w:t>
            </w:r>
            <w:r>
              <w:rPr>
                <w:rFonts w:hint="eastAsia" w:ascii="宋体" w:hAnsi="宋体"/>
                <w:b w:val="0"/>
                <w:bCs w:val="0"/>
                <w:color w:val="auto"/>
                <w:sz w:val="24"/>
                <w:szCs w:val="24"/>
                <w:highlight w:val="none"/>
              </w:rPr>
              <w:t>驻校教官工作职责</w:t>
            </w:r>
            <w:r>
              <w:rPr>
                <w:rFonts w:hint="eastAsia" w:ascii="宋体" w:hAnsi="宋体"/>
                <w:b w:val="0"/>
                <w:bCs w:val="0"/>
                <w:color w:val="auto"/>
                <w:sz w:val="24"/>
                <w:szCs w:val="24"/>
                <w:highlight w:val="none"/>
                <w:lang w:eastAsia="zh-CN"/>
              </w:rPr>
              <w:t>》</w:t>
            </w:r>
            <w:r>
              <w:rPr>
                <w:rFonts w:hint="eastAsia" w:ascii="宋体" w:hAnsi="宋体"/>
                <w:b w:val="0"/>
                <w:bCs w:val="0"/>
                <w:color w:val="auto"/>
                <w:sz w:val="24"/>
                <w:szCs w:val="24"/>
                <w:highlight w:val="none"/>
              </w:rPr>
              <w:t>（附件</w:t>
            </w:r>
            <w:r>
              <w:rPr>
                <w:rFonts w:hint="eastAsia" w:ascii="宋体" w:hAnsi="宋体"/>
                <w:b w:val="0"/>
                <w:bCs w:val="0"/>
                <w:color w:val="auto"/>
                <w:sz w:val="24"/>
                <w:szCs w:val="24"/>
                <w:highlight w:val="none"/>
                <w:lang w:val="en-US" w:eastAsia="zh-CN"/>
              </w:rPr>
              <w:t>二</w:t>
            </w:r>
            <w:r>
              <w:rPr>
                <w:rFonts w:hint="eastAsia" w:ascii="宋体" w:hAnsi="宋体"/>
                <w:b w:val="0"/>
                <w:bCs w:val="0"/>
                <w:color w:val="auto"/>
                <w:sz w:val="24"/>
                <w:szCs w:val="24"/>
                <w:highlight w:val="none"/>
              </w:rPr>
              <w:t>）</w:t>
            </w:r>
            <w:r>
              <w:rPr>
                <w:rFonts w:hint="eastAsia" w:ascii="宋体" w:hAnsi="宋体"/>
                <w:b w:val="0"/>
                <w:bCs w:val="0"/>
                <w:color w:val="auto"/>
                <w:sz w:val="24"/>
                <w:szCs w:val="24"/>
                <w:highlight w:val="none"/>
                <w:lang w:val="en-US" w:eastAsia="zh-CN"/>
              </w:rPr>
              <w:t>为采购人提供优质的校园安全保卫及学生管理服务工作。采购人将根据</w:t>
            </w:r>
            <w:r>
              <w:rPr>
                <w:rFonts w:hint="eastAsia" w:ascii="宋体" w:hAnsi="宋体" w:cs="宋体"/>
                <w:b w:val="0"/>
                <w:bCs w:val="0"/>
                <w:color w:val="auto"/>
                <w:sz w:val="24"/>
                <w:szCs w:val="24"/>
                <w:highlight w:val="none"/>
                <w:lang w:eastAsia="zh-CN"/>
              </w:rPr>
              <w:t>《</w:t>
            </w:r>
            <w:r>
              <w:rPr>
                <w:rFonts w:hint="eastAsia" w:ascii="宋体" w:hAnsi="宋体" w:cs="宋体"/>
                <w:color w:val="auto"/>
                <w:sz w:val="24"/>
                <w:szCs w:val="24"/>
                <w:highlight w:val="none"/>
                <w:lang w:eastAsia="zh-CN"/>
              </w:rPr>
              <w:t>广西广播电视学校驻校教官处罚规定》（附件</w:t>
            </w:r>
            <w:r>
              <w:rPr>
                <w:rFonts w:hint="eastAsia" w:ascii="宋体" w:hAnsi="宋体" w:cs="宋体"/>
                <w:color w:val="auto"/>
                <w:sz w:val="24"/>
                <w:szCs w:val="24"/>
                <w:highlight w:val="none"/>
                <w:lang w:val="en-US" w:eastAsia="zh-CN"/>
              </w:rPr>
              <w:t>三）对供应商采取不定期考核，并根据考核情况进行扣款，扣款从合同款中扣除。</w:t>
            </w:r>
          </w:p>
        </w:tc>
      </w:tr>
      <w:tr w14:paraId="6F47D2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9225" w:type="dxa"/>
            <w:gridSpan w:val="6"/>
            <w:tcBorders>
              <w:top w:val="single" w:color="auto" w:sz="4" w:space="0"/>
              <w:left w:val="single" w:color="auto" w:sz="4" w:space="0"/>
              <w:bottom w:val="single" w:color="auto" w:sz="4" w:space="0"/>
              <w:right w:val="single" w:color="auto" w:sz="4" w:space="0"/>
            </w:tcBorders>
            <w:noWrap/>
            <w:vAlign w:val="center"/>
          </w:tcPr>
          <w:p w14:paraId="3AC32BBB">
            <w:pPr>
              <w:spacing w:line="400" w:lineRule="exact"/>
              <w:rPr>
                <w:rFonts w:ascii="宋体" w:hAnsi="宋体" w:cs="宋体"/>
                <w:color w:val="auto"/>
                <w:sz w:val="24"/>
                <w:szCs w:val="24"/>
                <w:highlight w:val="none"/>
              </w:rPr>
            </w:pPr>
            <w:r>
              <w:rPr>
                <w:rFonts w:hint="eastAsia" w:ascii="宋体" w:hAnsi="宋体" w:cs="宋体"/>
                <w:b/>
                <w:bCs/>
                <w:color w:val="auto"/>
                <w:sz w:val="24"/>
                <w:szCs w:val="24"/>
                <w:highlight w:val="none"/>
              </w:rPr>
              <w:t>二、商务条款</w:t>
            </w:r>
          </w:p>
        </w:tc>
      </w:tr>
      <w:tr w14:paraId="458DF4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673" w:type="dxa"/>
            <w:gridSpan w:val="3"/>
            <w:tcBorders>
              <w:top w:val="single" w:color="auto" w:sz="4" w:space="0"/>
              <w:left w:val="single" w:color="auto" w:sz="4" w:space="0"/>
              <w:bottom w:val="single" w:color="auto" w:sz="4" w:space="0"/>
              <w:right w:val="single" w:color="auto" w:sz="4" w:space="0"/>
            </w:tcBorders>
            <w:noWrap/>
            <w:vAlign w:val="center"/>
          </w:tcPr>
          <w:p w14:paraId="41F94EB5">
            <w:pPr>
              <w:spacing w:line="400" w:lineRule="exact"/>
              <w:rPr>
                <w:rFonts w:ascii="宋体" w:hAnsi="宋体" w:cs="宋体"/>
                <w:color w:val="auto"/>
                <w:sz w:val="24"/>
                <w:szCs w:val="24"/>
                <w:highlight w:val="none"/>
              </w:rPr>
            </w:pPr>
            <w:r>
              <w:rPr>
                <w:rFonts w:hint="eastAsia" w:ascii="宋体" w:hAnsi="宋体" w:cs="宋体"/>
                <w:color w:val="auto"/>
                <w:sz w:val="24"/>
                <w:szCs w:val="24"/>
                <w:highlight w:val="none"/>
              </w:rPr>
              <w:t>合同签订时间</w:t>
            </w:r>
          </w:p>
        </w:tc>
        <w:tc>
          <w:tcPr>
            <w:tcW w:w="7552" w:type="dxa"/>
            <w:gridSpan w:val="3"/>
            <w:tcBorders>
              <w:top w:val="single" w:color="auto" w:sz="4" w:space="0"/>
              <w:left w:val="single" w:color="auto" w:sz="4" w:space="0"/>
              <w:bottom w:val="single" w:color="auto" w:sz="4" w:space="0"/>
              <w:right w:val="single" w:color="auto" w:sz="4" w:space="0"/>
            </w:tcBorders>
            <w:noWrap/>
            <w:vAlign w:val="center"/>
          </w:tcPr>
          <w:p w14:paraId="2D76EC4F">
            <w:pPr>
              <w:spacing w:line="400" w:lineRule="exact"/>
              <w:rPr>
                <w:rFonts w:ascii="宋体" w:hAnsi="宋体" w:cs="宋体"/>
                <w:color w:val="auto"/>
                <w:sz w:val="24"/>
                <w:szCs w:val="24"/>
                <w:highlight w:val="none"/>
              </w:rPr>
            </w:pPr>
            <w:r>
              <w:rPr>
                <w:rFonts w:hint="eastAsia" w:ascii="宋体" w:hAnsi="宋体" w:cs="宋体"/>
                <w:color w:val="auto"/>
                <w:sz w:val="24"/>
                <w:szCs w:val="24"/>
                <w:highlight w:val="none"/>
              </w:rPr>
              <w:t>自成交通知书发出之日起25日内。</w:t>
            </w:r>
          </w:p>
        </w:tc>
      </w:tr>
      <w:tr w14:paraId="79C18D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673" w:type="dxa"/>
            <w:gridSpan w:val="3"/>
            <w:tcBorders>
              <w:top w:val="single" w:color="auto" w:sz="4" w:space="0"/>
              <w:left w:val="single" w:color="auto" w:sz="4" w:space="0"/>
              <w:bottom w:val="single" w:color="auto" w:sz="4" w:space="0"/>
              <w:right w:val="single" w:color="auto" w:sz="4" w:space="0"/>
            </w:tcBorders>
            <w:noWrap/>
            <w:vAlign w:val="center"/>
          </w:tcPr>
          <w:p w14:paraId="142B4FD5">
            <w:pPr>
              <w:snapToGrid w:val="0"/>
              <w:spacing w:line="400" w:lineRule="exact"/>
              <w:jc w:val="center"/>
              <w:rPr>
                <w:rFonts w:ascii="宋体" w:hAnsi="宋体" w:cs="宋体"/>
                <w:color w:val="auto"/>
                <w:sz w:val="24"/>
                <w:szCs w:val="24"/>
                <w:highlight w:val="none"/>
              </w:rPr>
            </w:pPr>
            <w:r>
              <w:rPr>
                <w:rFonts w:hint="eastAsia" w:ascii="宋体" w:hAnsi="宋体" w:cs="Calibri"/>
                <w:color w:val="auto"/>
                <w:sz w:val="24"/>
                <w:szCs w:val="24"/>
                <w:highlight w:val="none"/>
              </w:rPr>
              <w:t>服务期限及地点</w:t>
            </w:r>
          </w:p>
        </w:tc>
        <w:tc>
          <w:tcPr>
            <w:tcW w:w="7552" w:type="dxa"/>
            <w:gridSpan w:val="3"/>
            <w:tcBorders>
              <w:top w:val="single" w:color="auto" w:sz="4" w:space="0"/>
              <w:left w:val="single" w:color="auto" w:sz="4" w:space="0"/>
              <w:bottom w:val="single" w:color="auto" w:sz="4" w:space="0"/>
              <w:right w:val="single" w:color="auto" w:sz="4" w:space="0"/>
            </w:tcBorders>
            <w:noWrap/>
            <w:vAlign w:val="center"/>
          </w:tcPr>
          <w:p w14:paraId="7DEB5811">
            <w:pPr>
              <w:spacing w:line="400" w:lineRule="exact"/>
              <w:rPr>
                <w:rFonts w:hint="eastAsia" w:ascii="宋体" w:hAnsi="宋体" w:cs="宋体"/>
                <w:color w:val="auto"/>
                <w:sz w:val="24"/>
                <w:szCs w:val="24"/>
                <w:highlight w:val="none"/>
              </w:rPr>
            </w:pPr>
            <w:r>
              <w:rPr>
                <w:rFonts w:hint="eastAsia" w:ascii="宋体" w:hAnsi="宋体" w:cs="宋体"/>
                <w:color w:val="auto"/>
                <w:sz w:val="24"/>
                <w:szCs w:val="24"/>
                <w:highlight w:val="none"/>
              </w:rPr>
              <w:t>1、服务期限：从202</w:t>
            </w: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年5月1日起至202</w:t>
            </w:r>
            <w:r>
              <w:rPr>
                <w:rFonts w:hint="eastAsia" w:ascii="宋体" w:hAnsi="宋体" w:cs="宋体"/>
                <w:color w:val="auto"/>
                <w:sz w:val="24"/>
                <w:szCs w:val="24"/>
                <w:highlight w:val="none"/>
                <w:lang w:val="en-US" w:eastAsia="zh-CN"/>
              </w:rPr>
              <w:t>7</w:t>
            </w:r>
            <w:r>
              <w:rPr>
                <w:rFonts w:hint="eastAsia" w:ascii="宋体" w:hAnsi="宋体" w:cs="宋体"/>
                <w:color w:val="auto"/>
                <w:sz w:val="24"/>
                <w:szCs w:val="24"/>
                <w:highlight w:val="none"/>
              </w:rPr>
              <w:t>年4月30日止。</w:t>
            </w:r>
          </w:p>
          <w:p w14:paraId="12F0FBE1">
            <w:pPr>
              <w:spacing w:line="400" w:lineRule="exact"/>
              <w:rPr>
                <w:rFonts w:ascii="宋体" w:hAnsi="宋体" w:cs="宋体"/>
                <w:color w:val="auto"/>
                <w:sz w:val="24"/>
                <w:szCs w:val="24"/>
                <w:highlight w:val="none"/>
              </w:rPr>
            </w:pPr>
            <w:r>
              <w:rPr>
                <w:rFonts w:hint="eastAsia" w:ascii="宋体" w:hAnsi="宋体" w:cs="宋体"/>
                <w:color w:val="auto"/>
                <w:sz w:val="24"/>
                <w:szCs w:val="24"/>
                <w:highlight w:val="none"/>
              </w:rPr>
              <w:t>2、服务地点：广西广播电视学校</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学生实习地点</w:t>
            </w:r>
            <w:r>
              <w:rPr>
                <w:rFonts w:hint="eastAsia" w:ascii="宋体" w:hAnsi="宋体" w:cs="宋体"/>
                <w:color w:val="auto"/>
                <w:sz w:val="24"/>
                <w:szCs w:val="24"/>
                <w:highlight w:val="none"/>
              </w:rPr>
              <w:t>。</w:t>
            </w:r>
          </w:p>
        </w:tc>
      </w:tr>
      <w:tr w14:paraId="0247F4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30" w:hRule="atLeast"/>
          <w:jc w:val="center"/>
        </w:trPr>
        <w:tc>
          <w:tcPr>
            <w:tcW w:w="1673" w:type="dxa"/>
            <w:gridSpan w:val="3"/>
            <w:tcBorders>
              <w:top w:val="single" w:color="auto" w:sz="4" w:space="0"/>
              <w:left w:val="single" w:color="auto" w:sz="4" w:space="0"/>
              <w:bottom w:val="single" w:color="auto" w:sz="4" w:space="0"/>
              <w:right w:val="single" w:color="auto" w:sz="4" w:space="0"/>
            </w:tcBorders>
            <w:noWrap/>
            <w:vAlign w:val="center"/>
          </w:tcPr>
          <w:p w14:paraId="1F5135BE">
            <w:pPr>
              <w:spacing w:line="400" w:lineRule="exact"/>
              <w:rPr>
                <w:rFonts w:ascii="宋体" w:hAnsi="宋体" w:cs="宋体"/>
                <w:color w:val="auto"/>
                <w:sz w:val="24"/>
                <w:szCs w:val="24"/>
                <w:highlight w:val="none"/>
              </w:rPr>
            </w:pPr>
            <w:r>
              <w:rPr>
                <w:rFonts w:hint="eastAsia" w:ascii="宋体" w:hAnsi="宋体" w:cs="宋体"/>
                <w:color w:val="auto"/>
                <w:sz w:val="24"/>
                <w:szCs w:val="24"/>
                <w:highlight w:val="none"/>
              </w:rPr>
              <w:t>付款条件</w:t>
            </w:r>
          </w:p>
        </w:tc>
        <w:tc>
          <w:tcPr>
            <w:tcW w:w="7552" w:type="dxa"/>
            <w:gridSpan w:val="3"/>
            <w:tcBorders>
              <w:top w:val="single" w:color="auto" w:sz="4" w:space="0"/>
              <w:left w:val="single" w:color="auto" w:sz="4" w:space="0"/>
              <w:bottom w:val="single" w:color="auto" w:sz="4" w:space="0"/>
              <w:right w:val="single" w:color="auto" w:sz="4" w:space="0"/>
            </w:tcBorders>
            <w:noWrap/>
            <w:vAlign w:val="center"/>
          </w:tcPr>
          <w:p w14:paraId="25942D38">
            <w:pPr>
              <w:spacing w:line="400" w:lineRule="exact"/>
              <w:rPr>
                <w:rFonts w:hint="eastAsia" w:ascii="宋体" w:hAnsi="宋体" w:cs="宋体"/>
                <w:color w:val="auto"/>
                <w:sz w:val="24"/>
                <w:szCs w:val="24"/>
                <w:highlight w:val="none"/>
              </w:rPr>
            </w:pPr>
            <w:r>
              <w:rPr>
                <w:rFonts w:hint="eastAsia" w:ascii="宋体" w:hAnsi="宋体" w:cs="宋体"/>
                <w:color w:val="auto"/>
                <w:sz w:val="24"/>
                <w:szCs w:val="24"/>
                <w:highlight w:val="none"/>
              </w:rPr>
              <w:t>本项目无预付款，</w:t>
            </w:r>
            <w:r>
              <w:rPr>
                <w:rFonts w:hint="eastAsia" w:ascii="宋体" w:hAnsi="宋体" w:cs="宋体"/>
                <w:color w:val="auto"/>
                <w:sz w:val="24"/>
                <w:szCs w:val="24"/>
                <w:highlight w:val="none"/>
                <w:lang w:eastAsia="zh-CN"/>
              </w:rPr>
              <w:t>按月支付合同款。采购人根据</w:t>
            </w:r>
            <w:r>
              <w:rPr>
                <w:rFonts w:hint="eastAsia" w:ascii="宋体" w:hAnsi="宋体" w:cs="宋体"/>
                <w:color w:val="auto"/>
                <w:sz w:val="24"/>
                <w:szCs w:val="24"/>
                <w:highlight w:val="none"/>
                <w:lang w:val="en-US" w:eastAsia="zh-CN"/>
              </w:rPr>
              <w:t>本章</w:t>
            </w:r>
            <w:r>
              <w:rPr>
                <w:rFonts w:hint="eastAsia" w:ascii="宋体" w:hAnsi="宋体" w:cs="宋体"/>
                <w:color w:val="auto"/>
                <w:sz w:val="24"/>
                <w:szCs w:val="24"/>
                <w:highlight w:val="none"/>
                <w:lang w:eastAsia="zh-CN"/>
              </w:rPr>
              <w:t>附件一《广西广播电视学校驻校教官处罚规定》的要求对</w:t>
            </w:r>
            <w:r>
              <w:rPr>
                <w:rFonts w:hint="eastAsia" w:ascii="宋体" w:hAnsi="宋体" w:cs="宋体"/>
                <w:color w:val="auto"/>
                <w:sz w:val="24"/>
                <w:szCs w:val="24"/>
                <w:highlight w:val="none"/>
              </w:rPr>
              <w:t>成交供应商</w:t>
            </w:r>
            <w:r>
              <w:rPr>
                <w:rFonts w:hint="eastAsia" w:ascii="宋体" w:hAnsi="宋体" w:cs="宋体"/>
                <w:color w:val="auto"/>
                <w:sz w:val="24"/>
                <w:szCs w:val="24"/>
                <w:highlight w:val="none"/>
                <w:lang w:val="en-US" w:eastAsia="zh-CN"/>
              </w:rPr>
              <w:t>采取不定期</w:t>
            </w:r>
            <w:r>
              <w:rPr>
                <w:rFonts w:hint="eastAsia" w:ascii="宋体" w:hAnsi="宋体" w:cs="宋体"/>
                <w:color w:val="auto"/>
                <w:sz w:val="24"/>
                <w:szCs w:val="24"/>
                <w:highlight w:val="none"/>
                <w:lang w:eastAsia="zh-CN"/>
              </w:rPr>
              <w:t>考核，如经考核存在扣款情形的，该月实际支付的合同款＝</w:t>
            </w:r>
            <w:r>
              <w:rPr>
                <w:rFonts w:hint="eastAsia" w:ascii="宋体" w:hAnsi="宋体" w:cs="宋体"/>
                <w:color w:val="auto"/>
                <w:sz w:val="24"/>
                <w:szCs w:val="24"/>
                <w:highlight w:val="none"/>
                <w:lang w:val="en-US" w:eastAsia="zh-CN"/>
              </w:rPr>
              <w:t>当</w:t>
            </w:r>
            <w:r>
              <w:rPr>
                <w:rFonts w:hint="eastAsia" w:ascii="宋体" w:hAnsi="宋体" w:cs="宋体"/>
                <w:color w:val="auto"/>
                <w:sz w:val="24"/>
                <w:szCs w:val="24"/>
                <w:highlight w:val="none"/>
                <w:lang w:eastAsia="zh-CN"/>
              </w:rPr>
              <w:t>月应支付合同款－扣款金额。</w:t>
            </w:r>
          </w:p>
          <w:p w14:paraId="50803E8A">
            <w:pPr>
              <w:spacing w:line="400" w:lineRule="exact"/>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成交人与采购人共同确认当月考核情况、确认当月实际支付的合同款后，</w:t>
            </w:r>
            <w:r>
              <w:rPr>
                <w:rFonts w:hint="eastAsia" w:ascii="宋体" w:hAnsi="宋体" w:cs="宋体"/>
                <w:color w:val="auto"/>
                <w:sz w:val="24"/>
                <w:szCs w:val="24"/>
                <w:highlight w:val="none"/>
              </w:rPr>
              <w:t>成交人</w:t>
            </w:r>
            <w:r>
              <w:rPr>
                <w:rFonts w:hint="eastAsia" w:ascii="宋体" w:hAnsi="宋体" w:cs="宋体"/>
                <w:color w:val="auto"/>
                <w:sz w:val="24"/>
                <w:szCs w:val="24"/>
                <w:highlight w:val="none"/>
                <w:lang w:eastAsia="zh-CN"/>
              </w:rPr>
              <w:t>应先向采购人开具</w:t>
            </w:r>
            <w:r>
              <w:rPr>
                <w:rFonts w:ascii="宋体" w:hAnsi="宋体" w:cs="宋体"/>
                <w:color w:val="auto"/>
                <w:sz w:val="24"/>
                <w:szCs w:val="24"/>
                <w:highlight w:val="none"/>
              </w:rPr>
              <w:t>相应金额的发票</w:t>
            </w:r>
            <w:r>
              <w:rPr>
                <w:rFonts w:hint="eastAsia" w:ascii="宋体" w:hAnsi="宋体" w:cs="宋体"/>
                <w:color w:val="auto"/>
                <w:sz w:val="24"/>
                <w:szCs w:val="24"/>
                <w:highlight w:val="none"/>
              </w:rPr>
              <w:t>，</w:t>
            </w:r>
            <w:r>
              <w:rPr>
                <w:rFonts w:hint="eastAsia" w:ascii="宋体" w:hAnsi="宋体" w:cs="宋体"/>
                <w:color w:val="auto"/>
                <w:sz w:val="24"/>
                <w:szCs w:val="24"/>
                <w:highlight w:val="none"/>
                <w:lang w:eastAsia="zh-CN"/>
              </w:rPr>
              <w:t>采购人</w:t>
            </w:r>
            <w:r>
              <w:rPr>
                <w:rFonts w:hint="eastAsia" w:ascii="宋体" w:hAnsi="宋体" w:cs="宋体"/>
                <w:color w:val="auto"/>
                <w:sz w:val="24"/>
                <w:szCs w:val="24"/>
                <w:highlight w:val="none"/>
              </w:rPr>
              <w:t>自收到</w:t>
            </w:r>
            <w:r>
              <w:rPr>
                <w:rFonts w:hint="eastAsia" w:ascii="宋体" w:hAnsi="宋体" w:cs="宋体"/>
                <w:color w:val="auto"/>
                <w:sz w:val="24"/>
                <w:szCs w:val="24"/>
                <w:highlight w:val="none"/>
                <w:lang w:eastAsia="zh-CN"/>
              </w:rPr>
              <w:t>发票后十个工作日</w:t>
            </w:r>
            <w:r>
              <w:rPr>
                <w:rFonts w:hint="eastAsia" w:ascii="宋体" w:hAnsi="宋体" w:cs="宋体"/>
                <w:color w:val="auto"/>
                <w:sz w:val="24"/>
                <w:szCs w:val="24"/>
                <w:highlight w:val="none"/>
              </w:rPr>
              <w:t>内</w:t>
            </w:r>
            <w:r>
              <w:rPr>
                <w:rFonts w:hint="eastAsia" w:ascii="宋体" w:hAnsi="宋体" w:cs="宋体"/>
                <w:color w:val="auto"/>
                <w:sz w:val="24"/>
                <w:szCs w:val="24"/>
                <w:highlight w:val="none"/>
                <w:lang w:eastAsia="zh-CN"/>
              </w:rPr>
              <w:t>向成交人支付相应月度的合同款</w:t>
            </w:r>
            <w:r>
              <w:rPr>
                <w:rFonts w:hint="eastAsia" w:ascii="宋体" w:hAnsi="宋体" w:cs="宋体"/>
                <w:color w:val="auto"/>
                <w:sz w:val="24"/>
                <w:szCs w:val="24"/>
                <w:highlight w:val="none"/>
              </w:rPr>
              <w:t>。</w:t>
            </w:r>
            <w:r>
              <w:rPr>
                <w:rFonts w:hint="eastAsia" w:ascii="宋体" w:hAnsi="宋体" w:cs="宋体"/>
                <w:color w:val="auto"/>
                <w:sz w:val="24"/>
                <w:szCs w:val="24"/>
                <w:highlight w:val="none"/>
                <w:lang w:eastAsia="zh-CN"/>
              </w:rPr>
              <w:t>如成交人不能向采购人开具相应金额的发票，否则采购人有权顺延付</w:t>
            </w:r>
            <w:r>
              <w:rPr>
                <w:rFonts w:hint="eastAsia" w:ascii="宋体" w:hAnsi="宋体" w:cs="宋体"/>
                <w:color w:val="auto"/>
                <w:sz w:val="24"/>
                <w:szCs w:val="24"/>
                <w:highlight w:val="none"/>
                <w:u w:val="none"/>
                <w:lang w:eastAsia="zh-CN"/>
              </w:rPr>
              <w:t>款。</w:t>
            </w:r>
          </w:p>
        </w:tc>
      </w:tr>
      <w:tr w14:paraId="6A1CAD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90" w:hRule="atLeast"/>
          <w:jc w:val="center"/>
        </w:trPr>
        <w:tc>
          <w:tcPr>
            <w:tcW w:w="1673" w:type="dxa"/>
            <w:gridSpan w:val="3"/>
            <w:tcBorders>
              <w:top w:val="single" w:color="auto" w:sz="4" w:space="0"/>
              <w:left w:val="single" w:color="auto" w:sz="4" w:space="0"/>
              <w:bottom w:val="single" w:color="auto" w:sz="4" w:space="0"/>
              <w:right w:val="single" w:color="auto" w:sz="4" w:space="0"/>
            </w:tcBorders>
            <w:noWrap/>
            <w:vAlign w:val="center"/>
          </w:tcPr>
          <w:p w14:paraId="096811E8">
            <w:pPr>
              <w:spacing w:line="400" w:lineRule="exact"/>
              <w:rPr>
                <w:rFonts w:ascii="宋体" w:hAnsi="宋体" w:cs="宋体"/>
                <w:color w:val="auto"/>
                <w:sz w:val="24"/>
                <w:szCs w:val="24"/>
                <w:highlight w:val="none"/>
              </w:rPr>
            </w:pPr>
            <w:r>
              <w:rPr>
                <w:rFonts w:hint="eastAsia" w:ascii="宋体" w:hAnsi="宋体" w:cs="Calibri"/>
                <w:color w:val="auto"/>
                <w:sz w:val="24"/>
                <w:szCs w:val="24"/>
                <w:highlight w:val="none"/>
              </w:rPr>
              <w:t>报价要求</w:t>
            </w:r>
          </w:p>
        </w:tc>
        <w:tc>
          <w:tcPr>
            <w:tcW w:w="7552" w:type="dxa"/>
            <w:gridSpan w:val="3"/>
            <w:tcBorders>
              <w:top w:val="single" w:color="auto" w:sz="4" w:space="0"/>
              <w:left w:val="single" w:color="auto" w:sz="4" w:space="0"/>
              <w:bottom w:val="single" w:color="auto" w:sz="4" w:space="0"/>
              <w:right w:val="single" w:color="auto" w:sz="4" w:space="0"/>
            </w:tcBorders>
            <w:noWrap/>
            <w:vAlign w:val="center"/>
          </w:tcPr>
          <w:p w14:paraId="71F48319">
            <w:pPr>
              <w:numPr>
                <w:ilvl w:val="0"/>
                <w:numId w:val="0"/>
              </w:numPr>
              <w:spacing w:line="400" w:lineRule="exact"/>
              <w:jc w:val="left"/>
              <w:rPr>
                <w:rFonts w:ascii="宋体" w:hAnsi="宋体" w:cs="宋体"/>
                <w:color w:val="auto"/>
                <w:sz w:val="24"/>
                <w:szCs w:val="24"/>
                <w:highlight w:val="none"/>
              </w:rPr>
            </w:pPr>
            <w:r>
              <w:rPr>
                <w:rFonts w:hint="eastAsia" w:ascii="宋体" w:hAnsi="宋体" w:cs="Calibri"/>
                <w:color w:val="auto"/>
                <w:sz w:val="24"/>
                <w:szCs w:val="24"/>
                <w:highlight w:val="none"/>
              </w:rPr>
              <w:t>磋商报价必须包括</w:t>
            </w:r>
            <w:r>
              <w:rPr>
                <w:rFonts w:hint="eastAsia" w:ascii="宋体" w:hAnsi="宋体" w:cs="Calibri"/>
                <w:color w:val="auto"/>
                <w:sz w:val="24"/>
                <w:szCs w:val="24"/>
                <w:highlight w:val="none"/>
                <w:lang w:eastAsia="zh-CN"/>
              </w:rPr>
              <w:t>但不仅限于</w:t>
            </w:r>
            <w:r>
              <w:rPr>
                <w:rFonts w:hint="eastAsia" w:ascii="宋体" w:hAnsi="宋体" w:cs="Calibri"/>
                <w:color w:val="auto"/>
                <w:sz w:val="24"/>
                <w:szCs w:val="24"/>
                <w:highlight w:val="none"/>
              </w:rPr>
              <w:t>：</w:t>
            </w:r>
            <w:r>
              <w:rPr>
                <w:rFonts w:hint="eastAsia" w:ascii="宋体" w:hAnsi="宋体" w:cs="宋体"/>
                <w:color w:val="auto"/>
                <w:sz w:val="24"/>
                <w:szCs w:val="24"/>
                <w:highlight w:val="none"/>
              </w:rPr>
              <w:t>拟投入本项目的</w:t>
            </w:r>
            <w:r>
              <w:rPr>
                <w:rFonts w:hint="eastAsia" w:ascii="宋体" w:hAnsi="宋体" w:cs="宋体"/>
                <w:color w:val="auto"/>
                <w:sz w:val="24"/>
                <w:szCs w:val="24"/>
                <w:highlight w:val="none"/>
                <w:lang w:eastAsia="zh-CN"/>
              </w:rPr>
              <w:t>人员工资（包括社保、福利）</w:t>
            </w:r>
            <w:r>
              <w:rPr>
                <w:rFonts w:hint="eastAsia" w:ascii="宋体" w:hAnsi="宋体" w:cs="宋体"/>
                <w:color w:val="auto"/>
                <w:sz w:val="24"/>
                <w:szCs w:val="24"/>
                <w:highlight w:val="none"/>
              </w:rPr>
              <w:t>、</w:t>
            </w:r>
            <w:r>
              <w:rPr>
                <w:rFonts w:hint="eastAsia" w:ascii="宋体" w:hAnsi="宋体" w:cs="Calibri"/>
                <w:color w:val="auto"/>
                <w:sz w:val="24"/>
                <w:szCs w:val="24"/>
                <w:highlight w:val="none"/>
                <w:lang w:val="en-US" w:eastAsia="zh-CN"/>
              </w:rPr>
              <w:t>服务人员工作服费、劳保用品费、值勤用具费、办公用品办公耗材费</w:t>
            </w:r>
            <w:r>
              <w:rPr>
                <w:rFonts w:hint="eastAsia" w:ascii="宋体" w:hAnsi="宋体" w:cs="Calibri"/>
                <w:color w:val="auto"/>
                <w:sz w:val="24"/>
                <w:szCs w:val="24"/>
                <w:highlight w:val="none"/>
              </w:rPr>
              <w:t>用</w:t>
            </w:r>
            <w:r>
              <w:rPr>
                <w:rFonts w:hint="eastAsia" w:ascii="宋体" w:hAnsi="宋体" w:cs="宋体"/>
                <w:color w:val="auto"/>
                <w:sz w:val="24"/>
                <w:szCs w:val="24"/>
                <w:highlight w:val="none"/>
              </w:rPr>
              <w:t>、食</w:t>
            </w:r>
            <w:r>
              <w:rPr>
                <w:rFonts w:hint="eastAsia" w:ascii="宋体" w:hAnsi="宋体" w:cs="宋体"/>
                <w:color w:val="auto"/>
                <w:sz w:val="24"/>
                <w:szCs w:val="24"/>
                <w:highlight w:val="none"/>
                <w:lang w:eastAsia="zh-CN"/>
              </w:rPr>
              <w:t>宿</w:t>
            </w:r>
            <w:r>
              <w:rPr>
                <w:rFonts w:hint="eastAsia" w:ascii="宋体" w:hAnsi="宋体" w:cs="宋体"/>
                <w:color w:val="auto"/>
                <w:sz w:val="24"/>
                <w:szCs w:val="24"/>
                <w:highlight w:val="none"/>
              </w:rPr>
              <w:t>费、培训、招标代理服务费、保险费和各项税金、利润等所</w:t>
            </w:r>
            <w:r>
              <w:rPr>
                <w:rFonts w:hint="eastAsia" w:ascii="宋体" w:hAnsi="宋体" w:cs="宋体"/>
                <w:color w:val="auto"/>
                <w:sz w:val="24"/>
                <w:szCs w:val="24"/>
                <w:highlight w:val="none"/>
                <w:lang w:eastAsia="zh-CN"/>
              </w:rPr>
              <w:t>有</w:t>
            </w:r>
            <w:r>
              <w:rPr>
                <w:rFonts w:hint="eastAsia" w:ascii="宋体" w:hAnsi="宋体" w:cs="宋体"/>
                <w:color w:val="auto"/>
                <w:sz w:val="24"/>
                <w:szCs w:val="24"/>
                <w:highlight w:val="none"/>
              </w:rPr>
              <w:t>费用，项目实施过程中的合同价不作调整</w:t>
            </w:r>
            <w:r>
              <w:rPr>
                <w:rFonts w:hint="eastAsia" w:ascii="宋体" w:hAnsi="宋体" w:cs="宋体"/>
                <w:color w:val="auto"/>
                <w:sz w:val="24"/>
                <w:szCs w:val="24"/>
                <w:highlight w:val="none"/>
                <w:lang w:eastAsia="zh-CN"/>
              </w:rPr>
              <w:t>。</w:t>
            </w:r>
          </w:p>
        </w:tc>
      </w:tr>
      <w:tr w14:paraId="1D8E43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9225" w:type="dxa"/>
            <w:gridSpan w:val="6"/>
            <w:tcBorders>
              <w:top w:val="single" w:color="auto" w:sz="4" w:space="0"/>
              <w:left w:val="single" w:color="auto" w:sz="4" w:space="0"/>
              <w:bottom w:val="single" w:color="auto" w:sz="4" w:space="0"/>
              <w:right w:val="single" w:color="auto" w:sz="4" w:space="0"/>
            </w:tcBorders>
            <w:noWrap/>
            <w:vAlign w:val="center"/>
          </w:tcPr>
          <w:p w14:paraId="14A4F082">
            <w:pPr>
              <w:spacing w:line="400" w:lineRule="exact"/>
              <w:ind w:left="0" w:leftChars="0" w:firstLine="0" w:firstLineChars="0"/>
              <w:jc w:val="left"/>
              <w:rPr>
                <w:rFonts w:hint="eastAsia" w:ascii="宋体" w:hAnsi="宋体" w:cs="Calibri"/>
                <w:color w:val="auto"/>
                <w:sz w:val="24"/>
                <w:szCs w:val="24"/>
                <w:highlight w:val="none"/>
              </w:rPr>
            </w:pPr>
            <w:r>
              <w:rPr>
                <w:rFonts w:hint="eastAsia" w:ascii="宋体" w:hAnsi="宋体" w:cs="Calibri"/>
                <w:b/>
                <w:bCs/>
                <w:color w:val="auto"/>
                <w:sz w:val="24"/>
                <w:szCs w:val="24"/>
                <w:highlight w:val="none"/>
                <w:lang w:eastAsia="zh-CN"/>
              </w:rPr>
              <w:t>三</w:t>
            </w:r>
            <w:r>
              <w:rPr>
                <w:rFonts w:hint="eastAsia" w:ascii="宋体" w:hAnsi="宋体" w:cs="Calibri"/>
                <w:b/>
                <w:bCs/>
                <w:color w:val="auto"/>
                <w:sz w:val="24"/>
                <w:szCs w:val="24"/>
                <w:highlight w:val="none"/>
              </w:rPr>
              <w:t>、与实现项目目标相关的其他要求</w:t>
            </w:r>
          </w:p>
        </w:tc>
      </w:tr>
      <w:tr w14:paraId="620E79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673" w:type="dxa"/>
            <w:gridSpan w:val="3"/>
            <w:tcBorders>
              <w:top w:val="single" w:color="auto" w:sz="4" w:space="0"/>
              <w:left w:val="single" w:color="auto" w:sz="4" w:space="0"/>
              <w:bottom w:val="single" w:color="auto" w:sz="4" w:space="0"/>
              <w:right w:val="single" w:color="auto" w:sz="4" w:space="0"/>
            </w:tcBorders>
            <w:noWrap/>
            <w:vAlign w:val="center"/>
          </w:tcPr>
          <w:p w14:paraId="7BB2087C">
            <w:pPr>
              <w:spacing w:line="400" w:lineRule="exact"/>
              <w:rPr>
                <w:rFonts w:hint="eastAsia" w:ascii="宋体" w:hAnsi="宋体" w:eastAsia="宋体" w:cs="Calibri"/>
                <w:color w:val="auto"/>
                <w:kern w:val="2"/>
                <w:sz w:val="24"/>
                <w:szCs w:val="24"/>
                <w:highlight w:val="none"/>
                <w:lang w:val="en-US" w:eastAsia="zh-CN" w:bidi="ar-SA"/>
              </w:rPr>
            </w:pPr>
            <w:r>
              <w:rPr>
                <w:rFonts w:hint="eastAsia" w:ascii="宋体" w:hAnsi="宋体" w:cs="Calibri"/>
                <w:color w:val="auto"/>
                <w:sz w:val="24"/>
                <w:szCs w:val="24"/>
                <w:highlight w:val="none"/>
              </w:rPr>
              <w:t>业绩要求</w:t>
            </w:r>
          </w:p>
        </w:tc>
        <w:tc>
          <w:tcPr>
            <w:tcW w:w="7552" w:type="dxa"/>
            <w:gridSpan w:val="3"/>
            <w:tcBorders>
              <w:top w:val="single" w:color="auto" w:sz="4" w:space="0"/>
              <w:left w:val="single" w:color="auto" w:sz="4" w:space="0"/>
              <w:bottom w:val="single" w:color="auto" w:sz="4" w:space="0"/>
              <w:right w:val="single" w:color="auto" w:sz="4" w:space="0"/>
            </w:tcBorders>
            <w:noWrap/>
            <w:vAlign w:val="center"/>
          </w:tcPr>
          <w:p w14:paraId="4F867181">
            <w:pPr>
              <w:spacing w:line="400" w:lineRule="exact"/>
              <w:rPr>
                <w:rFonts w:hint="eastAsia" w:ascii="宋体" w:hAnsi="宋体" w:eastAsia="宋体" w:cs="Calibri"/>
                <w:b/>
                <w:color w:val="auto"/>
                <w:kern w:val="2"/>
                <w:sz w:val="24"/>
                <w:szCs w:val="24"/>
                <w:highlight w:val="none"/>
                <w:lang w:val="en-US" w:eastAsia="zh-CN" w:bidi="ar-SA"/>
              </w:rPr>
            </w:pPr>
            <w:r>
              <w:rPr>
                <w:rFonts w:hint="eastAsia" w:ascii="宋体" w:hAnsi="宋体" w:cs="Calibri"/>
                <w:color w:val="auto"/>
                <w:sz w:val="24"/>
                <w:szCs w:val="24"/>
                <w:highlight w:val="none"/>
              </w:rPr>
              <w:t>详见“第四章  评审程序、评审方法和评审标准”</w:t>
            </w:r>
          </w:p>
        </w:tc>
      </w:tr>
      <w:tr w14:paraId="556FF0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673" w:type="dxa"/>
            <w:gridSpan w:val="3"/>
            <w:tcBorders>
              <w:top w:val="single" w:color="auto" w:sz="4" w:space="0"/>
              <w:left w:val="single" w:color="auto" w:sz="4" w:space="0"/>
              <w:bottom w:val="single" w:color="auto" w:sz="4" w:space="0"/>
              <w:right w:val="single" w:color="auto" w:sz="4" w:space="0"/>
            </w:tcBorders>
            <w:noWrap/>
            <w:vAlign w:val="center"/>
          </w:tcPr>
          <w:p w14:paraId="0C68047C">
            <w:pPr>
              <w:spacing w:line="400" w:lineRule="exact"/>
              <w:rPr>
                <w:rFonts w:hint="eastAsia" w:ascii="宋体" w:hAnsi="宋体" w:cs="Calibri"/>
                <w:color w:val="auto"/>
                <w:sz w:val="24"/>
                <w:szCs w:val="24"/>
                <w:highlight w:val="none"/>
              </w:rPr>
            </w:pPr>
            <w:r>
              <w:rPr>
                <w:rFonts w:hint="eastAsia" w:ascii="宋体" w:hAnsi="宋体" w:cs="宋体"/>
                <w:color w:val="auto"/>
                <w:sz w:val="24"/>
                <w:highlight w:val="none"/>
                <w:lang w:val="en-US" w:eastAsia="zh-CN"/>
              </w:rPr>
              <w:t>信誉</w:t>
            </w:r>
          </w:p>
        </w:tc>
        <w:tc>
          <w:tcPr>
            <w:tcW w:w="7552" w:type="dxa"/>
            <w:gridSpan w:val="3"/>
            <w:tcBorders>
              <w:top w:val="single" w:color="auto" w:sz="4" w:space="0"/>
              <w:left w:val="single" w:color="auto" w:sz="4" w:space="0"/>
              <w:bottom w:val="single" w:color="auto" w:sz="4" w:space="0"/>
              <w:right w:val="single" w:color="auto" w:sz="4" w:space="0"/>
            </w:tcBorders>
            <w:noWrap/>
            <w:vAlign w:val="center"/>
          </w:tcPr>
          <w:p w14:paraId="28578F9D">
            <w:pPr>
              <w:spacing w:line="400" w:lineRule="exact"/>
              <w:rPr>
                <w:rFonts w:hint="eastAsia" w:ascii="宋体" w:hAnsi="宋体" w:cs="Calibri"/>
                <w:color w:val="auto"/>
                <w:sz w:val="24"/>
                <w:szCs w:val="24"/>
                <w:highlight w:val="none"/>
              </w:rPr>
            </w:pPr>
            <w:r>
              <w:rPr>
                <w:rFonts w:hint="eastAsia" w:ascii="宋体" w:hAnsi="宋体" w:cs="Calibri"/>
                <w:color w:val="auto"/>
                <w:sz w:val="24"/>
                <w:szCs w:val="24"/>
                <w:highlight w:val="none"/>
              </w:rPr>
              <w:t>详见“第四章  评审程序、评审方法和评审标准”</w:t>
            </w:r>
          </w:p>
        </w:tc>
      </w:tr>
      <w:tr w14:paraId="2E97E8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673" w:type="dxa"/>
            <w:gridSpan w:val="3"/>
            <w:tcBorders>
              <w:top w:val="single" w:color="auto" w:sz="4" w:space="0"/>
              <w:left w:val="single" w:color="auto" w:sz="4" w:space="0"/>
              <w:bottom w:val="single" w:color="auto" w:sz="4" w:space="0"/>
              <w:right w:val="single" w:color="auto" w:sz="4" w:space="0"/>
            </w:tcBorders>
            <w:noWrap/>
            <w:vAlign w:val="center"/>
          </w:tcPr>
          <w:p w14:paraId="5009E055">
            <w:pPr>
              <w:spacing w:line="400" w:lineRule="exact"/>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履约服务能力</w:t>
            </w:r>
          </w:p>
        </w:tc>
        <w:tc>
          <w:tcPr>
            <w:tcW w:w="7552" w:type="dxa"/>
            <w:gridSpan w:val="3"/>
            <w:tcBorders>
              <w:top w:val="single" w:color="auto" w:sz="4" w:space="0"/>
              <w:left w:val="single" w:color="auto" w:sz="4" w:space="0"/>
              <w:bottom w:val="single" w:color="auto" w:sz="4" w:space="0"/>
              <w:right w:val="single" w:color="auto" w:sz="4" w:space="0"/>
            </w:tcBorders>
            <w:noWrap/>
            <w:vAlign w:val="center"/>
          </w:tcPr>
          <w:p w14:paraId="2625D9E5">
            <w:pPr>
              <w:spacing w:line="400" w:lineRule="exact"/>
              <w:rPr>
                <w:rFonts w:hint="eastAsia" w:ascii="宋体" w:hAnsi="宋体" w:cs="Calibri"/>
                <w:color w:val="auto"/>
                <w:sz w:val="24"/>
                <w:szCs w:val="24"/>
                <w:highlight w:val="none"/>
              </w:rPr>
            </w:pPr>
            <w:r>
              <w:rPr>
                <w:rFonts w:hint="eastAsia" w:ascii="宋体" w:hAnsi="宋体" w:cs="Calibri"/>
                <w:color w:val="auto"/>
                <w:sz w:val="24"/>
                <w:szCs w:val="24"/>
                <w:highlight w:val="none"/>
              </w:rPr>
              <w:t>详见“第四章  评审程序、评审方法和评审标准”</w:t>
            </w:r>
          </w:p>
        </w:tc>
      </w:tr>
    </w:tbl>
    <w:p w14:paraId="6E877235">
      <w:pPr>
        <w:rPr>
          <w:rFonts w:hint="eastAsia" w:ascii="宋体" w:hAnsi="宋体" w:cs="Courier New"/>
          <w:b/>
          <w:color w:val="auto"/>
          <w:szCs w:val="21"/>
          <w:highlight w:val="none"/>
        </w:rPr>
      </w:pPr>
      <w:bookmarkStart w:id="51" w:name="_Toc18871"/>
      <w:r>
        <w:rPr>
          <w:rFonts w:hint="eastAsia" w:ascii="宋体" w:hAnsi="宋体" w:cs="Courier New"/>
          <w:b/>
          <w:color w:val="auto"/>
          <w:szCs w:val="21"/>
          <w:highlight w:val="none"/>
        </w:rPr>
        <w:br w:type="page"/>
      </w:r>
    </w:p>
    <w:p w14:paraId="66AC5778">
      <w:pPr>
        <w:spacing w:line="360" w:lineRule="auto"/>
        <w:rPr>
          <w:rFonts w:hint="eastAsia" w:ascii="宋体" w:hAnsi="宋体" w:cs="Courier New"/>
          <w:b/>
          <w:color w:val="auto"/>
          <w:szCs w:val="21"/>
          <w:highlight w:val="none"/>
        </w:rPr>
      </w:pPr>
      <w:r>
        <w:rPr>
          <w:rFonts w:hint="eastAsia" w:ascii="宋体" w:hAnsi="宋体" w:cs="Courier New"/>
          <w:b/>
          <w:color w:val="auto"/>
          <w:szCs w:val="21"/>
          <w:highlight w:val="none"/>
        </w:rPr>
        <w:t>附件一：</w:t>
      </w:r>
    </w:p>
    <w:p w14:paraId="71C4926C">
      <w:pPr>
        <w:snapToGrid w:val="0"/>
        <w:spacing w:line="370" w:lineRule="exact"/>
        <w:jc w:val="center"/>
        <w:outlineLvl w:val="1"/>
        <w:rPr>
          <w:rFonts w:hint="eastAsia" w:ascii="宋体" w:hAnsi="宋体"/>
          <w:b/>
          <w:color w:val="auto"/>
          <w:sz w:val="28"/>
          <w:szCs w:val="28"/>
          <w:highlight w:val="none"/>
        </w:rPr>
      </w:pPr>
      <w:bookmarkStart w:id="52" w:name="_Toc11906"/>
      <w:r>
        <w:rPr>
          <w:rFonts w:hint="eastAsia" w:ascii="宋体" w:hAnsi="宋体"/>
          <w:b/>
          <w:color w:val="auto"/>
          <w:sz w:val="28"/>
          <w:szCs w:val="28"/>
          <w:highlight w:val="none"/>
        </w:rPr>
        <w:t>校园安保人员工作职责</w:t>
      </w:r>
      <w:bookmarkEnd w:id="52"/>
    </w:p>
    <w:p w14:paraId="512F4DF8">
      <w:pPr>
        <w:snapToGrid w:val="0"/>
        <w:spacing w:line="370" w:lineRule="exact"/>
        <w:outlineLvl w:val="1"/>
        <w:rPr>
          <w:rFonts w:hint="eastAsia" w:ascii="宋体" w:hAnsi="宋体"/>
          <w:color w:val="auto"/>
          <w:szCs w:val="20"/>
          <w:highlight w:val="none"/>
        </w:rPr>
      </w:pPr>
      <w:bookmarkStart w:id="53" w:name="_Toc26732"/>
      <w:r>
        <w:rPr>
          <w:rFonts w:hint="eastAsia" w:ascii="宋体" w:hAnsi="宋体"/>
          <w:color w:val="auto"/>
          <w:szCs w:val="20"/>
          <w:highlight w:val="none"/>
        </w:rPr>
        <w:t>1、保障学校财产、人员安全、维护校园稳定，遵守国家法律和工作纪律，尽职尽责，坚持原则，工作积极主动，大胆管理。</w:t>
      </w:r>
      <w:bookmarkEnd w:id="53"/>
    </w:p>
    <w:p w14:paraId="4105BE9B">
      <w:pPr>
        <w:snapToGrid w:val="0"/>
        <w:spacing w:line="370" w:lineRule="exact"/>
        <w:outlineLvl w:val="1"/>
        <w:rPr>
          <w:rFonts w:hint="eastAsia" w:ascii="宋体" w:hAnsi="宋体"/>
          <w:color w:val="auto"/>
          <w:szCs w:val="20"/>
          <w:highlight w:val="none"/>
        </w:rPr>
      </w:pPr>
      <w:bookmarkStart w:id="54" w:name="_Toc16189"/>
      <w:r>
        <w:rPr>
          <w:rFonts w:hint="eastAsia" w:ascii="宋体" w:hAnsi="宋体"/>
          <w:color w:val="auto"/>
          <w:szCs w:val="20"/>
          <w:highlight w:val="none"/>
        </w:rPr>
        <w:t>2、遵守值班规定，按规定时间交接班，做好交接班工作，工作期间不得擅自离岗。</w:t>
      </w:r>
      <w:bookmarkEnd w:id="54"/>
    </w:p>
    <w:p w14:paraId="5482B7D4">
      <w:pPr>
        <w:snapToGrid w:val="0"/>
        <w:spacing w:line="370" w:lineRule="exact"/>
        <w:outlineLvl w:val="1"/>
        <w:rPr>
          <w:rFonts w:hint="eastAsia" w:ascii="宋体" w:hAnsi="宋体"/>
          <w:color w:val="auto"/>
          <w:szCs w:val="20"/>
          <w:highlight w:val="none"/>
        </w:rPr>
      </w:pPr>
      <w:bookmarkStart w:id="55" w:name="_Toc521"/>
      <w:r>
        <w:rPr>
          <w:rFonts w:hint="eastAsia" w:ascii="宋体" w:hAnsi="宋体"/>
          <w:color w:val="auto"/>
          <w:szCs w:val="20"/>
          <w:highlight w:val="none"/>
        </w:rPr>
        <w:t>3、发现学生有违纪行为要及时劝阻和制止并上报。</w:t>
      </w:r>
      <w:bookmarkEnd w:id="55"/>
    </w:p>
    <w:p w14:paraId="015FAFF1">
      <w:pPr>
        <w:snapToGrid w:val="0"/>
        <w:spacing w:line="370" w:lineRule="exact"/>
        <w:outlineLvl w:val="1"/>
        <w:rPr>
          <w:rFonts w:hint="eastAsia" w:ascii="宋体" w:hAnsi="宋体"/>
          <w:color w:val="auto"/>
          <w:szCs w:val="20"/>
          <w:highlight w:val="none"/>
        </w:rPr>
      </w:pPr>
      <w:bookmarkStart w:id="56" w:name="_Toc9497"/>
      <w:r>
        <w:rPr>
          <w:rFonts w:hint="eastAsia" w:ascii="宋体" w:hAnsi="宋体"/>
          <w:color w:val="auto"/>
          <w:szCs w:val="20"/>
          <w:highlight w:val="none"/>
        </w:rPr>
        <w:t>4、正确使用值班器械、报警器材和消防器械，注意自身防范。</w:t>
      </w:r>
      <w:bookmarkEnd w:id="56"/>
    </w:p>
    <w:p w14:paraId="37302736">
      <w:pPr>
        <w:snapToGrid w:val="0"/>
        <w:spacing w:line="370" w:lineRule="exact"/>
        <w:outlineLvl w:val="1"/>
        <w:rPr>
          <w:rFonts w:hint="eastAsia" w:ascii="宋体" w:hAnsi="宋体"/>
          <w:color w:val="auto"/>
          <w:szCs w:val="20"/>
          <w:highlight w:val="none"/>
        </w:rPr>
      </w:pPr>
      <w:bookmarkStart w:id="57" w:name="_Toc30205"/>
      <w:r>
        <w:rPr>
          <w:rFonts w:hint="eastAsia" w:ascii="宋体" w:hAnsi="宋体"/>
          <w:color w:val="auto"/>
          <w:szCs w:val="20"/>
          <w:highlight w:val="none"/>
        </w:rPr>
        <w:t>5、认真做好值班记录，发现情况要及时处理并报学校学生科责任人，如有需要应及时报公安部门。</w:t>
      </w:r>
      <w:bookmarkEnd w:id="57"/>
    </w:p>
    <w:p w14:paraId="7B0EDA7D">
      <w:pPr>
        <w:snapToGrid w:val="0"/>
        <w:spacing w:line="370" w:lineRule="exact"/>
        <w:outlineLvl w:val="1"/>
        <w:rPr>
          <w:rFonts w:hint="eastAsia" w:ascii="宋体" w:hAnsi="宋体"/>
          <w:color w:val="auto"/>
          <w:szCs w:val="20"/>
          <w:highlight w:val="none"/>
        </w:rPr>
      </w:pPr>
      <w:bookmarkStart w:id="58" w:name="_Toc8137"/>
      <w:r>
        <w:rPr>
          <w:rFonts w:hint="eastAsia" w:ascii="宋体" w:hAnsi="宋体"/>
          <w:color w:val="auto"/>
          <w:szCs w:val="20"/>
          <w:highlight w:val="none"/>
        </w:rPr>
        <w:t>6、加强业务学习，熟悉本职工作，主动发现问题，防范突发事件的发生，确保校园重点防盗、防火等要害部位的安全。</w:t>
      </w:r>
      <w:bookmarkEnd w:id="58"/>
    </w:p>
    <w:p w14:paraId="59310704">
      <w:pPr>
        <w:snapToGrid w:val="0"/>
        <w:spacing w:line="370" w:lineRule="exact"/>
        <w:outlineLvl w:val="1"/>
        <w:rPr>
          <w:rFonts w:hint="eastAsia" w:ascii="宋体" w:hAnsi="宋体"/>
          <w:color w:val="auto"/>
          <w:szCs w:val="20"/>
          <w:highlight w:val="none"/>
        </w:rPr>
      </w:pPr>
      <w:bookmarkStart w:id="59" w:name="_Toc11504"/>
      <w:r>
        <w:rPr>
          <w:rFonts w:hint="eastAsia" w:ascii="宋体" w:hAnsi="宋体"/>
          <w:color w:val="auto"/>
          <w:szCs w:val="20"/>
          <w:highlight w:val="none"/>
        </w:rPr>
        <w:t>7、门前“三包”：包卫生、包绿化、包秩序，对妨碍学校出入通道的车辆及人员及时进行制止。</w:t>
      </w:r>
      <w:bookmarkEnd w:id="59"/>
    </w:p>
    <w:p w14:paraId="1CFE6602">
      <w:pPr>
        <w:snapToGrid w:val="0"/>
        <w:spacing w:line="370" w:lineRule="exact"/>
        <w:outlineLvl w:val="1"/>
        <w:rPr>
          <w:rFonts w:hint="eastAsia" w:ascii="宋体" w:hAnsi="宋体"/>
          <w:color w:val="auto"/>
          <w:szCs w:val="20"/>
          <w:highlight w:val="none"/>
        </w:rPr>
      </w:pPr>
      <w:bookmarkStart w:id="60" w:name="_Toc1547"/>
      <w:r>
        <w:rPr>
          <w:rFonts w:hint="eastAsia" w:ascii="宋体" w:hAnsi="宋体"/>
          <w:color w:val="auto"/>
          <w:szCs w:val="20"/>
          <w:highlight w:val="none"/>
        </w:rPr>
        <w:t>8、外来人员来访，需根据《外来人员出入学校管理制度》的相关规定进行核实与登记，方能放行进出校园。</w:t>
      </w:r>
      <w:bookmarkEnd w:id="60"/>
    </w:p>
    <w:p w14:paraId="6975A720">
      <w:pPr>
        <w:snapToGrid w:val="0"/>
        <w:spacing w:line="370" w:lineRule="exact"/>
        <w:outlineLvl w:val="1"/>
        <w:rPr>
          <w:rFonts w:hint="eastAsia" w:ascii="宋体" w:hAnsi="宋体"/>
          <w:color w:val="auto"/>
          <w:szCs w:val="20"/>
          <w:highlight w:val="none"/>
        </w:rPr>
      </w:pPr>
      <w:bookmarkStart w:id="61" w:name="_Toc22646"/>
      <w:r>
        <w:rPr>
          <w:rFonts w:hint="eastAsia" w:ascii="宋体" w:hAnsi="宋体"/>
          <w:color w:val="auto"/>
          <w:szCs w:val="20"/>
          <w:highlight w:val="none"/>
        </w:rPr>
        <w:t>9、外来车辆出校学校，需根据《校园车辆管理制度》的相关规定进行核实与登记，方能放行进出校园。</w:t>
      </w:r>
      <w:bookmarkEnd w:id="61"/>
    </w:p>
    <w:p w14:paraId="69437C6E">
      <w:pPr>
        <w:snapToGrid w:val="0"/>
        <w:spacing w:line="370" w:lineRule="exact"/>
        <w:outlineLvl w:val="1"/>
        <w:rPr>
          <w:rFonts w:hint="eastAsia" w:ascii="宋体" w:hAnsi="宋体"/>
          <w:color w:val="auto"/>
          <w:szCs w:val="20"/>
          <w:highlight w:val="none"/>
        </w:rPr>
      </w:pPr>
      <w:bookmarkStart w:id="62" w:name="_Toc27054"/>
      <w:r>
        <w:rPr>
          <w:rFonts w:hint="eastAsia" w:ascii="宋体" w:hAnsi="宋体"/>
          <w:color w:val="auto"/>
          <w:szCs w:val="20"/>
          <w:highlight w:val="none"/>
        </w:rPr>
        <w:t>10、学生进出校门按照《学生进出校门的规定》执行；如学生</w:t>
      </w:r>
      <w:r>
        <w:rPr>
          <w:rFonts w:hint="eastAsia" w:ascii="宋体" w:hAnsi="宋体"/>
          <w:color w:val="auto"/>
          <w:szCs w:val="20"/>
          <w:highlight w:val="none"/>
          <w:lang w:eastAsia="zh-CN"/>
        </w:rPr>
        <w:t>未戴</w:t>
      </w:r>
      <w:r>
        <w:rPr>
          <w:rFonts w:hint="eastAsia" w:ascii="宋体" w:hAnsi="宋体"/>
          <w:color w:val="auto"/>
          <w:szCs w:val="20"/>
          <w:highlight w:val="none"/>
        </w:rPr>
        <w:t>校徽或学生证，应根据学生花名册认真核实或班主任电话核实，确认其学生身份后，方可让其进入校园。</w:t>
      </w:r>
      <w:bookmarkEnd w:id="62"/>
    </w:p>
    <w:p w14:paraId="14A3811D">
      <w:pPr>
        <w:snapToGrid w:val="0"/>
        <w:spacing w:line="370" w:lineRule="exact"/>
        <w:outlineLvl w:val="1"/>
        <w:rPr>
          <w:rFonts w:hint="eastAsia" w:ascii="宋体" w:hAnsi="宋体"/>
          <w:color w:val="auto"/>
          <w:szCs w:val="20"/>
          <w:highlight w:val="none"/>
        </w:rPr>
      </w:pPr>
      <w:bookmarkStart w:id="63" w:name="_Toc30601"/>
      <w:r>
        <w:rPr>
          <w:rFonts w:hint="eastAsia" w:ascii="宋体" w:hAnsi="宋体"/>
          <w:color w:val="auto"/>
          <w:szCs w:val="20"/>
          <w:highlight w:val="none"/>
        </w:rPr>
        <w:t>11、学生按学校规定作息时间出校门，其它时间无“放行条”或校医务室“外出就诊证明”的一律不准外出。</w:t>
      </w:r>
      <w:bookmarkEnd w:id="63"/>
    </w:p>
    <w:p w14:paraId="3F21C930">
      <w:pPr>
        <w:snapToGrid w:val="0"/>
        <w:spacing w:line="370" w:lineRule="exact"/>
        <w:outlineLvl w:val="1"/>
        <w:rPr>
          <w:rFonts w:hint="eastAsia" w:ascii="宋体" w:hAnsi="宋体"/>
          <w:color w:val="auto"/>
          <w:szCs w:val="20"/>
          <w:highlight w:val="none"/>
        </w:rPr>
      </w:pPr>
      <w:bookmarkStart w:id="64" w:name="_Toc14497"/>
      <w:r>
        <w:rPr>
          <w:rFonts w:hint="eastAsia" w:ascii="宋体" w:hAnsi="宋体"/>
          <w:color w:val="auto"/>
          <w:szCs w:val="20"/>
          <w:highlight w:val="none"/>
        </w:rPr>
        <w:t>12、星期一至星期五（节假日除外）谢绝探访学生(学生家长除外)。</w:t>
      </w:r>
      <w:bookmarkEnd w:id="64"/>
    </w:p>
    <w:p w14:paraId="19112C03">
      <w:pPr>
        <w:snapToGrid w:val="0"/>
        <w:spacing w:line="370" w:lineRule="exact"/>
        <w:outlineLvl w:val="1"/>
        <w:rPr>
          <w:rFonts w:hint="eastAsia" w:ascii="宋体" w:hAnsi="宋体"/>
          <w:color w:val="auto"/>
          <w:szCs w:val="20"/>
          <w:highlight w:val="none"/>
        </w:rPr>
      </w:pPr>
      <w:bookmarkStart w:id="65" w:name="_Toc26573"/>
      <w:r>
        <w:rPr>
          <w:rFonts w:hint="eastAsia" w:ascii="宋体" w:hAnsi="宋体"/>
          <w:color w:val="auto"/>
          <w:szCs w:val="20"/>
          <w:highlight w:val="none"/>
        </w:rPr>
        <w:t>13、禁止外来人员或学生乘出租车进入校园(教职工及家属除外)。</w:t>
      </w:r>
      <w:bookmarkEnd w:id="65"/>
    </w:p>
    <w:p w14:paraId="312510DC">
      <w:pPr>
        <w:snapToGrid w:val="0"/>
        <w:spacing w:line="370" w:lineRule="exact"/>
        <w:outlineLvl w:val="1"/>
        <w:rPr>
          <w:rFonts w:hint="eastAsia" w:ascii="宋体" w:hAnsi="宋体"/>
          <w:color w:val="auto"/>
          <w:szCs w:val="20"/>
          <w:highlight w:val="none"/>
        </w:rPr>
      </w:pPr>
      <w:bookmarkStart w:id="66" w:name="_Toc11168"/>
      <w:r>
        <w:rPr>
          <w:rFonts w:hint="eastAsia" w:ascii="宋体" w:hAnsi="宋体"/>
          <w:color w:val="auto"/>
          <w:szCs w:val="20"/>
          <w:highlight w:val="none"/>
        </w:rPr>
        <w:t>14、禁止学生携带外来食品、有皮西瓜进入校园。</w:t>
      </w:r>
      <w:bookmarkEnd w:id="66"/>
    </w:p>
    <w:p w14:paraId="5BF21551">
      <w:pPr>
        <w:snapToGrid w:val="0"/>
        <w:spacing w:line="370" w:lineRule="exact"/>
        <w:outlineLvl w:val="1"/>
        <w:rPr>
          <w:rFonts w:hint="eastAsia" w:ascii="宋体" w:hAnsi="宋体"/>
          <w:color w:val="auto"/>
          <w:szCs w:val="20"/>
          <w:highlight w:val="none"/>
        </w:rPr>
      </w:pPr>
      <w:bookmarkStart w:id="67" w:name="_Toc12814"/>
      <w:r>
        <w:rPr>
          <w:rFonts w:hint="eastAsia" w:ascii="宋体" w:hAnsi="宋体"/>
          <w:color w:val="auto"/>
          <w:szCs w:val="20"/>
          <w:highlight w:val="none"/>
        </w:rPr>
        <w:t>15、严禁推销、闲杂人员进入校园（收废旧、送水、送气、送奶、送报、送食品等由专人负责）。</w:t>
      </w:r>
      <w:bookmarkEnd w:id="67"/>
    </w:p>
    <w:p w14:paraId="0D818E49">
      <w:pPr>
        <w:snapToGrid w:val="0"/>
        <w:spacing w:line="370" w:lineRule="exact"/>
        <w:outlineLvl w:val="1"/>
        <w:rPr>
          <w:rFonts w:hint="eastAsia" w:ascii="宋体" w:hAnsi="宋体"/>
          <w:color w:val="auto"/>
          <w:szCs w:val="20"/>
          <w:highlight w:val="none"/>
        </w:rPr>
      </w:pPr>
      <w:bookmarkStart w:id="68" w:name="_Toc5956"/>
      <w:r>
        <w:rPr>
          <w:rFonts w:hint="eastAsia" w:ascii="宋体" w:hAnsi="宋体"/>
          <w:color w:val="auto"/>
          <w:szCs w:val="20"/>
          <w:highlight w:val="none"/>
        </w:rPr>
        <w:t>16、校大门智能出入系统设施平时应完全关闭，有人员、车辆进出时进行自动识别或者刷卡进入，无特殊情况，门卫不能手动打开设施，禁止外来人员、车辆进入校园。</w:t>
      </w:r>
      <w:bookmarkEnd w:id="68"/>
    </w:p>
    <w:p w14:paraId="7D8298C3">
      <w:pPr>
        <w:snapToGrid w:val="0"/>
        <w:spacing w:line="370" w:lineRule="exact"/>
        <w:outlineLvl w:val="1"/>
        <w:rPr>
          <w:rFonts w:hint="eastAsia" w:ascii="宋体" w:hAnsi="宋体"/>
          <w:color w:val="auto"/>
          <w:szCs w:val="20"/>
          <w:highlight w:val="none"/>
        </w:rPr>
      </w:pPr>
      <w:bookmarkStart w:id="69" w:name="_Toc29589"/>
      <w:r>
        <w:rPr>
          <w:rFonts w:hint="eastAsia" w:ascii="宋体" w:hAnsi="宋体"/>
          <w:color w:val="auto"/>
          <w:szCs w:val="20"/>
          <w:highlight w:val="none"/>
        </w:rPr>
        <w:t>17、服从学校管理，按时参加学校召开的相关会议。</w:t>
      </w:r>
      <w:bookmarkEnd w:id="69"/>
    </w:p>
    <w:p w14:paraId="5E3B218E">
      <w:pPr>
        <w:snapToGrid w:val="0"/>
        <w:spacing w:line="370" w:lineRule="exact"/>
        <w:outlineLvl w:val="1"/>
        <w:rPr>
          <w:rFonts w:hint="eastAsia" w:ascii="宋体" w:hAnsi="宋体"/>
          <w:color w:val="auto"/>
          <w:szCs w:val="20"/>
          <w:highlight w:val="none"/>
        </w:rPr>
      </w:pPr>
      <w:bookmarkStart w:id="70" w:name="_Toc6772"/>
      <w:r>
        <w:rPr>
          <w:rFonts w:hint="eastAsia" w:ascii="宋体" w:hAnsi="宋体"/>
          <w:color w:val="auto"/>
          <w:szCs w:val="20"/>
          <w:highlight w:val="none"/>
        </w:rPr>
        <w:t>18、按学校规定的工作制度值班，积极认真，如值班时工作不认真被教职工、学生投诉，经学校核查清楚，如是值班人责任，由值班人负责。</w:t>
      </w:r>
      <w:bookmarkEnd w:id="70"/>
    </w:p>
    <w:p w14:paraId="0574F4EF">
      <w:pPr>
        <w:snapToGrid w:val="0"/>
        <w:spacing w:line="370" w:lineRule="exact"/>
        <w:outlineLvl w:val="1"/>
        <w:rPr>
          <w:rFonts w:hint="eastAsia" w:ascii="宋体" w:hAnsi="宋体"/>
          <w:color w:val="auto"/>
          <w:szCs w:val="20"/>
          <w:highlight w:val="none"/>
        </w:rPr>
      </w:pPr>
      <w:bookmarkStart w:id="71" w:name="_Toc4941"/>
      <w:r>
        <w:rPr>
          <w:rFonts w:hint="eastAsia" w:ascii="宋体" w:hAnsi="宋体"/>
          <w:color w:val="auto"/>
          <w:szCs w:val="20"/>
          <w:highlight w:val="none"/>
        </w:rPr>
        <w:t>19、按规定时间交接班，上班前不能喝酒，如发现上班时有酒气，不能上班。</w:t>
      </w:r>
      <w:bookmarkEnd w:id="71"/>
    </w:p>
    <w:p w14:paraId="2CF37FCC">
      <w:pPr>
        <w:snapToGrid w:val="0"/>
        <w:spacing w:line="370" w:lineRule="exact"/>
        <w:outlineLvl w:val="1"/>
        <w:rPr>
          <w:rFonts w:hint="eastAsia" w:ascii="宋体" w:hAnsi="宋体"/>
          <w:color w:val="auto"/>
          <w:szCs w:val="20"/>
          <w:highlight w:val="none"/>
        </w:rPr>
      </w:pPr>
      <w:bookmarkStart w:id="72" w:name="_Toc15762"/>
      <w:r>
        <w:rPr>
          <w:rFonts w:hint="eastAsia" w:ascii="宋体" w:hAnsi="宋体"/>
          <w:color w:val="auto"/>
          <w:szCs w:val="20"/>
          <w:highlight w:val="none"/>
        </w:rPr>
        <w:t>20、保管好值班室内物品，值班室内不得煮东西，严格遵守值班规定，值班时要求：在值班室外值班，值班时间不得饮酒、泡茶、看书、看报、聊天、干私活及长时间接打私人电话等。</w:t>
      </w:r>
      <w:bookmarkEnd w:id="72"/>
    </w:p>
    <w:p w14:paraId="2166C2B6">
      <w:pPr>
        <w:snapToGrid w:val="0"/>
        <w:spacing w:line="370" w:lineRule="exact"/>
        <w:outlineLvl w:val="1"/>
        <w:rPr>
          <w:rFonts w:hint="eastAsia" w:ascii="宋体" w:hAnsi="宋体"/>
          <w:color w:val="auto"/>
          <w:szCs w:val="20"/>
          <w:highlight w:val="none"/>
        </w:rPr>
      </w:pPr>
      <w:bookmarkStart w:id="73" w:name="_Toc10437"/>
      <w:r>
        <w:rPr>
          <w:rFonts w:hint="eastAsia" w:ascii="宋体" w:hAnsi="宋体"/>
          <w:color w:val="auto"/>
          <w:szCs w:val="20"/>
          <w:highlight w:val="none"/>
        </w:rPr>
        <w:t>21、校内保卫巡逻人员按规定时间分别到教学综合楼、实训中心楼、食堂综合楼打开各楼层照明灯，并锁好各栋楼大门，次日早上6</w:t>
      </w:r>
      <w:r>
        <w:rPr>
          <w:rFonts w:hint="eastAsia" w:ascii="宋体" w:hAnsi="宋体"/>
          <w:color w:val="auto"/>
          <w:szCs w:val="20"/>
          <w:highlight w:val="none"/>
          <w:lang w:eastAsia="zh-CN"/>
        </w:rPr>
        <w:t>:</w:t>
      </w:r>
      <w:r>
        <w:rPr>
          <w:rFonts w:hint="eastAsia" w:ascii="宋体" w:hAnsi="宋体"/>
          <w:color w:val="auto"/>
          <w:szCs w:val="20"/>
          <w:highlight w:val="none"/>
        </w:rPr>
        <w:t>00分别到各楼层关照明灯</w:t>
      </w:r>
      <w:r>
        <w:rPr>
          <w:rFonts w:hint="eastAsia" w:ascii="宋体" w:hAnsi="宋体"/>
          <w:color w:val="auto"/>
          <w:szCs w:val="20"/>
          <w:highlight w:val="none"/>
          <w:lang w:eastAsia="zh-CN"/>
        </w:rPr>
        <w:t>，</w:t>
      </w:r>
      <w:r>
        <w:rPr>
          <w:rFonts w:hint="eastAsia" w:ascii="宋体" w:hAnsi="宋体"/>
          <w:color w:val="auto"/>
          <w:szCs w:val="20"/>
          <w:highlight w:val="none"/>
        </w:rPr>
        <w:t>并开好各大门。</w:t>
      </w:r>
      <w:bookmarkEnd w:id="73"/>
    </w:p>
    <w:p w14:paraId="20A7D2CB">
      <w:pPr>
        <w:snapToGrid w:val="0"/>
        <w:spacing w:line="370" w:lineRule="exact"/>
        <w:outlineLvl w:val="1"/>
        <w:rPr>
          <w:rFonts w:hint="eastAsia" w:ascii="宋体" w:hAnsi="宋体"/>
          <w:color w:val="auto"/>
          <w:szCs w:val="20"/>
          <w:highlight w:val="none"/>
        </w:rPr>
      </w:pPr>
      <w:bookmarkStart w:id="74" w:name="_Toc28630"/>
      <w:r>
        <w:rPr>
          <w:rFonts w:hint="eastAsia" w:ascii="宋体" w:hAnsi="宋体"/>
          <w:color w:val="auto"/>
          <w:szCs w:val="20"/>
          <w:highlight w:val="none"/>
        </w:rPr>
        <w:t>22、校内保卫巡逻人员要</w:t>
      </w:r>
      <w:r>
        <w:rPr>
          <w:rFonts w:hint="eastAsia" w:ascii="宋体" w:hAnsi="宋体"/>
          <w:color w:val="auto"/>
          <w:szCs w:val="20"/>
          <w:highlight w:val="none"/>
          <w:lang w:eastAsia="zh-CN"/>
        </w:rPr>
        <w:t>佩戴</w:t>
      </w:r>
      <w:r>
        <w:rPr>
          <w:rFonts w:hint="eastAsia" w:ascii="宋体" w:hAnsi="宋体"/>
          <w:color w:val="auto"/>
          <w:szCs w:val="20"/>
          <w:highlight w:val="none"/>
        </w:rPr>
        <w:t>好对讲机、器械等物品后进行巡视，要求每30分钟巡视一次，巡视后回到值班室，巡视地点：教学综合楼、实训中心楼、食堂综合楼、学生宿舍楼、教工宿舍楼、汽车维修车间、球场等及校园公共区域，巡视正常后上锁，巡逻中遇到有陌生人要及时上前盘问、核实。</w:t>
      </w:r>
      <w:bookmarkEnd w:id="74"/>
    </w:p>
    <w:p w14:paraId="26BED834">
      <w:pPr>
        <w:snapToGrid w:val="0"/>
        <w:spacing w:line="370" w:lineRule="exact"/>
        <w:outlineLvl w:val="1"/>
        <w:rPr>
          <w:rFonts w:hint="eastAsia" w:ascii="宋体" w:hAnsi="宋体"/>
          <w:color w:val="auto"/>
          <w:szCs w:val="20"/>
          <w:highlight w:val="none"/>
        </w:rPr>
      </w:pPr>
      <w:bookmarkStart w:id="75" w:name="_Toc27798"/>
      <w:r>
        <w:rPr>
          <w:rFonts w:hint="eastAsia" w:ascii="宋体" w:hAnsi="宋体"/>
          <w:color w:val="auto"/>
          <w:szCs w:val="20"/>
          <w:highlight w:val="none"/>
        </w:rPr>
        <w:t>23、做好领导交办的其他工作任务。</w:t>
      </w:r>
      <w:bookmarkEnd w:id="75"/>
    </w:p>
    <w:p w14:paraId="6369B29D">
      <w:pPr>
        <w:snapToGrid w:val="0"/>
        <w:spacing w:line="370" w:lineRule="exact"/>
        <w:jc w:val="center"/>
        <w:outlineLvl w:val="1"/>
        <w:rPr>
          <w:rFonts w:hint="eastAsia" w:ascii="宋体" w:hAnsi="宋体"/>
          <w:b/>
          <w:color w:val="auto"/>
          <w:sz w:val="28"/>
          <w:szCs w:val="28"/>
          <w:highlight w:val="none"/>
        </w:rPr>
      </w:pPr>
      <w:bookmarkStart w:id="76" w:name="_Toc31921"/>
      <w:r>
        <w:rPr>
          <w:rFonts w:hint="eastAsia" w:ascii="宋体" w:hAnsi="宋体" w:cs="Courier New"/>
          <w:b/>
          <w:color w:val="auto"/>
          <w:szCs w:val="21"/>
          <w:highlight w:val="none"/>
        </w:rPr>
        <w:br w:type="page"/>
      </w:r>
      <w:r>
        <w:rPr>
          <w:rFonts w:hint="eastAsia" w:ascii="宋体" w:hAnsi="宋体" w:cs="Courier New"/>
          <w:b/>
          <w:color w:val="auto"/>
          <w:szCs w:val="21"/>
          <w:highlight w:val="none"/>
        </w:rPr>
        <w:t>附件二：</w:t>
      </w:r>
      <w:r>
        <w:rPr>
          <w:rFonts w:hint="eastAsia" w:ascii="宋体" w:hAnsi="宋体"/>
          <w:b/>
          <w:color w:val="auto"/>
          <w:sz w:val="28"/>
          <w:szCs w:val="28"/>
          <w:highlight w:val="none"/>
        </w:rPr>
        <w:t>驻校教官工作职责</w:t>
      </w:r>
      <w:bookmarkEnd w:id="76"/>
    </w:p>
    <w:p w14:paraId="3716B2E2">
      <w:pPr>
        <w:snapToGrid w:val="0"/>
        <w:spacing w:line="370" w:lineRule="exact"/>
        <w:outlineLvl w:val="1"/>
        <w:rPr>
          <w:rFonts w:ascii="宋体" w:hAnsi="宋体"/>
          <w:color w:val="auto"/>
          <w:szCs w:val="20"/>
          <w:highlight w:val="none"/>
        </w:rPr>
      </w:pPr>
    </w:p>
    <w:p w14:paraId="2B2E9FB6">
      <w:pPr>
        <w:snapToGrid w:val="0"/>
        <w:spacing w:line="370" w:lineRule="exact"/>
        <w:outlineLvl w:val="1"/>
        <w:rPr>
          <w:rFonts w:hint="eastAsia" w:ascii="宋体" w:hAnsi="宋体"/>
          <w:color w:val="auto"/>
          <w:szCs w:val="21"/>
          <w:highlight w:val="none"/>
        </w:rPr>
      </w:pPr>
      <w:bookmarkStart w:id="77" w:name="_Toc1211"/>
      <w:r>
        <w:rPr>
          <w:rFonts w:hint="eastAsia" w:ascii="宋体" w:hAnsi="宋体"/>
          <w:color w:val="auto"/>
          <w:szCs w:val="21"/>
          <w:highlight w:val="none"/>
        </w:rPr>
        <w:t>（一）宿舍管理</w:t>
      </w:r>
      <w:bookmarkEnd w:id="77"/>
    </w:p>
    <w:p w14:paraId="77EFD76B">
      <w:pPr>
        <w:snapToGrid w:val="0"/>
        <w:spacing w:line="370" w:lineRule="exact"/>
        <w:outlineLvl w:val="1"/>
        <w:rPr>
          <w:rFonts w:hint="eastAsia" w:ascii="宋体" w:hAnsi="宋体"/>
          <w:color w:val="auto"/>
          <w:szCs w:val="21"/>
          <w:highlight w:val="none"/>
        </w:rPr>
      </w:pPr>
      <w:bookmarkStart w:id="78" w:name="_Toc8506"/>
      <w:r>
        <w:rPr>
          <w:rFonts w:hint="eastAsia" w:ascii="宋体" w:hAnsi="宋体"/>
          <w:color w:val="auto"/>
          <w:szCs w:val="21"/>
          <w:highlight w:val="none"/>
        </w:rPr>
        <w:t>在宿舍集中区安排1个岗位（岗亭），落实24小时值班制度，对宿舍区实施实时监管，其余零星宿舍在工作时段进行检查监控。教官分3-4批分散住在学生宿舍楼，完成学生宿舍日常管理检查监控的同时有效应对宿舍区突发事件。教官负责管理好学生的“两休”工作，积极帮助和教育学生提高宿舍内务标准和卫生质量，做好宿舍的安全保卫工作，让学生养成一个讲卫生守纪律的好习惯。督促学生在早上、下午及晚自习按时离开宿舍去教室上课时，对无故滞留宿舍不去上课的学生集中进行教育。</w:t>
      </w:r>
      <w:bookmarkEnd w:id="78"/>
    </w:p>
    <w:p w14:paraId="7D92BC93">
      <w:pPr>
        <w:snapToGrid w:val="0"/>
        <w:spacing w:line="370" w:lineRule="exact"/>
        <w:outlineLvl w:val="1"/>
        <w:rPr>
          <w:rFonts w:hint="eastAsia" w:ascii="宋体" w:hAnsi="宋体"/>
          <w:color w:val="auto"/>
          <w:szCs w:val="21"/>
          <w:highlight w:val="none"/>
        </w:rPr>
      </w:pPr>
      <w:bookmarkStart w:id="79" w:name="_Toc21719"/>
      <w:r>
        <w:rPr>
          <w:rFonts w:hint="eastAsia" w:ascii="宋体" w:hAnsi="宋体"/>
          <w:color w:val="auto"/>
          <w:szCs w:val="21"/>
          <w:highlight w:val="none"/>
        </w:rPr>
        <w:t>具体时间表（各工作内容随学校实际作息制度及现有硬件实施不同自动调整）：</w:t>
      </w:r>
      <w:bookmarkEnd w:id="79"/>
    </w:p>
    <w:p w14:paraId="6BADA2C1">
      <w:pPr>
        <w:snapToGrid w:val="0"/>
        <w:spacing w:line="370" w:lineRule="exact"/>
        <w:outlineLvl w:val="1"/>
        <w:rPr>
          <w:rFonts w:hint="eastAsia" w:ascii="宋体" w:hAnsi="宋体"/>
          <w:color w:val="auto"/>
          <w:szCs w:val="21"/>
          <w:highlight w:val="none"/>
        </w:rPr>
      </w:pPr>
      <w:bookmarkStart w:id="80" w:name="_Toc27107"/>
      <w:r>
        <w:rPr>
          <w:rFonts w:hint="eastAsia" w:ascii="宋体" w:hAnsi="宋体"/>
          <w:color w:val="auto"/>
          <w:szCs w:val="21"/>
          <w:highlight w:val="none"/>
        </w:rPr>
        <w:t>06</w:t>
      </w:r>
      <w:r>
        <w:rPr>
          <w:rFonts w:hint="eastAsia" w:ascii="宋体" w:hAnsi="宋体"/>
          <w:color w:val="auto"/>
          <w:szCs w:val="21"/>
          <w:highlight w:val="none"/>
          <w:lang w:eastAsia="zh-CN"/>
        </w:rPr>
        <w:t>:</w:t>
      </w:r>
      <w:r>
        <w:rPr>
          <w:rFonts w:hint="eastAsia" w:ascii="宋体" w:hAnsi="宋体"/>
          <w:color w:val="auto"/>
          <w:szCs w:val="21"/>
          <w:highlight w:val="none"/>
        </w:rPr>
        <w:t>00  起床、开门。</w:t>
      </w:r>
      <w:bookmarkEnd w:id="80"/>
    </w:p>
    <w:p w14:paraId="16639996">
      <w:pPr>
        <w:snapToGrid w:val="0"/>
        <w:spacing w:line="370" w:lineRule="exact"/>
        <w:outlineLvl w:val="1"/>
        <w:rPr>
          <w:rFonts w:hint="eastAsia" w:ascii="宋体" w:hAnsi="宋体"/>
          <w:color w:val="auto"/>
          <w:szCs w:val="21"/>
          <w:highlight w:val="none"/>
        </w:rPr>
      </w:pPr>
      <w:bookmarkStart w:id="81" w:name="_Toc31105"/>
      <w:r>
        <w:rPr>
          <w:rFonts w:hint="eastAsia" w:ascii="宋体" w:hAnsi="宋体"/>
          <w:color w:val="auto"/>
          <w:szCs w:val="21"/>
          <w:highlight w:val="none"/>
        </w:rPr>
        <w:t>06</w:t>
      </w:r>
      <w:r>
        <w:rPr>
          <w:rFonts w:hint="eastAsia" w:ascii="宋体" w:hAnsi="宋体"/>
          <w:color w:val="auto"/>
          <w:szCs w:val="21"/>
          <w:highlight w:val="none"/>
          <w:lang w:eastAsia="zh-CN"/>
        </w:rPr>
        <w:t>:</w:t>
      </w:r>
      <w:r>
        <w:rPr>
          <w:rFonts w:hint="eastAsia" w:ascii="宋体" w:hAnsi="宋体"/>
          <w:color w:val="auto"/>
          <w:szCs w:val="21"/>
          <w:highlight w:val="none"/>
        </w:rPr>
        <w:t>30吹哨学生起床。</w:t>
      </w:r>
      <w:bookmarkEnd w:id="81"/>
    </w:p>
    <w:p w14:paraId="1F80DC96">
      <w:pPr>
        <w:snapToGrid w:val="0"/>
        <w:spacing w:line="370" w:lineRule="exact"/>
        <w:outlineLvl w:val="1"/>
        <w:rPr>
          <w:rFonts w:hint="eastAsia" w:ascii="宋体" w:hAnsi="宋体"/>
          <w:color w:val="auto"/>
          <w:szCs w:val="21"/>
          <w:highlight w:val="none"/>
        </w:rPr>
      </w:pPr>
      <w:bookmarkStart w:id="82" w:name="_Toc789"/>
      <w:r>
        <w:rPr>
          <w:rFonts w:hint="eastAsia" w:ascii="宋体" w:hAnsi="宋体"/>
          <w:color w:val="auto"/>
          <w:szCs w:val="21"/>
          <w:highlight w:val="none"/>
        </w:rPr>
        <w:t>07:00－07</w:t>
      </w:r>
      <w:r>
        <w:rPr>
          <w:rFonts w:hint="eastAsia" w:ascii="宋体" w:hAnsi="宋体"/>
          <w:color w:val="auto"/>
          <w:szCs w:val="21"/>
          <w:highlight w:val="none"/>
          <w:lang w:eastAsia="zh-CN"/>
        </w:rPr>
        <w:t>:</w:t>
      </w:r>
      <w:r>
        <w:rPr>
          <w:rFonts w:hint="eastAsia" w:ascii="宋体" w:hAnsi="宋体"/>
          <w:color w:val="auto"/>
          <w:szCs w:val="21"/>
          <w:highlight w:val="none"/>
        </w:rPr>
        <w:t>30督促学生整理内务，打扫环境卫生。</w:t>
      </w:r>
      <w:bookmarkEnd w:id="82"/>
    </w:p>
    <w:p w14:paraId="00AD66FE">
      <w:pPr>
        <w:snapToGrid w:val="0"/>
        <w:spacing w:line="370" w:lineRule="exact"/>
        <w:outlineLvl w:val="1"/>
        <w:rPr>
          <w:rFonts w:hint="eastAsia" w:ascii="宋体" w:hAnsi="宋体"/>
          <w:color w:val="auto"/>
          <w:szCs w:val="21"/>
          <w:highlight w:val="none"/>
        </w:rPr>
      </w:pPr>
      <w:bookmarkStart w:id="83" w:name="_Toc3846"/>
      <w:r>
        <w:rPr>
          <w:rFonts w:hint="eastAsia" w:ascii="宋体" w:hAnsi="宋体"/>
          <w:color w:val="auto"/>
          <w:szCs w:val="21"/>
          <w:highlight w:val="none"/>
        </w:rPr>
        <w:t>07</w:t>
      </w:r>
      <w:r>
        <w:rPr>
          <w:rFonts w:hint="eastAsia" w:ascii="宋体" w:hAnsi="宋体"/>
          <w:color w:val="auto"/>
          <w:szCs w:val="21"/>
          <w:highlight w:val="none"/>
          <w:lang w:eastAsia="zh-CN"/>
        </w:rPr>
        <w:t>:</w:t>
      </w:r>
      <w:r>
        <w:rPr>
          <w:rFonts w:hint="eastAsia" w:ascii="宋体" w:hAnsi="宋体"/>
          <w:color w:val="auto"/>
          <w:szCs w:val="21"/>
          <w:highlight w:val="none"/>
        </w:rPr>
        <w:t>30—7:50吹哨督促学生离开宿舍到饭堂早餐，按学校要求负责学生升旗、集会、晨跑晨练等活动的学生集合和秩序维护工作。</w:t>
      </w:r>
      <w:bookmarkEnd w:id="83"/>
    </w:p>
    <w:p w14:paraId="704D3A24">
      <w:pPr>
        <w:snapToGrid w:val="0"/>
        <w:spacing w:line="370" w:lineRule="exact"/>
        <w:outlineLvl w:val="1"/>
        <w:rPr>
          <w:rFonts w:hint="eastAsia" w:ascii="宋体" w:hAnsi="宋体"/>
          <w:color w:val="auto"/>
          <w:szCs w:val="21"/>
          <w:highlight w:val="none"/>
        </w:rPr>
      </w:pPr>
      <w:bookmarkStart w:id="84" w:name="_Toc15195"/>
      <w:r>
        <w:rPr>
          <w:rFonts w:hint="eastAsia" w:ascii="宋体" w:hAnsi="宋体"/>
          <w:color w:val="auto"/>
          <w:szCs w:val="21"/>
          <w:highlight w:val="none"/>
        </w:rPr>
        <w:t>07</w:t>
      </w:r>
      <w:r>
        <w:rPr>
          <w:rFonts w:hint="eastAsia" w:ascii="宋体" w:hAnsi="宋体"/>
          <w:color w:val="auto"/>
          <w:szCs w:val="21"/>
          <w:highlight w:val="none"/>
          <w:lang w:eastAsia="zh-CN"/>
        </w:rPr>
        <w:t>:</w:t>
      </w:r>
      <w:r>
        <w:rPr>
          <w:rFonts w:hint="eastAsia" w:ascii="宋体" w:hAnsi="宋体"/>
          <w:color w:val="auto"/>
          <w:szCs w:val="21"/>
          <w:highlight w:val="none"/>
        </w:rPr>
        <w:t>55锁宿舍大门；对应去上课却滞留在宿舍的学生进行教育管理后督促其去教室上课。</w:t>
      </w:r>
      <w:bookmarkEnd w:id="84"/>
    </w:p>
    <w:p w14:paraId="6B8ECE67">
      <w:pPr>
        <w:snapToGrid w:val="0"/>
        <w:spacing w:line="370" w:lineRule="exact"/>
        <w:outlineLvl w:val="1"/>
        <w:rPr>
          <w:rFonts w:hint="eastAsia" w:ascii="宋体" w:hAnsi="宋体"/>
          <w:color w:val="auto"/>
          <w:szCs w:val="21"/>
          <w:highlight w:val="none"/>
        </w:rPr>
      </w:pPr>
      <w:bookmarkStart w:id="85" w:name="_Toc10062"/>
      <w:r>
        <w:rPr>
          <w:rFonts w:hint="eastAsia" w:ascii="宋体" w:hAnsi="宋体"/>
          <w:color w:val="auto"/>
          <w:szCs w:val="21"/>
          <w:highlight w:val="none"/>
        </w:rPr>
        <w:t>08</w:t>
      </w:r>
      <w:r>
        <w:rPr>
          <w:rFonts w:hint="eastAsia" w:ascii="宋体" w:hAnsi="宋体"/>
          <w:color w:val="auto"/>
          <w:szCs w:val="21"/>
          <w:highlight w:val="none"/>
          <w:lang w:eastAsia="zh-CN"/>
        </w:rPr>
        <w:t>:</w:t>
      </w:r>
      <w:r>
        <w:rPr>
          <w:rFonts w:hint="eastAsia" w:ascii="宋体" w:hAnsi="宋体"/>
          <w:color w:val="auto"/>
          <w:szCs w:val="21"/>
          <w:highlight w:val="none"/>
        </w:rPr>
        <w:t>00－11</w:t>
      </w:r>
      <w:r>
        <w:rPr>
          <w:rFonts w:hint="eastAsia" w:ascii="宋体" w:hAnsi="宋体"/>
          <w:color w:val="auto"/>
          <w:szCs w:val="21"/>
          <w:highlight w:val="none"/>
          <w:lang w:eastAsia="zh-CN"/>
        </w:rPr>
        <w:t>:</w:t>
      </w:r>
      <w:r>
        <w:rPr>
          <w:rFonts w:hint="eastAsia" w:ascii="宋体" w:hAnsi="宋体"/>
          <w:color w:val="auto"/>
          <w:szCs w:val="21"/>
          <w:highlight w:val="none"/>
        </w:rPr>
        <w:t>10检查内务卫生张榜公布，并对滞留宿舍学生进行教育；报修宿舍公物。</w:t>
      </w:r>
      <w:bookmarkEnd w:id="85"/>
      <w:r>
        <w:rPr>
          <w:rFonts w:hint="eastAsia" w:ascii="宋体" w:hAnsi="宋体"/>
          <w:color w:val="auto"/>
          <w:szCs w:val="21"/>
          <w:highlight w:val="none"/>
        </w:rPr>
        <w:t xml:space="preserve"> </w:t>
      </w:r>
    </w:p>
    <w:p w14:paraId="6FCFCF8F">
      <w:pPr>
        <w:snapToGrid w:val="0"/>
        <w:spacing w:line="370" w:lineRule="exact"/>
        <w:outlineLvl w:val="1"/>
        <w:rPr>
          <w:rFonts w:hint="eastAsia" w:ascii="宋体" w:hAnsi="宋体"/>
          <w:color w:val="auto"/>
          <w:szCs w:val="21"/>
          <w:highlight w:val="none"/>
        </w:rPr>
      </w:pPr>
      <w:bookmarkStart w:id="86" w:name="_Toc11340"/>
      <w:r>
        <w:rPr>
          <w:rFonts w:hint="eastAsia" w:ascii="宋体" w:hAnsi="宋体"/>
          <w:color w:val="auto"/>
          <w:szCs w:val="21"/>
          <w:highlight w:val="none"/>
        </w:rPr>
        <w:t>11</w:t>
      </w:r>
      <w:r>
        <w:rPr>
          <w:rFonts w:hint="eastAsia" w:ascii="宋体" w:hAnsi="宋体"/>
          <w:color w:val="auto"/>
          <w:szCs w:val="21"/>
          <w:highlight w:val="none"/>
          <w:lang w:eastAsia="zh-CN"/>
        </w:rPr>
        <w:t>:</w:t>
      </w:r>
      <w:r>
        <w:rPr>
          <w:rFonts w:hint="eastAsia" w:ascii="宋体" w:hAnsi="宋体"/>
          <w:color w:val="auto"/>
          <w:szCs w:val="21"/>
          <w:highlight w:val="none"/>
        </w:rPr>
        <w:t>30开宿舍门。</w:t>
      </w:r>
      <w:bookmarkEnd w:id="86"/>
    </w:p>
    <w:p w14:paraId="3009B51F">
      <w:pPr>
        <w:snapToGrid w:val="0"/>
        <w:spacing w:line="370" w:lineRule="exact"/>
        <w:outlineLvl w:val="1"/>
        <w:rPr>
          <w:rFonts w:hint="eastAsia" w:ascii="宋体" w:hAnsi="宋体"/>
          <w:color w:val="auto"/>
          <w:szCs w:val="21"/>
          <w:highlight w:val="none"/>
        </w:rPr>
      </w:pPr>
      <w:bookmarkStart w:id="87" w:name="_Toc12223"/>
      <w:r>
        <w:rPr>
          <w:rFonts w:hint="eastAsia" w:ascii="宋体" w:hAnsi="宋体"/>
          <w:color w:val="auto"/>
          <w:szCs w:val="21"/>
          <w:highlight w:val="none"/>
        </w:rPr>
        <w:t>12</w:t>
      </w:r>
      <w:r>
        <w:rPr>
          <w:rFonts w:hint="eastAsia" w:ascii="宋体" w:hAnsi="宋体"/>
          <w:color w:val="auto"/>
          <w:szCs w:val="21"/>
          <w:highlight w:val="none"/>
          <w:lang w:eastAsia="zh-CN"/>
        </w:rPr>
        <w:t>:</w:t>
      </w:r>
      <w:r>
        <w:rPr>
          <w:rFonts w:hint="eastAsia" w:ascii="宋体" w:hAnsi="宋体"/>
          <w:color w:val="auto"/>
          <w:szCs w:val="21"/>
          <w:highlight w:val="none"/>
        </w:rPr>
        <w:t>50吹哨让学生午休。</w:t>
      </w:r>
      <w:bookmarkEnd w:id="87"/>
    </w:p>
    <w:p w14:paraId="194089AF">
      <w:pPr>
        <w:snapToGrid w:val="0"/>
        <w:spacing w:line="370" w:lineRule="exact"/>
        <w:outlineLvl w:val="1"/>
        <w:rPr>
          <w:rFonts w:hint="eastAsia" w:ascii="宋体" w:hAnsi="宋体"/>
          <w:color w:val="auto"/>
          <w:szCs w:val="21"/>
          <w:highlight w:val="none"/>
        </w:rPr>
      </w:pPr>
      <w:bookmarkStart w:id="88" w:name="_Toc26448"/>
      <w:r>
        <w:rPr>
          <w:rFonts w:hint="eastAsia" w:ascii="宋体" w:hAnsi="宋体"/>
          <w:color w:val="auto"/>
          <w:szCs w:val="21"/>
          <w:highlight w:val="none"/>
        </w:rPr>
        <w:t>12:50—14:20检查学生午休情况，及时向队长报告，重大问题及时报告学生管理部门（对宿舍卫生较差的宿舍实施整改）。</w:t>
      </w:r>
      <w:bookmarkEnd w:id="88"/>
    </w:p>
    <w:p w14:paraId="221F88A0">
      <w:pPr>
        <w:snapToGrid w:val="0"/>
        <w:spacing w:line="370" w:lineRule="exact"/>
        <w:outlineLvl w:val="1"/>
        <w:rPr>
          <w:rFonts w:hint="eastAsia" w:ascii="宋体" w:hAnsi="宋体"/>
          <w:color w:val="auto"/>
          <w:szCs w:val="21"/>
          <w:highlight w:val="none"/>
        </w:rPr>
      </w:pPr>
      <w:bookmarkStart w:id="89" w:name="_Toc20304"/>
      <w:r>
        <w:rPr>
          <w:rFonts w:hint="eastAsia" w:ascii="宋体" w:hAnsi="宋体"/>
          <w:color w:val="auto"/>
          <w:szCs w:val="21"/>
          <w:highlight w:val="none"/>
        </w:rPr>
        <w:t>14</w:t>
      </w:r>
      <w:r>
        <w:rPr>
          <w:rFonts w:hint="eastAsia" w:ascii="宋体" w:hAnsi="宋体"/>
          <w:color w:val="auto"/>
          <w:szCs w:val="21"/>
          <w:highlight w:val="none"/>
          <w:lang w:eastAsia="zh-CN"/>
        </w:rPr>
        <w:t>:</w:t>
      </w:r>
      <w:r>
        <w:rPr>
          <w:rFonts w:hint="eastAsia" w:ascii="宋体" w:hAnsi="宋体"/>
          <w:color w:val="auto"/>
          <w:szCs w:val="21"/>
          <w:highlight w:val="none"/>
        </w:rPr>
        <w:t>10吹哨起床、督促学生整理内务打扫环境卫生。</w:t>
      </w:r>
      <w:bookmarkEnd w:id="89"/>
    </w:p>
    <w:p w14:paraId="160D096A">
      <w:pPr>
        <w:snapToGrid w:val="0"/>
        <w:spacing w:line="370" w:lineRule="exact"/>
        <w:outlineLvl w:val="1"/>
        <w:rPr>
          <w:rFonts w:hint="eastAsia" w:ascii="宋体" w:hAnsi="宋体"/>
          <w:color w:val="auto"/>
          <w:szCs w:val="21"/>
          <w:highlight w:val="none"/>
        </w:rPr>
      </w:pPr>
      <w:bookmarkStart w:id="90" w:name="_Toc11756"/>
      <w:r>
        <w:rPr>
          <w:rFonts w:hint="eastAsia" w:ascii="宋体" w:hAnsi="宋体"/>
          <w:color w:val="auto"/>
          <w:szCs w:val="21"/>
          <w:highlight w:val="none"/>
        </w:rPr>
        <w:t>14</w:t>
      </w:r>
      <w:r>
        <w:rPr>
          <w:rFonts w:hint="eastAsia" w:ascii="宋体" w:hAnsi="宋体"/>
          <w:color w:val="auto"/>
          <w:szCs w:val="21"/>
          <w:highlight w:val="none"/>
          <w:lang w:eastAsia="zh-CN"/>
        </w:rPr>
        <w:t>:</w:t>
      </w:r>
      <w:r>
        <w:rPr>
          <w:rFonts w:hint="eastAsia" w:ascii="宋体" w:hAnsi="宋体"/>
          <w:color w:val="auto"/>
          <w:szCs w:val="21"/>
          <w:highlight w:val="none"/>
        </w:rPr>
        <w:t>40锁宿舍大门；对应去上课却滞留在宿舍的学生进行教育管理后督促其去教室上课。</w:t>
      </w:r>
      <w:bookmarkEnd w:id="90"/>
    </w:p>
    <w:p w14:paraId="0E29ACA8">
      <w:pPr>
        <w:snapToGrid w:val="0"/>
        <w:spacing w:line="370" w:lineRule="exact"/>
        <w:outlineLvl w:val="1"/>
        <w:rPr>
          <w:rFonts w:hint="eastAsia" w:ascii="宋体" w:hAnsi="宋体"/>
          <w:color w:val="auto"/>
          <w:szCs w:val="21"/>
          <w:highlight w:val="none"/>
        </w:rPr>
      </w:pPr>
      <w:bookmarkStart w:id="91" w:name="_Toc17967"/>
      <w:r>
        <w:rPr>
          <w:rFonts w:hint="eastAsia" w:ascii="宋体" w:hAnsi="宋体"/>
          <w:color w:val="auto"/>
          <w:szCs w:val="21"/>
          <w:highlight w:val="none"/>
        </w:rPr>
        <w:t>14</w:t>
      </w:r>
      <w:r>
        <w:rPr>
          <w:rFonts w:hint="eastAsia" w:ascii="宋体" w:hAnsi="宋体"/>
          <w:color w:val="auto"/>
          <w:szCs w:val="21"/>
          <w:highlight w:val="none"/>
          <w:lang w:eastAsia="zh-CN"/>
        </w:rPr>
        <w:t>:</w:t>
      </w:r>
      <w:r>
        <w:rPr>
          <w:rFonts w:hint="eastAsia" w:ascii="宋体" w:hAnsi="宋体"/>
          <w:color w:val="auto"/>
          <w:szCs w:val="21"/>
          <w:highlight w:val="none"/>
        </w:rPr>
        <w:t>40—16</w:t>
      </w:r>
      <w:r>
        <w:rPr>
          <w:rFonts w:hint="eastAsia" w:ascii="宋体" w:hAnsi="宋体"/>
          <w:color w:val="auto"/>
          <w:szCs w:val="21"/>
          <w:highlight w:val="none"/>
          <w:lang w:eastAsia="zh-CN"/>
        </w:rPr>
        <w:t>:</w:t>
      </w:r>
      <w:r>
        <w:rPr>
          <w:rFonts w:hint="eastAsia" w:ascii="宋体" w:hAnsi="宋体"/>
          <w:color w:val="auto"/>
          <w:szCs w:val="21"/>
          <w:highlight w:val="none"/>
        </w:rPr>
        <w:t>00检查内务卫生；报修宿舍公物。</w:t>
      </w:r>
      <w:bookmarkEnd w:id="91"/>
    </w:p>
    <w:p w14:paraId="01921952">
      <w:pPr>
        <w:snapToGrid w:val="0"/>
        <w:spacing w:line="370" w:lineRule="exact"/>
        <w:outlineLvl w:val="1"/>
        <w:rPr>
          <w:rFonts w:hint="eastAsia" w:ascii="宋体" w:hAnsi="宋体"/>
          <w:color w:val="auto"/>
          <w:szCs w:val="21"/>
          <w:highlight w:val="none"/>
        </w:rPr>
      </w:pPr>
      <w:bookmarkStart w:id="92" w:name="_Toc14671"/>
      <w:r>
        <w:rPr>
          <w:rFonts w:hint="eastAsia" w:ascii="宋体" w:hAnsi="宋体"/>
          <w:color w:val="auto"/>
          <w:szCs w:val="21"/>
          <w:highlight w:val="none"/>
        </w:rPr>
        <w:t>16</w:t>
      </w:r>
      <w:r>
        <w:rPr>
          <w:rFonts w:hint="eastAsia" w:ascii="宋体" w:hAnsi="宋体"/>
          <w:color w:val="auto"/>
          <w:szCs w:val="21"/>
          <w:highlight w:val="none"/>
          <w:lang w:eastAsia="zh-CN"/>
        </w:rPr>
        <w:t>:</w:t>
      </w:r>
      <w:r>
        <w:rPr>
          <w:rFonts w:hint="eastAsia" w:ascii="宋体" w:hAnsi="宋体"/>
          <w:color w:val="auto"/>
          <w:szCs w:val="21"/>
          <w:highlight w:val="none"/>
        </w:rPr>
        <w:t>30开宿舍门。</w:t>
      </w:r>
      <w:bookmarkEnd w:id="92"/>
    </w:p>
    <w:p w14:paraId="150A8405">
      <w:pPr>
        <w:snapToGrid w:val="0"/>
        <w:spacing w:line="370" w:lineRule="exact"/>
        <w:outlineLvl w:val="1"/>
        <w:rPr>
          <w:rFonts w:hint="eastAsia" w:ascii="宋体" w:hAnsi="宋体"/>
          <w:color w:val="auto"/>
          <w:szCs w:val="21"/>
          <w:highlight w:val="none"/>
        </w:rPr>
      </w:pPr>
      <w:bookmarkStart w:id="93" w:name="_Toc25512"/>
      <w:r>
        <w:rPr>
          <w:rFonts w:hint="eastAsia" w:ascii="宋体" w:hAnsi="宋体"/>
          <w:color w:val="auto"/>
          <w:szCs w:val="21"/>
          <w:highlight w:val="none"/>
        </w:rPr>
        <w:t>19</w:t>
      </w:r>
      <w:r>
        <w:rPr>
          <w:rFonts w:hint="eastAsia" w:ascii="宋体" w:hAnsi="宋体"/>
          <w:color w:val="auto"/>
          <w:szCs w:val="21"/>
          <w:highlight w:val="none"/>
          <w:lang w:eastAsia="zh-CN"/>
        </w:rPr>
        <w:t>:</w:t>
      </w:r>
      <w:r>
        <w:rPr>
          <w:rFonts w:hint="eastAsia" w:ascii="宋体" w:hAnsi="宋体"/>
          <w:color w:val="auto"/>
          <w:szCs w:val="21"/>
          <w:highlight w:val="none"/>
        </w:rPr>
        <w:t>30吹哨，让学生离开宿舍。</w:t>
      </w:r>
      <w:bookmarkEnd w:id="93"/>
    </w:p>
    <w:p w14:paraId="72C654FC">
      <w:pPr>
        <w:snapToGrid w:val="0"/>
        <w:spacing w:line="370" w:lineRule="exact"/>
        <w:outlineLvl w:val="1"/>
        <w:rPr>
          <w:rFonts w:hint="eastAsia" w:ascii="宋体" w:hAnsi="宋体"/>
          <w:color w:val="auto"/>
          <w:szCs w:val="21"/>
          <w:highlight w:val="none"/>
        </w:rPr>
      </w:pPr>
      <w:bookmarkStart w:id="94" w:name="_Toc29469"/>
      <w:r>
        <w:rPr>
          <w:rFonts w:hint="eastAsia" w:ascii="宋体" w:hAnsi="宋体"/>
          <w:color w:val="auto"/>
          <w:szCs w:val="21"/>
          <w:highlight w:val="none"/>
        </w:rPr>
        <w:t>19</w:t>
      </w:r>
      <w:r>
        <w:rPr>
          <w:rFonts w:hint="eastAsia" w:ascii="宋体" w:hAnsi="宋体"/>
          <w:color w:val="auto"/>
          <w:szCs w:val="21"/>
          <w:highlight w:val="none"/>
          <w:lang w:eastAsia="zh-CN"/>
        </w:rPr>
        <w:t>:</w:t>
      </w:r>
      <w:r>
        <w:rPr>
          <w:rFonts w:hint="eastAsia" w:ascii="宋体" w:hAnsi="宋体"/>
          <w:color w:val="auto"/>
          <w:szCs w:val="21"/>
          <w:highlight w:val="none"/>
        </w:rPr>
        <w:t>30—21</w:t>
      </w:r>
      <w:r>
        <w:rPr>
          <w:rFonts w:hint="eastAsia" w:ascii="宋体" w:hAnsi="宋体"/>
          <w:color w:val="auto"/>
          <w:szCs w:val="21"/>
          <w:highlight w:val="none"/>
          <w:lang w:eastAsia="zh-CN"/>
        </w:rPr>
        <w:t>:</w:t>
      </w:r>
      <w:r>
        <w:rPr>
          <w:rFonts w:hint="eastAsia" w:ascii="宋体" w:hAnsi="宋体"/>
          <w:color w:val="auto"/>
          <w:szCs w:val="21"/>
          <w:highlight w:val="none"/>
        </w:rPr>
        <w:t>30锁宿舍大门；对应去上晚自习却滞留在宿舍的学生进行教育管理后督促其去教室上晚自习。</w:t>
      </w:r>
      <w:bookmarkEnd w:id="94"/>
    </w:p>
    <w:p w14:paraId="5E605F28">
      <w:pPr>
        <w:snapToGrid w:val="0"/>
        <w:spacing w:line="370" w:lineRule="exact"/>
        <w:outlineLvl w:val="1"/>
        <w:rPr>
          <w:rFonts w:hint="eastAsia" w:ascii="宋体" w:hAnsi="宋体"/>
          <w:color w:val="auto"/>
          <w:szCs w:val="21"/>
          <w:highlight w:val="none"/>
        </w:rPr>
      </w:pPr>
      <w:bookmarkStart w:id="95" w:name="_Toc3120"/>
      <w:r>
        <w:rPr>
          <w:rFonts w:hint="eastAsia" w:ascii="宋体" w:hAnsi="宋体"/>
          <w:color w:val="auto"/>
          <w:szCs w:val="21"/>
          <w:highlight w:val="none"/>
        </w:rPr>
        <w:t>21</w:t>
      </w:r>
      <w:r>
        <w:rPr>
          <w:rFonts w:hint="eastAsia" w:ascii="宋体" w:hAnsi="宋体"/>
          <w:color w:val="auto"/>
          <w:szCs w:val="21"/>
          <w:highlight w:val="none"/>
          <w:lang w:eastAsia="zh-CN"/>
        </w:rPr>
        <w:t>:</w:t>
      </w:r>
      <w:r>
        <w:rPr>
          <w:rFonts w:hint="eastAsia" w:ascii="宋体" w:hAnsi="宋体"/>
          <w:color w:val="auto"/>
          <w:szCs w:val="21"/>
          <w:highlight w:val="none"/>
        </w:rPr>
        <w:t>30开宿舍门、督促学生迅速洗漱就寝。</w:t>
      </w:r>
      <w:bookmarkEnd w:id="95"/>
    </w:p>
    <w:p w14:paraId="711F4D38">
      <w:pPr>
        <w:snapToGrid w:val="0"/>
        <w:spacing w:line="370" w:lineRule="exact"/>
        <w:outlineLvl w:val="1"/>
        <w:rPr>
          <w:rFonts w:hint="eastAsia" w:ascii="宋体" w:hAnsi="宋体"/>
          <w:color w:val="auto"/>
          <w:szCs w:val="21"/>
          <w:highlight w:val="none"/>
        </w:rPr>
      </w:pPr>
      <w:bookmarkStart w:id="96" w:name="_Toc20949"/>
      <w:r>
        <w:rPr>
          <w:rFonts w:hint="eastAsia" w:ascii="宋体" w:hAnsi="宋体"/>
          <w:color w:val="auto"/>
          <w:szCs w:val="21"/>
          <w:highlight w:val="none"/>
        </w:rPr>
        <w:t>22</w:t>
      </w:r>
      <w:r>
        <w:rPr>
          <w:rFonts w:hint="eastAsia" w:ascii="宋体" w:hAnsi="宋体"/>
          <w:color w:val="auto"/>
          <w:szCs w:val="21"/>
          <w:highlight w:val="none"/>
          <w:lang w:eastAsia="zh-CN"/>
        </w:rPr>
        <w:t>:</w:t>
      </w:r>
      <w:r>
        <w:rPr>
          <w:rFonts w:hint="eastAsia" w:ascii="宋体" w:hAnsi="宋体"/>
          <w:color w:val="auto"/>
          <w:szCs w:val="21"/>
          <w:highlight w:val="none"/>
        </w:rPr>
        <w:t>30吹哨熄灯（星期五、六为23:00吹哨熄灯）。</w:t>
      </w:r>
      <w:bookmarkEnd w:id="96"/>
    </w:p>
    <w:p w14:paraId="04582E9E">
      <w:pPr>
        <w:snapToGrid w:val="0"/>
        <w:spacing w:line="370" w:lineRule="exact"/>
        <w:outlineLvl w:val="1"/>
        <w:rPr>
          <w:rFonts w:hint="eastAsia" w:ascii="宋体" w:hAnsi="宋体"/>
          <w:color w:val="auto"/>
          <w:szCs w:val="21"/>
          <w:highlight w:val="none"/>
        </w:rPr>
      </w:pPr>
      <w:bookmarkStart w:id="97" w:name="_Toc22711"/>
      <w:r>
        <w:rPr>
          <w:rFonts w:hint="eastAsia" w:ascii="宋体" w:hAnsi="宋体"/>
          <w:color w:val="auto"/>
          <w:szCs w:val="21"/>
          <w:highlight w:val="none"/>
        </w:rPr>
        <w:t>22</w:t>
      </w:r>
      <w:r>
        <w:rPr>
          <w:rFonts w:hint="eastAsia" w:ascii="宋体" w:hAnsi="宋体"/>
          <w:color w:val="auto"/>
          <w:szCs w:val="21"/>
          <w:highlight w:val="none"/>
          <w:lang w:eastAsia="zh-CN"/>
        </w:rPr>
        <w:t>:</w:t>
      </w:r>
      <w:r>
        <w:rPr>
          <w:rFonts w:hint="eastAsia" w:ascii="宋体" w:hAnsi="宋体"/>
          <w:color w:val="auto"/>
          <w:szCs w:val="21"/>
          <w:highlight w:val="none"/>
        </w:rPr>
        <w:t>10—22</w:t>
      </w:r>
      <w:r>
        <w:rPr>
          <w:rFonts w:hint="eastAsia" w:ascii="宋体" w:hAnsi="宋体"/>
          <w:color w:val="auto"/>
          <w:szCs w:val="21"/>
          <w:highlight w:val="none"/>
          <w:lang w:eastAsia="zh-CN"/>
        </w:rPr>
        <w:t>:</w:t>
      </w:r>
      <w:r>
        <w:rPr>
          <w:rFonts w:hint="eastAsia" w:ascii="宋体" w:hAnsi="宋体"/>
          <w:color w:val="auto"/>
          <w:szCs w:val="21"/>
          <w:highlight w:val="none"/>
        </w:rPr>
        <w:t>30（星期五、六为22</w:t>
      </w:r>
      <w:r>
        <w:rPr>
          <w:rFonts w:hint="eastAsia" w:ascii="宋体" w:hAnsi="宋体"/>
          <w:color w:val="auto"/>
          <w:szCs w:val="21"/>
          <w:highlight w:val="none"/>
          <w:lang w:eastAsia="zh-CN"/>
        </w:rPr>
        <w:t>:</w:t>
      </w:r>
      <w:r>
        <w:rPr>
          <w:rFonts w:hint="eastAsia" w:ascii="宋体" w:hAnsi="宋体"/>
          <w:color w:val="auto"/>
          <w:szCs w:val="21"/>
          <w:highlight w:val="none"/>
        </w:rPr>
        <w:t>30-23</w:t>
      </w:r>
      <w:r>
        <w:rPr>
          <w:rFonts w:hint="eastAsia" w:ascii="宋体" w:hAnsi="宋体"/>
          <w:color w:val="auto"/>
          <w:szCs w:val="21"/>
          <w:highlight w:val="none"/>
          <w:lang w:eastAsia="zh-CN"/>
        </w:rPr>
        <w:t>:</w:t>
      </w:r>
      <w:r>
        <w:rPr>
          <w:rFonts w:hint="eastAsia" w:ascii="宋体" w:hAnsi="宋体"/>
          <w:color w:val="auto"/>
          <w:szCs w:val="21"/>
          <w:highlight w:val="none"/>
        </w:rPr>
        <w:t>00）清点学生人数并检查学生晚休情况，督促学生按时休息，发现问题及时向队长报告，重大问题及时报告学生科。</w:t>
      </w:r>
      <w:bookmarkEnd w:id="97"/>
    </w:p>
    <w:p w14:paraId="796E637B">
      <w:pPr>
        <w:snapToGrid w:val="0"/>
        <w:spacing w:line="370" w:lineRule="exact"/>
        <w:outlineLvl w:val="1"/>
        <w:rPr>
          <w:rFonts w:hint="eastAsia" w:ascii="宋体" w:hAnsi="宋体"/>
          <w:color w:val="auto"/>
          <w:szCs w:val="21"/>
          <w:highlight w:val="none"/>
        </w:rPr>
      </w:pPr>
      <w:bookmarkStart w:id="98" w:name="_Toc23889"/>
      <w:r>
        <w:rPr>
          <w:rFonts w:hint="eastAsia" w:ascii="宋体" w:hAnsi="宋体"/>
          <w:color w:val="auto"/>
          <w:szCs w:val="21"/>
          <w:highlight w:val="none"/>
        </w:rPr>
        <w:t>23</w:t>
      </w:r>
      <w:r>
        <w:rPr>
          <w:rFonts w:hint="eastAsia" w:ascii="宋体" w:hAnsi="宋体"/>
          <w:color w:val="auto"/>
          <w:szCs w:val="21"/>
          <w:highlight w:val="none"/>
          <w:lang w:eastAsia="zh-CN"/>
        </w:rPr>
        <w:t>:</w:t>
      </w:r>
      <w:r>
        <w:rPr>
          <w:rFonts w:hint="eastAsia" w:ascii="宋体" w:hAnsi="宋体"/>
          <w:color w:val="auto"/>
          <w:szCs w:val="21"/>
          <w:highlight w:val="none"/>
        </w:rPr>
        <w:t>30—06</w:t>
      </w:r>
      <w:r>
        <w:rPr>
          <w:rFonts w:hint="eastAsia" w:ascii="宋体" w:hAnsi="宋体"/>
          <w:color w:val="auto"/>
          <w:szCs w:val="21"/>
          <w:highlight w:val="none"/>
          <w:lang w:eastAsia="zh-CN"/>
        </w:rPr>
        <w:t>:</w:t>
      </w:r>
      <w:r>
        <w:rPr>
          <w:rFonts w:hint="eastAsia" w:ascii="宋体" w:hAnsi="宋体"/>
          <w:color w:val="auto"/>
          <w:szCs w:val="21"/>
          <w:highlight w:val="none"/>
        </w:rPr>
        <w:t>00教官休息，周五、六及节假日的休息时间调整为24</w:t>
      </w:r>
      <w:r>
        <w:rPr>
          <w:rFonts w:hint="eastAsia" w:ascii="宋体" w:hAnsi="宋体"/>
          <w:color w:val="auto"/>
          <w:szCs w:val="21"/>
          <w:highlight w:val="none"/>
          <w:lang w:eastAsia="zh-CN"/>
        </w:rPr>
        <w:t>:</w:t>
      </w:r>
      <w:r>
        <w:rPr>
          <w:rFonts w:hint="eastAsia" w:ascii="宋体" w:hAnsi="宋体"/>
          <w:color w:val="auto"/>
          <w:szCs w:val="21"/>
          <w:highlight w:val="none"/>
        </w:rPr>
        <w:t>00—6</w:t>
      </w:r>
      <w:r>
        <w:rPr>
          <w:rFonts w:hint="eastAsia" w:ascii="宋体" w:hAnsi="宋体"/>
          <w:color w:val="auto"/>
          <w:szCs w:val="21"/>
          <w:highlight w:val="none"/>
          <w:lang w:eastAsia="zh-CN"/>
        </w:rPr>
        <w:t>:</w:t>
      </w:r>
      <w:r>
        <w:rPr>
          <w:rFonts w:hint="eastAsia" w:ascii="宋体" w:hAnsi="宋体"/>
          <w:color w:val="auto"/>
          <w:szCs w:val="21"/>
          <w:highlight w:val="none"/>
        </w:rPr>
        <w:t>30（但在此时间内宿舍有异常情况，需及时处理）</w:t>
      </w:r>
      <w:bookmarkEnd w:id="98"/>
    </w:p>
    <w:p w14:paraId="4558A1F5">
      <w:pPr>
        <w:snapToGrid w:val="0"/>
        <w:spacing w:line="370" w:lineRule="exact"/>
        <w:outlineLvl w:val="1"/>
        <w:rPr>
          <w:rFonts w:hint="eastAsia" w:ascii="宋体" w:hAnsi="宋体"/>
          <w:color w:val="auto"/>
          <w:szCs w:val="21"/>
          <w:highlight w:val="none"/>
        </w:rPr>
      </w:pPr>
      <w:bookmarkStart w:id="99" w:name="_Toc25013"/>
      <w:r>
        <w:rPr>
          <w:rFonts w:hint="eastAsia" w:ascii="宋体" w:hAnsi="宋体"/>
          <w:color w:val="auto"/>
          <w:szCs w:val="21"/>
          <w:highlight w:val="none"/>
        </w:rPr>
        <w:t>（二）早上升旗集会 、各种集会、学生大型活动的管理</w:t>
      </w:r>
      <w:bookmarkEnd w:id="99"/>
    </w:p>
    <w:p w14:paraId="05C59D4C">
      <w:pPr>
        <w:snapToGrid w:val="0"/>
        <w:spacing w:line="370" w:lineRule="exact"/>
        <w:outlineLvl w:val="1"/>
        <w:rPr>
          <w:rFonts w:hint="eastAsia" w:ascii="宋体" w:hAnsi="宋体"/>
          <w:color w:val="auto"/>
          <w:szCs w:val="21"/>
          <w:highlight w:val="none"/>
        </w:rPr>
      </w:pPr>
      <w:bookmarkStart w:id="100" w:name="_Toc17437"/>
      <w:r>
        <w:rPr>
          <w:rFonts w:hint="eastAsia" w:ascii="宋体" w:hAnsi="宋体"/>
          <w:color w:val="auto"/>
          <w:szCs w:val="21"/>
          <w:highlight w:val="none"/>
        </w:rPr>
        <w:t>1.每天早上7</w:t>
      </w:r>
      <w:r>
        <w:rPr>
          <w:rFonts w:hint="eastAsia" w:ascii="宋体" w:hAnsi="宋体"/>
          <w:color w:val="auto"/>
          <w:szCs w:val="21"/>
          <w:highlight w:val="none"/>
          <w:lang w:eastAsia="zh-CN"/>
        </w:rPr>
        <w:t>:</w:t>
      </w:r>
      <w:r>
        <w:rPr>
          <w:rFonts w:hint="eastAsia" w:ascii="宋体" w:hAnsi="宋体"/>
          <w:color w:val="auto"/>
          <w:szCs w:val="21"/>
          <w:highlight w:val="none"/>
        </w:rPr>
        <w:t>40，由教官队派遣4-6名教官按学校要求组织学生进行升旗、集会、晨跑晨练等活动，规范学生行为规范。</w:t>
      </w:r>
      <w:bookmarkEnd w:id="100"/>
    </w:p>
    <w:p w14:paraId="46C71736">
      <w:pPr>
        <w:snapToGrid w:val="0"/>
        <w:spacing w:line="370" w:lineRule="exact"/>
        <w:outlineLvl w:val="1"/>
        <w:rPr>
          <w:rFonts w:hint="eastAsia" w:ascii="宋体" w:hAnsi="宋体"/>
          <w:color w:val="auto"/>
          <w:szCs w:val="21"/>
          <w:highlight w:val="none"/>
        </w:rPr>
      </w:pPr>
      <w:bookmarkStart w:id="101" w:name="_Toc7064"/>
      <w:r>
        <w:rPr>
          <w:rFonts w:hint="eastAsia" w:ascii="宋体" w:hAnsi="宋体"/>
          <w:color w:val="auto"/>
          <w:szCs w:val="21"/>
          <w:highlight w:val="none"/>
        </w:rPr>
        <w:t>2.参与学校学生教育活动，如学生集会、一日一排、军事日、应急疏散演练、违禁物品清查等活动；配合学校对学生进行国防、军事、纪律、法制、安全、反恐、爱国卫生等教育活动。负责学校大型活动会场纪律的监管和学生安全的管理。</w:t>
      </w:r>
      <w:bookmarkEnd w:id="101"/>
    </w:p>
    <w:p w14:paraId="7AD6F05F">
      <w:pPr>
        <w:snapToGrid w:val="0"/>
        <w:spacing w:line="370" w:lineRule="exact"/>
        <w:outlineLvl w:val="1"/>
        <w:rPr>
          <w:rFonts w:hint="eastAsia" w:ascii="宋体" w:hAnsi="宋体"/>
          <w:color w:val="auto"/>
          <w:szCs w:val="21"/>
          <w:highlight w:val="none"/>
        </w:rPr>
      </w:pPr>
      <w:bookmarkStart w:id="102" w:name="_Toc28865"/>
      <w:r>
        <w:rPr>
          <w:rFonts w:hint="eastAsia" w:ascii="宋体" w:hAnsi="宋体"/>
          <w:color w:val="auto"/>
          <w:szCs w:val="21"/>
          <w:highlight w:val="none"/>
        </w:rPr>
        <w:t>（三）学生晚自习纪律检查</w:t>
      </w:r>
      <w:bookmarkEnd w:id="102"/>
    </w:p>
    <w:p w14:paraId="7CCA20B5">
      <w:pPr>
        <w:snapToGrid w:val="0"/>
        <w:spacing w:line="370" w:lineRule="exact"/>
        <w:outlineLvl w:val="1"/>
        <w:rPr>
          <w:rFonts w:hint="eastAsia" w:ascii="宋体" w:hAnsi="宋体"/>
          <w:color w:val="auto"/>
          <w:szCs w:val="21"/>
          <w:highlight w:val="none"/>
        </w:rPr>
      </w:pPr>
      <w:bookmarkStart w:id="103" w:name="_Toc5993"/>
      <w:r>
        <w:rPr>
          <w:rFonts w:hint="eastAsia" w:ascii="宋体" w:hAnsi="宋体"/>
          <w:color w:val="auto"/>
          <w:szCs w:val="21"/>
          <w:highlight w:val="none"/>
        </w:rPr>
        <w:t>1.由教官队负责派遣教官对学生晚自习秩序进行检查，督促学生遵守晚自习纪律，对违反纪律不到教室上晚自习、大声喧哗扰乱晚自习秩序等行为进行教育整改。</w:t>
      </w:r>
      <w:bookmarkEnd w:id="103"/>
    </w:p>
    <w:p w14:paraId="2A93FA11">
      <w:pPr>
        <w:snapToGrid w:val="0"/>
        <w:spacing w:line="370" w:lineRule="exact"/>
        <w:outlineLvl w:val="1"/>
        <w:rPr>
          <w:rFonts w:hint="eastAsia" w:ascii="宋体" w:hAnsi="宋体"/>
          <w:color w:val="auto"/>
          <w:szCs w:val="21"/>
          <w:highlight w:val="none"/>
        </w:rPr>
      </w:pPr>
      <w:bookmarkStart w:id="104" w:name="_Toc17975"/>
      <w:r>
        <w:rPr>
          <w:rFonts w:hint="eastAsia" w:ascii="宋体" w:hAnsi="宋体"/>
          <w:color w:val="auto"/>
          <w:szCs w:val="21"/>
          <w:highlight w:val="none"/>
        </w:rPr>
        <w:t>2.中午和晚上10:20教官负责对教学楼各教室进行检查，督促学生离开教室，并对未按要求关教室灯、风扇、门的班级进行登记，每周把统计表交学生科。</w:t>
      </w:r>
      <w:bookmarkEnd w:id="104"/>
    </w:p>
    <w:p w14:paraId="3A43B1B0">
      <w:pPr>
        <w:snapToGrid w:val="0"/>
        <w:spacing w:line="370" w:lineRule="exact"/>
        <w:outlineLvl w:val="1"/>
        <w:rPr>
          <w:rFonts w:hint="eastAsia" w:ascii="宋体" w:hAnsi="宋体"/>
          <w:color w:val="auto"/>
          <w:szCs w:val="21"/>
          <w:highlight w:val="none"/>
        </w:rPr>
      </w:pPr>
      <w:bookmarkStart w:id="105" w:name="_Toc20973"/>
      <w:r>
        <w:rPr>
          <w:rFonts w:hint="eastAsia" w:ascii="宋体" w:hAnsi="宋体"/>
          <w:color w:val="auto"/>
          <w:szCs w:val="21"/>
          <w:highlight w:val="none"/>
        </w:rPr>
        <w:t>（四）学校综合治理工作</w:t>
      </w:r>
      <w:bookmarkEnd w:id="105"/>
    </w:p>
    <w:p w14:paraId="7209469E">
      <w:pPr>
        <w:snapToGrid w:val="0"/>
        <w:spacing w:line="370" w:lineRule="exact"/>
        <w:outlineLvl w:val="1"/>
        <w:rPr>
          <w:rFonts w:hint="eastAsia" w:ascii="宋体" w:hAnsi="宋体"/>
          <w:color w:val="auto"/>
          <w:szCs w:val="21"/>
          <w:highlight w:val="none"/>
        </w:rPr>
      </w:pPr>
      <w:bookmarkStart w:id="106" w:name="_Toc9498"/>
      <w:r>
        <w:rPr>
          <w:rFonts w:hint="eastAsia" w:ascii="宋体" w:hAnsi="宋体"/>
          <w:color w:val="auto"/>
          <w:szCs w:val="21"/>
          <w:highlight w:val="none"/>
        </w:rPr>
        <w:t>1.负责学校大门人员与车辆的进出管理及校内车辆停放管理，维护大门管理区域内公共秩序，维护学校内公共场所的安全与公共秩序，维护学校消防设施，协助配合公安机关及学校处理校内的一切与治安有关的事件，协助学校做好校园内大型活动的秩序维持。</w:t>
      </w:r>
      <w:bookmarkEnd w:id="106"/>
    </w:p>
    <w:p w14:paraId="1904B4D1">
      <w:pPr>
        <w:snapToGrid w:val="0"/>
        <w:spacing w:line="370" w:lineRule="exact"/>
        <w:outlineLvl w:val="1"/>
        <w:rPr>
          <w:rFonts w:hint="eastAsia" w:ascii="宋体" w:hAnsi="宋体"/>
          <w:color w:val="auto"/>
          <w:szCs w:val="21"/>
          <w:highlight w:val="none"/>
        </w:rPr>
      </w:pPr>
      <w:bookmarkStart w:id="107" w:name="_Toc19603"/>
      <w:r>
        <w:rPr>
          <w:rFonts w:hint="eastAsia" w:ascii="宋体" w:hAnsi="宋体"/>
          <w:color w:val="auto"/>
          <w:szCs w:val="21"/>
          <w:highlight w:val="none"/>
        </w:rPr>
        <w:t>2.每月四次不定期的宿舍管制品检查，要求每次检查不少于15个学生宿舍，每次检查要求有记录、台账及拍照，对发现的违禁品统计上交，对违规学生按违纪情况交学生科处理。并配合学校进行全校性管制品收缴工作。</w:t>
      </w:r>
      <w:bookmarkEnd w:id="107"/>
    </w:p>
    <w:p w14:paraId="2024CF65">
      <w:pPr>
        <w:snapToGrid w:val="0"/>
        <w:spacing w:line="370" w:lineRule="exact"/>
        <w:outlineLvl w:val="1"/>
        <w:rPr>
          <w:rFonts w:hint="eastAsia" w:ascii="宋体" w:hAnsi="宋体"/>
          <w:color w:val="auto"/>
          <w:szCs w:val="21"/>
          <w:highlight w:val="none"/>
        </w:rPr>
      </w:pPr>
      <w:bookmarkStart w:id="108" w:name="_Toc10074"/>
      <w:r>
        <w:rPr>
          <w:rFonts w:hint="eastAsia" w:ascii="宋体" w:hAnsi="宋体"/>
          <w:color w:val="auto"/>
          <w:szCs w:val="21"/>
          <w:highlight w:val="none"/>
        </w:rPr>
        <w:t>3.每周对全校消防设备进行检查，每次检查要求有记录和台账。对发现人为损坏消防器材情况需当日上报后勤科，并配合对人为损坏情况进行调查，对损坏的消防器材进行更换。对过期和非人为损坏的消防器材，当日要将损坏器材拿到后勤科进行更换。</w:t>
      </w:r>
      <w:bookmarkEnd w:id="108"/>
    </w:p>
    <w:p w14:paraId="4128FC71">
      <w:pPr>
        <w:snapToGrid w:val="0"/>
        <w:spacing w:line="370" w:lineRule="exact"/>
        <w:outlineLvl w:val="1"/>
        <w:rPr>
          <w:rFonts w:hint="eastAsia" w:ascii="宋体" w:hAnsi="宋体"/>
          <w:color w:val="auto"/>
          <w:szCs w:val="21"/>
          <w:highlight w:val="none"/>
        </w:rPr>
      </w:pPr>
      <w:bookmarkStart w:id="109" w:name="_Toc18143"/>
      <w:r>
        <w:rPr>
          <w:rFonts w:hint="eastAsia" w:ascii="宋体" w:hAnsi="宋体"/>
          <w:color w:val="auto"/>
          <w:szCs w:val="21"/>
          <w:highlight w:val="none"/>
        </w:rPr>
        <w:t>4.严格管理学生在宿舍违规私拉电现象，每日要进行巡查，对违纪学生要有记录并通过学生科交后勤科处罚。</w:t>
      </w:r>
      <w:bookmarkEnd w:id="109"/>
    </w:p>
    <w:p w14:paraId="5644EA91">
      <w:pPr>
        <w:snapToGrid w:val="0"/>
        <w:spacing w:line="370" w:lineRule="exact"/>
        <w:outlineLvl w:val="1"/>
        <w:rPr>
          <w:rFonts w:hint="eastAsia" w:ascii="宋体" w:hAnsi="宋体"/>
          <w:color w:val="auto"/>
          <w:szCs w:val="21"/>
          <w:highlight w:val="none"/>
        </w:rPr>
      </w:pPr>
      <w:bookmarkStart w:id="110" w:name="_Toc11891"/>
      <w:r>
        <w:rPr>
          <w:rFonts w:hint="eastAsia" w:ascii="宋体" w:hAnsi="宋体"/>
          <w:color w:val="auto"/>
          <w:szCs w:val="21"/>
          <w:highlight w:val="none"/>
        </w:rPr>
        <w:t>5、学生宿舍区域周一至周四11:30——14:30,16:10——19:30,21:00——00</w:t>
      </w:r>
      <w:r>
        <w:rPr>
          <w:rFonts w:hint="eastAsia" w:ascii="宋体" w:hAnsi="宋体"/>
          <w:color w:val="auto"/>
          <w:szCs w:val="21"/>
          <w:highlight w:val="none"/>
          <w:lang w:eastAsia="zh-CN"/>
        </w:rPr>
        <w:t>:</w:t>
      </w:r>
      <w:r>
        <w:rPr>
          <w:rFonts w:hint="eastAsia" w:ascii="宋体" w:hAnsi="宋体"/>
          <w:color w:val="auto"/>
          <w:szCs w:val="21"/>
          <w:highlight w:val="none"/>
        </w:rPr>
        <w:t>00，学生宿舍必须安排人员巡查。周五16:10——21:00，安排人员值守，21:00——00:00安排人员宿舍巡查。周六、周日24小时要安排</w:t>
      </w:r>
      <w:r>
        <w:rPr>
          <w:rFonts w:hint="eastAsia" w:ascii="宋体" w:hAnsi="宋体"/>
          <w:color w:val="auto"/>
          <w:szCs w:val="21"/>
          <w:highlight w:val="none"/>
          <w:lang w:eastAsia="zh-CN"/>
        </w:rPr>
        <w:t>人员</w:t>
      </w:r>
      <w:r>
        <w:rPr>
          <w:rFonts w:hint="eastAsia" w:ascii="宋体" w:hAnsi="宋体"/>
          <w:color w:val="auto"/>
          <w:szCs w:val="21"/>
          <w:highlight w:val="none"/>
        </w:rPr>
        <w:t>值班，每小时要巡查一次宿舍。发现学生违纪行为要及时进行处理，避免突发事件发生。</w:t>
      </w:r>
      <w:bookmarkEnd w:id="110"/>
    </w:p>
    <w:p w14:paraId="2152AD15">
      <w:pPr>
        <w:snapToGrid w:val="0"/>
        <w:spacing w:line="370" w:lineRule="exact"/>
        <w:outlineLvl w:val="1"/>
        <w:rPr>
          <w:rFonts w:hint="eastAsia" w:ascii="宋体" w:hAnsi="宋体"/>
          <w:color w:val="auto"/>
          <w:szCs w:val="21"/>
          <w:highlight w:val="none"/>
        </w:rPr>
      </w:pPr>
      <w:bookmarkStart w:id="111" w:name="_Toc25661"/>
      <w:r>
        <w:rPr>
          <w:rFonts w:hint="eastAsia" w:ascii="宋体" w:hAnsi="宋体"/>
          <w:color w:val="auto"/>
          <w:szCs w:val="21"/>
          <w:highlight w:val="none"/>
        </w:rPr>
        <w:t>6.加强学生宿舍区域学生翻爬围墙监控，严禁学生从围墙外购买食品、香烟。</w:t>
      </w:r>
      <w:bookmarkEnd w:id="111"/>
    </w:p>
    <w:p w14:paraId="668EBAAC">
      <w:pPr>
        <w:snapToGrid w:val="0"/>
        <w:spacing w:line="370" w:lineRule="exact"/>
        <w:outlineLvl w:val="1"/>
        <w:rPr>
          <w:rFonts w:hint="eastAsia" w:ascii="宋体" w:hAnsi="宋体"/>
          <w:color w:val="auto"/>
          <w:szCs w:val="21"/>
          <w:highlight w:val="none"/>
        </w:rPr>
      </w:pPr>
      <w:bookmarkStart w:id="112" w:name="_Toc123"/>
      <w:r>
        <w:rPr>
          <w:rFonts w:hint="eastAsia" w:ascii="宋体" w:hAnsi="宋体"/>
          <w:color w:val="auto"/>
          <w:szCs w:val="21"/>
          <w:highlight w:val="none"/>
        </w:rPr>
        <w:t>7.中午午休时间和夜间宿舍熄灯后，对仍然在学校闲逛或打球等的学生进行劝离。</w:t>
      </w:r>
      <w:bookmarkEnd w:id="112"/>
    </w:p>
    <w:p w14:paraId="59E4C7DA">
      <w:pPr>
        <w:snapToGrid w:val="0"/>
        <w:spacing w:line="370" w:lineRule="exact"/>
        <w:outlineLvl w:val="1"/>
        <w:rPr>
          <w:rFonts w:hint="eastAsia" w:ascii="宋体" w:hAnsi="宋体"/>
          <w:color w:val="auto"/>
          <w:szCs w:val="21"/>
          <w:highlight w:val="none"/>
        </w:rPr>
      </w:pPr>
      <w:bookmarkStart w:id="113" w:name="_Toc10592"/>
      <w:r>
        <w:rPr>
          <w:rFonts w:hint="eastAsia" w:ascii="宋体" w:hAnsi="宋体"/>
          <w:color w:val="auto"/>
          <w:szCs w:val="21"/>
          <w:highlight w:val="none"/>
        </w:rPr>
        <w:t>8.配合学校做好护校队相关的技能训练和检查指导工作。</w:t>
      </w:r>
      <w:bookmarkEnd w:id="113"/>
    </w:p>
    <w:p w14:paraId="6327B8FE">
      <w:pPr>
        <w:snapToGrid w:val="0"/>
        <w:spacing w:line="370" w:lineRule="exact"/>
        <w:outlineLvl w:val="1"/>
        <w:rPr>
          <w:rFonts w:hint="eastAsia" w:ascii="宋体" w:hAnsi="宋体"/>
          <w:color w:val="auto"/>
          <w:szCs w:val="21"/>
          <w:highlight w:val="none"/>
        </w:rPr>
      </w:pPr>
      <w:bookmarkStart w:id="114" w:name="_Toc21123"/>
      <w:r>
        <w:rPr>
          <w:rFonts w:hint="eastAsia" w:ascii="宋体" w:hAnsi="宋体"/>
          <w:color w:val="auto"/>
          <w:szCs w:val="21"/>
          <w:highlight w:val="none"/>
        </w:rPr>
        <w:t>9.配备值班电话和值班对讲机，对任何时间段发生的突发事件和群体性事件，配合学校后勤科及时处理。对校园内发现的违法行为，要全力配合后勤科进行处置。</w:t>
      </w:r>
      <w:bookmarkEnd w:id="114"/>
    </w:p>
    <w:p w14:paraId="7EF29360">
      <w:pPr>
        <w:snapToGrid w:val="0"/>
        <w:spacing w:line="370" w:lineRule="exact"/>
        <w:outlineLvl w:val="1"/>
        <w:rPr>
          <w:rFonts w:hint="eastAsia" w:ascii="宋体" w:hAnsi="宋体"/>
          <w:color w:val="auto"/>
          <w:szCs w:val="21"/>
          <w:highlight w:val="none"/>
        </w:rPr>
      </w:pPr>
      <w:bookmarkStart w:id="115" w:name="_Toc21909"/>
      <w:r>
        <w:rPr>
          <w:rFonts w:hint="eastAsia" w:ascii="宋体" w:hAnsi="宋体"/>
          <w:color w:val="auto"/>
          <w:szCs w:val="21"/>
          <w:highlight w:val="none"/>
        </w:rPr>
        <w:t>10.配合学生科进行消防、应急疏散、防恐防暴等相关教育和演练工作。</w:t>
      </w:r>
      <w:bookmarkEnd w:id="115"/>
    </w:p>
    <w:p w14:paraId="264778C7">
      <w:pPr>
        <w:snapToGrid w:val="0"/>
        <w:spacing w:line="370" w:lineRule="exact"/>
        <w:outlineLvl w:val="1"/>
        <w:rPr>
          <w:rFonts w:hint="eastAsia" w:ascii="宋体" w:hAnsi="宋体"/>
          <w:color w:val="auto"/>
          <w:szCs w:val="21"/>
          <w:highlight w:val="none"/>
        </w:rPr>
      </w:pPr>
      <w:bookmarkStart w:id="116" w:name="_Toc21278"/>
      <w:r>
        <w:rPr>
          <w:rFonts w:hint="eastAsia" w:ascii="宋体" w:hAnsi="宋体"/>
          <w:color w:val="auto"/>
          <w:szCs w:val="21"/>
          <w:highlight w:val="none"/>
        </w:rPr>
        <w:t>11.完成学生宿舍区域的防火防盗任务。完成寒暑假和各类长假期间的宿舍安全工作。</w:t>
      </w:r>
      <w:bookmarkEnd w:id="116"/>
    </w:p>
    <w:p w14:paraId="2294B80D">
      <w:pPr>
        <w:snapToGrid w:val="0"/>
        <w:spacing w:line="370" w:lineRule="exact"/>
        <w:outlineLvl w:val="1"/>
        <w:rPr>
          <w:rFonts w:hint="eastAsia" w:ascii="宋体" w:hAnsi="宋体"/>
          <w:color w:val="auto"/>
          <w:szCs w:val="21"/>
          <w:highlight w:val="none"/>
        </w:rPr>
      </w:pPr>
      <w:bookmarkStart w:id="117" w:name="_Toc32691"/>
      <w:r>
        <w:rPr>
          <w:rFonts w:hint="eastAsia" w:ascii="宋体" w:hAnsi="宋体"/>
          <w:color w:val="auto"/>
          <w:szCs w:val="21"/>
          <w:highlight w:val="none"/>
        </w:rPr>
        <w:t>（五）其他工作</w:t>
      </w:r>
      <w:bookmarkEnd w:id="117"/>
    </w:p>
    <w:p w14:paraId="63413BF6">
      <w:pPr>
        <w:snapToGrid w:val="0"/>
        <w:spacing w:line="370" w:lineRule="exact"/>
        <w:outlineLvl w:val="1"/>
        <w:rPr>
          <w:rFonts w:hint="eastAsia" w:ascii="宋体" w:hAnsi="宋体"/>
          <w:color w:val="auto"/>
          <w:szCs w:val="21"/>
          <w:highlight w:val="none"/>
        </w:rPr>
      </w:pPr>
      <w:bookmarkStart w:id="118" w:name="_Toc7697"/>
      <w:r>
        <w:rPr>
          <w:rFonts w:hint="eastAsia" w:ascii="宋体" w:hAnsi="宋体"/>
          <w:color w:val="auto"/>
          <w:szCs w:val="21"/>
          <w:highlight w:val="none"/>
        </w:rPr>
        <w:t>1.每学期期末，根据学校招生计划，提前做好新生宿舍安排工作，配合后勤科做好新生宿舍清洁工作。做好学生宿舍日常调整工作。</w:t>
      </w:r>
      <w:bookmarkEnd w:id="118"/>
    </w:p>
    <w:p w14:paraId="5FC1E61F">
      <w:pPr>
        <w:snapToGrid w:val="0"/>
        <w:spacing w:line="370" w:lineRule="exact"/>
        <w:outlineLvl w:val="1"/>
        <w:rPr>
          <w:rFonts w:hint="eastAsia" w:ascii="宋体" w:hAnsi="宋体"/>
          <w:color w:val="auto"/>
          <w:szCs w:val="21"/>
          <w:highlight w:val="none"/>
        </w:rPr>
      </w:pPr>
      <w:bookmarkStart w:id="119" w:name="_Toc23443"/>
      <w:r>
        <w:rPr>
          <w:rFonts w:hint="eastAsia" w:ascii="宋体" w:hAnsi="宋体"/>
          <w:color w:val="auto"/>
          <w:szCs w:val="21"/>
          <w:highlight w:val="none"/>
        </w:rPr>
        <w:t>2.每学期负责对带班辅导员进行体能训练，定期对学生会、团委学生干部业务培训。</w:t>
      </w:r>
      <w:bookmarkEnd w:id="119"/>
    </w:p>
    <w:p w14:paraId="6E573CB9">
      <w:pPr>
        <w:snapToGrid w:val="0"/>
        <w:spacing w:line="370" w:lineRule="exact"/>
        <w:outlineLvl w:val="1"/>
        <w:rPr>
          <w:rFonts w:hint="eastAsia" w:ascii="宋体" w:hAnsi="宋体"/>
          <w:color w:val="auto"/>
          <w:szCs w:val="21"/>
          <w:highlight w:val="none"/>
        </w:rPr>
      </w:pPr>
      <w:bookmarkStart w:id="120" w:name="_Toc2669"/>
      <w:r>
        <w:rPr>
          <w:rFonts w:hint="eastAsia" w:ascii="宋体" w:hAnsi="宋体"/>
          <w:color w:val="auto"/>
          <w:szCs w:val="21"/>
          <w:highlight w:val="none"/>
        </w:rPr>
        <w:t>3.做好节假日教官值班安排、校园环境卫生学生劳动的安排、节假日学生宿舍查房工作。在学校放假期间，根据学校假期工作需要，无条件完成好学校安排的工作任务。</w:t>
      </w:r>
      <w:bookmarkEnd w:id="120"/>
    </w:p>
    <w:p w14:paraId="50EA46F4">
      <w:pPr>
        <w:snapToGrid w:val="0"/>
        <w:spacing w:line="370" w:lineRule="exact"/>
        <w:outlineLvl w:val="1"/>
        <w:rPr>
          <w:rFonts w:hint="eastAsia" w:ascii="宋体" w:hAnsi="宋体"/>
          <w:color w:val="auto"/>
          <w:szCs w:val="21"/>
          <w:highlight w:val="none"/>
        </w:rPr>
      </w:pPr>
      <w:bookmarkStart w:id="121" w:name="_Toc29743"/>
      <w:r>
        <w:rPr>
          <w:rFonts w:hint="eastAsia" w:ascii="宋体" w:hAnsi="宋体"/>
          <w:color w:val="auto"/>
          <w:szCs w:val="21"/>
          <w:highlight w:val="none"/>
        </w:rPr>
        <w:t>4.每个月不少于2次组织违纪学生进行每个月不少于2次协助学校对行为偏差学生进行队列训练或行为规范矫正辅导。</w:t>
      </w:r>
      <w:bookmarkEnd w:id="121"/>
    </w:p>
    <w:p w14:paraId="2D6BA0BE">
      <w:pPr>
        <w:snapToGrid w:val="0"/>
        <w:spacing w:line="370" w:lineRule="exact"/>
        <w:outlineLvl w:val="1"/>
        <w:rPr>
          <w:rFonts w:hint="eastAsia" w:ascii="宋体" w:hAnsi="宋体"/>
          <w:color w:val="auto"/>
          <w:szCs w:val="21"/>
          <w:highlight w:val="none"/>
        </w:rPr>
      </w:pPr>
      <w:bookmarkStart w:id="122" w:name="_Toc3755"/>
      <w:r>
        <w:rPr>
          <w:rFonts w:hint="eastAsia" w:ascii="宋体" w:hAnsi="宋体"/>
          <w:color w:val="auto"/>
          <w:szCs w:val="21"/>
          <w:highlight w:val="none"/>
        </w:rPr>
        <w:t>5.每学期协助学生科开展“行为规范教育”活动。</w:t>
      </w:r>
      <w:bookmarkEnd w:id="122"/>
    </w:p>
    <w:p w14:paraId="52FD204C">
      <w:pPr>
        <w:snapToGrid w:val="0"/>
        <w:spacing w:line="370" w:lineRule="exact"/>
        <w:outlineLvl w:val="1"/>
        <w:rPr>
          <w:rFonts w:hint="eastAsia" w:ascii="宋体" w:hAnsi="宋体"/>
          <w:color w:val="auto"/>
          <w:szCs w:val="21"/>
          <w:highlight w:val="none"/>
        </w:rPr>
      </w:pPr>
      <w:bookmarkStart w:id="123" w:name="_Toc18396"/>
      <w:r>
        <w:rPr>
          <w:rFonts w:hint="eastAsia" w:ascii="宋体" w:hAnsi="宋体"/>
          <w:color w:val="auto"/>
          <w:szCs w:val="21"/>
          <w:highlight w:val="none"/>
        </w:rPr>
        <w:t>6.协助学生科完成各项卫生评比工作，主要工作内容是宿舍卫生、教室卫生、校园环境卫生的整治。</w:t>
      </w:r>
      <w:bookmarkEnd w:id="123"/>
    </w:p>
    <w:p w14:paraId="5E5A7F06">
      <w:pPr>
        <w:snapToGrid w:val="0"/>
        <w:spacing w:line="370" w:lineRule="exact"/>
        <w:outlineLvl w:val="1"/>
        <w:rPr>
          <w:rFonts w:hint="eastAsia" w:ascii="宋体" w:hAnsi="宋体"/>
          <w:color w:val="auto"/>
          <w:szCs w:val="21"/>
          <w:highlight w:val="none"/>
        </w:rPr>
      </w:pPr>
      <w:bookmarkStart w:id="124" w:name="_Toc4743"/>
      <w:r>
        <w:rPr>
          <w:rFonts w:hint="eastAsia" w:ascii="宋体" w:hAnsi="宋体"/>
          <w:color w:val="auto"/>
          <w:szCs w:val="21"/>
          <w:highlight w:val="none"/>
        </w:rPr>
        <w:t>7.配合学校后勤科，做好学生宿舍各项维修的报修工作。配合后勤科对损坏公物事件进行调查和处理工作。配合后勤科做好宿舍卫生间疏通验收工作。</w:t>
      </w:r>
      <w:bookmarkEnd w:id="124"/>
    </w:p>
    <w:p w14:paraId="2499B351">
      <w:pPr>
        <w:snapToGrid w:val="0"/>
        <w:spacing w:line="370" w:lineRule="exact"/>
        <w:outlineLvl w:val="1"/>
        <w:rPr>
          <w:rFonts w:hint="eastAsia" w:ascii="宋体" w:hAnsi="宋体"/>
          <w:color w:val="auto"/>
          <w:szCs w:val="21"/>
          <w:highlight w:val="none"/>
        </w:rPr>
      </w:pPr>
      <w:bookmarkStart w:id="125" w:name="_Toc24384"/>
      <w:r>
        <w:rPr>
          <w:rFonts w:hint="eastAsia" w:ascii="宋体" w:hAnsi="宋体"/>
          <w:color w:val="auto"/>
          <w:szCs w:val="21"/>
          <w:highlight w:val="none"/>
        </w:rPr>
        <w:t>8.完成学校赋予的其它工作任务。</w:t>
      </w:r>
      <w:bookmarkEnd w:id="125"/>
    </w:p>
    <w:p w14:paraId="3B9BEB2E">
      <w:pPr>
        <w:spacing w:line="360" w:lineRule="auto"/>
        <w:rPr>
          <w:rFonts w:hint="eastAsia" w:ascii="宋体" w:hAnsi="宋体" w:cs="Courier New"/>
          <w:b/>
          <w:color w:val="auto"/>
          <w:szCs w:val="21"/>
          <w:highlight w:val="none"/>
        </w:rPr>
      </w:pPr>
    </w:p>
    <w:p w14:paraId="28089878">
      <w:pPr>
        <w:snapToGrid w:val="0"/>
        <w:spacing w:line="370" w:lineRule="exact"/>
        <w:outlineLvl w:val="1"/>
        <w:rPr>
          <w:rFonts w:ascii="宋体" w:hAnsi="宋体"/>
          <w:color w:val="auto"/>
          <w:szCs w:val="20"/>
          <w:highlight w:val="none"/>
        </w:rPr>
      </w:pPr>
    </w:p>
    <w:p w14:paraId="75E3F8B9">
      <w:pPr>
        <w:snapToGrid w:val="0"/>
        <w:spacing w:line="370" w:lineRule="exact"/>
        <w:outlineLvl w:val="1"/>
        <w:rPr>
          <w:rFonts w:hint="eastAsia" w:ascii="宋体" w:hAnsi="宋体"/>
          <w:color w:val="auto"/>
          <w:szCs w:val="20"/>
          <w:highlight w:val="none"/>
        </w:rPr>
      </w:pPr>
    </w:p>
    <w:p w14:paraId="2D5148E3">
      <w:pPr>
        <w:spacing w:line="360" w:lineRule="auto"/>
        <w:rPr>
          <w:rFonts w:hint="eastAsia" w:ascii="宋体" w:hAnsi="宋体" w:cs="Courier New"/>
          <w:b/>
          <w:color w:val="auto"/>
          <w:szCs w:val="21"/>
          <w:highlight w:val="none"/>
        </w:rPr>
      </w:pPr>
      <w:r>
        <w:rPr>
          <w:rFonts w:hint="eastAsia" w:ascii="宋体" w:hAnsi="宋体" w:cs="Courier New"/>
          <w:b/>
          <w:color w:val="auto"/>
          <w:szCs w:val="21"/>
          <w:highlight w:val="none"/>
        </w:rPr>
        <w:br w:type="page"/>
      </w:r>
      <w:r>
        <w:rPr>
          <w:rFonts w:hint="eastAsia" w:ascii="宋体" w:hAnsi="宋体" w:cs="Courier New"/>
          <w:b/>
          <w:color w:val="auto"/>
          <w:szCs w:val="21"/>
          <w:highlight w:val="none"/>
        </w:rPr>
        <w:t>附件三：</w:t>
      </w:r>
    </w:p>
    <w:p w14:paraId="019DBF2B">
      <w:pPr>
        <w:snapToGrid w:val="0"/>
        <w:spacing w:line="400" w:lineRule="exact"/>
        <w:jc w:val="center"/>
        <w:rPr>
          <w:rFonts w:ascii="宋体" w:hAnsi="宋体"/>
          <w:b/>
          <w:color w:val="auto"/>
          <w:sz w:val="28"/>
          <w:szCs w:val="28"/>
          <w:highlight w:val="none"/>
        </w:rPr>
      </w:pPr>
      <w:r>
        <w:rPr>
          <w:rFonts w:hint="eastAsia" w:hAnsi="宋体"/>
          <w:b/>
          <w:color w:val="auto"/>
          <w:sz w:val="28"/>
          <w:szCs w:val="28"/>
          <w:highlight w:val="none"/>
        </w:rPr>
        <w:t>广西广播电视学校驻校教官绩效考核与违规处理细则</w:t>
      </w:r>
    </w:p>
    <w:p w14:paraId="31B65C8E">
      <w:pPr>
        <w:snapToGrid w:val="0"/>
        <w:spacing w:line="400" w:lineRule="exact"/>
        <w:jc w:val="center"/>
        <w:rPr>
          <w:rFonts w:hint="eastAsia" w:ascii="宋体" w:hAnsi="宋体"/>
          <w:b/>
          <w:color w:val="auto"/>
          <w:sz w:val="28"/>
          <w:szCs w:val="28"/>
          <w:highlight w:val="none"/>
        </w:rPr>
      </w:pPr>
    </w:p>
    <w:p w14:paraId="30A28039">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cs="仿宋"/>
          <w:color w:val="auto"/>
          <w:szCs w:val="21"/>
          <w:highlight w:val="none"/>
        </w:rPr>
      </w:pPr>
      <w:r>
        <w:rPr>
          <w:rFonts w:hint="eastAsia" w:ascii="宋体" w:hAnsi="宋体" w:cs="仿宋"/>
          <w:color w:val="auto"/>
          <w:szCs w:val="21"/>
          <w:highlight w:val="none"/>
        </w:rPr>
        <w:t>为做好学生管理工作，维护学校良好的育人环境，提升学生管理成效，使学生养成良好的行为习惯，对驻校</w:t>
      </w:r>
      <w:r>
        <w:rPr>
          <w:rFonts w:hint="eastAsia" w:ascii="宋体" w:hAnsi="宋体" w:cs="仿宋"/>
          <w:color w:val="auto"/>
          <w:szCs w:val="21"/>
          <w:highlight w:val="none"/>
          <w:lang w:eastAsia="zh-CN"/>
        </w:rPr>
        <w:t>教官绩效考核与违规处理</w:t>
      </w:r>
      <w:r>
        <w:rPr>
          <w:rFonts w:hint="eastAsia" w:ascii="宋体" w:hAnsi="宋体" w:cs="仿宋"/>
          <w:color w:val="auto"/>
          <w:szCs w:val="21"/>
          <w:highlight w:val="none"/>
        </w:rPr>
        <w:t>做如下规定：</w:t>
      </w:r>
    </w:p>
    <w:p w14:paraId="7913BAE6">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cs="仿宋"/>
          <w:color w:val="auto"/>
          <w:szCs w:val="21"/>
          <w:highlight w:val="none"/>
        </w:rPr>
      </w:pPr>
      <w:r>
        <w:rPr>
          <w:rFonts w:hint="eastAsia" w:ascii="宋体" w:hAnsi="宋体" w:cs="仿宋"/>
          <w:color w:val="auto"/>
          <w:szCs w:val="21"/>
          <w:highlight w:val="none"/>
        </w:rPr>
        <w:t>1.乙方应保持骨干队伍的稳定性，不能随意更换人员，更换要报告甲方同意。甲方不满意的人员乙方要及时更换，甲方拒绝使用不合格的人员。不合格人员超过50%时，甲方有权单方面终止合同。</w:t>
      </w:r>
    </w:p>
    <w:p w14:paraId="195F40F2">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cs="仿宋"/>
          <w:color w:val="auto"/>
          <w:szCs w:val="21"/>
          <w:highlight w:val="none"/>
        </w:rPr>
      </w:pPr>
      <w:r>
        <w:rPr>
          <w:rFonts w:ascii="宋体" w:hAnsi="宋体" w:cs="仿宋"/>
          <w:color w:val="auto"/>
          <w:szCs w:val="21"/>
          <w:highlight w:val="none"/>
        </w:rPr>
        <w:t>2</w:t>
      </w:r>
      <w:r>
        <w:rPr>
          <w:rFonts w:hint="eastAsia" w:ascii="宋体" w:hAnsi="宋体" w:cs="仿宋"/>
          <w:color w:val="auto"/>
          <w:szCs w:val="21"/>
          <w:highlight w:val="none"/>
        </w:rPr>
        <w:t>.宿舍内务、卫生检查、整改不力，宿舍脏、乱、差，达不到学生手册中《学生宿舍管理规定》的卫生管理要求的，要及时通知学生回宿舍进行整改，如未通知学生，也未整改的，按每间宿舍给予</w:t>
      </w:r>
      <w:r>
        <w:rPr>
          <w:rFonts w:hint="eastAsia" w:ascii="宋体" w:hAnsi="宋体" w:cs="仿宋"/>
          <w:color w:val="auto"/>
          <w:szCs w:val="21"/>
          <w:highlight w:val="none"/>
          <w:lang w:eastAsia="zh-CN"/>
        </w:rPr>
        <w:t>扣款</w:t>
      </w:r>
      <w:r>
        <w:rPr>
          <w:rFonts w:hint="eastAsia" w:ascii="宋体" w:hAnsi="宋体" w:cs="仿宋"/>
          <w:color w:val="auto"/>
          <w:szCs w:val="21"/>
          <w:highlight w:val="none"/>
        </w:rPr>
        <w:t>50元/次。</w:t>
      </w:r>
    </w:p>
    <w:p w14:paraId="4DCE347C">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cs="仿宋"/>
          <w:color w:val="auto"/>
          <w:szCs w:val="21"/>
          <w:highlight w:val="none"/>
        </w:rPr>
      </w:pPr>
      <w:r>
        <w:rPr>
          <w:rFonts w:ascii="宋体" w:hAnsi="宋体" w:cs="仿宋"/>
          <w:color w:val="auto"/>
          <w:szCs w:val="21"/>
          <w:highlight w:val="none"/>
        </w:rPr>
        <w:t>3</w:t>
      </w:r>
      <w:r>
        <w:rPr>
          <w:rFonts w:hint="eastAsia" w:ascii="宋体" w:hAnsi="宋体" w:cs="仿宋"/>
          <w:color w:val="auto"/>
          <w:szCs w:val="21"/>
          <w:highlight w:val="none"/>
        </w:rPr>
        <w:t>.教官管理不到位，学生意见大，学生投诉教官的，每投诉一起情况属实的，给予</w:t>
      </w:r>
      <w:r>
        <w:rPr>
          <w:rFonts w:hint="eastAsia" w:ascii="宋体" w:hAnsi="宋体" w:cs="仿宋"/>
          <w:color w:val="auto"/>
          <w:szCs w:val="21"/>
          <w:highlight w:val="none"/>
          <w:lang w:eastAsia="zh-CN"/>
        </w:rPr>
        <w:t>扣款</w:t>
      </w:r>
      <w:r>
        <w:rPr>
          <w:rFonts w:hint="eastAsia" w:ascii="宋体" w:hAnsi="宋体" w:cs="仿宋"/>
          <w:color w:val="auto"/>
          <w:szCs w:val="21"/>
          <w:highlight w:val="none"/>
        </w:rPr>
        <w:t>100元。</w:t>
      </w:r>
    </w:p>
    <w:p w14:paraId="696882C0">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cs="仿宋"/>
          <w:color w:val="auto"/>
          <w:szCs w:val="21"/>
          <w:highlight w:val="none"/>
        </w:rPr>
      </w:pPr>
      <w:r>
        <w:rPr>
          <w:rFonts w:ascii="宋体" w:hAnsi="宋体" w:cs="仿宋"/>
          <w:color w:val="auto"/>
          <w:szCs w:val="21"/>
          <w:highlight w:val="none"/>
        </w:rPr>
        <w:t>4</w:t>
      </w:r>
      <w:r>
        <w:rPr>
          <w:rFonts w:hint="eastAsia" w:ascii="宋体" w:hAnsi="宋体" w:cs="仿宋"/>
          <w:color w:val="auto"/>
          <w:szCs w:val="21"/>
          <w:highlight w:val="none"/>
        </w:rPr>
        <w:t>.宿舍私拉电线时间长达2小时以上未发现或发现但未要求学生拆除的，每起</w:t>
      </w:r>
      <w:r>
        <w:rPr>
          <w:rFonts w:hint="eastAsia" w:ascii="宋体" w:hAnsi="宋体" w:cs="仿宋"/>
          <w:color w:val="auto"/>
          <w:szCs w:val="21"/>
          <w:highlight w:val="none"/>
          <w:lang w:eastAsia="zh-CN"/>
        </w:rPr>
        <w:t>扣款</w:t>
      </w:r>
      <w:r>
        <w:rPr>
          <w:rFonts w:hint="eastAsia" w:ascii="宋体" w:hAnsi="宋体" w:cs="仿宋"/>
          <w:color w:val="auto"/>
          <w:szCs w:val="21"/>
          <w:highlight w:val="none"/>
        </w:rPr>
        <w:t>50元。</w:t>
      </w:r>
    </w:p>
    <w:p w14:paraId="07248C5B">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cs="仿宋"/>
          <w:color w:val="auto"/>
          <w:szCs w:val="21"/>
          <w:highlight w:val="none"/>
        </w:rPr>
      </w:pPr>
      <w:r>
        <w:rPr>
          <w:rFonts w:ascii="宋体" w:hAnsi="宋体" w:cs="仿宋"/>
          <w:color w:val="auto"/>
          <w:szCs w:val="21"/>
          <w:highlight w:val="none"/>
        </w:rPr>
        <w:t>5</w:t>
      </w:r>
      <w:r>
        <w:rPr>
          <w:rFonts w:hint="eastAsia" w:ascii="宋体" w:hAnsi="宋体" w:cs="仿宋"/>
          <w:color w:val="auto"/>
          <w:szCs w:val="21"/>
          <w:highlight w:val="none"/>
        </w:rPr>
        <w:t>.学生在宿舍酗酒、猜码，每制止不力发生一起给予</w:t>
      </w:r>
      <w:r>
        <w:rPr>
          <w:rFonts w:hint="eastAsia" w:ascii="宋体" w:hAnsi="宋体" w:cs="仿宋"/>
          <w:color w:val="auto"/>
          <w:szCs w:val="21"/>
          <w:highlight w:val="none"/>
          <w:lang w:eastAsia="zh-CN"/>
        </w:rPr>
        <w:t>扣款</w:t>
      </w:r>
      <w:r>
        <w:rPr>
          <w:rFonts w:hint="eastAsia" w:ascii="宋体" w:hAnsi="宋体" w:cs="仿宋"/>
          <w:color w:val="auto"/>
          <w:szCs w:val="21"/>
          <w:highlight w:val="none"/>
        </w:rPr>
        <w:t>50元。</w:t>
      </w:r>
    </w:p>
    <w:p w14:paraId="2E453520">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cs="仿宋"/>
          <w:color w:val="auto"/>
          <w:szCs w:val="21"/>
          <w:highlight w:val="none"/>
        </w:rPr>
      </w:pPr>
      <w:r>
        <w:rPr>
          <w:rFonts w:ascii="宋体" w:hAnsi="宋体" w:cs="仿宋"/>
          <w:color w:val="auto"/>
          <w:szCs w:val="21"/>
          <w:highlight w:val="none"/>
        </w:rPr>
        <w:t>6</w:t>
      </w:r>
      <w:r>
        <w:rPr>
          <w:rFonts w:hint="eastAsia" w:ascii="宋体" w:hAnsi="宋体" w:cs="仿宋"/>
          <w:color w:val="auto"/>
          <w:szCs w:val="21"/>
          <w:highlight w:val="none"/>
        </w:rPr>
        <w:t>.要对未按宿舍管理规定时间离开宿舍的学生进行批评教育并做好登记，每发现1人不登记给予</w:t>
      </w:r>
      <w:r>
        <w:rPr>
          <w:rFonts w:hint="eastAsia" w:ascii="宋体" w:hAnsi="宋体" w:cs="仿宋"/>
          <w:color w:val="auto"/>
          <w:szCs w:val="21"/>
          <w:highlight w:val="none"/>
          <w:lang w:eastAsia="zh-CN"/>
        </w:rPr>
        <w:t>扣款</w:t>
      </w:r>
      <w:r>
        <w:rPr>
          <w:rFonts w:hint="eastAsia" w:ascii="宋体" w:hAnsi="宋体" w:cs="仿宋"/>
          <w:color w:val="auto"/>
          <w:szCs w:val="21"/>
          <w:highlight w:val="none"/>
        </w:rPr>
        <w:t>5元。</w:t>
      </w:r>
    </w:p>
    <w:p w14:paraId="2D07A5FC">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cs="仿宋"/>
          <w:color w:val="auto"/>
          <w:szCs w:val="21"/>
          <w:highlight w:val="none"/>
        </w:rPr>
      </w:pPr>
      <w:r>
        <w:rPr>
          <w:rFonts w:ascii="宋体" w:hAnsi="宋体" w:cs="仿宋"/>
          <w:color w:val="auto"/>
          <w:szCs w:val="21"/>
          <w:highlight w:val="none"/>
        </w:rPr>
        <w:t>7</w:t>
      </w:r>
      <w:r>
        <w:rPr>
          <w:rFonts w:hint="eastAsia" w:ascii="宋体" w:hAnsi="宋体" w:cs="仿宋"/>
          <w:color w:val="auto"/>
          <w:szCs w:val="21"/>
          <w:highlight w:val="none"/>
        </w:rPr>
        <w:t>.每天晚上应按规定检查学生作息人数，登记晚归、夜不归宿人数，并通报学工处及班主任，缺一次</w:t>
      </w:r>
      <w:r>
        <w:rPr>
          <w:rFonts w:hint="eastAsia" w:ascii="宋体" w:hAnsi="宋体" w:cs="仿宋"/>
          <w:color w:val="auto"/>
          <w:szCs w:val="21"/>
          <w:highlight w:val="none"/>
          <w:lang w:eastAsia="zh-CN"/>
        </w:rPr>
        <w:t>扣款</w:t>
      </w:r>
      <w:r>
        <w:rPr>
          <w:rFonts w:hint="eastAsia" w:ascii="宋体" w:hAnsi="宋体" w:cs="仿宋"/>
          <w:color w:val="auto"/>
          <w:szCs w:val="21"/>
          <w:highlight w:val="none"/>
        </w:rPr>
        <w:t>100元。</w:t>
      </w:r>
    </w:p>
    <w:p w14:paraId="055599A0">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cs="仿宋"/>
          <w:color w:val="auto"/>
          <w:szCs w:val="21"/>
          <w:highlight w:val="none"/>
        </w:rPr>
      </w:pPr>
      <w:r>
        <w:rPr>
          <w:rFonts w:ascii="宋体" w:hAnsi="宋体" w:cs="仿宋"/>
          <w:color w:val="auto"/>
          <w:szCs w:val="21"/>
          <w:highlight w:val="none"/>
        </w:rPr>
        <w:t>8</w:t>
      </w:r>
      <w:r>
        <w:rPr>
          <w:rFonts w:hint="eastAsia" w:ascii="宋体" w:hAnsi="宋体" w:cs="仿宋"/>
          <w:color w:val="auto"/>
          <w:szCs w:val="21"/>
          <w:highlight w:val="none"/>
        </w:rPr>
        <w:t>.每天上午、下午分2次进行宿舍内务卫生的检查，并分2次打分，缺一次</w:t>
      </w:r>
      <w:r>
        <w:rPr>
          <w:rFonts w:hint="eastAsia" w:ascii="宋体" w:hAnsi="宋体" w:cs="仿宋"/>
          <w:color w:val="auto"/>
          <w:szCs w:val="21"/>
          <w:highlight w:val="none"/>
          <w:lang w:eastAsia="zh-CN"/>
        </w:rPr>
        <w:t>扣款</w:t>
      </w:r>
      <w:r>
        <w:rPr>
          <w:rFonts w:hint="eastAsia" w:ascii="宋体" w:hAnsi="宋体" w:cs="仿宋"/>
          <w:color w:val="auto"/>
          <w:szCs w:val="21"/>
          <w:highlight w:val="none"/>
        </w:rPr>
        <w:t>50元。</w:t>
      </w:r>
    </w:p>
    <w:p w14:paraId="4BC6C120">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cs="仿宋"/>
          <w:color w:val="auto"/>
          <w:szCs w:val="21"/>
          <w:highlight w:val="none"/>
        </w:rPr>
      </w:pPr>
      <w:r>
        <w:rPr>
          <w:rFonts w:ascii="宋体" w:hAnsi="宋体" w:cs="仿宋"/>
          <w:color w:val="auto"/>
          <w:szCs w:val="21"/>
          <w:highlight w:val="none"/>
        </w:rPr>
        <w:t>9</w:t>
      </w:r>
      <w:r>
        <w:rPr>
          <w:rFonts w:hint="eastAsia" w:ascii="宋体" w:hAnsi="宋体" w:cs="仿宋"/>
          <w:color w:val="auto"/>
          <w:szCs w:val="21"/>
          <w:highlight w:val="none"/>
        </w:rPr>
        <w:t>.宿舍门、窗被撬，造成学生财物损失的，每起</w:t>
      </w:r>
      <w:r>
        <w:rPr>
          <w:rFonts w:hint="eastAsia" w:ascii="宋体" w:hAnsi="宋体" w:cs="仿宋"/>
          <w:color w:val="auto"/>
          <w:szCs w:val="21"/>
          <w:highlight w:val="none"/>
          <w:lang w:eastAsia="zh-CN"/>
        </w:rPr>
        <w:t>扣款</w:t>
      </w:r>
      <w:r>
        <w:rPr>
          <w:rFonts w:hint="eastAsia" w:ascii="宋体" w:hAnsi="宋体" w:cs="仿宋"/>
          <w:color w:val="auto"/>
          <w:szCs w:val="21"/>
          <w:highlight w:val="none"/>
        </w:rPr>
        <w:t>100元。</w:t>
      </w:r>
    </w:p>
    <w:p w14:paraId="4D9A275E">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cs="仿宋"/>
          <w:color w:val="auto"/>
          <w:szCs w:val="21"/>
          <w:highlight w:val="none"/>
        </w:rPr>
      </w:pPr>
      <w:r>
        <w:rPr>
          <w:rFonts w:ascii="宋体" w:hAnsi="宋体" w:cs="仿宋"/>
          <w:color w:val="auto"/>
          <w:szCs w:val="21"/>
          <w:highlight w:val="none"/>
        </w:rPr>
        <w:t>10</w:t>
      </w:r>
      <w:r>
        <w:rPr>
          <w:rFonts w:hint="eastAsia" w:ascii="宋体" w:hAnsi="宋体" w:cs="仿宋"/>
          <w:color w:val="auto"/>
          <w:szCs w:val="21"/>
          <w:highlight w:val="none"/>
        </w:rPr>
        <w:t>.校园内发生安全事件（如打架、斗殴、火灾等）5分钟内值班人员不到达现场控制，致使事态严重的，给予</w:t>
      </w:r>
      <w:r>
        <w:rPr>
          <w:rFonts w:hint="eastAsia" w:ascii="宋体" w:hAnsi="宋体" w:cs="仿宋"/>
          <w:color w:val="auto"/>
          <w:szCs w:val="21"/>
          <w:highlight w:val="none"/>
          <w:lang w:eastAsia="zh-CN"/>
        </w:rPr>
        <w:t>扣款</w:t>
      </w:r>
      <w:r>
        <w:rPr>
          <w:rFonts w:hint="eastAsia" w:ascii="宋体" w:hAnsi="宋体" w:cs="仿宋"/>
          <w:color w:val="auto"/>
          <w:szCs w:val="21"/>
          <w:highlight w:val="none"/>
        </w:rPr>
        <w:t>500元。</w:t>
      </w:r>
    </w:p>
    <w:p w14:paraId="2F4DFA58">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
          <w:color w:val="auto"/>
          <w:szCs w:val="21"/>
          <w:highlight w:val="none"/>
        </w:rPr>
      </w:pPr>
      <w:r>
        <w:rPr>
          <w:rFonts w:hint="eastAsia" w:ascii="宋体" w:hAnsi="宋体" w:cs="仿宋"/>
          <w:color w:val="auto"/>
          <w:szCs w:val="21"/>
          <w:highlight w:val="none"/>
        </w:rPr>
        <w:t>11.门卫电话</w:t>
      </w:r>
      <w:r>
        <w:rPr>
          <w:rFonts w:ascii="宋体" w:hAnsi="宋体" w:cs="仿宋"/>
          <w:color w:val="auto"/>
          <w:szCs w:val="21"/>
          <w:highlight w:val="none"/>
        </w:rPr>
        <w:t>为</w:t>
      </w:r>
      <w:r>
        <w:rPr>
          <w:rFonts w:hint="eastAsia" w:ascii="宋体" w:hAnsi="宋体" w:cs="仿宋"/>
          <w:color w:val="auto"/>
          <w:szCs w:val="21"/>
          <w:highlight w:val="none"/>
        </w:rPr>
        <w:t>24小时</w:t>
      </w:r>
      <w:r>
        <w:rPr>
          <w:rFonts w:ascii="宋体" w:hAnsi="宋体" w:cs="仿宋"/>
          <w:color w:val="auto"/>
          <w:szCs w:val="21"/>
          <w:highlight w:val="none"/>
        </w:rPr>
        <w:t>值班电话，必须及时接听</w:t>
      </w:r>
      <w:r>
        <w:rPr>
          <w:rFonts w:hint="eastAsia" w:ascii="宋体" w:hAnsi="宋体" w:cs="仿宋"/>
          <w:color w:val="auto"/>
          <w:szCs w:val="21"/>
          <w:highlight w:val="none"/>
        </w:rPr>
        <w:t>（铃声</w:t>
      </w:r>
      <w:r>
        <w:rPr>
          <w:rFonts w:ascii="宋体" w:hAnsi="宋体" w:cs="仿宋"/>
          <w:color w:val="auto"/>
          <w:szCs w:val="21"/>
          <w:highlight w:val="none"/>
        </w:rPr>
        <w:t>响三次之内</w:t>
      </w:r>
      <w:r>
        <w:rPr>
          <w:rFonts w:hint="eastAsia" w:ascii="宋体" w:hAnsi="宋体" w:cs="仿宋"/>
          <w:color w:val="auto"/>
          <w:szCs w:val="21"/>
          <w:highlight w:val="none"/>
        </w:rPr>
        <w:t>），</w:t>
      </w:r>
      <w:r>
        <w:rPr>
          <w:rFonts w:ascii="宋体" w:hAnsi="宋体" w:cs="仿宋"/>
          <w:color w:val="auto"/>
          <w:szCs w:val="21"/>
          <w:highlight w:val="none"/>
        </w:rPr>
        <w:t>并</w:t>
      </w:r>
      <w:r>
        <w:rPr>
          <w:rFonts w:hint="eastAsia" w:ascii="宋体" w:hAnsi="宋体" w:cs="仿宋"/>
          <w:color w:val="auto"/>
          <w:szCs w:val="21"/>
          <w:highlight w:val="none"/>
        </w:rPr>
        <w:t>根据</w:t>
      </w:r>
      <w:r>
        <w:rPr>
          <w:rFonts w:ascii="宋体" w:hAnsi="宋体" w:cs="仿宋"/>
          <w:color w:val="auto"/>
          <w:szCs w:val="21"/>
          <w:highlight w:val="none"/>
        </w:rPr>
        <w:t>需要做好记录</w:t>
      </w:r>
      <w:r>
        <w:rPr>
          <w:rFonts w:hint="eastAsia" w:ascii="宋体" w:hAnsi="宋体" w:cs="仿宋"/>
          <w:color w:val="auto"/>
          <w:szCs w:val="21"/>
          <w:highlight w:val="none"/>
        </w:rPr>
        <w:t>或及时</w:t>
      </w:r>
      <w:r>
        <w:rPr>
          <w:rFonts w:ascii="宋体" w:hAnsi="宋体" w:cs="仿宋"/>
          <w:color w:val="auto"/>
          <w:szCs w:val="21"/>
          <w:highlight w:val="none"/>
        </w:rPr>
        <w:t>报告</w:t>
      </w:r>
      <w:r>
        <w:rPr>
          <w:rFonts w:hint="eastAsia" w:ascii="宋体" w:hAnsi="宋体" w:cs="仿宋"/>
          <w:color w:val="auto"/>
          <w:szCs w:val="21"/>
          <w:highlight w:val="none"/>
        </w:rPr>
        <w:t>领导</w:t>
      </w:r>
      <w:r>
        <w:rPr>
          <w:rFonts w:ascii="宋体" w:hAnsi="宋体" w:cs="仿宋"/>
          <w:color w:val="auto"/>
          <w:szCs w:val="21"/>
          <w:highlight w:val="none"/>
        </w:rPr>
        <w:t>。如果</w:t>
      </w:r>
      <w:r>
        <w:rPr>
          <w:rFonts w:hint="eastAsia" w:ascii="宋体" w:hAnsi="宋体" w:cs="仿宋"/>
          <w:color w:val="auto"/>
          <w:szCs w:val="21"/>
          <w:highlight w:val="none"/>
        </w:rPr>
        <w:t>做不到</w:t>
      </w:r>
      <w:r>
        <w:rPr>
          <w:rFonts w:ascii="宋体" w:hAnsi="宋体" w:cs="仿宋"/>
          <w:color w:val="auto"/>
          <w:szCs w:val="21"/>
          <w:highlight w:val="none"/>
        </w:rPr>
        <w:t>，每次</w:t>
      </w:r>
      <w:r>
        <w:rPr>
          <w:rFonts w:hint="eastAsia" w:ascii="宋体" w:hAnsi="宋体" w:cs="仿宋"/>
          <w:color w:val="auto"/>
          <w:szCs w:val="21"/>
          <w:highlight w:val="none"/>
          <w:lang w:eastAsia="zh-CN"/>
        </w:rPr>
        <w:t>扣款</w:t>
      </w:r>
      <w:r>
        <w:rPr>
          <w:rFonts w:hint="eastAsia" w:ascii="宋体" w:hAnsi="宋体" w:cs="仿宋"/>
          <w:color w:val="auto"/>
          <w:szCs w:val="21"/>
          <w:highlight w:val="none"/>
        </w:rPr>
        <w:t>50元</w:t>
      </w:r>
      <w:r>
        <w:rPr>
          <w:rFonts w:ascii="宋体" w:hAnsi="宋体" w:cs="仿宋"/>
          <w:color w:val="auto"/>
          <w:szCs w:val="21"/>
          <w:highlight w:val="none"/>
        </w:rPr>
        <w:t>。</w:t>
      </w:r>
    </w:p>
    <w:p w14:paraId="594B8D04">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
          <w:color w:val="auto"/>
          <w:szCs w:val="21"/>
          <w:highlight w:val="none"/>
        </w:rPr>
      </w:pPr>
      <w:r>
        <w:rPr>
          <w:rFonts w:ascii="宋体" w:hAnsi="宋体" w:cs="仿宋"/>
          <w:color w:val="auto"/>
          <w:szCs w:val="21"/>
          <w:highlight w:val="none"/>
        </w:rPr>
        <w:t>12</w:t>
      </w:r>
      <w:r>
        <w:rPr>
          <w:rFonts w:hint="eastAsia" w:ascii="宋体" w:hAnsi="宋体" w:cs="仿宋"/>
          <w:color w:val="auto"/>
          <w:szCs w:val="21"/>
          <w:highlight w:val="none"/>
        </w:rPr>
        <w:t>.每天按时组织担负劳动周任务的班级完成</w:t>
      </w:r>
      <w:r>
        <w:rPr>
          <w:rFonts w:ascii="宋体" w:hAnsi="宋体" w:cs="仿宋"/>
          <w:color w:val="auto"/>
          <w:szCs w:val="21"/>
          <w:highlight w:val="none"/>
        </w:rPr>
        <w:t>以</w:t>
      </w:r>
      <w:r>
        <w:rPr>
          <w:rFonts w:hint="eastAsia" w:ascii="宋体" w:hAnsi="宋体" w:cs="仿宋"/>
          <w:color w:val="auto"/>
          <w:szCs w:val="21"/>
          <w:highlight w:val="none"/>
        </w:rPr>
        <w:t>校园卫生整治为主</w:t>
      </w:r>
      <w:r>
        <w:rPr>
          <w:rFonts w:ascii="宋体" w:hAnsi="宋体" w:cs="仿宋"/>
          <w:color w:val="auto"/>
          <w:szCs w:val="21"/>
          <w:highlight w:val="none"/>
        </w:rPr>
        <w:t>的</w:t>
      </w:r>
      <w:r>
        <w:rPr>
          <w:rFonts w:hint="eastAsia" w:ascii="宋体" w:hAnsi="宋体" w:cs="仿宋"/>
          <w:color w:val="auto"/>
          <w:szCs w:val="21"/>
          <w:highlight w:val="none"/>
        </w:rPr>
        <w:t>劳动</w:t>
      </w:r>
      <w:r>
        <w:rPr>
          <w:rFonts w:ascii="宋体" w:hAnsi="宋体" w:cs="仿宋"/>
          <w:color w:val="auto"/>
          <w:szCs w:val="21"/>
          <w:highlight w:val="none"/>
        </w:rPr>
        <w:t>任务</w:t>
      </w:r>
      <w:r>
        <w:rPr>
          <w:rFonts w:hint="eastAsia" w:ascii="宋体" w:hAnsi="宋体" w:cs="仿宋"/>
          <w:color w:val="auto"/>
          <w:szCs w:val="21"/>
          <w:highlight w:val="none"/>
        </w:rPr>
        <w:t>，每</w:t>
      </w:r>
      <w:r>
        <w:rPr>
          <w:rFonts w:ascii="宋体" w:hAnsi="宋体" w:cs="仿宋"/>
          <w:color w:val="auto"/>
          <w:szCs w:val="21"/>
          <w:highlight w:val="none"/>
        </w:rPr>
        <w:t>缺一次</w:t>
      </w:r>
      <w:r>
        <w:rPr>
          <w:rFonts w:hint="eastAsia" w:ascii="宋体" w:hAnsi="宋体" w:cs="仿宋"/>
          <w:color w:val="auto"/>
          <w:szCs w:val="21"/>
          <w:highlight w:val="none"/>
          <w:lang w:eastAsia="zh-CN"/>
        </w:rPr>
        <w:t>扣款</w:t>
      </w:r>
      <w:r>
        <w:rPr>
          <w:rFonts w:hint="eastAsia" w:ascii="宋体" w:hAnsi="宋体" w:cs="仿宋"/>
          <w:color w:val="auto"/>
          <w:szCs w:val="21"/>
          <w:highlight w:val="none"/>
        </w:rPr>
        <w:t>100元。</w:t>
      </w:r>
    </w:p>
    <w:p w14:paraId="6DE5B3B0">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
          <w:color w:val="auto"/>
          <w:szCs w:val="21"/>
          <w:highlight w:val="none"/>
        </w:rPr>
      </w:pPr>
      <w:r>
        <w:rPr>
          <w:rFonts w:hint="eastAsia" w:ascii="宋体" w:hAnsi="宋体" w:cs="仿宋"/>
          <w:color w:val="auto"/>
          <w:szCs w:val="21"/>
          <w:highlight w:val="none"/>
        </w:rPr>
        <w:t>13.对学生晚自习秩序检查督促</w:t>
      </w:r>
      <w:r>
        <w:rPr>
          <w:rFonts w:ascii="宋体" w:hAnsi="宋体" w:cs="仿宋"/>
          <w:color w:val="auto"/>
          <w:szCs w:val="21"/>
          <w:highlight w:val="none"/>
        </w:rPr>
        <w:t>不力</w:t>
      </w:r>
      <w:r>
        <w:rPr>
          <w:rFonts w:hint="eastAsia" w:ascii="宋体" w:hAnsi="宋体" w:cs="仿宋"/>
          <w:color w:val="auto"/>
          <w:szCs w:val="21"/>
          <w:highlight w:val="none"/>
        </w:rPr>
        <w:t>，出现学生大声喧哗扰乱晚自习秩序等行为不及时制止</w:t>
      </w:r>
      <w:r>
        <w:rPr>
          <w:rFonts w:ascii="宋体" w:hAnsi="宋体" w:cs="仿宋"/>
          <w:color w:val="auto"/>
          <w:szCs w:val="21"/>
          <w:highlight w:val="none"/>
        </w:rPr>
        <w:t>，每次</w:t>
      </w:r>
      <w:r>
        <w:rPr>
          <w:rFonts w:hint="eastAsia" w:ascii="宋体" w:hAnsi="宋体" w:cs="仿宋"/>
          <w:color w:val="auto"/>
          <w:szCs w:val="21"/>
          <w:highlight w:val="none"/>
          <w:lang w:eastAsia="zh-CN"/>
        </w:rPr>
        <w:t>扣款</w:t>
      </w:r>
      <w:r>
        <w:rPr>
          <w:rFonts w:hint="eastAsia" w:ascii="宋体" w:hAnsi="宋体" w:cs="仿宋"/>
          <w:color w:val="auto"/>
          <w:szCs w:val="21"/>
          <w:highlight w:val="none"/>
        </w:rPr>
        <w:t>100元。</w:t>
      </w:r>
    </w:p>
    <w:p w14:paraId="420B1107">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cs="仿宋"/>
          <w:color w:val="auto"/>
          <w:szCs w:val="21"/>
          <w:highlight w:val="none"/>
        </w:rPr>
      </w:pPr>
      <w:r>
        <w:rPr>
          <w:rFonts w:hint="eastAsia" w:ascii="宋体" w:hAnsi="宋体" w:cs="仿宋"/>
          <w:color w:val="auto"/>
          <w:szCs w:val="21"/>
          <w:highlight w:val="none"/>
        </w:rPr>
        <w:t>14.乙方队员应把自己</w:t>
      </w:r>
      <w:r>
        <w:rPr>
          <w:rFonts w:hint="eastAsia" w:ascii="宋体" w:hAnsi="宋体" w:cs="仿宋"/>
          <w:color w:val="auto"/>
          <w:szCs w:val="21"/>
          <w:highlight w:val="none"/>
          <w:lang w:eastAsia="zh-CN"/>
        </w:rPr>
        <w:t>看作</w:t>
      </w:r>
      <w:r>
        <w:rPr>
          <w:rFonts w:hint="eastAsia" w:ascii="宋体" w:hAnsi="宋体" w:cs="仿宋"/>
          <w:color w:val="auto"/>
          <w:szCs w:val="21"/>
          <w:highlight w:val="none"/>
        </w:rPr>
        <w:t>是甲方的管理人员，是代表学校来行使管理职责，要按学校的管理程序文件开展工作。</w:t>
      </w:r>
    </w:p>
    <w:p w14:paraId="0852D712">
      <w:pPr>
        <w:snapToGrid w:val="0"/>
        <w:spacing w:line="370" w:lineRule="exact"/>
        <w:ind w:firstLine="420" w:firstLineChars="200"/>
        <w:jc w:val="both"/>
        <w:outlineLvl w:val="1"/>
        <w:rPr>
          <w:rFonts w:hint="eastAsia" w:ascii="宋体" w:hAnsi="宋体" w:cs="仿宋"/>
          <w:color w:val="auto"/>
          <w:szCs w:val="21"/>
          <w:highlight w:val="none"/>
        </w:rPr>
      </w:pPr>
      <w:bookmarkStart w:id="126" w:name="_Toc1179"/>
      <w:r>
        <w:rPr>
          <w:rFonts w:hint="eastAsia" w:ascii="宋体" w:hAnsi="宋体" w:cs="仿宋"/>
          <w:color w:val="auto"/>
          <w:szCs w:val="21"/>
          <w:highlight w:val="none"/>
        </w:rPr>
        <w:t>15.在实际执行中，如碰到无法处罚的事件，参照同类型条款处罚或双方协商。</w:t>
      </w:r>
      <w:bookmarkEnd w:id="126"/>
    </w:p>
    <w:p w14:paraId="402B60A7">
      <w:pPr>
        <w:snapToGrid w:val="0"/>
        <w:spacing w:line="370" w:lineRule="exact"/>
        <w:ind w:firstLine="420" w:firstLineChars="200"/>
        <w:jc w:val="both"/>
        <w:outlineLvl w:val="1"/>
        <w:rPr>
          <w:rFonts w:hint="eastAsia" w:ascii="宋体" w:hAnsi="宋体" w:cs="仿宋"/>
          <w:color w:val="auto"/>
          <w:szCs w:val="21"/>
          <w:highlight w:val="none"/>
        </w:rPr>
      </w:pPr>
    </w:p>
    <w:p w14:paraId="30255846">
      <w:pPr>
        <w:snapToGrid w:val="0"/>
        <w:spacing w:line="370" w:lineRule="exact"/>
        <w:ind w:firstLine="420" w:firstLineChars="200"/>
        <w:jc w:val="both"/>
        <w:outlineLvl w:val="1"/>
        <w:rPr>
          <w:rFonts w:hint="eastAsia" w:ascii="宋体" w:hAnsi="宋体" w:cs="仿宋"/>
          <w:color w:val="auto"/>
          <w:szCs w:val="21"/>
          <w:highlight w:val="none"/>
        </w:rPr>
      </w:pPr>
    </w:p>
    <w:p w14:paraId="64BC3CBB">
      <w:pPr>
        <w:spacing w:before="100" w:beforeAutospacing="0" w:after="100" w:afterAutospacing="0" w:line="300" w:lineRule="auto"/>
        <w:ind w:left="0" w:leftChars="0" w:right="0" w:rightChars="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1"/>
          <w:szCs w:val="21"/>
          <w:highlight w:val="none"/>
          <w:lang w:val="en-US" w:eastAsia="zh-CN"/>
        </w:rPr>
        <w:t>附件</w:t>
      </w:r>
      <w:r>
        <w:rPr>
          <w:rFonts w:hint="eastAsia" w:ascii="宋体" w:hAnsi="宋体" w:cs="宋体"/>
          <w:color w:val="auto"/>
          <w:sz w:val="21"/>
          <w:szCs w:val="21"/>
          <w:highlight w:val="none"/>
          <w:lang w:val="en-US" w:eastAsia="zh-CN"/>
        </w:rPr>
        <w:t>四</w:t>
      </w:r>
    </w:p>
    <w:p w14:paraId="4486E636">
      <w:pPr>
        <w:pStyle w:val="2"/>
        <w:spacing w:before="320" w:beforeAutospacing="0" w:after="100" w:afterAutospacing="0" w:line="300" w:lineRule="auto"/>
        <w:ind w:left="0" w:leftChars="0" w:right="0" w:rightChars="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消防控制值班室值班人员职责</w:t>
      </w:r>
    </w:p>
    <w:p w14:paraId="638E4312">
      <w:pPr>
        <w:pStyle w:val="3"/>
        <w:spacing w:before="0" w:beforeAutospacing="0" w:after="0" w:afterAutospacing="0" w:line="420" w:lineRule="exact"/>
        <w:ind w:left="0" w:leftChars="0" w:right="0" w:right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一、日常监控与操作</w:t>
      </w:r>
    </w:p>
    <w:p w14:paraId="39838864">
      <w:pPr>
        <w:numPr>
          <w:ilvl w:val="0"/>
          <w:numId w:val="0"/>
        </w:numPr>
        <w:spacing w:before="0" w:beforeAutospacing="0" w:after="0" w:afterAutospacing="0" w:line="420" w:lineRule="exact"/>
        <w:ind w:right="0" w:rightChars="0" w:firstLine="0" w:firstLineChars="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1. 严格遵守消防控制值班室各项管理制度，熟练操作火灾自动报警系统、消防联动设备及相关消防设施，确保设备24小时处于正常运行状态。</w:t>
      </w:r>
    </w:p>
    <w:p w14:paraId="5C402F50">
      <w:pPr>
        <w:numPr>
          <w:ilvl w:val="0"/>
          <w:numId w:val="0"/>
        </w:numPr>
        <w:spacing w:before="0" w:beforeAutospacing="0" w:after="0" w:afterAutospacing="0" w:line="420" w:lineRule="exact"/>
        <w:ind w:right="0" w:rightChars="0" w:firstLine="0" w:firstLineChars="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2. 实时监控火灾报警控制器及消防联动设备的运行情况，密切关注各类报警信号、故障信号，发现异常及时处理并记录。</w:t>
      </w:r>
    </w:p>
    <w:p w14:paraId="0147FAD8">
      <w:pPr>
        <w:numPr>
          <w:ilvl w:val="0"/>
          <w:numId w:val="0"/>
        </w:numPr>
        <w:spacing w:before="0" w:beforeAutospacing="0" w:after="0" w:afterAutospacing="0" w:line="420" w:lineRule="exact"/>
        <w:ind w:right="0" w:rightChars="0" w:firstLine="0" w:firstLineChars="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3. 接到火灾报警信号后，应立即以最快方式确认。若为误报，应及时复位并做好记录；若确认为火灾，立即启动相应应急预案。</w:t>
      </w:r>
    </w:p>
    <w:p w14:paraId="6AD29949">
      <w:pPr>
        <w:numPr>
          <w:ilvl w:val="0"/>
          <w:numId w:val="0"/>
        </w:numPr>
        <w:spacing w:before="0" w:beforeAutospacing="0" w:after="0" w:afterAutospacing="0" w:line="420" w:lineRule="exact"/>
        <w:ind w:right="0" w:rightChars="0" w:firstLine="0" w:firstLineChars="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4. 按照规定程序操作消防水泵、防排烟系统、应急照明和疏散指示系统等消防设施，确保在火灾发生时能有效发挥作用。</w:t>
      </w:r>
    </w:p>
    <w:p w14:paraId="6F815514">
      <w:pPr>
        <w:pStyle w:val="3"/>
        <w:spacing w:before="0" w:beforeAutospacing="0" w:after="0" w:afterAutospacing="0" w:line="420" w:lineRule="exact"/>
        <w:ind w:left="0" w:leftChars="0" w:right="0" w:right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二、应急处置与报告</w:t>
      </w:r>
    </w:p>
    <w:p w14:paraId="7403163E">
      <w:pPr>
        <w:numPr>
          <w:ilvl w:val="0"/>
          <w:numId w:val="0"/>
        </w:numPr>
        <w:spacing w:before="0" w:beforeAutospacing="0" w:after="0" w:afterAutospacing="0" w:line="420" w:lineRule="exact"/>
        <w:ind w:right="0" w:rightChars="0" w:firstLine="0" w:firstLineChars="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1. 确认火灾后，第一时间拨打“119”报警电话，准确报告火灾发生的单位名称、地址、起火部位、燃烧物质、火势情况及报警人姓名、联系电话。</w:t>
      </w:r>
    </w:p>
    <w:p w14:paraId="71A25DF8">
      <w:pPr>
        <w:numPr>
          <w:ilvl w:val="0"/>
          <w:numId w:val="0"/>
        </w:numPr>
        <w:spacing w:before="0" w:beforeAutospacing="0" w:after="0" w:afterAutospacing="0" w:line="420" w:lineRule="exact"/>
        <w:ind w:right="0" w:rightChars="0" w:firstLine="0" w:firstLineChars="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2. 立即启动单位内部灭火和应急疏散预案，通知相关人员组织扑救初期火灾和引导人员疏散，并向单位负责人报告火情。</w:t>
      </w:r>
    </w:p>
    <w:p w14:paraId="1C384494">
      <w:pPr>
        <w:numPr>
          <w:ilvl w:val="0"/>
          <w:numId w:val="0"/>
        </w:numPr>
        <w:spacing w:before="0" w:beforeAutospacing="0" w:after="0" w:afterAutospacing="0" w:line="420" w:lineRule="exact"/>
        <w:ind w:right="0" w:rightChars="0" w:firstLine="0" w:firstLineChars="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3. 在消防救援队伍到达现场后，主动向指挥员报告火灾情况、已采取的措施及消防设施运行状况，积极配合救援工作。</w:t>
      </w:r>
    </w:p>
    <w:p w14:paraId="198391BF">
      <w:pPr>
        <w:numPr>
          <w:ilvl w:val="0"/>
          <w:numId w:val="0"/>
        </w:numPr>
        <w:spacing w:before="0" w:beforeAutospacing="0" w:after="0" w:afterAutospacing="0" w:line="420" w:lineRule="exact"/>
        <w:ind w:right="0" w:rightChars="0" w:firstLine="0" w:firstLineChars="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4. 火灾扑灭后，协助保护火灾现场，配合有关部门调查火灾原因，整理火灾报警、处置等相关记录。</w:t>
      </w:r>
    </w:p>
    <w:p w14:paraId="49CCD096">
      <w:pPr>
        <w:pStyle w:val="3"/>
        <w:spacing w:before="0" w:beforeAutospacing="0" w:after="0" w:afterAutospacing="0" w:line="420" w:lineRule="exact"/>
        <w:ind w:left="0" w:leftChars="0" w:right="0" w:right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三、设备检查与维护</w:t>
      </w:r>
    </w:p>
    <w:p w14:paraId="6DE2677A">
      <w:pPr>
        <w:numPr>
          <w:ilvl w:val="0"/>
          <w:numId w:val="0"/>
        </w:numPr>
        <w:spacing w:before="0" w:beforeAutospacing="0" w:after="0" w:afterAutospacing="0" w:line="420" w:lineRule="exact"/>
        <w:ind w:right="0" w:rightChars="0" w:firstLine="0" w:firstLineChars="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1. 每日对火灾自动报警系统、消防联动设备、消防电话系统、应急广播系统等进行检查，填写《消防控制值班室值班记录表》，确保设备完好有效。</w:t>
      </w:r>
    </w:p>
    <w:p w14:paraId="09398AC3">
      <w:pPr>
        <w:numPr>
          <w:ilvl w:val="0"/>
          <w:numId w:val="0"/>
        </w:numPr>
        <w:spacing w:before="0" w:beforeAutospacing="0" w:after="0" w:afterAutospacing="0" w:line="420" w:lineRule="exact"/>
        <w:ind w:right="0" w:rightChars="0" w:firstLine="0" w:firstLineChars="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2. 定期对消防设施进行功能测试，如火灾探测器的报警功能、手动报警按钮的报警功能、消防水泵的启停功能等，发现问题及时通知维修人员进行处理。</w:t>
      </w:r>
    </w:p>
    <w:p w14:paraId="04D8F308">
      <w:pPr>
        <w:numPr>
          <w:ilvl w:val="0"/>
          <w:numId w:val="0"/>
        </w:numPr>
        <w:spacing w:before="0" w:beforeAutospacing="0" w:after="0" w:afterAutospacing="0" w:line="420" w:lineRule="exact"/>
        <w:ind w:right="0" w:rightChars="0" w:firstLine="0" w:firstLineChars="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3. 保持消防控制值班室设备及环境的清洁卫生，严禁在值班室内堆放杂物，严禁非值班人员进入值班室。</w:t>
      </w:r>
    </w:p>
    <w:p w14:paraId="429FC0B1">
      <w:pPr>
        <w:numPr>
          <w:ilvl w:val="0"/>
          <w:numId w:val="0"/>
        </w:numPr>
        <w:spacing w:before="0" w:beforeAutospacing="0" w:after="0" w:afterAutospacing="0" w:line="420" w:lineRule="exact"/>
        <w:ind w:right="0" w:rightChars="0" w:firstLine="0" w:firstLineChars="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4. 妥善保管消防控制值班室的钥匙、操作手册、应急预案等资料，确保随时可用。</w:t>
      </w:r>
    </w:p>
    <w:p w14:paraId="7D6B74C3">
      <w:pPr>
        <w:pStyle w:val="3"/>
        <w:spacing w:before="0" w:beforeAutospacing="0" w:after="0" w:afterAutospacing="0" w:line="420" w:lineRule="exact"/>
        <w:ind w:left="0" w:leftChars="0" w:right="0" w:right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四、记录与交接班</w:t>
      </w:r>
    </w:p>
    <w:p w14:paraId="31D7790D">
      <w:pPr>
        <w:numPr>
          <w:ilvl w:val="0"/>
          <w:numId w:val="0"/>
        </w:numPr>
        <w:spacing w:before="0" w:beforeAutospacing="0" w:after="0" w:afterAutospacing="0" w:line="420" w:lineRule="exact"/>
        <w:ind w:right="0" w:rightChars="0" w:firstLine="0" w:firstLineChars="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1. 认真填写值班记录，详细记录设备运行情况、报警情况、处理措施、上级指示及其他重要事项，记录内容应准确、完整、清晰。</w:t>
      </w:r>
    </w:p>
    <w:p w14:paraId="56C7B133">
      <w:pPr>
        <w:numPr>
          <w:ilvl w:val="0"/>
          <w:numId w:val="0"/>
        </w:numPr>
        <w:spacing w:before="0" w:beforeAutospacing="0" w:after="0" w:afterAutospacing="0" w:line="420" w:lineRule="exact"/>
        <w:ind w:right="0" w:rightChars="0" w:firstLine="0" w:firstLineChars="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2. 严格执行交接班制度，交班人员应向接班人员详细介绍设备运行状况、未处理完毕的事项及注意事项，双方在值班记录上签字确认。</w:t>
      </w:r>
    </w:p>
    <w:p w14:paraId="4E25C805">
      <w:pPr>
        <w:numPr>
          <w:ilvl w:val="0"/>
          <w:numId w:val="0"/>
        </w:numPr>
        <w:spacing w:before="0" w:beforeAutospacing="0" w:after="0" w:afterAutospacing="0" w:line="420" w:lineRule="exact"/>
        <w:ind w:right="0" w:rightChars="0" w:firstLine="0" w:firstLineChars="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3. 对值班过程中发现的设备故障、隐患及其他问题，应及时上报单位消防安全责任人或管理人，并跟踪处理结果。</w:t>
      </w:r>
    </w:p>
    <w:p w14:paraId="23F97809">
      <w:pPr>
        <w:pStyle w:val="3"/>
        <w:spacing w:before="0" w:beforeAutospacing="0" w:after="0" w:afterAutospacing="0" w:line="420" w:lineRule="exact"/>
        <w:ind w:left="0" w:leftChars="0" w:right="0" w:right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五、学习与培训</w:t>
      </w:r>
    </w:p>
    <w:p w14:paraId="36E62C3A">
      <w:pPr>
        <w:numPr>
          <w:ilvl w:val="0"/>
          <w:numId w:val="0"/>
        </w:numPr>
        <w:spacing w:before="0" w:beforeAutospacing="0" w:after="0" w:afterAutospacing="0" w:line="420" w:lineRule="exact"/>
        <w:ind w:right="0" w:rightChars="0" w:firstLine="0" w:firstLineChars="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1. 积极参加单位组织的消防安全培训和应急演练，熟悉消防法律法规、消防安全知识及消防设施的操作技能。</w:t>
      </w:r>
    </w:p>
    <w:p w14:paraId="6E94CE34">
      <w:pPr>
        <w:numPr>
          <w:ilvl w:val="0"/>
          <w:numId w:val="0"/>
        </w:numPr>
        <w:spacing w:before="0" w:beforeAutospacing="0" w:after="0" w:afterAutospacing="0" w:line="420" w:lineRule="exact"/>
        <w:ind w:right="0" w:rightChars="0" w:firstLine="0" w:firstLineChars="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2. 不断学习新的消防技术和管理知识，提高自身的业务素质和应急处置能力。</w:t>
      </w:r>
    </w:p>
    <w:p w14:paraId="0C8A9C44">
      <w:pPr>
        <w:numPr>
          <w:ilvl w:val="0"/>
          <w:numId w:val="0"/>
        </w:numPr>
        <w:spacing w:before="0" w:beforeAutospacing="0" w:after="0" w:afterAutospacing="0" w:line="420" w:lineRule="exact"/>
        <w:ind w:right="0" w:rightChars="0" w:firstLine="0" w:firstLineChars="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3. 向单位员工宣传消防安全知识，协助开展消防安全教育工作。</w:t>
      </w:r>
    </w:p>
    <w:p w14:paraId="699DB17A">
      <w:pPr>
        <w:pStyle w:val="3"/>
        <w:spacing w:before="0" w:beforeAutospacing="0" w:after="0" w:afterAutospacing="0" w:line="420" w:lineRule="exact"/>
        <w:ind w:left="0" w:leftChars="0" w:right="0" w:right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六、其他职责</w:t>
      </w:r>
    </w:p>
    <w:p w14:paraId="6EE6F963">
      <w:pPr>
        <w:numPr>
          <w:ilvl w:val="0"/>
          <w:numId w:val="0"/>
        </w:numPr>
        <w:spacing w:before="0" w:beforeAutospacing="0" w:after="0" w:afterAutospacing="0" w:line="420" w:lineRule="exact"/>
        <w:ind w:right="0" w:rightChars="0" w:firstLine="0" w:firstLineChars="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1. 遵守劳动纪律，坚守工作岗位，不得擅离职守，严禁在值班期间饮酒、睡觉或从事与工作无关的活动。</w:t>
      </w:r>
    </w:p>
    <w:p w14:paraId="547E969F">
      <w:pPr>
        <w:numPr>
          <w:ilvl w:val="0"/>
          <w:numId w:val="0"/>
        </w:numPr>
        <w:spacing w:before="0" w:beforeAutospacing="0" w:after="0" w:afterAutospacing="0" w:line="420" w:lineRule="exact"/>
        <w:ind w:right="0" w:rightChars="0" w:firstLine="0" w:firstLineChars="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2. 发现单位存在消防安全隐患时，应及时向单位消防安全责任人或管理人报告，并提出整改建议。</w:t>
      </w:r>
    </w:p>
    <w:p w14:paraId="6F0E9CF1">
      <w:pPr>
        <w:numPr>
          <w:ilvl w:val="0"/>
          <w:numId w:val="0"/>
        </w:numPr>
        <w:spacing w:before="0" w:beforeAutospacing="0" w:after="0" w:afterAutospacing="0" w:line="420" w:lineRule="exact"/>
        <w:ind w:right="0" w:rightChars="0" w:firstLine="0" w:firstLineChars="0"/>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3. 完成单位交办的其他消防安全工作任务。</w:t>
      </w:r>
    </w:p>
    <w:p w14:paraId="51195A00">
      <w:pPr>
        <w:spacing w:line="360" w:lineRule="auto"/>
        <w:rPr>
          <w:rFonts w:hint="eastAsia" w:ascii="宋体" w:hAnsi="宋体" w:cs="Courier New"/>
          <w:b/>
          <w:color w:val="auto"/>
          <w:szCs w:val="21"/>
          <w:highlight w:val="none"/>
        </w:rPr>
      </w:pPr>
    </w:p>
    <w:p w14:paraId="3A9ACF18">
      <w:pPr>
        <w:snapToGrid w:val="0"/>
        <w:spacing w:line="370" w:lineRule="exact"/>
        <w:outlineLvl w:val="1"/>
        <w:rPr>
          <w:rFonts w:ascii="宋体" w:hAnsi="宋体"/>
          <w:color w:val="auto"/>
          <w:szCs w:val="20"/>
          <w:highlight w:val="none"/>
        </w:rPr>
      </w:pPr>
    </w:p>
    <w:p w14:paraId="3EE3BDC3">
      <w:pPr>
        <w:snapToGrid w:val="0"/>
        <w:spacing w:line="370" w:lineRule="exact"/>
        <w:outlineLvl w:val="1"/>
        <w:rPr>
          <w:rFonts w:hint="eastAsia" w:ascii="宋体" w:hAnsi="宋体"/>
          <w:color w:val="auto"/>
          <w:szCs w:val="20"/>
          <w:highlight w:val="none"/>
        </w:rPr>
      </w:pPr>
    </w:p>
    <w:p w14:paraId="2C5F88F6">
      <w:pPr>
        <w:pStyle w:val="2"/>
        <w:spacing w:line="480" w:lineRule="auto"/>
        <w:jc w:val="center"/>
        <w:rPr>
          <w:rFonts w:ascii="宋体" w:hAnsi="宋体"/>
          <w:color w:val="auto"/>
          <w:highlight w:val="none"/>
        </w:rPr>
      </w:pPr>
      <w:r>
        <w:rPr>
          <w:rFonts w:ascii="宋体" w:hAnsi="宋体"/>
          <w:b/>
          <w:color w:val="auto"/>
          <w:sz w:val="32"/>
          <w:szCs w:val="32"/>
          <w:highlight w:val="none"/>
        </w:rPr>
        <w:br w:type="page"/>
      </w:r>
      <w:r>
        <w:rPr>
          <w:rFonts w:hint="eastAsia"/>
          <w:color w:val="auto"/>
          <w:sz w:val="40"/>
          <w:szCs w:val="40"/>
          <w:highlight w:val="none"/>
        </w:rPr>
        <w:t>第三章  供应商须知</w:t>
      </w:r>
      <w:bookmarkEnd w:id="49"/>
      <w:bookmarkEnd w:id="51"/>
    </w:p>
    <w:p w14:paraId="1F3F5835">
      <w:pPr>
        <w:spacing w:line="400" w:lineRule="exact"/>
        <w:jc w:val="center"/>
        <w:rPr>
          <w:rFonts w:ascii="宋体" w:hAnsi="宋体"/>
          <w:b/>
          <w:color w:val="auto"/>
          <w:sz w:val="32"/>
          <w:szCs w:val="32"/>
          <w:highlight w:val="none"/>
        </w:rPr>
      </w:pPr>
      <w:bookmarkStart w:id="127" w:name="_Toc437600946"/>
      <w:bookmarkStart w:id="128" w:name="_Toc207770833"/>
      <w:bookmarkStart w:id="129" w:name="_Toc230578055"/>
      <w:bookmarkStart w:id="130" w:name="_Toc185702547"/>
      <w:bookmarkStart w:id="131" w:name="_Toc25572149"/>
      <w:bookmarkStart w:id="132" w:name="_Toc41384788"/>
      <w:bookmarkStart w:id="133" w:name="_Toc7458"/>
      <w:bookmarkStart w:id="134" w:name="_Toc239839861"/>
      <w:bookmarkStart w:id="135" w:name="_Toc206525680"/>
      <w:bookmarkStart w:id="136" w:name="_Toc254970667"/>
      <w:bookmarkStart w:id="137" w:name="_Toc254970526"/>
      <w:bookmarkStart w:id="138" w:name="_Toc25592658"/>
      <w:bookmarkStart w:id="139" w:name="_Toc440017682"/>
      <w:bookmarkStart w:id="140" w:name="_Toc25009"/>
      <w:r>
        <w:rPr>
          <w:rFonts w:hint="eastAsia" w:ascii="宋体" w:hAnsi="宋体"/>
          <w:b/>
          <w:color w:val="auto"/>
          <w:sz w:val="32"/>
          <w:szCs w:val="32"/>
          <w:highlight w:val="none"/>
        </w:rPr>
        <w:t>供应商须知前附表</w:t>
      </w:r>
    </w:p>
    <w:p w14:paraId="231E6352">
      <w:pPr>
        <w:spacing w:line="400" w:lineRule="exact"/>
        <w:jc w:val="center"/>
        <w:rPr>
          <w:rFonts w:ascii="宋体" w:hAnsi="宋体"/>
          <w:b/>
          <w:color w:val="auto"/>
          <w:sz w:val="32"/>
          <w:szCs w:val="32"/>
          <w:highlight w:val="none"/>
        </w:rPr>
      </w:pPr>
    </w:p>
    <w:tbl>
      <w:tblPr>
        <w:tblStyle w:val="50"/>
        <w:tblW w:w="88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92"/>
        <w:gridCol w:w="7830"/>
      </w:tblGrid>
      <w:tr w14:paraId="18096D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tcPr>
          <w:p w14:paraId="4FCB4326">
            <w:pPr>
              <w:spacing w:line="360" w:lineRule="auto"/>
              <w:jc w:val="center"/>
              <w:rPr>
                <w:rFonts w:ascii="宋体" w:hAnsi="宋体" w:cs="宋体"/>
                <w:b/>
                <w:color w:val="auto"/>
                <w:sz w:val="24"/>
                <w:szCs w:val="24"/>
                <w:highlight w:val="none"/>
              </w:rPr>
            </w:pPr>
            <w:r>
              <w:rPr>
                <w:rFonts w:hint="eastAsia" w:ascii="宋体" w:hAnsi="宋体" w:cs="宋体"/>
                <w:b/>
                <w:color w:val="auto"/>
                <w:sz w:val="24"/>
                <w:szCs w:val="24"/>
                <w:highlight w:val="none"/>
              </w:rPr>
              <w:t>条款号</w:t>
            </w:r>
          </w:p>
        </w:tc>
        <w:tc>
          <w:tcPr>
            <w:tcW w:w="7830" w:type="dxa"/>
          </w:tcPr>
          <w:p w14:paraId="58F2CB5D">
            <w:pPr>
              <w:spacing w:line="360" w:lineRule="auto"/>
              <w:jc w:val="center"/>
              <w:rPr>
                <w:rFonts w:ascii="宋体" w:hAnsi="宋体" w:cs="宋体"/>
                <w:b/>
                <w:color w:val="auto"/>
                <w:sz w:val="24"/>
                <w:szCs w:val="24"/>
                <w:highlight w:val="none"/>
              </w:rPr>
            </w:pPr>
            <w:r>
              <w:rPr>
                <w:rFonts w:hint="eastAsia" w:ascii="宋体" w:hAnsi="宋体" w:cs="宋体"/>
                <w:b/>
                <w:color w:val="auto"/>
                <w:sz w:val="24"/>
                <w:szCs w:val="24"/>
                <w:highlight w:val="none"/>
              </w:rPr>
              <w:t>内    容</w:t>
            </w:r>
          </w:p>
        </w:tc>
      </w:tr>
      <w:tr w14:paraId="52F024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98" w:hRule="atLeast"/>
          <w:jc w:val="center"/>
        </w:trPr>
        <w:tc>
          <w:tcPr>
            <w:tcW w:w="992" w:type="dxa"/>
            <w:vAlign w:val="center"/>
          </w:tcPr>
          <w:p w14:paraId="33B97120">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3</w:t>
            </w:r>
          </w:p>
        </w:tc>
        <w:tc>
          <w:tcPr>
            <w:tcW w:w="7830" w:type="dxa"/>
            <w:vAlign w:val="center"/>
          </w:tcPr>
          <w:p w14:paraId="7BC110DF">
            <w:pPr>
              <w:spacing w:line="360" w:lineRule="auto"/>
              <w:rPr>
                <w:rFonts w:hint="eastAsia" w:ascii="宋体" w:hAnsi="宋体" w:eastAsia="宋体"/>
                <w:color w:val="auto"/>
                <w:sz w:val="24"/>
                <w:szCs w:val="24"/>
                <w:highlight w:val="none"/>
                <w:lang w:eastAsia="zh-CN"/>
              </w:rPr>
            </w:pPr>
            <w:r>
              <w:rPr>
                <w:rFonts w:hint="eastAsia" w:ascii="宋体" w:hAnsi="宋体" w:cs="宋体"/>
                <w:bCs/>
                <w:color w:val="auto"/>
                <w:sz w:val="24"/>
                <w:szCs w:val="24"/>
                <w:highlight w:val="none"/>
              </w:rPr>
              <w:t>1.供应商的资格条件</w:t>
            </w:r>
            <w:r>
              <w:rPr>
                <w:rFonts w:hint="eastAsia" w:ascii="宋体" w:hAnsi="宋体" w:cs="宋体"/>
                <w:color w:val="auto"/>
                <w:sz w:val="24"/>
                <w:szCs w:val="24"/>
                <w:highlight w:val="none"/>
              </w:rPr>
              <w:t>：详见竞争性磋商公告</w:t>
            </w:r>
            <w:r>
              <w:rPr>
                <w:rFonts w:hint="eastAsia" w:ascii="宋体" w:hAnsi="宋体" w:cs="宋体"/>
                <w:color w:val="auto"/>
                <w:sz w:val="24"/>
                <w:szCs w:val="24"/>
                <w:highlight w:val="none"/>
                <w:lang w:eastAsia="zh-CN"/>
              </w:rPr>
              <w:t>。</w:t>
            </w:r>
          </w:p>
          <w:p w14:paraId="1E9C32EE">
            <w:pPr>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bCs/>
                <w:color w:val="auto"/>
                <w:sz w:val="24"/>
                <w:szCs w:val="24"/>
                <w:highlight w:val="none"/>
              </w:rPr>
              <w:t>供应商</w:t>
            </w:r>
            <w:r>
              <w:rPr>
                <w:rFonts w:hint="eastAsia" w:ascii="宋体" w:hAnsi="宋体" w:cs="宋体"/>
                <w:color w:val="auto"/>
                <w:sz w:val="24"/>
                <w:szCs w:val="24"/>
                <w:highlight w:val="none"/>
              </w:rPr>
              <w:t>出现下列情形之一的，不得参加政府采购活动：</w:t>
            </w:r>
          </w:p>
          <w:p w14:paraId="4E49B435">
            <w:pPr>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2.1单位负责人为同一人或者存在直接控股、管理关系的不同供应商，不得参加同一合同项下的政府采购活动。为本项目提供过整体设计、规范编制或者项目管理、监理、检测等服务的供应商，不得再参加本项目上述服务以外的其他采购活动。</w:t>
            </w:r>
          </w:p>
          <w:p w14:paraId="15B4E4B1">
            <w:pPr>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2.2对在“信用中国”网站（www.creditchina.gov.cn）、中国政府采购网（www.ccgp.gov.cn）被列入失信被执行人、重大税收违法失信主体、政府采购严重违法失信行为记录名单及其他不符合《中华人民共和国政府采购法》第二十二条规定条件的供应商，不得参与政府采购活动。</w:t>
            </w:r>
          </w:p>
        </w:tc>
      </w:tr>
      <w:tr w14:paraId="00B84F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1" w:hRule="atLeast"/>
          <w:jc w:val="center"/>
        </w:trPr>
        <w:tc>
          <w:tcPr>
            <w:tcW w:w="992" w:type="dxa"/>
            <w:vAlign w:val="center"/>
          </w:tcPr>
          <w:p w14:paraId="035DD582">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5.1</w:t>
            </w:r>
          </w:p>
        </w:tc>
        <w:tc>
          <w:tcPr>
            <w:tcW w:w="7830" w:type="dxa"/>
            <w:vAlign w:val="center"/>
          </w:tcPr>
          <w:p w14:paraId="2D7F1E1E">
            <w:pPr>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是否接受联合体竞标</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详见竞争性磋商公告</w:t>
            </w:r>
          </w:p>
        </w:tc>
      </w:tr>
      <w:tr w14:paraId="7AB412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6" w:hRule="atLeast"/>
          <w:jc w:val="center"/>
        </w:trPr>
        <w:tc>
          <w:tcPr>
            <w:tcW w:w="992" w:type="dxa"/>
            <w:vAlign w:val="center"/>
          </w:tcPr>
          <w:p w14:paraId="55D136C6">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5</w:t>
            </w:r>
            <w:r>
              <w:rPr>
                <w:rFonts w:ascii="宋体" w:hAnsi="宋体" w:cs="宋体"/>
                <w:color w:val="auto"/>
                <w:sz w:val="24"/>
                <w:szCs w:val="24"/>
                <w:highlight w:val="none"/>
              </w:rPr>
              <w:t>.2</w:t>
            </w:r>
          </w:p>
        </w:tc>
        <w:tc>
          <w:tcPr>
            <w:tcW w:w="7830" w:type="dxa"/>
            <w:vAlign w:val="center"/>
          </w:tcPr>
          <w:p w14:paraId="627A76E0">
            <w:pPr>
              <w:spacing w:line="360" w:lineRule="auto"/>
              <w:rPr>
                <w:rFonts w:hint="eastAsia" w:ascii="宋体" w:hAnsi="宋体"/>
                <w:color w:val="auto"/>
                <w:sz w:val="24"/>
                <w:szCs w:val="24"/>
                <w:highlight w:val="none"/>
              </w:rPr>
            </w:pPr>
            <w:r>
              <w:rPr>
                <w:rFonts w:hint="eastAsia" w:ascii="宋体" w:hAnsi="宋体"/>
                <w:color w:val="auto"/>
                <w:sz w:val="24"/>
                <w:szCs w:val="24"/>
                <w:highlight w:val="none"/>
              </w:rPr>
              <w:t>如接受联合体竞标，联合体竞标要求如下：</w:t>
            </w:r>
          </w:p>
          <w:p w14:paraId="429E55A1">
            <w:pPr>
              <w:spacing w:line="360" w:lineRule="auto"/>
              <w:rPr>
                <w:rFonts w:hint="eastAsia" w:ascii="宋体" w:hAnsi="宋体"/>
                <w:color w:val="auto"/>
                <w:sz w:val="24"/>
                <w:szCs w:val="24"/>
                <w:highlight w:val="none"/>
              </w:rPr>
            </w:pPr>
            <w:r>
              <w:rPr>
                <w:rFonts w:hint="eastAsia" w:ascii="宋体" w:hAnsi="宋体"/>
                <w:color w:val="auto"/>
                <w:sz w:val="24"/>
                <w:szCs w:val="24"/>
                <w:highlight w:val="none"/>
              </w:rPr>
              <w:t>1</w:t>
            </w:r>
            <w:r>
              <w:rPr>
                <w:rFonts w:hint="eastAsia" w:ascii="宋体" w:hAnsi="宋体"/>
                <w:color w:val="auto"/>
                <w:sz w:val="24"/>
                <w:szCs w:val="24"/>
                <w:highlight w:val="none"/>
                <w:lang w:val="en-US" w:eastAsia="zh-CN"/>
              </w:rPr>
              <w:t>.</w:t>
            </w:r>
            <w:r>
              <w:rPr>
                <w:rFonts w:hint="eastAsia" w:ascii="宋体" w:hAnsi="宋体"/>
                <w:color w:val="auto"/>
                <w:sz w:val="24"/>
                <w:szCs w:val="24"/>
                <w:highlight w:val="none"/>
              </w:rPr>
              <w:t>两个以上供应商可以组成一个竞标联合体，以一个供应商的身份共同参加竞标，联合体供应商的名称应统一按“XXX 公司与 XXX 公司的联合体”的规则填写。</w:t>
            </w:r>
          </w:p>
          <w:p w14:paraId="45D346B2">
            <w:pPr>
              <w:spacing w:line="360" w:lineRule="auto"/>
              <w:rPr>
                <w:rFonts w:hint="eastAsia" w:ascii="宋体" w:hAnsi="宋体"/>
                <w:color w:val="auto"/>
                <w:sz w:val="24"/>
                <w:szCs w:val="24"/>
                <w:highlight w:val="none"/>
              </w:rPr>
            </w:pPr>
            <w:r>
              <w:rPr>
                <w:rFonts w:hint="eastAsia" w:ascii="宋体" w:hAnsi="宋体"/>
                <w:color w:val="auto"/>
                <w:sz w:val="24"/>
                <w:szCs w:val="24"/>
                <w:highlight w:val="none"/>
              </w:rPr>
              <w:t>2</w:t>
            </w:r>
            <w:r>
              <w:rPr>
                <w:rFonts w:hint="eastAsia" w:ascii="宋体" w:hAnsi="宋体"/>
                <w:color w:val="auto"/>
                <w:sz w:val="24"/>
                <w:szCs w:val="24"/>
                <w:highlight w:val="none"/>
                <w:lang w:val="en-US" w:eastAsia="zh-CN"/>
              </w:rPr>
              <w:t>.</w:t>
            </w:r>
            <w:r>
              <w:rPr>
                <w:rFonts w:hint="eastAsia" w:ascii="宋体" w:hAnsi="宋体"/>
                <w:color w:val="auto"/>
                <w:sz w:val="24"/>
                <w:szCs w:val="24"/>
                <w:highlight w:val="none"/>
              </w:rPr>
              <w:t>以联合体形式参加竞标的，联合体各方均必须具备《中华人民共和国政府采购法》第二十二条第一款规定的基本条件（涉及行政许可范围的内容，联合体各方均应具备相应资质）。本项目有特殊要求规定供应商特定条件的，联合体各方中至少有一方必须符合本项目竞争性磋商公告“申请人的资格条件”第3点 “3</w:t>
            </w:r>
            <w:r>
              <w:rPr>
                <w:rFonts w:hint="eastAsia" w:ascii="宋体" w:hAnsi="宋体"/>
                <w:color w:val="auto"/>
                <w:sz w:val="24"/>
                <w:szCs w:val="24"/>
                <w:highlight w:val="none"/>
                <w:lang w:val="en-US" w:eastAsia="zh-CN"/>
              </w:rPr>
              <w:t>.</w:t>
            </w:r>
            <w:r>
              <w:rPr>
                <w:rFonts w:hint="eastAsia" w:ascii="宋体" w:hAnsi="宋体"/>
                <w:color w:val="auto"/>
                <w:sz w:val="24"/>
                <w:szCs w:val="24"/>
                <w:highlight w:val="none"/>
              </w:rPr>
              <w:t>本项目的特定资格要求”的要求。</w:t>
            </w:r>
          </w:p>
          <w:p w14:paraId="7AF2C3F4">
            <w:pPr>
              <w:spacing w:line="360" w:lineRule="auto"/>
              <w:rPr>
                <w:rFonts w:hint="eastAsia" w:ascii="宋体" w:hAnsi="宋体"/>
                <w:color w:val="auto"/>
                <w:sz w:val="24"/>
                <w:szCs w:val="24"/>
                <w:highlight w:val="none"/>
              </w:rPr>
            </w:pPr>
            <w:r>
              <w:rPr>
                <w:rFonts w:hint="eastAsia" w:ascii="宋体" w:hAnsi="宋体"/>
                <w:color w:val="auto"/>
                <w:sz w:val="24"/>
                <w:szCs w:val="24"/>
                <w:highlight w:val="none"/>
              </w:rPr>
              <w:t>3</w:t>
            </w:r>
            <w:r>
              <w:rPr>
                <w:rFonts w:hint="eastAsia" w:ascii="宋体" w:hAnsi="宋体"/>
                <w:color w:val="auto"/>
                <w:sz w:val="24"/>
                <w:szCs w:val="24"/>
                <w:highlight w:val="none"/>
                <w:lang w:val="en-US" w:eastAsia="zh-CN"/>
              </w:rPr>
              <w:t>.</w:t>
            </w:r>
            <w:r>
              <w:rPr>
                <w:rFonts w:hint="eastAsia" w:ascii="宋体" w:hAnsi="宋体"/>
                <w:color w:val="auto"/>
                <w:sz w:val="24"/>
                <w:szCs w:val="24"/>
                <w:highlight w:val="none"/>
              </w:rPr>
              <w:t>联合体竞标的，须提供《联合体竞标协议书》（格式后附），协议书必须明确主体方（或者牵头方）并明确约定联合体各方承担的工作和相应的责任（各方承担责任与义务的分工必须符合采购需求，否则，联合体响应无效），并将联合竞标协议放入响应文件。联合体各方必须共同与采购人签订采购合同，就采购合同约定的事项对采购人承担连带责任。</w:t>
            </w:r>
            <w:r>
              <w:rPr>
                <w:rFonts w:hint="eastAsia" w:ascii="宋体" w:hAnsi="宋体"/>
                <w:color w:val="auto"/>
                <w:sz w:val="24"/>
                <w:szCs w:val="24"/>
                <w:highlight w:val="none"/>
              </w:rPr>
              <w:tab/>
            </w:r>
          </w:p>
          <w:p w14:paraId="3892A952">
            <w:pPr>
              <w:spacing w:line="360" w:lineRule="auto"/>
              <w:rPr>
                <w:rFonts w:hint="eastAsia" w:ascii="宋体" w:hAnsi="宋体"/>
                <w:color w:val="auto"/>
                <w:sz w:val="24"/>
                <w:szCs w:val="24"/>
                <w:highlight w:val="none"/>
              </w:rPr>
            </w:pPr>
            <w:r>
              <w:rPr>
                <w:rFonts w:hint="eastAsia" w:ascii="宋体" w:hAnsi="宋体"/>
                <w:color w:val="auto"/>
                <w:sz w:val="24"/>
                <w:szCs w:val="24"/>
                <w:highlight w:val="none"/>
              </w:rPr>
              <w:t>4</w:t>
            </w:r>
            <w:r>
              <w:rPr>
                <w:rFonts w:hint="eastAsia" w:ascii="宋体" w:hAnsi="宋体"/>
                <w:color w:val="auto"/>
                <w:sz w:val="24"/>
                <w:szCs w:val="24"/>
                <w:highlight w:val="none"/>
                <w:lang w:val="en-US" w:eastAsia="zh-CN"/>
              </w:rPr>
              <w:t>.</w:t>
            </w:r>
            <w:r>
              <w:rPr>
                <w:rFonts w:hint="eastAsia" w:ascii="宋体" w:hAnsi="宋体"/>
                <w:color w:val="auto"/>
                <w:sz w:val="24"/>
                <w:szCs w:val="24"/>
                <w:highlight w:val="none"/>
              </w:rPr>
              <w:t>以联合体形式参加政府采购活动的，联合体各方不得再单独参加或者与其他供应商另外组成联合体参加同一合同项下的政府采购活动，否则与之相关的响应文件作废。</w:t>
            </w:r>
            <w:r>
              <w:rPr>
                <w:rFonts w:hint="eastAsia" w:ascii="宋体" w:hAnsi="宋体"/>
                <w:color w:val="auto"/>
                <w:sz w:val="24"/>
                <w:szCs w:val="24"/>
                <w:highlight w:val="none"/>
              </w:rPr>
              <w:tab/>
            </w:r>
            <w:r>
              <w:rPr>
                <w:rFonts w:hint="eastAsia" w:ascii="宋体" w:hAnsi="宋体"/>
                <w:color w:val="auto"/>
                <w:sz w:val="24"/>
                <w:szCs w:val="24"/>
                <w:highlight w:val="none"/>
              </w:rPr>
              <w:tab/>
            </w:r>
          </w:p>
          <w:p w14:paraId="3E555014">
            <w:pPr>
              <w:spacing w:line="360" w:lineRule="auto"/>
              <w:rPr>
                <w:rFonts w:hint="eastAsia" w:ascii="宋体" w:hAnsi="宋体"/>
                <w:color w:val="auto"/>
                <w:sz w:val="24"/>
                <w:szCs w:val="24"/>
                <w:highlight w:val="none"/>
              </w:rPr>
            </w:pPr>
            <w:r>
              <w:rPr>
                <w:rFonts w:hint="eastAsia" w:ascii="宋体" w:hAnsi="宋体"/>
                <w:color w:val="auto"/>
                <w:sz w:val="24"/>
                <w:szCs w:val="24"/>
                <w:highlight w:val="none"/>
              </w:rPr>
              <w:t>5</w:t>
            </w:r>
            <w:r>
              <w:rPr>
                <w:rFonts w:hint="eastAsia" w:ascii="宋体" w:hAnsi="宋体"/>
                <w:color w:val="auto"/>
                <w:sz w:val="24"/>
                <w:szCs w:val="24"/>
                <w:highlight w:val="none"/>
                <w:lang w:val="en-US" w:eastAsia="zh-CN"/>
              </w:rPr>
              <w:t>.</w:t>
            </w:r>
            <w:r>
              <w:rPr>
                <w:rFonts w:hint="eastAsia" w:ascii="宋体" w:hAnsi="宋体"/>
                <w:color w:val="auto"/>
                <w:sz w:val="24"/>
                <w:szCs w:val="24"/>
                <w:highlight w:val="none"/>
              </w:rPr>
              <w:t>联合体中有同类资质的供应商按照联合体分工承担相同工作的，应当按照资质等级较低的供应商确定资质等级。</w:t>
            </w:r>
            <w:r>
              <w:rPr>
                <w:rFonts w:hint="eastAsia" w:ascii="宋体" w:hAnsi="宋体"/>
                <w:color w:val="auto"/>
                <w:sz w:val="24"/>
                <w:szCs w:val="24"/>
                <w:highlight w:val="none"/>
              </w:rPr>
              <w:tab/>
            </w:r>
            <w:r>
              <w:rPr>
                <w:rFonts w:hint="eastAsia" w:ascii="宋体" w:hAnsi="宋体"/>
                <w:color w:val="auto"/>
                <w:sz w:val="24"/>
                <w:szCs w:val="24"/>
                <w:highlight w:val="none"/>
              </w:rPr>
              <w:tab/>
            </w:r>
          </w:p>
          <w:p w14:paraId="4A5EBBE9">
            <w:pPr>
              <w:spacing w:line="360" w:lineRule="auto"/>
              <w:rPr>
                <w:rFonts w:hint="eastAsia" w:ascii="宋体" w:hAnsi="宋体"/>
                <w:color w:val="auto"/>
                <w:sz w:val="24"/>
                <w:szCs w:val="24"/>
                <w:highlight w:val="none"/>
              </w:rPr>
            </w:pPr>
            <w:r>
              <w:rPr>
                <w:rFonts w:hint="eastAsia" w:ascii="宋体" w:hAnsi="宋体"/>
                <w:color w:val="auto"/>
                <w:sz w:val="24"/>
                <w:szCs w:val="24"/>
                <w:highlight w:val="none"/>
              </w:rPr>
              <w:t>6</w:t>
            </w:r>
            <w:r>
              <w:rPr>
                <w:rFonts w:hint="eastAsia" w:ascii="宋体" w:hAnsi="宋体"/>
                <w:color w:val="auto"/>
                <w:sz w:val="24"/>
                <w:szCs w:val="24"/>
                <w:highlight w:val="none"/>
                <w:lang w:val="en-US" w:eastAsia="zh-CN"/>
              </w:rPr>
              <w:t>.</w:t>
            </w:r>
            <w:r>
              <w:rPr>
                <w:rFonts w:hint="eastAsia" w:ascii="宋体" w:hAnsi="宋体"/>
                <w:color w:val="auto"/>
                <w:sz w:val="24"/>
                <w:szCs w:val="24"/>
                <w:highlight w:val="none"/>
              </w:rPr>
              <w:t>联合体竞标业绩、履约能力按照联合体各方其中较高的一方认定并计算（竞争性磋商文件另有规定的除外）。</w:t>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p>
          <w:p w14:paraId="039D53E1">
            <w:pPr>
              <w:spacing w:line="360" w:lineRule="auto"/>
              <w:rPr>
                <w:rFonts w:ascii="宋体" w:hAnsi="宋体" w:cs="宋体"/>
                <w:color w:val="auto"/>
                <w:sz w:val="24"/>
                <w:szCs w:val="24"/>
                <w:highlight w:val="none"/>
              </w:rPr>
            </w:pPr>
            <w:r>
              <w:rPr>
                <w:rFonts w:hint="eastAsia" w:ascii="宋体" w:hAnsi="宋体"/>
                <w:color w:val="auto"/>
                <w:sz w:val="24"/>
                <w:szCs w:val="24"/>
                <w:highlight w:val="none"/>
              </w:rPr>
              <w:t>7</w:t>
            </w:r>
            <w:r>
              <w:rPr>
                <w:rFonts w:hint="eastAsia" w:ascii="宋体" w:hAnsi="宋体"/>
                <w:color w:val="auto"/>
                <w:sz w:val="24"/>
                <w:szCs w:val="24"/>
                <w:highlight w:val="none"/>
                <w:lang w:val="en-US" w:eastAsia="zh-CN"/>
              </w:rPr>
              <w:t>.</w:t>
            </w:r>
            <w:r>
              <w:rPr>
                <w:rFonts w:hint="eastAsia" w:ascii="宋体" w:hAnsi="宋体"/>
                <w:color w:val="auto"/>
                <w:sz w:val="24"/>
                <w:szCs w:val="24"/>
                <w:highlight w:val="none"/>
              </w:rPr>
              <w:t>联合体各方均应按照竞争性磋商文件的规定提交资格证明文件。</w:t>
            </w:r>
          </w:p>
        </w:tc>
      </w:tr>
      <w:tr w14:paraId="128104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47E8481F">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6.2</w:t>
            </w:r>
          </w:p>
        </w:tc>
        <w:tc>
          <w:tcPr>
            <w:tcW w:w="7830" w:type="dxa"/>
            <w:vAlign w:val="center"/>
          </w:tcPr>
          <w:p w14:paraId="144DCC95">
            <w:pPr>
              <w:pStyle w:val="16"/>
              <w:spacing w:line="360" w:lineRule="auto"/>
              <w:rPr>
                <w:rFonts w:ascii="宋体" w:hAnsi="宋体"/>
                <w:color w:val="auto"/>
                <w:sz w:val="24"/>
                <w:szCs w:val="24"/>
                <w:highlight w:val="none"/>
              </w:rPr>
            </w:pPr>
            <w:r>
              <w:rPr>
                <w:rFonts w:hint="eastAsia" w:ascii="MS Mincho" w:hAnsi="MS Mincho" w:eastAsia="MS Mincho" w:cs="MS Mincho"/>
                <w:color w:val="auto"/>
                <w:sz w:val="24"/>
                <w:szCs w:val="24"/>
                <w:highlight w:val="none"/>
              </w:rPr>
              <w:t>☑</w:t>
            </w:r>
            <w:r>
              <w:rPr>
                <w:rFonts w:hint="eastAsia" w:ascii="宋体" w:hAnsi="宋体"/>
                <w:color w:val="auto"/>
                <w:sz w:val="24"/>
                <w:szCs w:val="24"/>
                <w:highlight w:val="none"/>
              </w:rPr>
              <w:t>不允许分包</w:t>
            </w:r>
          </w:p>
          <w:p w14:paraId="270C4585">
            <w:pPr>
              <w:pStyle w:val="16"/>
              <w:spacing w:line="360" w:lineRule="auto"/>
              <w:rPr>
                <w:rFonts w:ascii="宋体" w:hAnsi="宋体"/>
                <w:color w:val="auto"/>
                <w:sz w:val="24"/>
                <w:szCs w:val="24"/>
                <w:highlight w:val="none"/>
              </w:rPr>
            </w:pPr>
            <w:r>
              <w:rPr>
                <w:rFonts w:hint="eastAsia" w:ascii="MS Mincho" w:hAnsi="MS Mincho" w:eastAsia="MS Mincho" w:cs="MS Mincho"/>
                <w:color w:val="auto"/>
                <w:sz w:val="24"/>
                <w:szCs w:val="24"/>
                <w:highlight w:val="none"/>
              </w:rPr>
              <w:t>□</w:t>
            </w:r>
            <w:r>
              <w:rPr>
                <w:rFonts w:hint="eastAsia" w:ascii="宋体" w:hAnsi="宋体"/>
                <w:color w:val="auto"/>
                <w:sz w:val="24"/>
                <w:szCs w:val="24"/>
                <w:highlight w:val="none"/>
              </w:rPr>
              <w:t>允许分包</w:t>
            </w:r>
          </w:p>
          <w:p w14:paraId="503074D3">
            <w:pPr>
              <w:pStyle w:val="16"/>
              <w:spacing w:line="360" w:lineRule="auto"/>
              <w:rPr>
                <w:rFonts w:ascii="宋体" w:hAnsi="宋体" w:cs="宋体"/>
                <w:color w:val="auto"/>
                <w:sz w:val="24"/>
                <w:szCs w:val="24"/>
                <w:highlight w:val="none"/>
              </w:rPr>
            </w:pPr>
            <w:r>
              <w:rPr>
                <w:rFonts w:hint="eastAsia" w:ascii="宋体" w:hAnsi="宋体"/>
                <w:color w:val="auto"/>
                <w:sz w:val="24"/>
                <w:szCs w:val="24"/>
                <w:highlight w:val="none"/>
              </w:rPr>
              <w:t>分包内容及分包金额或者比例：</w:t>
            </w:r>
            <w:r>
              <w:rPr>
                <w:rFonts w:ascii="宋体" w:hAnsi="宋体"/>
                <w:color w:val="auto"/>
                <w:sz w:val="24"/>
                <w:szCs w:val="24"/>
                <w:highlight w:val="none"/>
                <w:u w:val="single"/>
              </w:rPr>
              <w:t xml:space="preserve">         </w:t>
            </w:r>
            <w:r>
              <w:rPr>
                <w:rFonts w:hint="eastAsia" w:ascii="宋体" w:hAnsi="宋体"/>
                <w:color w:val="auto"/>
                <w:sz w:val="24"/>
                <w:szCs w:val="24"/>
                <w:highlight w:val="none"/>
                <w:u w:val="none"/>
              </w:rPr>
              <w:t>。</w:t>
            </w:r>
          </w:p>
        </w:tc>
      </w:tr>
      <w:tr w14:paraId="5FDC3C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2098D005">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12.1.</w:t>
            </w:r>
            <w:r>
              <w:rPr>
                <w:rFonts w:ascii="宋体" w:hAnsi="宋体" w:cs="宋体"/>
                <w:color w:val="auto"/>
                <w:sz w:val="24"/>
                <w:szCs w:val="24"/>
                <w:highlight w:val="none"/>
              </w:rPr>
              <w:t>1</w:t>
            </w:r>
          </w:p>
        </w:tc>
        <w:tc>
          <w:tcPr>
            <w:tcW w:w="7830" w:type="dxa"/>
            <w:vAlign w:val="center"/>
          </w:tcPr>
          <w:p w14:paraId="55AE0C59">
            <w:pPr>
              <w:snapToGrid w:val="0"/>
              <w:spacing w:line="360" w:lineRule="auto"/>
              <w:jc w:val="left"/>
              <w:rPr>
                <w:rFonts w:ascii="宋体" w:hAnsi="宋体" w:cs="宋体"/>
                <w:b/>
                <w:color w:val="auto"/>
                <w:sz w:val="24"/>
                <w:szCs w:val="24"/>
                <w:highlight w:val="none"/>
              </w:rPr>
            </w:pPr>
            <w:r>
              <w:rPr>
                <w:rFonts w:hint="eastAsia" w:ascii="宋体" w:hAnsi="宋体" w:cs="宋体"/>
                <w:b/>
                <w:color w:val="auto"/>
                <w:sz w:val="24"/>
                <w:szCs w:val="24"/>
                <w:highlight w:val="none"/>
              </w:rPr>
              <w:t>资格证明文件</w:t>
            </w:r>
          </w:p>
          <w:p w14:paraId="1D864B5C">
            <w:pPr>
              <w:pStyle w:val="16"/>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1.供应商为法人或者其他组织的提供其营业执照等证明文件（如营业执照或者事业单位法人证书或者执业许可证或者登记证书等），供应商为自然人的提供其身份证复印件；（</w:t>
            </w:r>
            <w:r>
              <w:rPr>
                <w:rFonts w:hint="eastAsia" w:ascii="宋体" w:hAnsi="宋体" w:cs="宋体"/>
                <w:b/>
                <w:color w:val="auto"/>
                <w:sz w:val="24"/>
                <w:szCs w:val="24"/>
                <w:highlight w:val="none"/>
              </w:rPr>
              <w:t>必须提供，否则响应文件按无效响应处理</w:t>
            </w:r>
            <w:r>
              <w:rPr>
                <w:rFonts w:hint="eastAsia" w:ascii="宋体" w:hAnsi="宋体" w:cs="宋体"/>
                <w:color w:val="auto"/>
                <w:sz w:val="24"/>
                <w:szCs w:val="24"/>
                <w:highlight w:val="none"/>
              </w:rPr>
              <w:t>）</w:t>
            </w:r>
          </w:p>
          <w:p w14:paraId="3C02A39D">
            <w:pPr>
              <w:spacing w:line="360" w:lineRule="auto"/>
              <w:contextualSpacing/>
              <w:jc w:val="left"/>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.供应商有效的公安部门颁发的《保安服务许可证》</w:t>
            </w:r>
            <w:r>
              <w:rPr>
                <w:rFonts w:hint="eastAsia" w:ascii="宋体" w:hAnsi="宋体" w:cs="宋体"/>
                <w:color w:val="auto"/>
                <w:sz w:val="24"/>
                <w:szCs w:val="24"/>
                <w:highlight w:val="none"/>
                <w:lang w:eastAsia="zh-CN"/>
              </w:rPr>
              <w:t>复印件</w:t>
            </w:r>
            <w:r>
              <w:rPr>
                <w:rFonts w:hint="eastAsia" w:ascii="宋体" w:hAnsi="宋体" w:cs="宋体"/>
                <w:color w:val="auto"/>
                <w:sz w:val="24"/>
                <w:szCs w:val="24"/>
                <w:highlight w:val="none"/>
              </w:rPr>
              <w:t>；（</w:t>
            </w:r>
            <w:r>
              <w:rPr>
                <w:rFonts w:hint="eastAsia" w:ascii="宋体" w:hAnsi="宋体" w:cs="宋体"/>
                <w:b/>
                <w:color w:val="auto"/>
                <w:sz w:val="24"/>
                <w:szCs w:val="24"/>
                <w:highlight w:val="none"/>
              </w:rPr>
              <w:t>必须提供，否则响应文件按无效响应处理</w:t>
            </w:r>
            <w:r>
              <w:rPr>
                <w:rFonts w:hint="eastAsia" w:ascii="宋体" w:hAnsi="宋体" w:cs="宋体"/>
                <w:color w:val="auto"/>
                <w:sz w:val="24"/>
                <w:szCs w:val="24"/>
                <w:highlight w:val="none"/>
              </w:rPr>
              <w:t>）</w:t>
            </w:r>
          </w:p>
          <w:p w14:paraId="62D9FAFC">
            <w:pPr>
              <w:spacing w:line="360" w:lineRule="auto"/>
              <w:contextualSpacing/>
              <w:jc w:val="left"/>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供应商依法缴纳税收的相关材料（202</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年</w:t>
            </w:r>
            <w:r>
              <w:rPr>
                <w:rFonts w:hint="eastAsia" w:ascii="宋体" w:hAnsi="宋体" w:cs="宋体"/>
                <w:color w:val="auto"/>
                <w:sz w:val="24"/>
                <w:szCs w:val="24"/>
                <w:highlight w:val="none"/>
                <w:lang w:val="en-US" w:eastAsia="zh-CN"/>
              </w:rPr>
              <w:t>11</w:t>
            </w:r>
            <w:r>
              <w:rPr>
                <w:rFonts w:hint="eastAsia" w:ascii="宋体" w:hAnsi="宋体" w:cs="宋体"/>
                <w:color w:val="auto"/>
                <w:sz w:val="24"/>
                <w:szCs w:val="24"/>
                <w:highlight w:val="none"/>
              </w:rPr>
              <w:t>月</w:t>
            </w:r>
            <w:r>
              <w:rPr>
                <w:rFonts w:hint="eastAsia" w:ascii="宋体" w:hAnsi="宋体" w:cs="宋体"/>
                <w:color w:val="auto"/>
                <w:sz w:val="24"/>
                <w:szCs w:val="24"/>
                <w:highlight w:val="none"/>
                <w:lang w:eastAsia="zh-CN"/>
              </w:rPr>
              <w:t>至202</w:t>
            </w: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lang w:eastAsia="zh-CN"/>
              </w:rPr>
              <w:t>年4月</w:t>
            </w:r>
            <w:r>
              <w:rPr>
                <w:rFonts w:hint="eastAsia" w:ascii="宋体" w:hAnsi="宋体" w:cs="宋体"/>
                <w:color w:val="auto"/>
                <w:sz w:val="24"/>
                <w:szCs w:val="24"/>
                <w:highlight w:val="none"/>
              </w:rPr>
              <w:t>供应商任意连续3个月的依法缴纳税收的凭据复印件；依法免税或零申报的，必须提供相应文件证明其依法免税或零申报材料。从取得营业执照时间起到响应文件提交截止时间为止不足要求月数的，只需提供从取得营业执照起的依法缴纳税收相应证明文件）；（</w:t>
            </w:r>
            <w:r>
              <w:rPr>
                <w:rFonts w:hint="eastAsia" w:ascii="宋体" w:hAnsi="宋体" w:cs="宋体"/>
                <w:b/>
                <w:color w:val="auto"/>
                <w:sz w:val="24"/>
                <w:szCs w:val="24"/>
                <w:highlight w:val="none"/>
              </w:rPr>
              <w:t>必须提供，否则响应文件按无效响应处理</w:t>
            </w:r>
            <w:r>
              <w:rPr>
                <w:rFonts w:hint="eastAsia" w:ascii="宋体" w:hAnsi="宋体" w:cs="宋体"/>
                <w:color w:val="auto"/>
                <w:sz w:val="24"/>
                <w:szCs w:val="24"/>
                <w:highlight w:val="none"/>
              </w:rPr>
              <w:t>）</w:t>
            </w:r>
          </w:p>
          <w:p w14:paraId="062F8782">
            <w:pPr>
              <w:spacing w:line="360" w:lineRule="auto"/>
              <w:contextualSpacing/>
              <w:jc w:val="left"/>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.供应商依法缴纳社会保障资金的相关材料[202</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年11月</w:t>
            </w:r>
            <w:r>
              <w:rPr>
                <w:rFonts w:hint="eastAsia" w:ascii="宋体" w:hAnsi="宋体" w:cs="宋体"/>
                <w:color w:val="auto"/>
                <w:sz w:val="24"/>
                <w:szCs w:val="24"/>
                <w:highlight w:val="none"/>
                <w:lang w:eastAsia="zh-CN"/>
              </w:rPr>
              <w:t>至202</w:t>
            </w: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lang w:eastAsia="zh-CN"/>
              </w:rPr>
              <w:t>年4月供应商任意连续</w:t>
            </w: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lang w:eastAsia="zh-CN"/>
              </w:rPr>
              <w:t>个月的依法缴纳社会保障资金的缴费凭证（专用收据或者社会保险缴纳清单）复印件；依法不需要缴纳社会保障资金的供应商，必须提供相应文件证明不需要缴纳社会保障资金。从取得营业执照时间起到响应文件提交截止时间为止不足要求月数的只需提供从取得营业执照起的依法缴纳社会保障资金的相应证明文件</w:t>
            </w:r>
            <w:r>
              <w:rPr>
                <w:rFonts w:hint="eastAsia" w:ascii="宋体" w:hAnsi="宋体" w:cs="宋体"/>
                <w:color w:val="auto"/>
                <w:sz w:val="24"/>
                <w:szCs w:val="24"/>
                <w:highlight w:val="none"/>
              </w:rPr>
              <w:t>]；（</w:t>
            </w:r>
            <w:r>
              <w:rPr>
                <w:rFonts w:hint="eastAsia" w:ascii="宋体" w:hAnsi="宋体" w:cs="宋体"/>
                <w:b/>
                <w:color w:val="auto"/>
                <w:sz w:val="24"/>
                <w:szCs w:val="24"/>
                <w:highlight w:val="none"/>
              </w:rPr>
              <w:t>必须提供，否则响应文件按无效响应处理</w:t>
            </w:r>
            <w:r>
              <w:rPr>
                <w:rFonts w:hint="eastAsia" w:ascii="宋体" w:hAnsi="宋体" w:cs="宋体"/>
                <w:color w:val="auto"/>
                <w:sz w:val="24"/>
                <w:szCs w:val="24"/>
                <w:highlight w:val="none"/>
              </w:rPr>
              <w:t>）</w:t>
            </w:r>
          </w:p>
          <w:p w14:paraId="5F24FD12">
            <w:pPr>
              <w:spacing w:line="360" w:lineRule="auto"/>
              <w:contextualSpacing/>
              <w:jc w:val="left"/>
              <w:rPr>
                <w:rFonts w:ascii="宋体" w:hAnsi="宋体" w:cs="宋体"/>
                <w:b/>
                <w:color w:val="auto"/>
                <w:sz w:val="24"/>
                <w:szCs w:val="24"/>
                <w:highlight w:val="none"/>
              </w:rPr>
            </w:pP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.供应商</w:t>
            </w:r>
            <w:r>
              <w:rPr>
                <w:rFonts w:hint="eastAsia"/>
                <w:color w:val="auto"/>
                <w:sz w:val="24"/>
                <w:szCs w:val="24"/>
                <w:highlight w:val="none"/>
              </w:rPr>
              <w:t>财务状况报告</w:t>
            </w:r>
            <w:r>
              <w:rPr>
                <w:rFonts w:hint="eastAsia" w:ascii="宋体" w:hAnsi="宋体" w:cs="宋体"/>
                <w:color w:val="auto"/>
                <w:sz w:val="24"/>
                <w:szCs w:val="24"/>
                <w:highlight w:val="none"/>
              </w:rPr>
              <w:t>[</w:t>
            </w:r>
            <w:r>
              <w:rPr>
                <w:rFonts w:hint="eastAsia" w:ascii="宋体" w:hAnsi="宋体" w:eastAsia="宋体" w:cs="宋体"/>
                <w:color w:val="auto"/>
                <w:sz w:val="24"/>
                <w:szCs w:val="24"/>
                <w:highlight w:val="none"/>
                <w:u w:val="single"/>
                <w:lang w:val="en-US" w:eastAsia="zh-CN"/>
              </w:rPr>
              <w:t>2025年度</w:t>
            </w:r>
            <w:r>
              <w:rPr>
                <w:rFonts w:hint="eastAsia"/>
                <w:color w:val="auto"/>
                <w:sz w:val="24"/>
                <w:szCs w:val="24"/>
                <w:highlight w:val="none"/>
              </w:rPr>
              <w:t>财务报表复印件，或者银行出具的资信证明，或者中国人民银行征信中心出具的信用报告（企业竞标的提供企业信用报告，自然人竞标的提供个人信用报告）；供应商属于成立时间</w:t>
            </w:r>
            <w:r>
              <w:rPr>
                <w:rFonts w:hint="eastAsia"/>
                <w:color w:val="auto"/>
                <w:kern w:val="0"/>
                <w:sz w:val="24"/>
                <w:szCs w:val="24"/>
                <w:highlight w:val="none"/>
              </w:rPr>
              <w:t>在规定年度之后</w:t>
            </w:r>
            <w:r>
              <w:rPr>
                <w:rFonts w:hint="eastAsia"/>
                <w:color w:val="auto"/>
                <w:sz w:val="24"/>
                <w:szCs w:val="24"/>
                <w:highlight w:val="none"/>
              </w:rPr>
              <w:t>的法人或其他组织，需提供成立之日起至响应文件提交截止时间前的月报表或银行出具的资信证明或者中国人民银行征信中心出具的企业信用报告；资信证明应在有效期内，未注明有效期的，银行出具时间至响应文件提交截止时间不超过一年</w:t>
            </w:r>
            <w:r>
              <w:rPr>
                <w:rFonts w:hint="eastAsia" w:ascii="宋体" w:hAnsi="宋体" w:cs="宋体"/>
                <w:color w:val="auto"/>
                <w:sz w:val="24"/>
                <w:szCs w:val="24"/>
                <w:highlight w:val="none"/>
              </w:rPr>
              <w:t>]；</w:t>
            </w:r>
            <w:r>
              <w:rPr>
                <w:rFonts w:hint="eastAsia" w:ascii="宋体" w:hAnsi="宋体" w:cs="宋体"/>
                <w:bCs/>
                <w:color w:val="auto"/>
                <w:sz w:val="24"/>
                <w:szCs w:val="24"/>
                <w:highlight w:val="none"/>
              </w:rPr>
              <w:t>（</w:t>
            </w:r>
            <w:r>
              <w:rPr>
                <w:rFonts w:hint="eastAsia" w:ascii="宋体" w:hAnsi="宋体"/>
                <w:b/>
                <w:color w:val="auto"/>
                <w:sz w:val="24"/>
                <w:szCs w:val="24"/>
                <w:highlight w:val="none"/>
              </w:rPr>
              <w:t>必须提供</w:t>
            </w:r>
            <w:r>
              <w:rPr>
                <w:rFonts w:hint="eastAsia" w:ascii="宋体" w:hAnsi="宋体" w:cs="宋体"/>
                <w:b/>
                <w:color w:val="auto"/>
                <w:sz w:val="24"/>
                <w:szCs w:val="24"/>
                <w:highlight w:val="none"/>
              </w:rPr>
              <w:t>，否则响应文件按无效响应处理</w:t>
            </w:r>
            <w:r>
              <w:rPr>
                <w:rFonts w:hint="eastAsia" w:ascii="宋体" w:hAnsi="宋体" w:cs="宋体"/>
                <w:bCs/>
                <w:color w:val="auto"/>
                <w:sz w:val="24"/>
                <w:szCs w:val="24"/>
                <w:highlight w:val="none"/>
              </w:rPr>
              <w:t>）</w:t>
            </w:r>
          </w:p>
          <w:p w14:paraId="2B271242">
            <w:pPr>
              <w:snapToGrid w:val="0"/>
              <w:spacing w:line="360" w:lineRule="auto"/>
              <w:jc w:val="left"/>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.供应商直接控股、管理关系信息表（格式</w:t>
            </w:r>
            <w:r>
              <w:rPr>
                <w:rFonts w:hint="eastAsia" w:ascii="宋体" w:hAnsi="宋体" w:cs="宋体"/>
                <w:color w:val="auto"/>
                <w:sz w:val="24"/>
                <w:szCs w:val="24"/>
                <w:highlight w:val="none"/>
                <w:lang w:eastAsia="zh-CN"/>
              </w:rPr>
              <w:t>详见第六章</w:t>
            </w:r>
            <w:r>
              <w:rPr>
                <w:rFonts w:hint="eastAsia" w:ascii="宋体" w:hAnsi="宋体" w:cs="宋体"/>
                <w:color w:val="auto"/>
                <w:sz w:val="24"/>
                <w:szCs w:val="24"/>
                <w:highlight w:val="none"/>
              </w:rPr>
              <w:t>）；（</w:t>
            </w:r>
            <w:r>
              <w:rPr>
                <w:rFonts w:hint="eastAsia" w:ascii="宋体" w:hAnsi="宋体" w:cs="宋体"/>
                <w:b/>
                <w:color w:val="auto"/>
                <w:sz w:val="24"/>
                <w:szCs w:val="24"/>
                <w:highlight w:val="none"/>
              </w:rPr>
              <w:t>必须提供，否则响应文件按无效响应处理</w:t>
            </w:r>
            <w:r>
              <w:rPr>
                <w:rFonts w:hint="eastAsia" w:ascii="宋体" w:hAnsi="宋体" w:cs="宋体"/>
                <w:color w:val="auto"/>
                <w:sz w:val="24"/>
                <w:szCs w:val="24"/>
                <w:highlight w:val="none"/>
              </w:rPr>
              <w:t>）</w:t>
            </w:r>
          </w:p>
          <w:p w14:paraId="0B510419">
            <w:pPr>
              <w:snapToGrid w:val="0"/>
              <w:spacing w:line="360" w:lineRule="auto"/>
              <w:jc w:val="left"/>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7</w:t>
            </w:r>
            <w:r>
              <w:rPr>
                <w:rFonts w:hint="eastAsia" w:ascii="宋体" w:hAnsi="宋体" w:cs="宋体"/>
                <w:color w:val="auto"/>
                <w:sz w:val="24"/>
                <w:szCs w:val="24"/>
                <w:highlight w:val="none"/>
              </w:rPr>
              <w:t>.竞标声明（格式</w:t>
            </w:r>
            <w:r>
              <w:rPr>
                <w:rFonts w:hint="eastAsia" w:ascii="宋体" w:hAnsi="宋体" w:cs="宋体"/>
                <w:color w:val="auto"/>
                <w:sz w:val="24"/>
                <w:szCs w:val="24"/>
                <w:highlight w:val="none"/>
                <w:lang w:eastAsia="zh-CN"/>
              </w:rPr>
              <w:t>详见第六章</w:t>
            </w:r>
            <w:r>
              <w:rPr>
                <w:rFonts w:hint="eastAsia" w:ascii="宋体" w:hAnsi="宋体" w:cs="宋体"/>
                <w:color w:val="auto"/>
                <w:sz w:val="24"/>
                <w:szCs w:val="24"/>
                <w:highlight w:val="none"/>
              </w:rPr>
              <w:t>）；（</w:t>
            </w:r>
            <w:r>
              <w:rPr>
                <w:rFonts w:hint="eastAsia" w:ascii="宋体" w:hAnsi="宋体" w:cs="宋体"/>
                <w:b/>
                <w:color w:val="auto"/>
                <w:sz w:val="24"/>
                <w:szCs w:val="24"/>
                <w:highlight w:val="none"/>
              </w:rPr>
              <w:t>必须提供，否则响应文件按无效响应处理</w:t>
            </w:r>
            <w:r>
              <w:rPr>
                <w:rFonts w:hint="eastAsia" w:ascii="宋体" w:hAnsi="宋体" w:cs="宋体"/>
                <w:color w:val="auto"/>
                <w:sz w:val="24"/>
                <w:szCs w:val="24"/>
                <w:highlight w:val="none"/>
              </w:rPr>
              <w:t>）</w:t>
            </w:r>
          </w:p>
          <w:p w14:paraId="6C507697">
            <w:pPr>
              <w:snapToGrid w:val="0"/>
              <w:spacing w:line="360" w:lineRule="auto"/>
              <w:jc w:val="left"/>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8</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特定资格要求：</w:t>
            </w:r>
            <w:r>
              <w:rPr>
                <w:rFonts w:hint="eastAsia"/>
                <w:color w:val="auto"/>
                <w:sz w:val="24"/>
                <w:szCs w:val="24"/>
                <w:highlight w:val="none"/>
              </w:rPr>
              <w:t>本项目属于专门面向小</w:t>
            </w:r>
            <w:r>
              <w:rPr>
                <w:rFonts w:hint="eastAsia"/>
                <w:color w:val="auto"/>
                <w:sz w:val="24"/>
                <w:szCs w:val="24"/>
                <w:highlight w:val="none"/>
                <w:lang w:eastAsia="zh-CN"/>
              </w:rPr>
              <w:t>微</w:t>
            </w:r>
            <w:r>
              <w:rPr>
                <w:rFonts w:hint="eastAsia"/>
                <w:color w:val="auto"/>
                <w:sz w:val="24"/>
                <w:szCs w:val="24"/>
                <w:highlight w:val="none"/>
              </w:rPr>
              <w:t>企业采购的项目，供应商应为</w:t>
            </w:r>
            <w:r>
              <w:rPr>
                <w:rFonts w:hint="eastAsia"/>
                <w:b/>
                <w:bCs/>
                <w:color w:val="auto"/>
                <w:sz w:val="24"/>
                <w:szCs w:val="24"/>
                <w:highlight w:val="none"/>
              </w:rPr>
              <w:t>小</w:t>
            </w:r>
            <w:r>
              <w:rPr>
                <w:rFonts w:hint="eastAsia"/>
                <w:b/>
                <w:bCs/>
                <w:color w:val="auto"/>
                <w:sz w:val="24"/>
                <w:szCs w:val="24"/>
                <w:highlight w:val="none"/>
                <w:lang w:eastAsia="zh-CN"/>
              </w:rPr>
              <w:t>型或微型</w:t>
            </w:r>
            <w:r>
              <w:rPr>
                <w:rFonts w:hint="eastAsia"/>
                <w:b/>
                <w:bCs/>
                <w:color w:val="auto"/>
                <w:sz w:val="24"/>
                <w:szCs w:val="24"/>
                <w:highlight w:val="none"/>
              </w:rPr>
              <w:t>企业</w:t>
            </w:r>
            <w:r>
              <w:rPr>
                <w:rFonts w:hint="eastAsia"/>
                <w:color w:val="auto"/>
                <w:sz w:val="24"/>
                <w:szCs w:val="24"/>
                <w:highlight w:val="none"/>
                <w:lang w:eastAsia="zh-CN"/>
              </w:rPr>
              <w:t>或</w:t>
            </w:r>
            <w:r>
              <w:rPr>
                <w:rFonts w:hint="eastAsia"/>
                <w:color w:val="auto"/>
                <w:sz w:val="24"/>
                <w:szCs w:val="24"/>
                <w:highlight w:val="none"/>
              </w:rPr>
              <w:t>监狱企业</w:t>
            </w:r>
            <w:r>
              <w:rPr>
                <w:rFonts w:hint="eastAsia"/>
                <w:color w:val="auto"/>
                <w:sz w:val="24"/>
                <w:szCs w:val="24"/>
                <w:highlight w:val="none"/>
                <w:lang w:eastAsia="zh-CN"/>
              </w:rPr>
              <w:t>或</w:t>
            </w:r>
            <w:r>
              <w:rPr>
                <w:rFonts w:hint="eastAsia"/>
                <w:color w:val="auto"/>
                <w:sz w:val="24"/>
                <w:szCs w:val="24"/>
                <w:highlight w:val="none"/>
              </w:rPr>
              <w:t>残疾人福利性单位</w:t>
            </w:r>
            <w:r>
              <w:rPr>
                <w:color w:val="auto"/>
                <w:sz w:val="24"/>
                <w:szCs w:val="24"/>
                <w:highlight w:val="none"/>
              </w:rPr>
              <w:t>，并根据《政府采购促进中小企业发展管理办法》（财库[2020]46号）中《中小企业声明函》格式要求填报</w:t>
            </w:r>
            <w:r>
              <w:rPr>
                <w:rFonts w:hint="eastAsia" w:ascii="宋体" w:hAnsi="宋体" w:cs="宋体"/>
                <w:color w:val="auto"/>
                <w:sz w:val="24"/>
                <w:szCs w:val="24"/>
                <w:highlight w:val="none"/>
              </w:rPr>
              <w:t>（格式</w:t>
            </w:r>
            <w:r>
              <w:rPr>
                <w:rFonts w:hint="eastAsia" w:ascii="宋体" w:hAnsi="宋体" w:cs="宋体"/>
                <w:color w:val="auto"/>
                <w:sz w:val="24"/>
                <w:szCs w:val="24"/>
                <w:highlight w:val="none"/>
                <w:lang w:eastAsia="zh-CN"/>
              </w:rPr>
              <w:t>详见第六章</w:t>
            </w:r>
            <w:r>
              <w:rPr>
                <w:rFonts w:hint="eastAsia" w:ascii="宋体" w:hAnsi="宋体" w:cs="宋体"/>
                <w:color w:val="auto"/>
                <w:sz w:val="24"/>
                <w:szCs w:val="24"/>
                <w:highlight w:val="none"/>
              </w:rPr>
              <w:t>）</w:t>
            </w:r>
            <w:r>
              <w:rPr>
                <w:color w:val="auto"/>
                <w:sz w:val="24"/>
                <w:szCs w:val="24"/>
                <w:highlight w:val="none"/>
              </w:rPr>
              <w:t>及提供声明函原件</w:t>
            </w:r>
            <w:r>
              <w:rPr>
                <w:rFonts w:hint="eastAsia"/>
                <w:color w:val="auto"/>
                <w:sz w:val="24"/>
                <w:szCs w:val="24"/>
                <w:highlight w:val="none"/>
              </w:rPr>
              <w:t>或《残疾人福利性单位声明函》原件</w:t>
            </w:r>
            <w:r>
              <w:rPr>
                <w:rFonts w:hint="eastAsia" w:ascii="宋体" w:hAnsi="宋体" w:cs="宋体"/>
                <w:color w:val="auto"/>
                <w:sz w:val="24"/>
                <w:szCs w:val="24"/>
                <w:highlight w:val="none"/>
              </w:rPr>
              <w:t>（格式</w:t>
            </w:r>
            <w:r>
              <w:rPr>
                <w:rFonts w:hint="eastAsia" w:ascii="宋体" w:hAnsi="宋体" w:cs="宋体"/>
                <w:color w:val="auto"/>
                <w:sz w:val="24"/>
                <w:szCs w:val="24"/>
                <w:highlight w:val="none"/>
                <w:lang w:eastAsia="zh-CN"/>
              </w:rPr>
              <w:t>详见第六章</w:t>
            </w:r>
            <w:r>
              <w:rPr>
                <w:rFonts w:hint="eastAsia" w:ascii="宋体" w:hAnsi="宋体" w:cs="宋体"/>
                <w:color w:val="auto"/>
                <w:sz w:val="24"/>
                <w:szCs w:val="24"/>
                <w:highlight w:val="none"/>
              </w:rPr>
              <w:t>）</w:t>
            </w:r>
            <w:r>
              <w:rPr>
                <w:rFonts w:hint="eastAsia"/>
                <w:color w:val="auto"/>
                <w:sz w:val="24"/>
                <w:szCs w:val="24"/>
                <w:highlight w:val="none"/>
              </w:rPr>
              <w:t>或属于监狱企业的证明文件复印件</w:t>
            </w:r>
            <w:r>
              <w:rPr>
                <w:color w:val="auto"/>
                <w:sz w:val="24"/>
                <w:szCs w:val="24"/>
                <w:highlight w:val="none"/>
              </w:rPr>
              <w:t>；</w:t>
            </w:r>
            <w:r>
              <w:rPr>
                <w:rFonts w:hint="eastAsia" w:ascii="宋体" w:hAnsi="宋体" w:cs="宋体"/>
                <w:color w:val="auto"/>
                <w:sz w:val="24"/>
                <w:szCs w:val="24"/>
                <w:highlight w:val="none"/>
              </w:rPr>
              <w:t>（</w:t>
            </w:r>
            <w:r>
              <w:rPr>
                <w:rFonts w:hint="eastAsia" w:ascii="宋体" w:hAnsi="宋体" w:cs="宋体"/>
                <w:b/>
                <w:color w:val="auto"/>
                <w:sz w:val="24"/>
                <w:szCs w:val="24"/>
                <w:highlight w:val="none"/>
              </w:rPr>
              <w:t>必须提供，否则响应文件按无效响应处理</w:t>
            </w:r>
            <w:r>
              <w:rPr>
                <w:rFonts w:hint="eastAsia" w:ascii="宋体" w:hAnsi="宋体" w:cs="宋体"/>
                <w:color w:val="auto"/>
                <w:sz w:val="24"/>
                <w:szCs w:val="24"/>
                <w:highlight w:val="none"/>
              </w:rPr>
              <w:t>）</w:t>
            </w:r>
          </w:p>
          <w:p w14:paraId="4329B055">
            <w:pPr>
              <w:snapToGrid w:val="0"/>
              <w:spacing w:line="360" w:lineRule="auto"/>
              <w:jc w:val="left"/>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9</w:t>
            </w:r>
            <w:r>
              <w:rPr>
                <w:rFonts w:hint="eastAsia" w:ascii="宋体" w:hAnsi="宋体" w:cs="宋体"/>
                <w:color w:val="auto"/>
                <w:sz w:val="24"/>
                <w:szCs w:val="24"/>
                <w:highlight w:val="none"/>
              </w:rPr>
              <w:t>.除磋商文件规定必须提供以外，供应商认为需要提供的其他证明材料</w:t>
            </w:r>
            <w:r>
              <w:rPr>
                <w:rFonts w:hint="eastAsia" w:ascii="宋体" w:hAnsi="宋体" w:cs="宋体"/>
                <w:color w:val="auto"/>
                <w:sz w:val="24"/>
                <w:szCs w:val="24"/>
                <w:highlight w:val="none"/>
                <w:lang w:eastAsia="zh-CN"/>
              </w:rPr>
              <w:t>。</w:t>
            </w:r>
          </w:p>
          <w:p w14:paraId="2127452E">
            <w:pPr>
              <w:snapToGrid w:val="0"/>
              <w:spacing w:line="360" w:lineRule="auto"/>
              <w:jc w:val="left"/>
              <w:rPr>
                <w:rFonts w:ascii="宋体" w:hAnsi="宋体" w:cs="宋体"/>
                <w:b/>
                <w:color w:val="auto"/>
                <w:sz w:val="24"/>
                <w:szCs w:val="24"/>
                <w:highlight w:val="none"/>
              </w:rPr>
            </w:pPr>
            <w:r>
              <w:rPr>
                <w:rFonts w:hint="eastAsia" w:ascii="宋体" w:hAnsi="宋体" w:cs="宋体"/>
                <w:b/>
                <w:color w:val="auto"/>
                <w:sz w:val="24"/>
                <w:szCs w:val="24"/>
                <w:highlight w:val="none"/>
              </w:rPr>
              <w:t>注：</w:t>
            </w:r>
          </w:p>
          <w:p w14:paraId="487FD454">
            <w:pPr>
              <w:snapToGrid w:val="0"/>
              <w:spacing w:line="360" w:lineRule="auto"/>
              <w:ind w:firstLine="472" w:firstLineChars="196"/>
              <w:jc w:val="left"/>
              <w:rPr>
                <w:rFonts w:ascii="宋体" w:hAnsi="宋体" w:cs="宋体"/>
                <w:b/>
                <w:color w:val="auto"/>
                <w:sz w:val="24"/>
                <w:szCs w:val="24"/>
                <w:highlight w:val="none"/>
              </w:rPr>
            </w:pPr>
            <w:r>
              <w:rPr>
                <w:rFonts w:hint="eastAsia" w:ascii="宋体" w:hAnsi="宋体" w:cs="宋体"/>
                <w:b/>
                <w:color w:val="auto"/>
                <w:sz w:val="24"/>
                <w:szCs w:val="24"/>
                <w:highlight w:val="none"/>
              </w:rPr>
              <w:t>1.以上标明“必须提供”的材料，必须加盖供应商</w:t>
            </w:r>
            <w:r>
              <w:rPr>
                <w:rFonts w:hint="eastAsia"/>
                <w:b/>
                <w:color w:val="auto"/>
                <w:sz w:val="24"/>
                <w:szCs w:val="24"/>
                <w:highlight w:val="none"/>
              </w:rPr>
              <w:t>电子签章</w:t>
            </w:r>
            <w:r>
              <w:rPr>
                <w:rFonts w:hint="eastAsia" w:ascii="宋体" w:hAnsi="宋体" w:cs="宋体"/>
                <w:b/>
                <w:color w:val="auto"/>
                <w:sz w:val="24"/>
                <w:szCs w:val="24"/>
                <w:highlight w:val="none"/>
              </w:rPr>
              <w:t>，</w:t>
            </w:r>
            <w:r>
              <w:rPr>
                <w:rFonts w:hint="eastAsia"/>
                <w:b/>
                <w:color w:val="auto"/>
                <w:sz w:val="24"/>
                <w:szCs w:val="24"/>
                <w:highlight w:val="none"/>
              </w:rPr>
              <w:t>规定签字</w:t>
            </w:r>
            <w:r>
              <w:rPr>
                <w:rFonts w:hint="eastAsia" w:ascii="宋体" w:hAnsi="宋体" w:cs="宋体"/>
                <w:b/>
                <w:color w:val="auto"/>
                <w:sz w:val="24"/>
                <w:szCs w:val="24"/>
                <w:highlight w:val="none"/>
              </w:rPr>
              <w:t>处签字</w:t>
            </w:r>
            <w:r>
              <w:rPr>
                <w:rFonts w:hint="eastAsia" w:ascii="宋体" w:hAnsi="宋体"/>
                <w:b/>
                <w:bCs/>
                <w:color w:val="auto"/>
                <w:sz w:val="24"/>
                <w:szCs w:val="24"/>
                <w:highlight w:val="none"/>
              </w:rPr>
              <w:t>（或者电子签名）</w:t>
            </w:r>
            <w:r>
              <w:rPr>
                <w:rFonts w:hint="eastAsia" w:ascii="宋体" w:hAnsi="宋体" w:cs="宋体"/>
                <w:b/>
                <w:color w:val="auto"/>
                <w:sz w:val="24"/>
                <w:szCs w:val="24"/>
                <w:highlight w:val="none"/>
              </w:rPr>
              <w:t>，否则响应文件按无效处理。</w:t>
            </w:r>
          </w:p>
          <w:p w14:paraId="29665E56">
            <w:pPr>
              <w:pStyle w:val="16"/>
              <w:spacing w:line="360" w:lineRule="auto"/>
              <w:ind w:firstLine="482" w:firstLineChars="200"/>
              <w:rPr>
                <w:rFonts w:hint="eastAsia" w:ascii="宋体" w:hAnsi="宋体" w:eastAsia="宋体" w:cs="宋体"/>
                <w:b/>
                <w:color w:val="auto"/>
                <w:sz w:val="24"/>
                <w:szCs w:val="24"/>
                <w:highlight w:val="none"/>
                <w:lang w:eastAsia="zh-CN"/>
              </w:rPr>
            </w:pPr>
            <w:r>
              <w:rPr>
                <w:rFonts w:hint="eastAsia" w:ascii="宋体" w:hAnsi="宋体" w:cs="宋体"/>
                <w:b/>
                <w:color w:val="auto"/>
                <w:sz w:val="24"/>
                <w:szCs w:val="24"/>
                <w:highlight w:val="none"/>
              </w:rPr>
              <w:t>2.</w:t>
            </w:r>
            <w:r>
              <w:rPr>
                <w:rFonts w:hint="eastAsia" w:ascii="宋体" w:hAnsi="宋体"/>
                <w:b/>
                <w:bCs/>
                <w:color w:val="auto"/>
                <w:sz w:val="24"/>
                <w:szCs w:val="24"/>
                <w:highlight w:val="none"/>
              </w:rPr>
              <w:t>分公司参加竞标的，应当取得总公司授权</w:t>
            </w:r>
            <w:r>
              <w:rPr>
                <w:rFonts w:hint="eastAsia" w:ascii="宋体" w:hAnsi="宋体"/>
                <w:b/>
                <w:bCs/>
                <w:color w:val="auto"/>
                <w:sz w:val="24"/>
                <w:szCs w:val="24"/>
                <w:highlight w:val="none"/>
                <w:lang w:val="en-US" w:eastAsia="zh-CN"/>
              </w:rPr>
              <w:t>。</w:t>
            </w:r>
          </w:p>
        </w:tc>
      </w:tr>
      <w:tr w14:paraId="75B263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01C5B159">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12.1.2</w:t>
            </w:r>
          </w:p>
        </w:tc>
        <w:tc>
          <w:tcPr>
            <w:tcW w:w="7830" w:type="dxa"/>
            <w:vAlign w:val="center"/>
          </w:tcPr>
          <w:p w14:paraId="5C585B64">
            <w:pPr>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报价文件</w:t>
            </w:r>
          </w:p>
          <w:p w14:paraId="6F9ABE2A">
            <w:pPr>
              <w:spacing w:line="36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eastAsia="zh-CN"/>
              </w:rPr>
              <w:t>响应</w:t>
            </w:r>
            <w:r>
              <w:rPr>
                <w:rFonts w:hint="eastAsia" w:ascii="宋体" w:hAnsi="宋体" w:cs="宋体"/>
                <w:color w:val="auto"/>
                <w:sz w:val="24"/>
                <w:szCs w:val="24"/>
                <w:highlight w:val="none"/>
              </w:rPr>
              <w:t>函（格式</w:t>
            </w:r>
            <w:r>
              <w:rPr>
                <w:rFonts w:hint="eastAsia" w:ascii="宋体" w:hAnsi="宋体" w:cs="宋体"/>
                <w:color w:val="auto"/>
                <w:sz w:val="24"/>
                <w:szCs w:val="24"/>
                <w:highlight w:val="none"/>
                <w:lang w:eastAsia="zh-CN"/>
              </w:rPr>
              <w:t>详见第六章</w:t>
            </w:r>
            <w:r>
              <w:rPr>
                <w:rFonts w:hint="eastAsia" w:ascii="宋体" w:hAnsi="宋体" w:cs="宋体"/>
                <w:color w:val="auto"/>
                <w:sz w:val="24"/>
                <w:szCs w:val="24"/>
                <w:highlight w:val="none"/>
              </w:rPr>
              <w:t>）；（</w:t>
            </w:r>
            <w:r>
              <w:rPr>
                <w:rFonts w:hint="eastAsia" w:ascii="宋体" w:hAnsi="宋体" w:cs="宋体"/>
                <w:b/>
                <w:color w:val="auto"/>
                <w:sz w:val="24"/>
                <w:szCs w:val="24"/>
                <w:highlight w:val="none"/>
              </w:rPr>
              <w:t>必须提供，否则响应文件按无效处理</w:t>
            </w:r>
            <w:r>
              <w:rPr>
                <w:rFonts w:hint="eastAsia" w:ascii="宋体" w:hAnsi="宋体" w:cs="宋体"/>
                <w:color w:val="auto"/>
                <w:sz w:val="24"/>
                <w:szCs w:val="24"/>
                <w:highlight w:val="none"/>
              </w:rPr>
              <w:t>）</w:t>
            </w:r>
          </w:p>
          <w:p w14:paraId="5308900B">
            <w:pPr>
              <w:spacing w:line="360" w:lineRule="auto"/>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2.竞标</w:t>
            </w:r>
            <w:r>
              <w:rPr>
                <w:rFonts w:hint="eastAsia" w:ascii="宋体" w:hAnsi="宋体" w:cs="宋体"/>
                <w:color w:val="auto"/>
                <w:sz w:val="24"/>
                <w:szCs w:val="24"/>
                <w:highlight w:val="none"/>
              </w:rPr>
              <w:t>报价表（格式</w:t>
            </w:r>
            <w:r>
              <w:rPr>
                <w:rFonts w:hint="eastAsia" w:ascii="宋体" w:hAnsi="宋体" w:cs="宋体"/>
                <w:color w:val="auto"/>
                <w:sz w:val="24"/>
                <w:szCs w:val="24"/>
                <w:highlight w:val="none"/>
                <w:lang w:eastAsia="zh-CN"/>
              </w:rPr>
              <w:t>详见第六章</w:t>
            </w:r>
            <w:r>
              <w:rPr>
                <w:rFonts w:hint="eastAsia" w:ascii="宋体" w:hAnsi="宋体" w:cs="宋体"/>
                <w:color w:val="auto"/>
                <w:sz w:val="24"/>
                <w:szCs w:val="24"/>
                <w:highlight w:val="none"/>
              </w:rPr>
              <w:t>）；（</w:t>
            </w:r>
            <w:r>
              <w:rPr>
                <w:rFonts w:hint="eastAsia" w:ascii="宋体" w:hAnsi="宋体" w:cs="宋体"/>
                <w:b/>
                <w:color w:val="auto"/>
                <w:sz w:val="24"/>
                <w:szCs w:val="24"/>
                <w:highlight w:val="none"/>
              </w:rPr>
              <w:t>必须提供，否则响应文件按无效处理</w:t>
            </w:r>
            <w:r>
              <w:rPr>
                <w:rFonts w:hint="eastAsia" w:ascii="宋体" w:hAnsi="宋体" w:cs="宋体"/>
                <w:color w:val="auto"/>
                <w:sz w:val="24"/>
                <w:szCs w:val="24"/>
                <w:highlight w:val="none"/>
              </w:rPr>
              <w:t>）</w:t>
            </w:r>
          </w:p>
          <w:p w14:paraId="4BDD8B4F">
            <w:pPr>
              <w:spacing w:line="360" w:lineRule="auto"/>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.供应商认为需要提供的其他有关资料。</w:t>
            </w:r>
          </w:p>
          <w:p w14:paraId="2044C5E8">
            <w:pPr>
              <w:snapToGrid w:val="0"/>
              <w:spacing w:line="360" w:lineRule="auto"/>
              <w:jc w:val="left"/>
              <w:rPr>
                <w:color w:val="auto"/>
                <w:highlight w:val="none"/>
              </w:rPr>
            </w:pPr>
            <w:r>
              <w:rPr>
                <w:rFonts w:hint="eastAsia" w:ascii="宋体" w:hAnsi="宋体" w:cs="宋体"/>
                <w:b/>
                <w:color w:val="auto"/>
                <w:sz w:val="24"/>
                <w:szCs w:val="24"/>
                <w:highlight w:val="none"/>
              </w:rPr>
              <w:t>注：以上标明“必须提供”的材料，必须加盖供应商</w:t>
            </w:r>
            <w:r>
              <w:rPr>
                <w:rFonts w:hint="eastAsia"/>
                <w:b/>
                <w:color w:val="auto"/>
                <w:sz w:val="24"/>
                <w:szCs w:val="24"/>
                <w:highlight w:val="none"/>
              </w:rPr>
              <w:t>电子签章</w:t>
            </w:r>
            <w:r>
              <w:rPr>
                <w:rFonts w:hint="eastAsia" w:ascii="宋体" w:hAnsi="宋体" w:cs="宋体"/>
                <w:b/>
                <w:color w:val="auto"/>
                <w:sz w:val="24"/>
                <w:szCs w:val="24"/>
                <w:highlight w:val="none"/>
              </w:rPr>
              <w:t>，</w:t>
            </w:r>
            <w:r>
              <w:rPr>
                <w:rFonts w:hint="eastAsia"/>
                <w:b/>
                <w:color w:val="auto"/>
                <w:sz w:val="24"/>
                <w:szCs w:val="24"/>
                <w:highlight w:val="none"/>
              </w:rPr>
              <w:t>规定签字</w:t>
            </w:r>
            <w:r>
              <w:rPr>
                <w:rFonts w:hint="eastAsia" w:ascii="宋体" w:hAnsi="宋体" w:cs="宋体"/>
                <w:b/>
                <w:color w:val="auto"/>
                <w:sz w:val="24"/>
                <w:szCs w:val="24"/>
                <w:highlight w:val="none"/>
              </w:rPr>
              <w:t>处签字</w:t>
            </w:r>
            <w:r>
              <w:rPr>
                <w:rFonts w:hint="eastAsia" w:ascii="宋体" w:hAnsi="宋体"/>
                <w:b/>
                <w:bCs/>
                <w:color w:val="auto"/>
                <w:sz w:val="24"/>
                <w:szCs w:val="24"/>
                <w:highlight w:val="none"/>
              </w:rPr>
              <w:t>（或者电子签名）</w:t>
            </w:r>
            <w:r>
              <w:rPr>
                <w:rFonts w:hint="eastAsia" w:ascii="宋体" w:hAnsi="宋体" w:cs="宋体"/>
                <w:b/>
                <w:color w:val="auto"/>
                <w:sz w:val="24"/>
                <w:szCs w:val="24"/>
                <w:highlight w:val="none"/>
              </w:rPr>
              <w:t>，否则响应文件按无效处理。</w:t>
            </w:r>
          </w:p>
        </w:tc>
      </w:tr>
      <w:tr w14:paraId="6AB879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62E8553C">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12.</w:t>
            </w:r>
            <w:r>
              <w:rPr>
                <w:rFonts w:ascii="宋体" w:hAnsi="宋体" w:cs="宋体"/>
                <w:color w:val="auto"/>
                <w:sz w:val="24"/>
                <w:szCs w:val="24"/>
                <w:highlight w:val="none"/>
              </w:rPr>
              <w:t>1</w:t>
            </w:r>
            <w:r>
              <w:rPr>
                <w:rFonts w:hint="eastAsia" w:ascii="宋体" w:hAnsi="宋体" w:cs="宋体"/>
                <w:color w:val="auto"/>
                <w:sz w:val="24"/>
                <w:szCs w:val="24"/>
                <w:highlight w:val="none"/>
              </w:rPr>
              <w:t>.3</w:t>
            </w:r>
          </w:p>
        </w:tc>
        <w:tc>
          <w:tcPr>
            <w:tcW w:w="7830" w:type="dxa"/>
            <w:vAlign w:val="center"/>
          </w:tcPr>
          <w:p w14:paraId="67DA5DFE">
            <w:pPr>
              <w:spacing w:line="360" w:lineRule="auto"/>
              <w:rPr>
                <w:rFonts w:ascii="宋体" w:hAnsi="宋体" w:cs="宋体"/>
                <w:b/>
                <w:bCs/>
                <w:color w:val="auto"/>
                <w:sz w:val="24"/>
                <w:szCs w:val="24"/>
                <w:highlight w:val="none"/>
              </w:rPr>
            </w:pPr>
            <w:r>
              <w:rPr>
                <w:rFonts w:hint="eastAsia" w:ascii="宋体" w:hAnsi="宋体" w:cs="宋体"/>
                <w:b/>
                <w:bCs/>
                <w:color w:val="auto"/>
                <w:sz w:val="24"/>
                <w:szCs w:val="24"/>
                <w:highlight w:val="none"/>
              </w:rPr>
              <w:t>商务技术文件</w:t>
            </w:r>
          </w:p>
          <w:p w14:paraId="0403E7AC">
            <w:pPr>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1.无串通竞标行为的承诺函（格式</w:t>
            </w:r>
            <w:r>
              <w:rPr>
                <w:rFonts w:hint="eastAsia" w:ascii="宋体" w:hAnsi="宋体" w:cs="宋体"/>
                <w:color w:val="auto"/>
                <w:sz w:val="24"/>
                <w:szCs w:val="24"/>
                <w:highlight w:val="none"/>
                <w:lang w:eastAsia="zh-CN"/>
              </w:rPr>
              <w:t>详见第六章</w:t>
            </w:r>
            <w:r>
              <w:rPr>
                <w:rFonts w:hint="eastAsia" w:ascii="宋体" w:hAnsi="宋体" w:cs="宋体"/>
                <w:color w:val="auto"/>
                <w:sz w:val="24"/>
                <w:szCs w:val="24"/>
                <w:highlight w:val="none"/>
              </w:rPr>
              <w:t>）；（</w:t>
            </w:r>
            <w:r>
              <w:rPr>
                <w:rFonts w:hint="eastAsia" w:ascii="宋体" w:hAnsi="宋体" w:cs="宋体"/>
                <w:b/>
                <w:color w:val="auto"/>
                <w:sz w:val="24"/>
                <w:szCs w:val="24"/>
                <w:highlight w:val="none"/>
              </w:rPr>
              <w:t>必须提供，否则响应文件按无效响应处理</w:t>
            </w:r>
            <w:r>
              <w:rPr>
                <w:rFonts w:hint="eastAsia" w:ascii="宋体" w:hAnsi="宋体" w:cs="宋体"/>
                <w:color w:val="auto"/>
                <w:sz w:val="24"/>
                <w:szCs w:val="24"/>
                <w:highlight w:val="none"/>
              </w:rPr>
              <w:t>）</w:t>
            </w:r>
          </w:p>
          <w:p w14:paraId="0E1FF7D7">
            <w:pPr>
              <w:snapToGrid w:val="0"/>
              <w:spacing w:line="360" w:lineRule="auto"/>
              <w:jc w:val="left"/>
              <w:rPr>
                <w:rFonts w:ascii="宋体" w:hAnsi="宋体" w:cs="宋体"/>
                <w:color w:val="auto"/>
                <w:sz w:val="24"/>
                <w:szCs w:val="24"/>
                <w:highlight w:val="none"/>
              </w:rPr>
            </w:pPr>
            <w:r>
              <w:rPr>
                <w:rFonts w:hint="eastAsia" w:ascii="宋体" w:hAnsi="宋体" w:cs="宋体"/>
                <w:color w:val="auto"/>
                <w:sz w:val="24"/>
                <w:szCs w:val="24"/>
                <w:highlight w:val="none"/>
              </w:rPr>
              <w:t>2.法定代表人身份证明书及法定代表人有效身份证正反面复印件（格式</w:t>
            </w:r>
            <w:r>
              <w:rPr>
                <w:rFonts w:hint="eastAsia" w:ascii="宋体" w:hAnsi="宋体" w:cs="宋体"/>
                <w:color w:val="auto"/>
                <w:sz w:val="24"/>
                <w:szCs w:val="24"/>
                <w:highlight w:val="none"/>
                <w:lang w:eastAsia="zh-CN"/>
              </w:rPr>
              <w:t>详见第六章</w:t>
            </w:r>
            <w:r>
              <w:rPr>
                <w:rFonts w:hint="eastAsia" w:ascii="宋体" w:hAnsi="宋体" w:cs="宋体"/>
                <w:color w:val="auto"/>
                <w:sz w:val="24"/>
                <w:szCs w:val="24"/>
                <w:highlight w:val="none"/>
              </w:rPr>
              <w:t>）；（</w:t>
            </w:r>
            <w:r>
              <w:rPr>
                <w:rFonts w:hint="eastAsia" w:ascii="宋体" w:hAnsi="宋体" w:cs="宋体"/>
                <w:b/>
                <w:bCs/>
                <w:color w:val="auto"/>
                <w:sz w:val="24"/>
                <w:szCs w:val="24"/>
                <w:highlight w:val="none"/>
              </w:rPr>
              <w:t>除自然人竞标外</w:t>
            </w:r>
            <w:r>
              <w:rPr>
                <w:rFonts w:hint="eastAsia" w:ascii="宋体" w:hAnsi="宋体" w:cs="宋体"/>
                <w:b/>
                <w:color w:val="auto"/>
                <w:sz w:val="24"/>
                <w:szCs w:val="24"/>
                <w:highlight w:val="none"/>
              </w:rPr>
              <w:t>必须提供，否则响应文件按无效响应处理</w:t>
            </w:r>
            <w:r>
              <w:rPr>
                <w:rFonts w:hint="eastAsia" w:ascii="宋体" w:hAnsi="宋体" w:cs="宋体"/>
                <w:color w:val="auto"/>
                <w:sz w:val="24"/>
                <w:szCs w:val="24"/>
                <w:highlight w:val="none"/>
              </w:rPr>
              <w:t>）</w:t>
            </w:r>
          </w:p>
          <w:p w14:paraId="4982DEE5">
            <w:pPr>
              <w:spacing w:line="360" w:lineRule="auto"/>
              <w:rPr>
                <w:rFonts w:ascii="宋体" w:hAnsi="宋体" w:cs="宋体"/>
                <w:b/>
                <w:color w:val="auto"/>
                <w:sz w:val="24"/>
                <w:szCs w:val="24"/>
                <w:highlight w:val="none"/>
              </w:rPr>
            </w:pPr>
            <w:r>
              <w:rPr>
                <w:rFonts w:hint="eastAsia" w:ascii="宋体" w:hAnsi="宋体" w:cs="宋体"/>
                <w:color w:val="auto"/>
                <w:sz w:val="24"/>
                <w:szCs w:val="24"/>
                <w:highlight w:val="none"/>
              </w:rPr>
              <w:t>3.授权委托书及委托代理人有效身份证正反面复印件（格式</w:t>
            </w:r>
            <w:r>
              <w:rPr>
                <w:rFonts w:hint="eastAsia" w:ascii="宋体" w:hAnsi="宋体" w:cs="宋体"/>
                <w:color w:val="auto"/>
                <w:sz w:val="24"/>
                <w:szCs w:val="24"/>
                <w:highlight w:val="none"/>
                <w:lang w:eastAsia="zh-CN"/>
              </w:rPr>
              <w:t>详见第六章</w:t>
            </w:r>
            <w:r>
              <w:rPr>
                <w:rFonts w:hint="eastAsia" w:ascii="宋体" w:hAnsi="宋体" w:cs="宋体"/>
                <w:color w:val="auto"/>
                <w:sz w:val="24"/>
                <w:szCs w:val="24"/>
                <w:highlight w:val="none"/>
              </w:rPr>
              <w:t>）；（</w:t>
            </w:r>
            <w:r>
              <w:rPr>
                <w:rFonts w:hint="eastAsia" w:ascii="宋体" w:hAnsi="宋体" w:cs="宋体"/>
                <w:b/>
                <w:color w:val="auto"/>
                <w:sz w:val="24"/>
                <w:szCs w:val="24"/>
                <w:highlight w:val="none"/>
              </w:rPr>
              <w:t>委托</w:t>
            </w:r>
            <w:r>
              <w:rPr>
                <w:rFonts w:hint="eastAsia" w:ascii="宋体" w:hAnsi="宋体" w:cs="宋体"/>
                <w:b/>
                <w:color w:val="auto"/>
                <w:sz w:val="24"/>
                <w:szCs w:val="24"/>
                <w:highlight w:val="none"/>
                <w:lang w:eastAsia="zh-CN"/>
              </w:rPr>
              <w:t>代理时</w:t>
            </w:r>
            <w:r>
              <w:rPr>
                <w:rFonts w:hint="eastAsia" w:ascii="宋体" w:hAnsi="宋体" w:cs="宋体"/>
                <w:b/>
                <w:color w:val="auto"/>
                <w:sz w:val="24"/>
                <w:szCs w:val="24"/>
                <w:highlight w:val="none"/>
              </w:rPr>
              <w:t>必须提供，否则响应文件按无效响应处理</w:t>
            </w:r>
            <w:r>
              <w:rPr>
                <w:rFonts w:hint="eastAsia" w:ascii="宋体" w:hAnsi="宋体" w:cs="宋体"/>
                <w:color w:val="auto"/>
                <w:sz w:val="24"/>
                <w:szCs w:val="24"/>
                <w:highlight w:val="none"/>
              </w:rPr>
              <w:t>）</w:t>
            </w:r>
          </w:p>
          <w:p w14:paraId="7DA8146C">
            <w:pPr>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4.磋商保证金提交凭证（格式自拟）；（</w:t>
            </w:r>
            <w:r>
              <w:rPr>
                <w:rFonts w:hint="eastAsia"/>
                <w:b/>
                <w:bCs/>
                <w:color w:val="auto"/>
                <w:sz w:val="24"/>
                <w:szCs w:val="24"/>
                <w:highlight w:val="none"/>
              </w:rPr>
              <w:t>必须提供</w:t>
            </w:r>
            <w:r>
              <w:rPr>
                <w:rFonts w:hint="eastAsia" w:ascii="宋体" w:hAnsi="宋体" w:cs="宋体"/>
                <w:b/>
                <w:color w:val="auto"/>
                <w:sz w:val="24"/>
                <w:szCs w:val="24"/>
                <w:highlight w:val="none"/>
              </w:rPr>
              <w:t>，否则响应文件按无效响应处理</w:t>
            </w:r>
            <w:r>
              <w:rPr>
                <w:rFonts w:hint="eastAsia" w:ascii="宋体" w:hAnsi="宋体" w:cs="宋体"/>
                <w:color w:val="auto"/>
                <w:sz w:val="24"/>
                <w:szCs w:val="24"/>
                <w:highlight w:val="none"/>
              </w:rPr>
              <w:t>）</w:t>
            </w:r>
          </w:p>
          <w:p w14:paraId="03F6677D">
            <w:pPr>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5.商务要求偏离表（格式</w:t>
            </w:r>
            <w:r>
              <w:rPr>
                <w:rFonts w:hint="eastAsia" w:ascii="宋体" w:hAnsi="宋体" w:cs="宋体"/>
                <w:color w:val="auto"/>
                <w:sz w:val="24"/>
                <w:szCs w:val="24"/>
                <w:highlight w:val="none"/>
                <w:lang w:eastAsia="zh-CN"/>
              </w:rPr>
              <w:t>详见第六章</w:t>
            </w:r>
            <w:r>
              <w:rPr>
                <w:rFonts w:hint="eastAsia" w:ascii="宋体" w:hAnsi="宋体" w:cs="宋体"/>
                <w:color w:val="auto"/>
                <w:sz w:val="24"/>
                <w:szCs w:val="24"/>
                <w:highlight w:val="none"/>
              </w:rPr>
              <w:t>）；（</w:t>
            </w:r>
            <w:r>
              <w:rPr>
                <w:rFonts w:hint="eastAsia" w:ascii="宋体" w:hAnsi="宋体" w:cs="宋体"/>
                <w:b/>
                <w:color w:val="auto"/>
                <w:sz w:val="24"/>
                <w:szCs w:val="24"/>
                <w:highlight w:val="none"/>
              </w:rPr>
              <w:t>必须提供，否则响应文件按无效响应处理</w:t>
            </w:r>
            <w:r>
              <w:rPr>
                <w:rFonts w:hint="eastAsia" w:ascii="宋体" w:hAnsi="宋体" w:cs="宋体"/>
                <w:color w:val="auto"/>
                <w:sz w:val="24"/>
                <w:szCs w:val="24"/>
                <w:highlight w:val="none"/>
              </w:rPr>
              <w:t>）</w:t>
            </w:r>
          </w:p>
          <w:p w14:paraId="54DF6AAA">
            <w:pPr>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6.服务方案（格式自拟</w:t>
            </w:r>
            <w:r>
              <w:rPr>
                <w:rFonts w:hint="eastAsia" w:ascii="宋体" w:hAnsi="宋体" w:cs="宋体"/>
                <w:color w:val="auto"/>
                <w:sz w:val="24"/>
                <w:szCs w:val="24"/>
                <w:highlight w:val="none"/>
                <w:lang w:eastAsia="zh-CN"/>
              </w:rPr>
              <w:t>，按第二章采购需求及第四章评审办法的要求提供</w:t>
            </w:r>
            <w:r>
              <w:rPr>
                <w:rFonts w:hint="eastAsia" w:ascii="宋体" w:hAnsi="宋体" w:cs="宋体"/>
                <w:color w:val="auto"/>
                <w:sz w:val="24"/>
                <w:szCs w:val="24"/>
                <w:highlight w:val="none"/>
              </w:rPr>
              <w:t>）；</w:t>
            </w:r>
          </w:p>
          <w:p w14:paraId="0B92CDA8">
            <w:pPr>
              <w:spacing w:line="360" w:lineRule="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7.</w:t>
            </w:r>
            <w:r>
              <w:rPr>
                <w:rFonts w:hint="eastAsia" w:ascii="宋体" w:hAnsi="宋体" w:cs="宋体"/>
                <w:color w:val="auto"/>
                <w:sz w:val="24"/>
                <w:szCs w:val="24"/>
                <w:highlight w:val="none"/>
                <w:lang w:eastAsia="zh-CN"/>
              </w:rPr>
              <w:t>服务承诺</w:t>
            </w:r>
            <w:r>
              <w:rPr>
                <w:rFonts w:hint="eastAsia" w:ascii="宋体" w:hAnsi="宋体" w:cs="宋体"/>
                <w:color w:val="auto"/>
                <w:sz w:val="24"/>
                <w:szCs w:val="24"/>
                <w:highlight w:val="none"/>
              </w:rPr>
              <w:t>（格式自拟</w:t>
            </w:r>
            <w:r>
              <w:rPr>
                <w:rFonts w:hint="eastAsia" w:ascii="宋体" w:hAnsi="宋体" w:cs="宋体"/>
                <w:color w:val="auto"/>
                <w:sz w:val="24"/>
                <w:szCs w:val="24"/>
                <w:highlight w:val="none"/>
                <w:lang w:eastAsia="zh-CN"/>
              </w:rPr>
              <w:t>，按第二章采购需求及第四章评审办法的要求提供</w:t>
            </w:r>
            <w:r>
              <w:rPr>
                <w:rFonts w:hint="eastAsia" w:ascii="宋体" w:hAnsi="宋体" w:cs="宋体"/>
                <w:color w:val="auto"/>
                <w:sz w:val="24"/>
                <w:szCs w:val="24"/>
                <w:highlight w:val="none"/>
              </w:rPr>
              <w:t>）；</w:t>
            </w:r>
          </w:p>
          <w:p w14:paraId="569A37E1">
            <w:pPr>
              <w:spacing w:line="360" w:lineRule="auto"/>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8.</w:t>
            </w:r>
            <w:r>
              <w:rPr>
                <w:rFonts w:hint="eastAsia" w:ascii="宋体" w:hAnsi="宋体" w:cs="宋体"/>
                <w:color w:val="auto"/>
                <w:sz w:val="24"/>
                <w:szCs w:val="24"/>
                <w:highlight w:val="none"/>
              </w:rPr>
              <w:t>技术要求偏离表（格式</w:t>
            </w:r>
            <w:r>
              <w:rPr>
                <w:rFonts w:hint="eastAsia" w:ascii="宋体" w:hAnsi="宋体" w:cs="宋体"/>
                <w:color w:val="auto"/>
                <w:sz w:val="24"/>
                <w:szCs w:val="24"/>
                <w:highlight w:val="none"/>
                <w:lang w:eastAsia="zh-CN"/>
              </w:rPr>
              <w:t>详见第六章</w:t>
            </w:r>
            <w:r>
              <w:rPr>
                <w:rFonts w:hint="eastAsia" w:ascii="宋体" w:hAnsi="宋体" w:cs="宋体"/>
                <w:color w:val="auto"/>
                <w:sz w:val="24"/>
                <w:szCs w:val="24"/>
                <w:highlight w:val="none"/>
              </w:rPr>
              <w:t>）；（</w:t>
            </w:r>
            <w:r>
              <w:rPr>
                <w:rFonts w:hint="eastAsia" w:ascii="宋体" w:hAnsi="宋体" w:cs="宋体"/>
                <w:b/>
                <w:color w:val="auto"/>
                <w:sz w:val="24"/>
                <w:szCs w:val="24"/>
                <w:highlight w:val="none"/>
              </w:rPr>
              <w:t>必须提供，否则响应文件按无效响应处理</w:t>
            </w:r>
            <w:r>
              <w:rPr>
                <w:rFonts w:hint="eastAsia" w:ascii="宋体" w:hAnsi="宋体" w:cs="宋体"/>
                <w:color w:val="auto"/>
                <w:sz w:val="24"/>
                <w:szCs w:val="24"/>
                <w:highlight w:val="none"/>
              </w:rPr>
              <w:t>）</w:t>
            </w:r>
          </w:p>
          <w:p w14:paraId="65129835">
            <w:pPr>
              <w:spacing w:line="360" w:lineRule="auto"/>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9</w:t>
            </w:r>
            <w:r>
              <w:rPr>
                <w:rFonts w:hint="eastAsia" w:ascii="宋体" w:hAnsi="宋体" w:cs="宋体"/>
                <w:color w:val="auto"/>
                <w:sz w:val="24"/>
                <w:szCs w:val="24"/>
                <w:highlight w:val="none"/>
              </w:rPr>
              <w:t>.项目实施人员一览表（格式</w:t>
            </w:r>
            <w:r>
              <w:rPr>
                <w:rFonts w:hint="eastAsia" w:ascii="宋体" w:hAnsi="宋体" w:cs="宋体"/>
                <w:color w:val="auto"/>
                <w:sz w:val="24"/>
                <w:szCs w:val="24"/>
                <w:highlight w:val="none"/>
                <w:lang w:eastAsia="zh-CN"/>
              </w:rPr>
              <w:t>详见第六章</w:t>
            </w:r>
            <w:r>
              <w:rPr>
                <w:rFonts w:hint="eastAsia" w:ascii="宋体" w:hAnsi="宋体" w:cs="宋体"/>
                <w:color w:val="auto"/>
                <w:sz w:val="24"/>
                <w:szCs w:val="24"/>
                <w:highlight w:val="none"/>
              </w:rPr>
              <w:t>）；</w:t>
            </w:r>
          </w:p>
          <w:p w14:paraId="44CEF081">
            <w:pPr>
              <w:spacing w:line="360" w:lineRule="auto"/>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10</w:t>
            </w:r>
            <w:r>
              <w:rPr>
                <w:rFonts w:hint="eastAsia" w:ascii="宋体" w:hAnsi="宋体" w:cs="宋体"/>
                <w:color w:val="auto"/>
                <w:sz w:val="24"/>
                <w:szCs w:val="24"/>
                <w:highlight w:val="none"/>
              </w:rPr>
              <w:t>.对应采购需求的技术要求、商务要求提供的其他文件资料（格式自拟）；</w:t>
            </w:r>
          </w:p>
          <w:p w14:paraId="24E4714A">
            <w:pPr>
              <w:spacing w:line="360" w:lineRule="auto"/>
              <w:rPr>
                <w:rFonts w:ascii="宋体" w:hAnsi="宋体" w:cs="宋体"/>
                <w:color w:val="auto"/>
                <w:sz w:val="24"/>
                <w:szCs w:val="24"/>
                <w:highlight w:val="none"/>
              </w:rPr>
            </w:pPr>
            <w:r>
              <w:rPr>
                <w:rFonts w:ascii="宋体" w:hAnsi="宋体" w:cs="宋体"/>
                <w:color w:val="auto"/>
                <w:sz w:val="24"/>
                <w:szCs w:val="24"/>
                <w:highlight w:val="none"/>
              </w:rPr>
              <w:t>1</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.供应商认为需要提供的其他有关资料。</w:t>
            </w:r>
          </w:p>
          <w:p w14:paraId="6729CABD">
            <w:pPr>
              <w:snapToGrid w:val="0"/>
              <w:spacing w:line="360" w:lineRule="auto"/>
              <w:jc w:val="left"/>
              <w:rPr>
                <w:rFonts w:ascii="宋体" w:hAnsi="宋体" w:cs="宋体"/>
                <w:b/>
                <w:color w:val="auto"/>
                <w:sz w:val="24"/>
                <w:szCs w:val="24"/>
                <w:highlight w:val="none"/>
              </w:rPr>
            </w:pPr>
            <w:r>
              <w:rPr>
                <w:rFonts w:hint="eastAsia" w:ascii="宋体" w:hAnsi="宋体" w:cs="宋体"/>
                <w:b/>
                <w:color w:val="auto"/>
                <w:sz w:val="24"/>
                <w:szCs w:val="24"/>
                <w:highlight w:val="none"/>
              </w:rPr>
              <w:t>注：以上标明“必须提供”的材料，必须加盖供应商</w:t>
            </w:r>
            <w:r>
              <w:rPr>
                <w:rFonts w:hint="eastAsia" w:ascii="宋体" w:hAnsi="宋体"/>
                <w:b/>
                <w:bCs/>
                <w:color w:val="auto"/>
                <w:sz w:val="24"/>
                <w:szCs w:val="24"/>
                <w:highlight w:val="none"/>
              </w:rPr>
              <w:t>电子签章</w:t>
            </w:r>
            <w:r>
              <w:rPr>
                <w:rFonts w:hint="eastAsia" w:ascii="宋体" w:hAnsi="宋体" w:cs="宋体"/>
                <w:b/>
                <w:color w:val="auto"/>
                <w:sz w:val="24"/>
                <w:szCs w:val="24"/>
                <w:highlight w:val="none"/>
              </w:rPr>
              <w:t>，否则响应文件按无效响应处理。</w:t>
            </w:r>
          </w:p>
        </w:tc>
      </w:tr>
      <w:tr w14:paraId="7F9C91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498B22DB">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15.2</w:t>
            </w:r>
          </w:p>
        </w:tc>
        <w:tc>
          <w:tcPr>
            <w:tcW w:w="7830" w:type="dxa"/>
            <w:vAlign w:val="center"/>
          </w:tcPr>
          <w:p w14:paraId="75E3D125">
            <w:pPr>
              <w:wordWrap w:val="0"/>
              <w:spacing w:line="400" w:lineRule="exact"/>
              <w:ind w:firstLine="480" w:firstLineChars="200"/>
              <w:rPr>
                <w:rFonts w:ascii="宋体" w:hAnsi="宋体" w:cs="宋体"/>
                <w:color w:val="auto"/>
                <w:sz w:val="24"/>
                <w:szCs w:val="24"/>
                <w:highlight w:val="none"/>
              </w:rPr>
            </w:pPr>
            <w:r>
              <w:rPr>
                <w:rFonts w:hint="eastAsia" w:ascii="宋体" w:hAnsi="宋体"/>
                <w:color w:val="auto"/>
                <w:sz w:val="24"/>
                <w:szCs w:val="24"/>
                <w:highlight w:val="none"/>
                <w:lang w:eastAsia="zh-CN"/>
              </w:rPr>
              <w:t>磋商</w:t>
            </w:r>
            <w:r>
              <w:rPr>
                <w:rFonts w:hint="eastAsia" w:ascii="宋体" w:hAnsi="宋体"/>
                <w:color w:val="auto"/>
                <w:sz w:val="24"/>
                <w:szCs w:val="24"/>
                <w:highlight w:val="none"/>
              </w:rPr>
              <w:t>报价是履行合同的最终价格，</w:t>
            </w:r>
            <w:r>
              <w:rPr>
                <w:rFonts w:hint="eastAsia" w:ascii="宋体" w:hAnsi="宋体" w:cs="宋体"/>
                <w:color w:val="auto"/>
                <w:sz w:val="24"/>
                <w:szCs w:val="24"/>
                <w:highlight w:val="none"/>
              </w:rPr>
              <w:t>即满足全部采购需求所应提供的服务的价格</w:t>
            </w:r>
            <w:r>
              <w:rPr>
                <w:rFonts w:hint="eastAsia" w:ascii="宋体" w:hAnsi="宋体" w:cs="宋体"/>
                <w:color w:val="auto"/>
                <w:sz w:val="24"/>
                <w:szCs w:val="24"/>
                <w:highlight w:val="none"/>
                <w:lang w:eastAsia="zh-CN"/>
              </w:rPr>
              <w:t>，</w:t>
            </w:r>
            <w:r>
              <w:rPr>
                <w:rFonts w:hint="eastAsia" w:ascii="宋体" w:hAnsi="宋体"/>
                <w:color w:val="auto"/>
                <w:sz w:val="24"/>
                <w:szCs w:val="24"/>
                <w:highlight w:val="none"/>
              </w:rPr>
              <w:t>包括</w:t>
            </w:r>
            <w:r>
              <w:rPr>
                <w:rFonts w:hint="eastAsia" w:ascii="宋体" w:hAnsi="宋体"/>
                <w:color w:val="auto"/>
                <w:sz w:val="24"/>
                <w:szCs w:val="24"/>
                <w:highlight w:val="none"/>
                <w:lang w:eastAsia="zh-CN"/>
              </w:rPr>
              <w:t>但不限于：</w:t>
            </w:r>
            <w:r>
              <w:rPr>
                <w:rFonts w:hint="eastAsia" w:ascii="宋体" w:hAnsi="宋体" w:cs="宋体"/>
                <w:color w:val="auto"/>
                <w:sz w:val="24"/>
                <w:szCs w:val="24"/>
                <w:highlight w:val="none"/>
              </w:rPr>
              <w:t>拟投入本项目的</w:t>
            </w:r>
            <w:r>
              <w:rPr>
                <w:rFonts w:hint="eastAsia" w:ascii="宋体" w:hAnsi="宋体" w:cs="宋体"/>
                <w:color w:val="auto"/>
                <w:sz w:val="24"/>
                <w:szCs w:val="24"/>
                <w:highlight w:val="none"/>
                <w:lang w:eastAsia="zh-CN"/>
              </w:rPr>
              <w:t>人员工资（包括社保、福利）</w:t>
            </w:r>
            <w:r>
              <w:rPr>
                <w:rFonts w:hint="eastAsia" w:ascii="宋体" w:hAnsi="宋体" w:cs="宋体"/>
                <w:color w:val="auto"/>
                <w:sz w:val="24"/>
                <w:szCs w:val="24"/>
                <w:highlight w:val="none"/>
              </w:rPr>
              <w:t>、</w:t>
            </w:r>
            <w:r>
              <w:rPr>
                <w:rFonts w:hint="eastAsia" w:ascii="宋体" w:hAnsi="宋体" w:cs="Calibri"/>
                <w:color w:val="auto"/>
                <w:sz w:val="24"/>
                <w:szCs w:val="24"/>
                <w:highlight w:val="none"/>
                <w:lang w:val="en-US" w:eastAsia="zh-CN"/>
              </w:rPr>
              <w:t>服务人员工作服费、劳保用品费、值勤用具费、办公用品办公耗材费</w:t>
            </w:r>
            <w:r>
              <w:rPr>
                <w:rFonts w:hint="eastAsia" w:ascii="宋体" w:hAnsi="宋体" w:cs="Calibri"/>
                <w:color w:val="auto"/>
                <w:sz w:val="24"/>
                <w:szCs w:val="24"/>
                <w:highlight w:val="none"/>
              </w:rPr>
              <w:t>用</w:t>
            </w:r>
            <w:r>
              <w:rPr>
                <w:rFonts w:hint="eastAsia" w:ascii="宋体" w:hAnsi="宋体" w:cs="宋体"/>
                <w:color w:val="auto"/>
                <w:sz w:val="24"/>
                <w:szCs w:val="24"/>
                <w:highlight w:val="none"/>
              </w:rPr>
              <w:t>、食</w:t>
            </w:r>
            <w:r>
              <w:rPr>
                <w:rFonts w:hint="eastAsia" w:ascii="宋体" w:hAnsi="宋体" w:cs="宋体"/>
                <w:color w:val="auto"/>
                <w:sz w:val="24"/>
                <w:szCs w:val="24"/>
                <w:highlight w:val="none"/>
                <w:lang w:eastAsia="zh-CN"/>
              </w:rPr>
              <w:t>宿</w:t>
            </w:r>
            <w:r>
              <w:rPr>
                <w:rFonts w:hint="eastAsia" w:ascii="宋体" w:hAnsi="宋体" w:cs="宋体"/>
                <w:color w:val="auto"/>
                <w:sz w:val="24"/>
                <w:szCs w:val="24"/>
                <w:highlight w:val="none"/>
              </w:rPr>
              <w:t>费、培训、招标代理服务费、保险费和各项税金、利润等所</w:t>
            </w:r>
            <w:r>
              <w:rPr>
                <w:rFonts w:hint="eastAsia" w:ascii="宋体" w:hAnsi="宋体" w:cs="宋体"/>
                <w:color w:val="auto"/>
                <w:sz w:val="24"/>
                <w:szCs w:val="24"/>
                <w:highlight w:val="none"/>
                <w:lang w:eastAsia="zh-CN"/>
              </w:rPr>
              <w:t>有</w:t>
            </w:r>
            <w:r>
              <w:rPr>
                <w:rFonts w:hint="eastAsia" w:ascii="宋体" w:hAnsi="宋体" w:cs="宋体"/>
                <w:color w:val="auto"/>
                <w:sz w:val="24"/>
                <w:szCs w:val="24"/>
                <w:highlight w:val="none"/>
              </w:rPr>
              <w:t>费用，项目实施过程中的合同价不作调整。</w:t>
            </w:r>
          </w:p>
        </w:tc>
      </w:tr>
      <w:tr w14:paraId="20E24B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2" w:hRule="atLeast"/>
          <w:jc w:val="center"/>
        </w:trPr>
        <w:tc>
          <w:tcPr>
            <w:tcW w:w="992" w:type="dxa"/>
            <w:vAlign w:val="center"/>
          </w:tcPr>
          <w:p w14:paraId="727D894C">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16.</w:t>
            </w:r>
            <w:r>
              <w:rPr>
                <w:rFonts w:ascii="宋体" w:hAnsi="宋体" w:cs="宋体"/>
                <w:color w:val="auto"/>
                <w:sz w:val="24"/>
                <w:szCs w:val="24"/>
                <w:highlight w:val="none"/>
              </w:rPr>
              <w:t>2</w:t>
            </w:r>
          </w:p>
        </w:tc>
        <w:tc>
          <w:tcPr>
            <w:tcW w:w="7830" w:type="dxa"/>
            <w:vAlign w:val="bottom"/>
          </w:tcPr>
          <w:p w14:paraId="780E83E0">
            <w:pPr>
              <w:pStyle w:val="13"/>
              <w:widowControl w:val="0"/>
              <w:tabs>
                <w:tab w:val="clear" w:pos="454"/>
              </w:tabs>
              <w:snapToGrid w:val="0"/>
              <w:spacing w:after="156" w:line="360" w:lineRule="auto"/>
              <w:ind w:left="283" w:hanging="324" w:hangingChars="135"/>
              <w:jc w:val="both"/>
              <w:rPr>
                <w:rFonts w:ascii="宋体" w:hAnsi="宋体" w:cs="宋体"/>
                <w:color w:val="auto"/>
                <w:kern w:val="2"/>
                <w:sz w:val="24"/>
                <w:szCs w:val="24"/>
                <w:highlight w:val="none"/>
              </w:rPr>
            </w:pPr>
            <w:r>
              <w:rPr>
                <w:rFonts w:hint="eastAsia" w:ascii="宋体" w:hAnsi="宋体" w:eastAsia="宋体" w:cs="Times New Roman"/>
                <w:color w:val="auto"/>
                <w:kern w:val="2"/>
                <w:sz w:val="24"/>
                <w:szCs w:val="24"/>
                <w:highlight w:val="none"/>
                <w:lang w:val="en-US" w:eastAsia="zh-CN" w:bidi="ar-SA"/>
              </w:rPr>
              <w:t>竞标有效期：自首次响应文件提交截止之日起60日。</w:t>
            </w:r>
          </w:p>
        </w:tc>
      </w:tr>
      <w:tr w14:paraId="358A37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76190D60">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17.1</w:t>
            </w:r>
          </w:p>
        </w:tc>
        <w:tc>
          <w:tcPr>
            <w:tcW w:w="7830" w:type="dxa"/>
            <w:vAlign w:val="center"/>
          </w:tcPr>
          <w:p w14:paraId="41E1E352">
            <w:pPr>
              <w:autoSpaceDE w:val="0"/>
              <w:autoSpaceDN w:val="0"/>
              <w:snapToGrid w:val="0"/>
              <w:spacing w:line="360" w:lineRule="auto"/>
              <w:textAlignment w:val="bottom"/>
              <w:rPr>
                <w:rFonts w:ascii="宋体" w:hAnsi="宋体"/>
                <w:color w:val="auto"/>
                <w:sz w:val="24"/>
                <w:szCs w:val="24"/>
                <w:highlight w:val="none"/>
              </w:rPr>
            </w:pPr>
            <w:r>
              <w:rPr>
                <w:rFonts w:hint="eastAsia" w:ascii="宋体" w:hAnsi="宋体"/>
                <w:color w:val="auto"/>
                <w:sz w:val="24"/>
                <w:szCs w:val="24"/>
                <w:highlight w:val="none"/>
              </w:rPr>
              <w:t>□本项目不收取磋商保证金。</w:t>
            </w:r>
          </w:p>
          <w:p w14:paraId="3EA4C2CB">
            <w:pPr>
              <w:snapToGrid w:val="0"/>
              <w:spacing w:line="360" w:lineRule="auto"/>
              <w:rPr>
                <w:rFonts w:ascii="宋体" w:hAnsi="宋体"/>
                <w:color w:val="auto"/>
                <w:sz w:val="24"/>
                <w:szCs w:val="24"/>
                <w:highlight w:val="none"/>
              </w:rPr>
            </w:pPr>
            <w:r>
              <w:rPr>
                <w:rFonts w:hint="eastAsia" w:ascii="MS Mincho" w:hAnsi="MS Mincho" w:eastAsia="MS Mincho" w:cs="MS Mincho"/>
                <w:color w:val="auto"/>
                <w:sz w:val="24"/>
                <w:szCs w:val="24"/>
                <w:highlight w:val="none"/>
              </w:rPr>
              <w:t>☑</w:t>
            </w:r>
            <w:r>
              <w:rPr>
                <w:rFonts w:hint="eastAsia" w:ascii="宋体" w:hAnsi="宋体"/>
                <w:color w:val="auto"/>
                <w:sz w:val="24"/>
                <w:szCs w:val="24"/>
                <w:highlight w:val="none"/>
              </w:rPr>
              <w:t>本项目收取磋商保证金，具体规定如下：</w:t>
            </w:r>
          </w:p>
          <w:p w14:paraId="53228271">
            <w:pPr>
              <w:snapToGrid w:val="0"/>
              <w:spacing w:line="360" w:lineRule="auto"/>
              <w:rPr>
                <w:rFonts w:ascii="宋体" w:hAnsi="宋体"/>
                <w:color w:val="auto"/>
                <w:sz w:val="24"/>
                <w:szCs w:val="24"/>
                <w:highlight w:val="none"/>
              </w:rPr>
            </w:pPr>
            <w:r>
              <w:rPr>
                <w:rFonts w:hint="eastAsia" w:ascii="宋体" w:hAnsi="宋体" w:cs="宋体"/>
                <w:color w:val="auto"/>
                <w:kern w:val="0"/>
                <w:sz w:val="24"/>
                <w:szCs w:val="24"/>
                <w:highlight w:val="none"/>
              </w:rPr>
              <w:t>磋商保证金</w:t>
            </w:r>
            <w:r>
              <w:rPr>
                <w:rFonts w:hint="eastAsia" w:ascii="宋体" w:hAnsi="宋体" w:cs="宋体"/>
                <w:color w:val="auto"/>
                <w:kern w:val="0"/>
                <w:sz w:val="24"/>
                <w:szCs w:val="24"/>
                <w:highlight w:val="none"/>
                <w:lang w:eastAsia="zh-CN"/>
              </w:rPr>
              <w:t>（</w:t>
            </w:r>
            <w:r>
              <w:rPr>
                <w:rFonts w:hint="eastAsia" w:ascii="宋体" w:hAnsi="宋体" w:cs="宋体"/>
                <w:color w:val="auto"/>
                <w:kern w:val="0"/>
                <w:sz w:val="24"/>
                <w:szCs w:val="24"/>
                <w:highlight w:val="none"/>
              </w:rPr>
              <w:t>人民币</w:t>
            </w:r>
            <w:r>
              <w:rPr>
                <w:rFonts w:hint="eastAsia" w:ascii="宋体" w:hAnsi="宋体" w:cs="宋体"/>
                <w:color w:val="auto"/>
                <w:kern w:val="0"/>
                <w:sz w:val="24"/>
                <w:szCs w:val="24"/>
                <w:highlight w:val="none"/>
                <w:lang w:eastAsia="zh-CN"/>
              </w:rPr>
              <w:t>）：</w:t>
            </w:r>
            <w:r>
              <w:rPr>
                <w:rFonts w:hint="eastAsia" w:ascii="宋体" w:hAnsi="宋体" w:cs="宋体"/>
                <w:color w:val="auto"/>
                <w:kern w:val="0"/>
                <w:sz w:val="24"/>
                <w:szCs w:val="24"/>
                <w:highlight w:val="none"/>
                <w:u w:val="single"/>
                <w:lang w:val="en-US" w:eastAsia="zh-CN"/>
              </w:rPr>
              <w:t>14</w:t>
            </w:r>
            <w:r>
              <w:rPr>
                <w:rFonts w:hint="eastAsia" w:ascii="宋体" w:hAnsi="宋体" w:cs="宋体"/>
                <w:color w:val="auto"/>
                <w:kern w:val="0"/>
                <w:sz w:val="24"/>
                <w:szCs w:val="24"/>
                <w:highlight w:val="none"/>
                <w:u w:val="single"/>
              </w:rPr>
              <w:t>000.00元</w:t>
            </w:r>
            <w:r>
              <w:rPr>
                <w:rFonts w:hint="eastAsia" w:ascii="宋体" w:hAnsi="宋体" w:cs="宋体"/>
                <w:color w:val="auto"/>
                <w:kern w:val="0"/>
                <w:sz w:val="24"/>
                <w:szCs w:val="24"/>
                <w:highlight w:val="none"/>
              </w:rPr>
              <w:t>。</w:t>
            </w:r>
          </w:p>
          <w:p w14:paraId="022EB1AB">
            <w:pPr>
              <w:snapToGrid w:val="0"/>
              <w:spacing w:line="360" w:lineRule="auto"/>
              <w:rPr>
                <w:rFonts w:hint="eastAsia" w:ascii="宋体" w:hAnsi="宋体" w:cs="宋体"/>
                <w:color w:val="auto"/>
                <w:kern w:val="0"/>
                <w:sz w:val="24"/>
                <w:szCs w:val="24"/>
                <w:highlight w:val="none"/>
                <w:lang w:eastAsia="zh-CN"/>
              </w:rPr>
            </w:pPr>
            <w:r>
              <w:rPr>
                <w:rFonts w:hint="eastAsia" w:ascii="宋体" w:hAnsi="宋体" w:cs="宋体"/>
                <w:color w:val="auto"/>
                <w:kern w:val="0"/>
                <w:sz w:val="24"/>
                <w:szCs w:val="24"/>
                <w:highlight w:val="none"/>
              </w:rPr>
              <w:t>磋商保证金的交纳方式：银行转账、支票、汇票、本票或者银行、保险机构出具的保函，禁止采用现钞方式。采用银行转账方式的，在响应文件提交截止时间前交至指定账户并且到账</w:t>
            </w:r>
            <w:r>
              <w:rPr>
                <w:rFonts w:hint="eastAsia" w:ascii="宋体" w:hAnsi="宋体" w:cs="宋体"/>
                <w:color w:val="auto"/>
                <w:kern w:val="0"/>
                <w:sz w:val="24"/>
                <w:szCs w:val="24"/>
                <w:highlight w:val="none"/>
                <w:lang w:eastAsia="zh-CN"/>
              </w:rPr>
              <w:t>：</w:t>
            </w:r>
          </w:p>
          <w:p w14:paraId="3B092F95">
            <w:pPr>
              <w:snapToGrid w:val="0"/>
              <w:spacing w:line="360" w:lineRule="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开户名称：广西众联工程项目管理有限公司  </w:t>
            </w:r>
          </w:p>
          <w:p w14:paraId="34A6A778">
            <w:pPr>
              <w:snapToGrid w:val="0"/>
              <w:spacing w:line="360" w:lineRule="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开户银行：中国光大银行股份有限公司南宁民主支行</w:t>
            </w:r>
          </w:p>
          <w:p w14:paraId="234AA0FF">
            <w:pPr>
              <w:snapToGrid w:val="0"/>
              <w:spacing w:line="360" w:lineRule="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银行账号：78900188000167866</w:t>
            </w:r>
          </w:p>
          <w:p w14:paraId="65B8AC06">
            <w:pPr>
              <w:snapToGrid w:val="0"/>
              <w:spacing w:line="360" w:lineRule="auto"/>
              <w:rPr>
                <w:rFonts w:ascii="宋体" w:hAnsi="宋体" w:cs="宋体"/>
                <w:color w:val="auto"/>
                <w:kern w:val="0"/>
                <w:sz w:val="24"/>
                <w:szCs w:val="24"/>
                <w:highlight w:val="none"/>
              </w:rPr>
            </w:pPr>
            <w:r>
              <w:rPr>
                <w:rFonts w:hint="eastAsia" w:ascii="宋体" w:hAnsi="宋体" w:cs="宋体"/>
                <w:color w:val="auto"/>
                <w:kern w:val="0"/>
                <w:sz w:val="24"/>
                <w:szCs w:val="24"/>
                <w:highlight w:val="none"/>
              </w:rPr>
              <w:t>采用支票、汇票、本票或者保函等方式的，在响应文件提交截止时间前，供应商必须提交单独的支票、汇票、本票或者保函原件</w:t>
            </w:r>
            <w:r>
              <w:rPr>
                <w:rFonts w:hint="eastAsia" w:ascii="宋体" w:hAnsi="宋体" w:cs="宋体"/>
                <w:color w:val="auto"/>
                <w:kern w:val="0"/>
                <w:sz w:val="24"/>
                <w:szCs w:val="24"/>
                <w:highlight w:val="none"/>
                <w:lang w:eastAsia="zh-CN"/>
              </w:rPr>
              <w:t>至广西众联工程项目管理有限公司项目联系人处，</w:t>
            </w:r>
            <w:r>
              <w:rPr>
                <w:rFonts w:hint="eastAsia" w:ascii="宋体" w:hAnsi="宋体" w:cs="宋体"/>
                <w:color w:val="auto"/>
                <w:kern w:val="0"/>
                <w:sz w:val="24"/>
                <w:szCs w:val="24"/>
                <w:highlight w:val="none"/>
              </w:rPr>
              <w:t>否则视为无效磋商保证金。</w:t>
            </w:r>
          </w:p>
          <w:p w14:paraId="6EC1D06D">
            <w:pPr>
              <w:snapToGrid w:val="0"/>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相关要求：</w:t>
            </w:r>
          </w:p>
          <w:p w14:paraId="4A863CC8">
            <w:pPr>
              <w:snapToGrid w:val="0"/>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1.磋商保证金采用银行转账交纳方式的，在响应文件提交截止时间前交至指定账户并且到账，供应商应将银行转账底单的复印件作为磋商保证金提交凭证，放置于商务文件中，</w:t>
            </w:r>
            <w:r>
              <w:rPr>
                <w:rFonts w:hint="eastAsia" w:ascii="宋体" w:hAnsi="宋体" w:cs="宋体"/>
                <w:b/>
                <w:color w:val="auto"/>
                <w:sz w:val="24"/>
                <w:szCs w:val="24"/>
                <w:highlight w:val="none"/>
              </w:rPr>
              <w:t>否则响应文件按无效响应处理</w:t>
            </w:r>
            <w:r>
              <w:rPr>
                <w:rFonts w:hint="eastAsia" w:ascii="宋体" w:hAnsi="宋体" w:cs="宋体"/>
                <w:color w:val="auto"/>
                <w:sz w:val="24"/>
                <w:szCs w:val="24"/>
                <w:highlight w:val="none"/>
              </w:rPr>
              <w:t>。</w:t>
            </w:r>
          </w:p>
          <w:p w14:paraId="4258C32C">
            <w:pPr>
              <w:snapToGrid w:val="0"/>
              <w:spacing w:line="360" w:lineRule="auto"/>
              <w:rPr>
                <w:rFonts w:ascii="宋体" w:hAnsi="宋体"/>
                <w:color w:val="auto"/>
                <w:sz w:val="24"/>
                <w:szCs w:val="24"/>
                <w:highlight w:val="none"/>
              </w:rPr>
            </w:pPr>
            <w:r>
              <w:rPr>
                <w:rFonts w:hint="eastAsia" w:ascii="宋体" w:hAnsi="宋体"/>
                <w:color w:val="auto"/>
                <w:sz w:val="24"/>
                <w:szCs w:val="24"/>
                <w:highlight w:val="none"/>
              </w:rPr>
              <w:t>2.磋商保证金采用支票、汇票、本票或者银行、保险机构出具的保函交纳方式的，供应商应将支票、汇票、本票或者银行、保险机构出具的保函的复印件作为磋商保证金提交凭证，放置于</w:t>
            </w:r>
            <w:r>
              <w:rPr>
                <w:rFonts w:hint="eastAsia" w:ascii="宋体" w:hAnsi="宋体" w:cs="宋体"/>
                <w:color w:val="auto"/>
                <w:sz w:val="24"/>
                <w:szCs w:val="24"/>
                <w:highlight w:val="none"/>
              </w:rPr>
              <w:t>商务文件</w:t>
            </w:r>
            <w:r>
              <w:rPr>
                <w:rFonts w:hint="eastAsia" w:ascii="宋体" w:hAnsi="宋体"/>
                <w:color w:val="auto"/>
                <w:sz w:val="24"/>
                <w:szCs w:val="24"/>
                <w:highlight w:val="none"/>
              </w:rPr>
              <w:t>中，</w:t>
            </w:r>
            <w:r>
              <w:rPr>
                <w:rFonts w:hint="eastAsia" w:ascii="宋体" w:hAnsi="宋体" w:cs="宋体"/>
                <w:b/>
                <w:color w:val="auto"/>
                <w:sz w:val="24"/>
                <w:szCs w:val="24"/>
                <w:highlight w:val="none"/>
              </w:rPr>
              <w:t>否则响应文件按无效处理</w:t>
            </w:r>
            <w:r>
              <w:rPr>
                <w:rFonts w:hint="eastAsia" w:ascii="宋体" w:hAnsi="宋体"/>
                <w:color w:val="auto"/>
                <w:sz w:val="24"/>
                <w:szCs w:val="24"/>
                <w:highlight w:val="none"/>
              </w:rPr>
              <w:t>。</w:t>
            </w:r>
          </w:p>
          <w:p w14:paraId="2E261A4C">
            <w:pPr>
              <w:snapToGrid w:val="0"/>
              <w:spacing w:line="360" w:lineRule="auto"/>
              <w:rPr>
                <w:rFonts w:ascii="宋体" w:hAnsi="宋体" w:cs="宋体"/>
                <w:b/>
                <w:color w:val="auto"/>
                <w:sz w:val="24"/>
                <w:szCs w:val="24"/>
                <w:highlight w:val="none"/>
              </w:rPr>
            </w:pPr>
            <w:r>
              <w:rPr>
                <w:rFonts w:hint="eastAsia" w:ascii="宋体" w:hAnsi="宋体" w:cs="宋体"/>
                <w:color w:val="auto"/>
                <w:sz w:val="24"/>
                <w:szCs w:val="24"/>
                <w:highlight w:val="none"/>
              </w:rPr>
              <w:t>3.供应商为联合体的，可以由联合体中的一方或者多方共同交纳磋商保证金，其交纳的保证金对联合体各方均具有约束力。</w:t>
            </w:r>
          </w:p>
          <w:p w14:paraId="2C486196">
            <w:pPr>
              <w:snapToGrid w:val="0"/>
              <w:spacing w:line="360" w:lineRule="auto"/>
              <w:rPr>
                <w:rFonts w:ascii="宋体" w:hAnsi="宋体" w:cs="宋体"/>
                <w:b/>
                <w:color w:val="auto"/>
                <w:sz w:val="24"/>
                <w:szCs w:val="24"/>
                <w:highlight w:val="none"/>
              </w:rPr>
            </w:pPr>
            <w:r>
              <w:rPr>
                <w:rFonts w:hint="eastAsia" w:ascii="宋体" w:hAnsi="宋体" w:cs="宋体"/>
                <w:b/>
                <w:color w:val="auto"/>
                <w:sz w:val="24"/>
                <w:szCs w:val="24"/>
                <w:highlight w:val="none"/>
              </w:rPr>
              <w:t xml:space="preserve">备注： </w:t>
            </w:r>
          </w:p>
          <w:p w14:paraId="78AA6D44">
            <w:pPr>
              <w:snapToGrid w:val="0"/>
              <w:spacing w:line="360" w:lineRule="auto"/>
              <w:rPr>
                <w:rFonts w:ascii="宋体" w:hAnsi="宋体" w:cs="宋体"/>
                <w:b/>
                <w:color w:val="auto"/>
                <w:sz w:val="24"/>
                <w:szCs w:val="24"/>
                <w:highlight w:val="none"/>
              </w:rPr>
            </w:pPr>
            <w:r>
              <w:rPr>
                <w:rFonts w:hint="eastAsia" w:ascii="宋体" w:hAnsi="宋体" w:cs="宋体"/>
                <w:b/>
                <w:color w:val="auto"/>
                <w:sz w:val="24"/>
                <w:szCs w:val="24"/>
                <w:highlight w:val="none"/>
              </w:rPr>
              <w:t>1.磋商保证金在响应文件提交截止时间后提交的，或者不按规定交纳方式交纳的，或者未足额交纳的（包含保函额度不足的），视为无效磋商保证金。</w:t>
            </w:r>
          </w:p>
          <w:p w14:paraId="682DC645">
            <w:pPr>
              <w:snapToGrid w:val="0"/>
              <w:spacing w:line="360" w:lineRule="auto"/>
              <w:rPr>
                <w:rFonts w:ascii="宋体" w:hAnsi="宋体" w:cs="宋体"/>
                <w:b/>
                <w:color w:val="auto"/>
                <w:sz w:val="24"/>
                <w:szCs w:val="24"/>
                <w:highlight w:val="none"/>
              </w:rPr>
            </w:pPr>
            <w:r>
              <w:rPr>
                <w:rFonts w:hint="eastAsia" w:ascii="宋体" w:hAnsi="宋体" w:cs="宋体"/>
                <w:b/>
                <w:color w:val="auto"/>
                <w:sz w:val="24"/>
                <w:szCs w:val="24"/>
                <w:highlight w:val="none"/>
              </w:rPr>
              <w:t>2.供应商采用现钞方式或者从个人账户（自然人竞标除外）转出的磋商保证金，视为无效磋商保证金。</w:t>
            </w:r>
          </w:p>
          <w:p w14:paraId="614BEDE2">
            <w:pPr>
              <w:snapToGrid w:val="0"/>
              <w:spacing w:line="360" w:lineRule="auto"/>
              <w:rPr>
                <w:rFonts w:ascii="宋体" w:hAnsi="宋体" w:cs="宋体"/>
                <w:b/>
                <w:color w:val="auto"/>
                <w:sz w:val="24"/>
                <w:szCs w:val="24"/>
                <w:highlight w:val="none"/>
              </w:rPr>
            </w:pPr>
            <w:r>
              <w:rPr>
                <w:rFonts w:hint="eastAsia" w:ascii="宋体" w:hAnsi="宋体" w:cs="宋体"/>
                <w:b/>
                <w:color w:val="auto"/>
                <w:sz w:val="24"/>
                <w:szCs w:val="24"/>
                <w:highlight w:val="none"/>
              </w:rPr>
              <w:t>3.支票、汇票或者本票出现无效或者背书情形的，视为无效磋商保证金。</w:t>
            </w:r>
          </w:p>
          <w:p w14:paraId="2057C873">
            <w:pPr>
              <w:snapToGrid w:val="0"/>
              <w:spacing w:line="360" w:lineRule="auto"/>
              <w:rPr>
                <w:rFonts w:ascii="宋体" w:hAnsi="宋体" w:cs="宋体"/>
                <w:b/>
                <w:color w:val="auto"/>
                <w:sz w:val="24"/>
                <w:szCs w:val="24"/>
                <w:highlight w:val="none"/>
              </w:rPr>
            </w:pPr>
            <w:r>
              <w:rPr>
                <w:rFonts w:hint="eastAsia" w:ascii="宋体" w:hAnsi="宋体" w:cs="宋体"/>
                <w:b/>
                <w:color w:val="auto"/>
                <w:sz w:val="24"/>
                <w:szCs w:val="24"/>
                <w:highlight w:val="none"/>
              </w:rPr>
              <w:t>4.保函有效期低于竞标有效期的，视为无效磋商保证金。</w:t>
            </w:r>
          </w:p>
          <w:p w14:paraId="3E45236B">
            <w:pPr>
              <w:snapToGrid w:val="0"/>
              <w:spacing w:line="360" w:lineRule="auto"/>
              <w:rPr>
                <w:rFonts w:ascii="宋体" w:hAnsi="宋体" w:cs="宋体"/>
                <w:color w:val="auto"/>
                <w:sz w:val="24"/>
                <w:szCs w:val="24"/>
                <w:highlight w:val="none"/>
              </w:rPr>
            </w:pPr>
            <w:r>
              <w:rPr>
                <w:rFonts w:hint="eastAsia" w:ascii="宋体" w:hAnsi="宋体" w:cs="宋体"/>
                <w:b/>
                <w:color w:val="auto"/>
                <w:sz w:val="24"/>
                <w:szCs w:val="24"/>
                <w:highlight w:val="none"/>
              </w:rPr>
              <w:t>5.采用银行、保险机构出具保函的，必须为无条件保函，否则视为无效磋商保证金。</w:t>
            </w:r>
          </w:p>
        </w:tc>
      </w:tr>
      <w:tr w14:paraId="686322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05BEE499">
            <w:pPr>
              <w:spacing w:line="360" w:lineRule="auto"/>
              <w:jc w:val="center"/>
              <w:rPr>
                <w:rFonts w:ascii="宋体" w:hAnsi="宋体" w:cs="宋体"/>
                <w:color w:val="auto"/>
                <w:sz w:val="24"/>
                <w:szCs w:val="24"/>
                <w:highlight w:val="none"/>
              </w:rPr>
            </w:pPr>
            <w:r>
              <w:rPr>
                <w:rFonts w:ascii="宋体" w:hAnsi="宋体" w:cs="宋体"/>
                <w:color w:val="auto"/>
                <w:sz w:val="24"/>
                <w:szCs w:val="24"/>
                <w:highlight w:val="none"/>
              </w:rPr>
              <w:t>19</w:t>
            </w:r>
          </w:p>
        </w:tc>
        <w:tc>
          <w:tcPr>
            <w:tcW w:w="7830" w:type="dxa"/>
            <w:vAlign w:val="center"/>
          </w:tcPr>
          <w:p w14:paraId="73A494BB">
            <w:pPr>
              <w:spacing w:line="360" w:lineRule="auto"/>
              <w:rPr>
                <w:rFonts w:ascii="宋体" w:hAnsi="宋体" w:cs="宋体"/>
                <w:color w:val="auto"/>
                <w:sz w:val="24"/>
                <w:szCs w:val="24"/>
                <w:highlight w:val="none"/>
              </w:rPr>
            </w:pPr>
            <w:r>
              <w:rPr>
                <w:rFonts w:hint="eastAsia" w:ascii="宋体" w:hAnsi="宋体"/>
                <w:color w:val="auto"/>
                <w:sz w:val="24"/>
                <w:szCs w:val="24"/>
                <w:highlight w:val="none"/>
              </w:rPr>
              <w:t>本项目不接受</w:t>
            </w:r>
            <w:r>
              <w:rPr>
                <w:rFonts w:hint="eastAsia"/>
                <w:color w:val="auto"/>
                <w:sz w:val="24"/>
                <w:szCs w:val="24"/>
                <w:highlight w:val="none"/>
              </w:rPr>
              <w:t>电子</w:t>
            </w:r>
            <w:r>
              <w:rPr>
                <w:rFonts w:hint="eastAsia" w:ascii="宋体" w:hAnsi="宋体"/>
                <w:color w:val="auto"/>
                <w:sz w:val="24"/>
                <w:szCs w:val="24"/>
                <w:highlight w:val="none"/>
              </w:rPr>
              <w:t>备份响应文件</w:t>
            </w:r>
          </w:p>
        </w:tc>
      </w:tr>
      <w:tr w14:paraId="73787A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44B9C26F">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20.1</w:t>
            </w:r>
          </w:p>
        </w:tc>
        <w:tc>
          <w:tcPr>
            <w:tcW w:w="7830" w:type="dxa"/>
            <w:vAlign w:val="center"/>
          </w:tcPr>
          <w:p w14:paraId="053D272A">
            <w:pPr>
              <w:spacing w:line="360" w:lineRule="auto"/>
              <w:contextualSpacing/>
              <w:jc w:val="left"/>
              <w:rPr>
                <w:rFonts w:ascii="宋体" w:hAnsi="宋体" w:cs="宋体"/>
                <w:color w:val="auto"/>
                <w:sz w:val="24"/>
                <w:szCs w:val="24"/>
                <w:highlight w:val="none"/>
                <w:u w:val="single"/>
              </w:rPr>
            </w:pPr>
            <w:r>
              <w:rPr>
                <w:rFonts w:hint="eastAsia" w:ascii="宋体" w:hAnsi="宋体" w:cs="宋体"/>
                <w:color w:val="auto"/>
                <w:sz w:val="24"/>
                <w:szCs w:val="24"/>
                <w:highlight w:val="none"/>
              </w:rPr>
              <w:t>响应文件提交截止时间：详见竞争性磋商公告。</w:t>
            </w:r>
          </w:p>
          <w:p w14:paraId="0FE49199">
            <w:pPr>
              <w:spacing w:line="360" w:lineRule="auto"/>
              <w:contextualSpacing/>
              <w:jc w:val="left"/>
              <w:rPr>
                <w:rFonts w:ascii="宋体" w:hAnsi="宋体" w:cs="宋体"/>
                <w:color w:val="auto"/>
                <w:sz w:val="24"/>
                <w:szCs w:val="24"/>
                <w:highlight w:val="none"/>
              </w:rPr>
            </w:pPr>
            <w:r>
              <w:rPr>
                <w:rFonts w:hint="eastAsia" w:ascii="宋体" w:hAnsi="宋体" w:cs="宋体"/>
                <w:color w:val="auto"/>
                <w:sz w:val="24"/>
                <w:szCs w:val="24"/>
                <w:highlight w:val="none"/>
              </w:rPr>
              <w:t>响应文件提交地点：详见竞争性磋商公告。</w:t>
            </w:r>
          </w:p>
        </w:tc>
      </w:tr>
      <w:tr w14:paraId="4873F2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6DBB007D">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24.1</w:t>
            </w:r>
          </w:p>
        </w:tc>
        <w:tc>
          <w:tcPr>
            <w:tcW w:w="7830" w:type="dxa"/>
            <w:vAlign w:val="center"/>
          </w:tcPr>
          <w:p w14:paraId="664F9641">
            <w:pPr>
              <w:snapToGrid w:val="0"/>
              <w:spacing w:line="360" w:lineRule="auto"/>
              <w:jc w:val="left"/>
              <w:rPr>
                <w:rFonts w:ascii="宋体" w:hAnsi="宋体" w:cs="宋体"/>
                <w:color w:val="auto"/>
                <w:sz w:val="24"/>
                <w:szCs w:val="24"/>
                <w:highlight w:val="none"/>
                <w:u w:val="single"/>
              </w:rPr>
            </w:pPr>
            <w:r>
              <w:rPr>
                <w:rFonts w:hint="eastAsia" w:ascii="宋体" w:hAnsi="宋体" w:cs="宋体"/>
                <w:color w:val="auto"/>
                <w:sz w:val="24"/>
                <w:szCs w:val="24"/>
                <w:highlight w:val="none"/>
              </w:rPr>
              <w:t>磋商小组的人数：</w:t>
            </w:r>
            <w:r>
              <w:rPr>
                <w:rFonts w:hint="eastAsia" w:ascii="宋体" w:hAnsi="宋体" w:cs="宋体"/>
                <w:color w:val="auto"/>
                <w:sz w:val="24"/>
                <w:szCs w:val="24"/>
                <w:highlight w:val="none"/>
                <w:u w:val="single"/>
              </w:rPr>
              <w:t xml:space="preserve"> 3 </w:t>
            </w:r>
            <w:r>
              <w:rPr>
                <w:rFonts w:hint="eastAsia" w:ascii="宋体" w:hAnsi="宋体" w:cs="宋体"/>
                <w:color w:val="auto"/>
                <w:sz w:val="24"/>
                <w:szCs w:val="24"/>
                <w:highlight w:val="none"/>
              </w:rPr>
              <w:t>人。</w:t>
            </w:r>
          </w:p>
        </w:tc>
      </w:tr>
      <w:tr w14:paraId="642445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116237C1">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2</w:t>
            </w:r>
            <w:r>
              <w:rPr>
                <w:rFonts w:ascii="宋体" w:hAnsi="宋体" w:cs="宋体"/>
                <w:color w:val="auto"/>
                <w:sz w:val="24"/>
                <w:szCs w:val="24"/>
                <w:highlight w:val="none"/>
              </w:rPr>
              <w:t>5</w:t>
            </w:r>
          </w:p>
        </w:tc>
        <w:tc>
          <w:tcPr>
            <w:tcW w:w="7830" w:type="dxa"/>
            <w:vAlign w:val="center"/>
          </w:tcPr>
          <w:p w14:paraId="22402323">
            <w:pPr>
              <w:snapToGrid w:val="0"/>
              <w:spacing w:line="360" w:lineRule="auto"/>
              <w:jc w:val="left"/>
              <w:rPr>
                <w:rFonts w:ascii="宋体" w:hAnsi="宋体" w:cs="宋体"/>
                <w:color w:val="auto"/>
                <w:sz w:val="24"/>
                <w:szCs w:val="24"/>
                <w:highlight w:val="none"/>
              </w:rPr>
            </w:pPr>
            <w:r>
              <w:rPr>
                <w:rFonts w:hint="eastAsia" w:ascii="宋体" w:hAnsi="宋体" w:cs="宋体"/>
                <w:color w:val="auto"/>
                <w:sz w:val="24"/>
                <w:szCs w:val="24"/>
                <w:highlight w:val="none"/>
              </w:rPr>
              <w:t>首次响应文件开启时间详见“竞争性磋商公告”</w:t>
            </w:r>
          </w:p>
          <w:p w14:paraId="64133270">
            <w:pPr>
              <w:snapToGrid w:val="0"/>
              <w:spacing w:line="360" w:lineRule="auto"/>
              <w:jc w:val="left"/>
              <w:rPr>
                <w:rFonts w:ascii="宋体" w:hAnsi="宋体" w:cs="宋体"/>
                <w:color w:val="auto"/>
                <w:sz w:val="24"/>
                <w:szCs w:val="24"/>
                <w:highlight w:val="none"/>
              </w:rPr>
            </w:pPr>
            <w:r>
              <w:rPr>
                <w:rFonts w:hint="eastAsia" w:ascii="宋体" w:hAnsi="宋体" w:cs="宋体"/>
                <w:color w:val="auto"/>
                <w:sz w:val="24"/>
                <w:szCs w:val="24"/>
                <w:highlight w:val="none"/>
              </w:rPr>
              <w:t>首次响应文件解密时间：</w:t>
            </w:r>
            <w:r>
              <w:rPr>
                <w:rFonts w:hAnsi="宋体"/>
                <w:color w:val="auto"/>
                <w:sz w:val="24"/>
                <w:szCs w:val="24"/>
                <w:highlight w:val="none"/>
                <w:u w:val="single"/>
              </w:rPr>
              <w:t xml:space="preserve"> </w:t>
            </w:r>
            <w:r>
              <w:rPr>
                <w:rFonts w:hint="eastAsia" w:hAnsi="宋体"/>
                <w:color w:val="auto"/>
                <w:sz w:val="24"/>
                <w:szCs w:val="24"/>
                <w:highlight w:val="none"/>
                <w:u w:val="single"/>
                <w:lang w:val="en-US" w:eastAsia="zh-CN"/>
              </w:rPr>
              <w:t>30</w:t>
            </w:r>
            <w:r>
              <w:rPr>
                <w:rFonts w:hint="eastAsia" w:hAnsi="宋体"/>
                <w:color w:val="auto"/>
                <w:sz w:val="24"/>
                <w:szCs w:val="24"/>
                <w:highlight w:val="none"/>
              </w:rPr>
              <w:t>分钟</w:t>
            </w:r>
          </w:p>
        </w:tc>
      </w:tr>
      <w:tr w14:paraId="009606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4" w:hRule="atLeast"/>
          <w:jc w:val="center"/>
        </w:trPr>
        <w:tc>
          <w:tcPr>
            <w:tcW w:w="992" w:type="dxa"/>
            <w:vAlign w:val="center"/>
          </w:tcPr>
          <w:p w14:paraId="525522D8">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2</w:t>
            </w:r>
            <w:r>
              <w:rPr>
                <w:rFonts w:ascii="宋体" w:hAnsi="宋体" w:cs="宋体"/>
                <w:color w:val="auto"/>
                <w:sz w:val="24"/>
                <w:szCs w:val="24"/>
                <w:highlight w:val="none"/>
              </w:rPr>
              <w:t>6.3</w:t>
            </w:r>
          </w:p>
        </w:tc>
        <w:tc>
          <w:tcPr>
            <w:tcW w:w="7830" w:type="dxa"/>
            <w:vAlign w:val="center"/>
          </w:tcPr>
          <w:p w14:paraId="0AEEE021">
            <w:pPr>
              <w:snapToGrid w:val="0"/>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商务要求评审中允许负偏离的条款数为</w:t>
            </w:r>
            <w:r>
              <w:rPr>
                <w:rFonts w:ascii="宋体" w:hAnsi="宋体" w:cs="宋体"/>
                <w:color w:val="auto"/>
                <w:sz w:val="24"/>
                <w:szCs w:val="24"/>
                <w:highlight w:val="none"/>
                <w:u w:val="single"/>
              </w:rPr>
              <w:t>0</w:t>
            </w:r>
            <w:r>
              <w:rPr>
                <w:rFonts w:hint="eastAsia" w:ascii="宋体" w:hAnsi="宋体" w:cs="宋体"/>
                <w:color w:val="auto"/>
                <w:sz w:val="24"/>
                <w:szCs w:val="24"/>
                <w:highlight w:val="none"/>
                <w:u w:val="single"/>
              </w:rPr>
              <w:t>项</w:t>
            </w:r>
            <w:r>
              <w:rPr>
                <w:rFonts w:hint="eastAsia" w:ascii="宋体" w:hAnsi="宋体" w:cs="宋体"/>
                <w:color w:val="auto"/>
                <w:sz w:val="24"/>
                <w:szCs w:val="24"/>
                <w:highlight w:val="none"/>
              </w:rPr>
              <w:t>。</w:t>
            </w:r>
          </w:p>
          <w:p w14:paraId="074D848D">
            <w:pPr>
              <w:snapToGrid w:val="0"/>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技术要求评审中允许负偏离的条款数为</w:t>
            </w:r>
            <w:r>
              <w:rPr>
                <w:rFonts w:hint="eastAsia" w:ascii="宋体" w:hAnsi="宋体" w:cs="宋体"/>
                <w:color w:val="auto"/>
                <w:sz w:val="24"/>
                <w:szCs w:val="24"/>
                <w:highlight w:val="none"/>
                <w:u w:val="single"/>
                <w:lang w:val="en-US" w:eastAsia="zh-CN"/>
              </w:rPr>
              <w:t>2</w:t>
            </w:r>
            <w:r>
              <w:rPr>
                <w:rFonts w:hint="eastAsia" w:ascii="宋体" w:hAnsi="宋体" w:cs="宋体"/>
                <w:color w:val="auto"/>
                <w:sz w:val="24"/>
                <w:szCs w:val="24"/>
                <w:highlight w:val="none"/>
                <w:u w:val="single"/>
              </w:rPr>
              <w:t>项</w:t>
            </w:r>
            <w:r>
              <w:rPr>
                <w:rFonts w:hint="eastAsia" w:ascii="宋体" w:hAnsi="宋体" w:cs="宋体"/>
                <w:color w:val="auto"/>
                <w:sz w:val="24"/>
                <w:szCs w:val="24"/>
                <w:highlight w:val="none"/>
              </w:rPr>
              <w:t>。</w:t>
            </w:r>
          </w:p>
        </w:tc>
      </w:tr>
      <w:tr w14:paraId="579A9F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6C409462">
            <w:pPr>
              <w:spacing w:line="360" w:lineRule="auto"/>
              <w:jc w:val="center"/>
              <w:rPr>
                <w:rFonts w:ascii="宋体" w:hAnsi="宋体" w:cs="宋体"/>
                <w:color w:val="auto"/>
                <w:sz w:val="24"/>
                <w:szCs w:val="24"/>
                <w:highlight w:val="none"/>
              </w:rPr>
            </w:pPr>
            <w:r>
              <w:rPr>
                <w:rFonts w:ascii="宋体" w:hAnsi="宋体" w:cs="宋体"/>
                <w:color w:val="auto"/>
                <w:sz w:val="24"/>
                <w:szCs w:val="24"/>
                <w:highlight w:val="none"/>
              </w:rPr>
              <w:t>28.1</w:t>
            </w:r>
          </w:p>
        </w:tc>
        <w:tc>
          <w:tcPr>
            <w:tcW w:w="7830" w:type="dxa"/>
            <w:vAlign w:val="center"/>
          </w:tcPr>
          <w:p w14:paraId="43FD54AE">
            <w:pPr>
              <w:autoSpaceDE w:val="0"/>
              <w:autoSpaceDN w:val="0"/>
              <w:snapToGrid w:val="0"/>
              <w:spacing w:line="360" w:lineRule="auto"/>
              <w:textAlignment w:val="bottom"/>
              <w:rPr>
                <w:rFonts w:ascii="宋体" w:hAnsi="宋体"/>
                <w:color w:val="auto"/>
                <w:sz w:val="24"/>
                <w:szCs w:val="24"/>
                <w:highlight w:val="none"/>
              </w:rPr>
            </w:pPr>
            <w:r>
              <w:rPr>
                <w:rFonts w:ascii="Segoe UI Symbol" w:hAnsi="Segoe UI Symbol" w:cs="Segoe UI Symbol"/>
                <w:color w:val="auto"/>
                <w:sz w:val="24"/>
                <w:szCs w:val="24"/>
                <w:highlight w:val="none"/>
              </w:rPr>
              <w:t>☑</w:t>
            </w:r>
            <w:r>
              <w:rPr>
                <w:rFonts w:hint="eastAsia" w:ascii="宋体" w:hAnsi="宋体"/>
                <w:color w:val="auto"/>
                <w:sz w:val="24"/>
                <w:szCs w:val="24"/>
                <w:highlight w:val="none"/>
              </w:rPr>
              <w:t>本项目不收取履约保证金。</w:t>
            </w:r>
          </w:p>
          <w:p w14:paraId="3D35BD12">
            <w:pPr>
              <w:autoSpaceDE w:val="0"/>
              <w:autoSpaceDN w:val="0"/>
              <w:snapToGrid w:val="0"/>
              <w:spacing w:line="360" w:lineRule="auto"/>
              <w:textAlignment w:val="bottom"/>
              <w:rPr>
                <w:rFonts w:ascii="宋体" w:hAnsi="宋体"/>
                <w:color w:val="auto"/>
                <w:sz w:val="24"/>
                <w:szCs w:val="24"/>
                <w:highlight w:val="none"/>
              </w:rPr>
            </w:pPr>
            <w:r>
              <w:rPr>
                <w:rFonts w:hint="eastAsia" w:ascii="宋体" w:hAnsi="宋体"/>
                <w:color w:val="auto"/>
                <w:sz w:val="24"/>
                <w:szCs w:val="24"/>
                <w:highlight w:val="none"/>
              </w:rPr>
              <w:t>□本项目收取履约保证金，具体规定如下：</w:t>
            </w:r>
          </w:p>
          <w:p w14:paraId="504C5AE1">
            <w:pPr>
              <w:spacing w:line="360" w:lineRule="auto"/>
              <w:contextualSpacing/>
              <w:rPr>
                <w:rFonts w:ascii="宋体" w:hAnsi="宋体" w:cs="宋体"/>
                <w:color w:val="auto"/>
                <w:sz w:val="24"/>
                <w:szCs w:val="24"/>
                <w:highlight w:val="none"/>
              </w:rPr>
            </w:pPr>
            <w:r>
              <w:rPr>
                <w:rFonts w:hint="eastAsia" w:ascii="宋体" w:hAnsi="宋体" w:cs="宋体"/>
                <w:color w:val="auto"/>
                <w:sz w:val="24"/>
                <w:szCs w:val="24"/>
                <w:highlight w:val="none"/>
              </w:rPr>
              <w:t>履约保证金金额：按成交金额的</w:t>
            </w:r>
            <w:r>
              <w:rPr>
                <w:rFonts w:hint="eastAsia" w:ascii="宋体" w:hAnsi="宋体" w:cs="宋体"/>
                <w:color w:val="auto"/>
                <w:sz w:val="24"/>
                <w:szCs w:val="24"/>
                <w:highlight w:val="none"/>
                <w:u w:val="single"/>
              </w:rPr>
              <w:t xml:space="preserve"> </w:t>
            </w:r>
            <w:r>
              <w:rPr>
                <w:rFonts w:ascii="宋体" w:hAnsi="宋体" w:cs="宋体"/>
                <w:color w:val="auto"/>
                <w:sz w:val="24"/>
                <w:szCs w:val="24"/>
                <w:highlight w:val="none"/>
                <w:u w:val="single"/>
              </w:rPr>
              <w:t>/</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14:paraId="0FB4117B">
            <w:pPr>
              <w:spacing w:line="360" w:lineRule="auto"/>
              <w:contextualSpacing/>
              <w:rPr>
                <w:rFonts w:ascii="宋体" w:hAnsi="宋体" w:cs="宋体"/>
                <w:color w:val="auto"/>
                <w:sz w:val="24"/>
                <w:szCs w:val="24"/>
                <w:highlight w:val="none"/>
              </w:rPr>
            </w:pPr>
            <w:r>
              <w:rPr>
                <w:rFonts w:hint="eastAsia" w:ascii="宋体" w:hAnsi="宋体" w:cs="宋体"/>
                <w:color w:val="auto"/>
                <w:sz w:val="24"/>
                <w:szCs w:val="24"/>
                <w:highlight w:val="none"/>
              </w:rPr>
              <w:t>履约保证金提交方式：银行转账、支票、汇票、本票或者银行、保险机构出具的保函等非现金方式（参照竞标保证金）。</w:t>
            </w:r>
          </w:p>
          <w:p w14:paraId="329BEE89">
            <w:pPr>
              <w:spacing w:line="360" w:lineRule="auto"/>
              <w:contextualSpacing/>
              <w:rPr>
                <w:rFonts w:ascii="宋体" w:hAnsi="宋体" w:cs="宋体"/>
                <w:color w:val="auto"/>
                <w:sz w:val="24"/>
                <w:szCs w:val="24"/>
                <w:highlight w:val="none"/>
                <w:u w:val="single"/>
              </w:rPr>
            </w:pPr>
            <w:r>
              <w:rPr>
                <w:rFonts w:hint="eastAsia" w:ascii="宋体" w:hAnsi="宋体" w:cs="宋体"/>
                <w:color w:val="auto"/>
                <w:sz w:val="24"/>
                <w:szCs w:val="24"/>
                <w:highlight w:val="none"/>
              </w:rPr>
              <w:t>履约保证金退付方式、时间及条件：</w:t>
            </w:r>
            <w:r>
              <w:rPr>
                <w:rFonts w:hint="eastAsia" w:ascii="宋体" w:hAnsi="宋体" w:cs="宋体"/>
                <w:color w:val="auto"/>
                <w:sz w:val="24"/>
                <w:szCs w:val="24"/>
                <w:highlight w:val="none"/>
                <w:u w:val="single"/>
                <w:lang w:eastAsia="zh-CN"/>
              </w:rPr>
              <w:t>合同履行完毕并经采购人验收合格后，</w:t>
            </w:r>
            <w:r>
              <w:rPr>
                <w:rFonts w:hint="eastAsia" w:ascii="宋体" w:hAnsi="宋体" w:cs="宋体"/>
                <w:color w:val="auto"/>
                <w:sz w:val="24"/>
                <w:szCs w:val="24"/>
                <w:highlight w:val="none"/>
                <w:u w:val="single"/>
              </w:rPr>
              <w:t>由成交供应商向履约保证金收取单位提供《广西壮族自治区政府采购项目合同验收书》（详见</w:t>
            </w:r>
            <w:r>
              <w:rPr>
                <w:rFonts w:hint="eastAsia" w:ascii="宋体" w:hAnsi="宋体" w:cs="宋体"/>
                <w:color w:val="auto"/>
                <w:sz w:val="24"/>
                <w:szCs w:val="24"/>
                <w:highlight w:val="none"/>
                <w:u w:val="single"/>
                <w:lang w:eastAsia="zh-CN"/>
              </w:rPr>
              <w:t>本章附件</w:t>
            </w:r>
            <w:r>
              <w:rPr>
                <w:rFonts w:hint="eastAsia" w:ascii="宋体" w:hAnsi="宋体" w:cs="宋体"/>
                <w:color w:val="auto"/>
                <w:sz w:val="24"/>
                <w:szCs w:val="24"/>
                <w:highlight w:val="none"/>
                <w:u w:val="single"/>
                <w:lang w:val="en-US" w:eastAsia="zh-CN"/>
              </w:rPr>
              <w:t>1</w:t>
            </w:r>
            <w:r>
              <w:rPr>
                <w:rFonts w:hint="eastAsia" w:ascii="宋体" w:hAnsi="宋体" w:cs="宋体"/>
                <w:color w:val="auto"/>
                <w:sz w:val="24"/>
                <w:szCs w:val="24"/>
                <w:highlight w:val="none"/>
                <w:u w:val="single"/>
              </w:rPr>
              <w:t>），履约保证金收取单位在</w:t>
            </w:r>
            <w:r>
              <w:rPr>
                <w:rFonts w:hint="eastAsia" w:ascii="宋体" w:hAnsi="宋体" w:cs="宋体"/>
                <w:color w:val="auto"/>
                <w:sz w:val="24"/>
                <w:szCs w:val="24"/>
                <w:highlight w:val="none"/>
                <w:u w:val="single"/>
                <w:lang w:eastAsia="zh-CN"/>
              </w:rPr>
              <w:t>项目验收合格出具</w:t>
            </w:r>
            <w:r>
              <w:rPr>
                <w:rFonts w:hint="eastAsia" w:ascii="宋体" w:hAnsi="宋体" w:cs="宋体"/>
                <w:color w:val="auto"/>
                <w:sz w:val="24"/>
                <w:szCs w:val="24"/>
                <w:highlight w:val="none"/>
                <w:u w:val="single"/>
              </w:rPr>
              <w:t>《</w:t>
            </w:r>
            <w:r>
              <w:rPr>
                <w:rFonts w:hint="eastAsia" w:ascii="宋体" w:hAnsi="宋体" w:cs="宋体"/>
                <w:color w:val="auto"/>
                <w:sz w:val="24"/>
                <w:szCs w:val="24"/>
                <w:highlight w:val="none"/>
                <w:u w:val="single"/>
                <w:lang w:eastAsia="zh-CN"/>
              </w:rPr>
              <w:t>政府采购项目履约保证金退付意见书</w:t>
            </w:r>
            <w:r>
              <w:rPr>
                <w:rFonts w:hint="eastAsia" w:ascii="宋体" w:hAnsi="宋体" w:cs="宋体"/>
                <w:color w:val="auto"/>
                <w:sz w:val="24"/>
                <w:szCs w:val="24"/>
                <w:highlight w:val="none"/>
                <w:u w:val="single"/>
              </w:rPr>
              <w:t>》（详见</w:t>
            </w:r>
            <w:r>
              <w:rPr>
                <w:rFonts w:hint="eastAsia" w:ascii="宋体" w:hAnsi="宋体" w:cs="宋体"/>
                <w:color w:val="auto"/>
                <w:sz w:val="24"/>
                <w:szCs w:val="24"/>
                <w:highlight w:val="none"/>
                <w:u w:val="single"/>
                <w:lang w:eastAsia="zh-CN"/>
              </w:rPr>
              <w:t>本章附件</w:t>
            </w:r>
            <w:r>
              <w:rPr>
                <w:rFonts w:hint="eastAsia" w:ascii="宋体" w:hAnsi="宋体" w:cs="宋体"/>
                <w:color w:val="auto"/>
                <w:sz w:val="24"/>
                <w:szCs w:val="24"/>
                <w:highlight w:val="none"/>
                <w:u w:val="single"/>
                <w:lang w:val="en-US" w:eastAsia="zh-CN"/>
              </w:rPr>
              <w:t>2</w:t>
            </w:r>
            <w:r>
              <w:rPr>
                <w:rFonts w:hint="eastAsia" w:ascii="宋体" w:hAnsi="宋体" w:cs="宋体"/>
                <w:color w:val="auto"/>
                <w:sz w:val="24"/>
                <w:szCs w:val="24"/>
                <w:highlight w:val="none"/>
                <w:u w:val="single"/>
              </w:rPr>
              <w:t>）后5个工作日内办理退还手续（不计利息）。</w:t>
            </w:r>
          </w:p>
          <w:p w14:paraId="1C8412A5">
            <w:pPr>
              <w:spacing w:line="360" w:lineRule="auto"/>
              <w:contextualSpacing/>
              <w:rPr>
                <w:rFonts w:ascii="宋体" w:hAnsi="宋体" w:cs="宋体"/>
                <w:color w:val="auto"/>
                <w:sz w:val="24"/>
                <w:szCs w:val="24"/>
                <w:highlight w:val="none"/>
              </w:rPr>
            </w:pPr>
            <w:r>
              <w:rPr>
                <w:rFonts w:hint="eastAsia" w:ascii="宋体" w:hAnsi="宋体" w:cs="宋体"/>
                <w:color w:val="auto"/>
                <w:sz w:val="24"/>
                <w:szCs w:val="24"/>
                <w:highlight w:val="none"/>
              </w:rPr>
              <w:t>履约保证金指定账户：</w:t>
            </w:r>
          </w:p>
          <w:p w14:paraId="78141FB1">
            <w:pPr>
              <w:spacing w:line="360" w:lineRule="auto"/>
              <w:contextualSpacing/>
              <w:rPr>
                <w:rFonts w:ascii="宋体" w:hAnsi="宋体" w:cs="宋体"/>
                <w:color w:val="auto"/>
                <w:sz w:val="24"/>
                <w:szCs w:val="24"/>
                <w:highlight w:val="none"/>
              </w:rPr>
            </w:pPr>
            <w:r>
              <w:rPr>
                <w:rFonts w:hint="eastAsia" w:ascii="宋体" w:hAnsi="宋体" w:cs="宋体"/>
                <w:color w:val="auto"/>
                <w:sz w:val="24"/>
                <w:szCs w:val="24"/>
                <w:highlight w:val="none"/>
              </w:rPr>
              <w:t>开户名称：</w:t>
            </w:r>
            <w:r>
              <w:rPr>
                <w:rFonts w:hint="eastAsia" w:ascii="宋体" w:hAnsi="宋体" w:cs="宋体"/>
                <w:color w:val="auto"/>
                <w:sz w:val="24"/>
                <w:szCs w:val="24"/>
                <w:highlight w:val="none"/>
                <w:u w:val="single"/>
              </w:rPr>
              <w:t xml:space="preserve"> （成交后</w:t>
            </w:r>
            <w:r>
              <w:rPr>
                <w:rFonts w:ascii="宋体" w:hAnsi="宋体" w:cs="宋体"/>
                <w:color w:val="auto"/>
                <w:sz w:val="24"/>
                <w:szCs w:val="24"/>
                <w:highlight w:val="none"/>
                <w:u w:val="single"/>
              </w:rPr>
              <w:t>提供</w:t>
            </w:r>
            <w:r>
              <w:rPr>
                <w:rFonts w:hint="eastAsia" w:ascii="宋体" w:hAnsi="宋体" w:cs="宋体"/>
                <w:color w:val="auto"/>
                <w:sz w:val="24"/>
                <w:szCs w:val="24"/>
                <w:highlight w:val="none"/>
                <w:u w:val="single"/>
              </w:rPr>
              <w:t xml:space="preserve">） </w:t>
            </w:r>
          </w:p>
          <w:p w14:paraId="6124F533">
            <w:pPr>
              <w:spacing w:line="360" w:lineRule="auto"/>
              <w:contextualSpacing/>
              <w:rPr>
                <w:rFonts w:ascii="宋体" w:hAnsi="宋体" w:cs="宋体"/>
                <w:color w:val="auto"/>
                <w:sz w:val="24"/>
                <w:szCs w:val="24"/>
                <w:highlight w:val="none"/>
              </w:rPr>
            </w:pPr>
            <w:r>
              <w:rPr>
                <w:rFonts w:hint="eastAsia" w:ascii="宋体" w:hAnsi="宋体" w:cs="宋体"/>
                <w:color w:val="auto"/>
                <w:sz w:val="24"/>
                <w:szCs w:val="24"/>
                <w:highlight w:val="none"/>
              </w:rPr>
              <w:t>开户银行：</w:t>
            </w:r>
            <w:r>
              <w:rPr>
                <w:rFonts w:hint="eastAsia" w:ascii="宋体" w:hAnsi="宋体" w:cs="宋体"/>
                <w:color w:val="auto"/>
                <w:sz w:val="24"/>
                <w:szCs w:val="24"/>
                <w:highlight w:val="none"/>
                <w:u w:val="single"/>
              </w:rPr>
              <w:t xml:space="preserve"> （成交后</w:t>
            </w:r>
            <w:r>
              <w:rPr>
                <w:rFonts w:ascii="宋体" w:hAnsi="宋体" w:cs="宋体"/>
                <w:color w:val="auto"/>
                <w:sz w:val="24"/>
                <w:szCs w:val="24"/>
                <w:highlight w:val="none"/>
                <w:u w:val="single"/>
              </w:rPr>
              <w:t>提供</w:t>
            </w:r>
            <w:r>
              <w:rPr>
                <w:rFonts w:hint="eastAsia" w:ascii="宋体" w:hAnsi="宋体" w:cs="宋体"/>
                <w:color w:val="auto"/>
                <w:sz w:val="24"/>
                <w:szCs w:val="24"/>
                <w:highlight w:val="none"/>
                <w:u w:val="single"/>
              </w:rPr>
              <w:t xml:space="preserve">） </w:t>
            </w:r>
          </w:p>
          <w:p w14:paraId="799D7524">
            <w:pPr>
              <w:spacing w:line="360" w:lineRule="auto"/>
              <w:contextualSpacing/>
              <w:rPr>
                <w:rFonts w:ascii="宋体" w:hAnsi="宋体" w:cs="宋体"/>
                <w:color w:val="auto"/>
                <w:sz w:val="24"/>
                <w:szCs w:val="24"/>
                <w:highlight w:val="none"/>
              </w:rPr>
            </w:pPr>
            <w:r>
              <w:rPr>
                <w:rFonts w:hint="eastAsia" w:ascii="宋体" w:hAnsi="宋体" w:cs="宋体"/>
                <w:color w:val="auto"/>
                <w:sz w:val="24"/>
                <w:szCs w:val="24"/>
                <w:highlight w:val="none"/>
              </w:rPr>
              <w:t>银行账号：</w:t>
            </w:r>
            <w:r>
              <w:rPr>
                <w:rFonts w:hint="eastAsia" w:ascii="宋体" w:hAnsi="宋体" w:cs="宋体"/>
                <w:color w:val="auto"/>
                <w:sz w:val="24"/>
                <w:szCs w:val="24"/>
                <w:highlight w:val="none"/>
                <w:u w:val="single"/>
              </w:rPr>
              <w:t xml:space="preserve"> （成交后</w:t>
            </w:r>
            <w:r>
              <w:rPr>
                <w:rFonts w:ascii="宋体" w:hAnsi="宋体" w:cs="宋体"/>
                <w:color w:val="auto"/>
                <w:sz w:val="24"/>
                <w:szCs w:val="24"/>
                <w:highlight w:val="none"/>
                <w:u w:val="single"/>
              </w:rPr>
              <w:t>提供</w:t>
            </w:r>
            <w:r>
              <w:rPr>
                <w:rFonts w:hint="eastAsia" w:ascii="宋体" w:hAnsi="宋体" w:cs="宋体"/>
                <w:color w:val="auto"/>
                <w:sz w:val="24"/>
                <w:szCs w:val="24"/>
                <w:highlight w:val="none"/>
                <w:u w:val="single"/>
              </w:rPr>
              <w:t xml:space="preserve">） </w:t>
            </w:r>
          </w:p>
          <w:p w14:paraId="4B61E1EC">
            <w:pPr>
              <w:spacing w:line="360" w:lineRule="auto"/>
              <w:contextualSpacing/>
              <w:rPr>
                <w:rFonts w:ascii="宋体" w:hAnsi="宋体" w:cs="宋体"/>
                <w:color w:val="auto"/>
                <w:sz w:val="24"/>
                <w:szCs w:val="24"/>
                <w:highlight w:val="none"/>
              </w:rPr>
            </w:pPr>
            <w:r>
              <w:rPr>
                <w:rFonts w:hint="eastAsia" w:ascii="宋体" w:hAnsi="宋体" w:cs="宋体"/>
                <w:color w:val="auto"/>
                <w:sz w:val="24"/>
                <w:szCs w:val="24"/>
                <w:highlight w:val="none"/>
              </w:rPr>
              <w:t>备注：</w:t>
            </w:r>
          </w:p>
          <w:p w14:paraId="6BB287E9">
            <w:pPr>
              <w:spacing w:line="360" w:lineRule="auto"/>
              <w:contextualSpacing/>
              <w:rPr>
                <w:rFonts w:ascii="宋体" w:hAnsi="宋体" w:cs="宋体"/>
                <w:b/>
                <w:color w:val="auto"/>
                <w:sz w:val="24"/>
                <w:szCs w:val="24"/>
                <w:highlight w:val="none"/>
              </w:rPr>
            </w:pPr>
            <w:r>
              <w:rPr>
                <w:rFonts w:hint="eastAsia" w:ascii="宋体" w:hAnsi="宋体" w:cs="宋体"/>
                <w:b/>
                <w:color w:val="auto"/>
                <w:sz w:val="24"/>
                <w:szCs w:val="24"/>
                <w:highlight w:val="none"/>
              </w:rPr>
              <w:t>1</w:t>
            </w:r>
            <w:r>
              <w:rPr>
                <w:rFonts w:ascii="宋体" w:hAnsi="宋体" w:cs="宋体"/>
                <w:b/>
                <w:color w:val="auto"/>
                <w:sz w:val="24"/>
                <w:szCs w:val="24"/>
                <w:highlight w:val="none"/>
              </w:rPr>
              <w:t>.</w:t>
            </w:r>
            <w:r>
              <w:rPr>
                <w:rFonts w:hint="eastAsia" w:ascii="宋体" w:hAnsi="宋体"/>
                <w:b/>
                <w:color w:val="auto"/>
                <w:sz w:val="24"/>
                <w:szCs w:val="24"/>
                <w:highlight w:val="none"/>
              </w:rPr>
              <w:t xml:space="preserve"> </w:t>
            </w:r>
            <w:bookmarkStart w:id="141" w:name="_Hlk54170335"/>
            <w:r>
              <w:rPr>
                <w:rFonts w:hint="eastAsia" w:ascii="宋体" w:hAnsi="宋体"/>
                <w:b/>
                <w:color w:val="auto"/>
                <w:sz w:val="24"/>
                <w:szCs w:val="24"/>
                <w:highlight w:val="none"/>
              </w:rPr>
              <w:t>根据桂财采〔2024〕55号《广西壮族自治区财政厅关于持续优化政府采购营商环境推动高质量发展的通知》规定，</w:t>
            </w:r>
            <w:r>
              <w:rPr>
                <w:rFonts w:hint="eastAsia" w:ascii="宋体" w:hAnsi="宋体"/>
                <w:b/>
                <w:color w:val="auto"/>
                <w:sz w:val="24"/>
                <w:szCs w:val="24"/>
                <w:highlight w:val="none"/>
                <w:lang w:eastAsia="zh-CN"/>
              </w:rPr>
              <w:t>磋商</w:t>
            </w:r>
            <w:r>
              <w:rPr>
                <w:rFonts w:hint="eastAsia" w:ascii="宋体" w:hAnsi="宋体"/>
                <w:b/>
                <w:color w:val="auto"/>
                <w:sz w:val="24"/>
                <w:szCs w:val="24"/>
                <w:highlight w:val="none"/>
              </w:rPr>
              <w:t>文件要求中标或者成交供应商提交履约保证金的，履约保证金数额不得超过政府采购合同金额的5%，对中小企业收取的履约保证金数额不得超过政府采购合同金额的2%。采购人可根据供应商的资信等情况减免履约保证金。</w:t>
            </w:r>
            <w:bookmarkEnd w:id="141"/>
          </w:p>
          <w:p w14:paraId="6814C7C0">
            <w:pPr>
              <w:spacing w:line="360" w:lineRule="auto"/>
              <w:contextualSpacing/>
              <w:rPr>
                <w:rFonts w:ascii="宋体" w:hAnsi="宋体" w:cs="宋体"/>
                <w:b/>
                <w:color w:val="auto"/>
                <w:sz w:val="24"/>
                <w:szCs w:val="24"/>
                <w:highlight w:val="none"/>
              </w:rPr>
            </w:pPr>
            <w:r>
              <w:rPr>
                <w:rFonts w:hint="eastAsia" w:ascii="宋体" w:hAnsi="宋体" w:cs="宋体"/>
                <w:b/>
                <w:color w:val="auto"/>
                <w:sz w:val="24"/>
                <w:szCs w:val="24"/>
                <w:highlight w:val="none"/>
              </w:rPr>
              <w:t>2</w:t>
            </w:r>
            <w:r>
              <w:rPr>
                <w:rFonts w:ascii="宋体" w:hAnsi="宋体" w:cs="宋体"/>
                <w:b/>
                <w:color w:val="auto"/>
                <w:sz w:val="24"/>
                <w:szCs w:val="24"/>
                <w:highlight w:val="none"/>
              </w:rPr>
              <w:t>.</w:t>
            </w:r>
            <w:r>
              <w:rPr>
                <w:rFonts w:hint="eastAsia" w:ascii="宋体" w:hAnsi="宋体" w:cs="宋体"/>
                <w:b/>
                <w:color w:val="auto"/>
                <w:sz w:val="24"/>
                <w:szCs w:val="24"/>
                <w:highlight w:val="none"/>
              </w:rPr>
              <w:t>履约保证金不足额缴纳的，或者银行、保险机构出具的保函额度不足的或者保函有效期低于合同履行期限（即签订采购合同之日起至履行完合同约定的权利及义务之日止）的，不予签订合同。</w:t>
            </w:r>
          </w:p>
          <w:p w14:paraId="4631522B">
            <w:pPr>
              <w:spacing w:line="360" w:lineRule="auto"/>
              <w:contextualSpacing/>
              <w:rPr>
                <w:rFonts w:ascii="宋体" w:hAnsi="宋体" w:cs="宋体"/>
                <w:b/>
                <w:color w:val="auto"/>
                <w:sz w:val="24"/>
                <w:szCs w:val="24"/>
                <w:highlight w:val="none"/>
              </w:rPr>
            </w:pPr>
            <w:r>
              <w:rPr>
                <w:rFonts w:ascii="宋体" w:hAnsi="宋体" w:cs="宋体"/>
                <w:b/>
                <w:color w:val="auto"/>
                <w:sz w:val="24"/>
                <w:szCs w:val="24"/>
                <w:highlight w:val="none"/>
              </w:rPr>
              <w:t>3.</w:t>
            </w:r>
            <w:r>
              <w:rPr>
                <w:rFonts w:hint="eastAsia" w:ascii="宋体" w:hAnsi="宋体" w:cs="宋体"/>
                <w:b/>
                <w:color w:val="auto"/>
                <w:sz w:val="24"/>
                <w:szCs w:val="24"/>
                <w:highlight w:val="none"/>
              </w:rPr>
              <w:t>采用银行、保险机构出具的保函的，必须为无条件保函，否则不予签订合同。</w:t>
            </w:r>
          </w:p>
          <w:p w14:paraId="12E1EA31">
            <w:pPr>
              <w:snapToGrid w:val="0"/>
              <w:spacing w:line="360" w:lineRule="auto"/>
              <w:rPr>
                <w:rFonts w:ascii="宋体" w:hAnsi="宋体" w:cs="宋体"/>
                <w:color w:val="auto"/>
                <w:sz w:val="24"/>
                <w:szCs w:val="24"/>
                <w:highlight w:val="none"/>
              </w:rPr>
            </w:pPr>
            <w:r>
              <w:rPr>
                <w:rFonts w:ascii="宋体" w:hAnsi="宋体" w:cs="宋体"/>
                <w:b/>
                <w:color w:val="auto"/>
                <w:sz w:val="24"/>
                <w:szCs w:val="24"/>
                <w:highlight w:val="none"/>
              </w:rPr>
              <w:t>4.</w:t>
            </w:r>
            <w:r>
              <w:rPr>
                <w:rFonts w:hint="eastAsia" w:ascii="宋体" w:hAnsi="宋体" w:cs="宋体"/>
                <w:b/>
                <w:color w:val="auto"/>
                <w:sz w:val="24"/>
                <w:szCs w:val="24"/>
                <w:highlight w:val="none"/>
              </w:rPr>
              <w:t>供应商为联合体的，由联合体任意一方按规定提交的履约保证金，视为有效履约保证金。</w:t>
            </w:r>
          </w:p>
        </w:tc>
      </w:tr>
      <w:tr w14:paraId="62F409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5E719079">
            <w:pPr>
              <w:spacing w:line="360" w:lineRule="auto"/>
              <w:jc w:val="center"/>
              <w:rPr>
                <w:rFonts w:ascii="宋体" w:hAnsi="宋体" w:cs="宋体"/>
                <w:color w:val="auto"/>
                <w:sz w:val="24"/>
                <w:szCs w:val="24"/>
                <w:highlight w:val="none"/>
              </w:rPr>
            </w:pPr>
            <w:r>
              <w:rPr>
                <w:rFonts w:ascii="宋体" w:hAnsi="宋体" w:cs="宋体"/>
                <w:color w:val="auto"/>
                <w:sz w:val="24"/>
                <w:szCs w:val="24"/>
                <w:highlight w:val="none"/>
              </w:rPr>
              <w:t>29.1</w:t>
            </w:r>
          </w:p>
        </w:tc>
        <w:tc>
          <w:tcPr>
            <w:tcW w:w="7830" w:type="dxa"/>
            <w:vAlign w:val="center"/>
          </w:tcPr>
          <w:p w14:paraId="7A436542">
            <w:pPr>
              <w:autoSpaceDE w:val="0"/>
              <w:autoSpaceDN w:val="0"/>
              <w:snapToGrid w:val="0"/>
              <w:spacing w:line="360" w:lineRule="auto"/>
              <w:textAlignment w:val="bottom"/>
              <w:rPr>
                <w:rFonts w:ascii="宋体" w:hAnsi="宋体"/>
                <w:color w:val="auto"/>
                <w:sz w:val="24"/>
                <w:szCs w:val="24"/>
                <w:highlight w:val="none"/>
              </w:rPr>
            </w:pPr>
            <w:r>
              <w:rPr>
                <w:rFonts w:hint="eastAsia" w:ascii="宋体" w:hAnsi="宋体"/>
                <w:color w:val="auto"/>
                <w:sz w:val="24"/>
                <w:szCs w:val="24"/>
                <w:highlight w:val="none"/>
              </w:rPr>
              <w:t xml:space="preserve">签订合同携带的证明材料： </w:t>
            </w:r>
          </w:p>
          <w:p w14:paraId="6A13BB62">
            <w:pPr>
              <w:autoSpaceDE w:val="0"/>
              <w:autoSpaceDN w:val="0"/>
              <w:snapToGrid w:val="0"/>
              <w:spacing w:line="360" w:lineRule="auto"/>
              <w:textAlignment w:val="bottom"/>
              <w:rPr>
                <w:rFonts w:ascii="宋体" w:hAnsi="宋体"/>
                <w:color w:val="auto"/>
                <w:sz w:val="24"/>
                <w:szCs w:val="24"/>
                <w:highlight w:val="none"/>
              </w:rPr>
            </w:pPr>
            <w:r>
              <w:rPr>
                <w:rFonts w:hint="eastAsia" w:ascii="宋体" w:hAnsi="宋体"/>
                <w:color w:val="auto"/>
                <w:sz w:val="24"/>
                <w:szCs w:val="24"/>
                <w:highlight w:val="none"/>
              </w:rPr>
              <w:t>委托代理人负责签订合同的，须携带授权委托书及委托代理人身份证原件等其他资格证件。</w:t>
            </w:r>
          </w:p>
          <w:p w14:paraId="5B98ED84">
            <w:pPr>
              <w:snapToGrid w:val="0"/>
              <w:spacing w:line="360" w:lineRule="auto"/>
              <w:rPr>
                <w:rFonts w:ascii="宋体" w:hAnsi="宋体" w:cs="宋体"/>
                <w:color w:val="auto"/>
                <w:sz w:val="24"/>
                <w:szCs w:val="24"/>
                <w:highlight w:val="none"/>
              </w:rPr>
            </w:pPr>
            <w:r>
              <w:rPr>
                <w:rFonts w:hint="eastAsia" w:ascii="宋体" w:hAnsi="宋体"/>
                <w:color w:val="auto"/>
                <w:sz w:val="24"/>
                <w:szCs w:val="24"/>
                <w:highlight w:val="none"/>
              </w:rPr>
              <w:t>法定代表人负责签订合同的，须携带法定代表人</w:t>
            </w:r>
            <w:r>
              <w:rPr>
                <w:rFonts w:ascii="宋体" w:hAnsi="宋体"/>
                <w:color w:val="auto"/>
                <w:sz w:val="24"/>
                <w:szCs w:val="24"/>
                <w:highlight w:val="none"/>
              </w:rPr>
              <w:t>身份证明原件</w:t>
            </w:r>
            <w:r>
              <w:rPr>
                <w:rFonts w:hint="eastAsia" w:ascii="宋体" w:hAnsi="宋体"/>
                <w:color w:val="auto"/>
                <w:sz w:val="24"/>
                <w:szCs w:val="24"/>
                <w:highlight w:val="none"/>
              </w:rPr>
              <w:t>及</w:t>
            </w:r>
            <w:r>
              <w:rPr>
                <w:rFonts w:ascii="宋体" w:hAnsi="宋体"/>
                <w:color w:val="auto"/>
                <w:sz w:val="24"/>
                <w:szCs w:val="24"/>
                <w:highlight w:val="none"/>
              </w:rPr>
              <w:t>身份证原件</w:t>
            </w:r>
            <w:r>
              <w:rPr>
                <w:rFonts w:hint="eastAsia" w:ascii="宋体" w:hAnsi="宋体"/>
                <w:color w:val="auto"/>
                <w:sz w:val="24"/>
                <w:szCs w:val="24"/>
                <w:highlight w:val="none"/>
              </w:rPr>
              <w:t>等其他证明材料。</w:t>
            </w:r>
          </w:p>
        </w:tc>
      </w:tr>
      <w:tr w14:paraId="65E1C2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59BBEE9B">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3</w:t>
            </w:r>
            <w:r>
              <w:rPr>
                <w:rFonts w:ascii="宋体" w:hAnsi="宋体" w:cs="宋体"/>
                <w:color w:val="auto"/>
                <w:sz w:val="24"/>
                <w:szCs w:val="24"/>
                <w:highlight w:val="none"/>
              </w:rPr>
              <w:t>1.2</w:t>
            </w:r>
          </w:p>
        </w:tc>
        <w:tc>
          <w:tcPr>
            <w:tcW w:w="7830" w:type="dxa"/>
            <w:vAlign w:val="center"/>
          </w:tcPr>
          <w:p w14:paraId="26BFE052">
            <w:pPr>
              <w:snapToGrid w:val="0"/>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接收质疑函方式：以书面形式。</w:t>
            </w:r>
          </w:p>
          <w:p w14:paraId="54E7A474">
            <w:pPr>
              <w:snapToGrid w:val="0"/>
              <w:spacing w:line="360" w:lineRule="auto"/>
              <w:rPr>
                <w:rFonts w:ascii="宋体" w:hAnsi="宋体"/>
                <w:color w:val="auto"/>
                <w:sz w:val="24"/>
                <w:szCs w:val="24"/>
                <w:highlight w:val="none"/>
              </w:rPr>
            </w:pPr>
            <w:r>
              <w:rPr>
                <w:rFonts w:hint="eastAsia" w:ascii="宋体" w:hAnsi="宋体"/>
                <w:color w:val="auto"/>
                <w:sz w:val="24"/>
                <w:szCs w:val="24"/>
                <w:highlight w:val="none"/>
              </w:rPr>
              <w:t>质疑联系部门及联系方式：</w:t>
            </w:r>
            <w:r>
              <w:rPr>
                <w:rFonts w:hint="eastAsia" w:ascii="宋体" w:hAnsi="宋体"/>
                <w:color w:val="auto"/>
                <w:sz w:val="24"/>
                <w:szCs w:val="24"/>
                <w:highlight w:val="none"/>
                <w:u w:val="single"/>
                <w:lang w:eastAsia="zh-CN"/>
              </w:rPr>
              <w:t>广西众联工程项目管理有限公司招标部</w:t>
            </w:r>
            <w:r>
              <w:rPr>
                <w:rFonts w:hint="eastAsia" w:ascii="宋体" w:hAnsi="宋体"/>
                <w:color w:val="auto"/>
                <w:sz w:val="24"/>
                <w:szCs w:val="24"/>
                <w:highlight w:val="none"/>
              </w:rPr>
              <w:t>，联系电话：详见竞争性磋商公告，通讯地址</w:t>
            </w:r>
            <w:r>
              <w:rPr>
                <w:rFonts w:hint="eastAsia" w:ascii="宋体" w:hAnsi="宋体" w:cs="Helvetica"/>
                <w:color w:val="auto"/>
                <w:sz w:val="24"/>
                <w:szCs w:val="24"/>
                <w:highlight w:val="none"/>
              </w:rPr>
              <w:t>：</w:t>
            </w:r>
            <w:r>
              <w:rPr>
                <w:rFonts w:hint="eastAsia" w:ascii="宋体" w:hAnsi="宋体"/>
                <w:color w:val="auto"/>
                <w:sz w:val="24"/>
                <w:szCs w:val="24"/>
                <w:highlight w:val="none"/>
              </w:rPr>
              <w:t>详见竞争性磋商公告</w:t>
            </w:r>
          </w:p>
          <w:p w14:paraId="6663B087">
            <w:pPr>
              <w:rPr>
                <w:rFonts w:ascii="宋体" w:hAnsi="宋体"/>
                <w:color w:val="auto"/>
                <w:sz w:val="24"/>
                <w:szCs w:val="24"/>
                <w:highlight w:val="none"/>
              </w:rPr>
            </w:pPr>
            <w:r>
              <w:rPr>
                <w:rFonts w:hint="eastAsia" w:ascii="宋体" w:hAnsi="宋体"/>
                <w:color w:val="auto"/>
                <w:sz w:val="24"/>
                <w:szCs w:val="24"/>
                <w:highlight w:val="none"/>
              </w:rPr>
              <w:t>业务时间：工作日每天上午</w:t>
            </w:r>
            <w:r>
              <w:rPr>
                <w:rFonts w:ascii="宋体" w:hAnsi="宋体"/>
                <w:color w:val="auto"/>
                <w:sz w:val="24"/>
                <w:szCs w:val="24"/>
                <w:highlight w:val="none"/>
              </w:rPr>
              <w:t>8</w:t>
            </w:r>
            <w:r>
              <w:rPr>
                <w:rFonts w:hint="eastAsia" w:ascii="宋体" w:hAnsi="宋体"/>
                <w:color w:val="auto"/>
                <w:sz w:val="24"/>
                <w:szCs w:val="24"/>
                <w:highlight w:val="none"/>
              </w:rPr>
              <w:t>时</w:t>
            </w:r>
            <w:r>
              <w:rPr>
                <w:rFonts w:hint="eastAsia" w:ascii="宋体" w:hAnsi="宋体"/>
                <w:color w:val="auto"/>
                <w:sz w:val="24"/>
                <w:szCs w:val="24"/>
                <w:highlight w:val="none"/>
                <w:lang w:val="en-US" w:eastAsia="zh-CN"/>
              </w:rPr>
              <w:t>3</w:t>
            </w:r>
            <w:r>
              <w:rPr>
                <w:rFonts w:ascii="宋体" w:hAnsi="宋体"/>
                <w:color w:val="auto"/>
                <w:sz w:val="24"/>
                <w:szCs w:val="24"/>
                <w:highlight w:val="none"/>
              </w:rPr>
              <w:t>0</w:t>
            </w:r>
            <w:r>
              <w:rPr>
                <w:rFonts w:hint="eastAsia" w:ascii="宋体" w:hAnsi="宋体"/>
                <w:color w:val="auto"/>
                <w:sz w:val="24"/>
                <w:szCs w:val="24"/>
                <w:highlight w:val="none"/>
              </w:rPr>
              <w:t>分到</w:t>
            </w:r>
            <w:r>
              <w:rPr>
                <w:rFonts w:ascii="宋体" w:hAnsi="宋体"/>
                <w:color w:val="auto"/>
                <w:sz w:val="24"/>
                <w:szCs w:val="24"/>
                <w:highlight w:val="none"/>
              </w:rPr>
              <w:t>12</w:t>
            </w:r>
            <w:r>
              <w:rPr>
                <w:rFonts w:hint="eastAsia" w:ascii="宋体" w:hAnsi="宋体"/>
                <w:color w:val="auto"/>
                <w:sz w:val="24"/>
                <w:szCs w:val="24"/>
                <w:highlight w:val="none"/>
              </w:rPr>
              <w:t>时</w:t>
            </w:r>
            <w:r>
              <w:rPr>
                <w:rFonts w:ascii="宋体" w:hAnsi="宋体"/>
                <w:color w:val="auto"/>
                <w:sz w:val="24"/>
                <w:szCs w:val="24"/>
                <w:highlight w:val="none"/>
              </w:rPr>
              <w:t>00</w:t>
            </w:r>
            <w:r>
              <w:rPr>
                <w:rFonts w:hint="eastAsia" w:ascii="宋体" w:hAnsi="宋体"/>
                <w:color w:val="auto"/>
                <w:sz w:val="24"/>
                <w:szCs w:val="24"/>
                <w:highlight w:val="none"/>
              </w:rPr>
              <w:t>分，下午</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时</w:t>
            </w:r>
            <w:r>
              <w:rPr>
                <w:rFonts w:hint="eastAsia" w:ascii="宋体" w:hAnsi="宋体"/>
                <w:color w:val="auto"/>
                <w:sz w:val="24"/>
                <w:szCs w:val="24"/>
                <w:highlight w:val="none"/>
                <w:lang w:val="en-US" w:eastAsia="zh-CN"/>
              </w:rPr>
              <w:t>3</w:t>
            </w:r>
            <w:r>
              <w:rPr>
                <w:rFonts w:ascii="宋体" w:hAnsi="宋体"/>
                <w:color w:val="auto"/>
                <w:sz w:val="24"/>
                <w:szCs w:val="24"/>
                <w:highlight w:val="none"/>
              </w:rPr>
              <w:t>0</w:t>
            </w:r>
            <w:r>
              <w:rPr>
                <w:rFonts w:hint="eastAsia" w:ascii="宋体" w:hAnsi="宋体"/>
                <w:color w:val="auto"/>
                <w:sz w:val="24"/>
                <w:szCs w:val="24"/>
                <w:highlight w:val="none"/>
              </w:rPr>
              <w:t>分到</w:t>
            </w:r>
            <w:r>
              <w:rPr>
                <w:rFonts w:hint="eastAsia" w:ascii="宋体" w:hAnsi="宋体"/>
                <w:color w:val="auto"/>
                <w:sz w:val="24"/>
                <w:szCs w:val="24"/>
                <w:highlight w:val="none"/>
                <w:lang w:val="en-US" w:eastAsia="zh-CN"/>
              </w:rPr>
              <w:t>6</w:t>
            </w:r>
            <w:r>
              <w:rPr>
                <w:rFonts w:hint="eastAsia" w:ascii="宋体" w:hAnsi="宋体"/>
                <w:color w:val="auto"/>
                <w:sz w:val="24"/>
                <w:szCs w:val="24"/>
                <w:highlight w:val="none"/>
              </w:rPr>
              <w:t>时</w:t>
            </w:r>
            <w:r>
              <w:rPr>
                <w:rFonts w:hint="eastAsia" w:ascii="宋体" w:hAnsi="宋体"/>
                <w:color w:val="auto"/>
                <w:sz w:val="24"/>
                <w:szCs w:val="24"/>
                <w:highlight w:val="none"/>
                <w:lang w:val="en-US" w:eastAsia="zh-CN"/>
              </w:rPr>
              <w:t>0</w:t>
            </w:r>
            <w:r>
              <w:rPr>
                <w:rFonts w:ascii="宋体" w:hAnsi="宋体"/>
                <w:color w:val="auto"/>
                <w:sz w:val="24"/>
                <w:szCs w:val="24"/>
                <w:highlight w:val="none"/>
              </w:rPr>
              <w:t>0</w:t>
            </w:r>
            <w:r>
              <w:rPr>
                <w:rFonts w:hint="eastAsia" w:ascii="宋体" w:hAnsi="宋体"/>
                <w:color w:val="auto"/>
                <w:sz w:val="24"/>
                <w:szCs w:val="24"/>
                <w:highlight w:val="none"/>
              </w:rPr>
              <w:t>分。</w:t>
            </w:r>
          </w:p>
        </w:tc>
      </w:tr>
      <w:tr w14:paraId="646CF3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0FBFAE25">
            <w:pPr>
              <w:spacing w:line="360" w:lineRule="auto"/>
              <w:jc w:val="center"/>
              <w:rPr>
                <w:rFonts w:ascii="宋体" w:hAnsi="宋体" w:cs="宋体"/>
                <w:color w:val="auto"/>
                <w:sz w:val="24"/>
                <w:szCs w:val="24"/>
                <w:highlight w:val="none"/>
              </w:rPr>
            </w:pPr>
            <w:r>
              <w:rPr>
                <w:rFonts w:ascii="宋体" w:hAnsi="宋体" w:cs="宋体"/>
                <w:color w:val="auto"/>
                <w:sz w:val="24"/>
                <w:szCs w:val="24"/>
                <w:highlight w:val="none"/>
              </w:rPr>
              <w:t>32.1</w:t>
            </w:r>
          </w:p>
        </w:tc>
        <w:tc>
          <w:tcPr>
            <w:tcW w:w="7830" w:type="dxa"/>
            <w:vAlign w:val="center"/>
          </w:tcPr>
          <w:p w14:paraId="313C1C9F">
            <w:pPr>
              <w:pStyle w:val="24"/>
              <w:snapToGrid w:val="0"/>
              <w:spacing w:line="360" w:lineRule="auto"/>
              <w:rPr>
                <w:rFonts w:hAnsi="宋体" w:cs="宋体"/>
                <w:color w:val="auto"/>
                <w:sz w:val="24"/>
                <w:szCs w:val="24"/>
                <w:highlight w:val="none"/>
              </w:rPr>
            </w:pPr>
            <w:r>
              <w:rPr>
                <w:rFonts w:hint="eastAsia" w:hAnsi="宋体" w:cs="宋体"/>
                <w:color w:val="auto"/>
                <w:sz w:val="24"/>
                <w:szCs w:val="24"/>
                <w:highlight w:val="none"/>
              </w:rPr>
              <w:t>1.采购代理费支付方式：</w:t>
            </w:r>
          </w:p>
          <w:p w14:paraId="6096AA15">
            <w:pPr>
              <w:spacing w:line="360" w:lineRule="auto"/>
              <w:rPr>
                <w:rFonts w:ascii="宋体" w:hAnsi="宋体" w:cs="宋体"/>
                <w:color w:val="auto"/>
                <w:sz w:val="24"/>
                <w:szCs w:val="24"/>
                <w:highlight w:val="none"/>
              </w:rPr>
            </w:pPr>
            <w:r>
              <w:rPr>
                <w:rFonts w:ascii="Segoe UI Symbol" w:hAnsi="Segoe UI Symbol" w:cs="Segoe UI Symbol"/>
                <w:color w:val="auto"/>
                <w:sz w:val="24"/>
                <w:szCs w:val="24"/>
                <w:highlight w:val="none"/>
              </w:rPr>
              <w:t>☑</w:t>
            </w:r>
            <w:r>
              <w:rPr>
                <w:rFonts w:hint="eastAsia" w:ascii="宋体" w:hAnsi="宋体" w:cs="宋体"/>
                <w:color w:val="auto"/>
                <w:sz w:val="24"/>
                <w:szCs w:val="24"/>
                <w:highlight w:val="none"/>
              </w:rPr>
              <w:t>本项目代理服务费由</w:t>
            </w:r>
            <w:r>
              <w:rPr>
                <w:rFonts w:hint="eastAsia" w:ascii="宋体" w:hAnsi="宋体" w:cs="宋体"/>
                <w:color w:val="auto"/>
                <w:sz w:val="24"/>
                <w:szCs w:val="24"/>
                <w:highlight w:val="none"/>
                <w:u w:val="single"/>
              </w:rPr>
              <w:t>成交供应商</w:t>
            </w:r>
            <w:r>
              <w:rPr>
                <w:rFonts w:hint="eastAsia" w:ascii="宋体" w:hAnsi="宋体" w:cs="宋体"/>
                <w:color w:val="auto"/>
                <w:sz w:val="24"/>
                <w:szCs w:val="24"/>
                <w:highlight w:val="none"/>
              </w:rPr>
              <w:t>领取成交通知书前，一次性向采购代理机构支付。</w:t>
            </w:r>
          </w:p>
          <w:p w14:paraId="155AA305">
            <w:pPr>
              <w:pStyle w:val="24"/>
              <w:snapToGrid w:val="0"/>
              <w:spacing w:line="360" w:lineRule="auto"/>
              <w:rPr>
                <w:rFonts w:hAnsi="宋体" w:cs="宋体"/>
                <w:color w:val="auto"/>
                <w:sz w:val="24"/>
                <w:szCs w:val="24"/>
                <w:highlight w:val="none"/>
              </w:rPr>
            </w:pPr>
            <w:r>
              <w:rPr>
                <w:rFonts w:hint="eastAsia" w:hAnsi="宋体" w:cs="宋体"/>
                <w:color w:val="auto"/>
                <w:sz w:val="24"/>
                <w:szCs w:val="24"/>
                <w:highlight w:val="none"/>
              </w:rPr>
              <w:t>□采购人支付。</w:t>
            </w:r>
          </w:p>
          <w:p w14:paraId="77076263">
            <w:pPr>
              <w:pStyle w:val="24"/>
              <w:snapToGrid w:val="0"/>
              <w:spacing w:line="360" w:lineRule="auto"/>
              <w:rPr>
                <w:rFonts w:hAnsi="宋体" w:cs="宋体"/>
                <w:color w:val="auto"/>
                <w:sz w:val="24"/>
                <w:szCs w:val="24"/>
                <w:highlight w:val="none"/>
              </w:rPr>
            </w:pPr>
            <w:r>
              <w:rPr>
                <w:rFonts w:hint="eastAsia" w:hAnsi="宋体" w:cs="宋体"/>
                <w:color w:val="auto"/>
                <w:sz w:val="24"/>
                <w:szCs w:val="24"/>
                <w:highlight w:val="none"/>
              </w:rPr>
              <w:t>2.采购代理费收取标准：</w:t>
            </w:r>
          </w:p>
          <w:p w14:paraId="17CC69A8">
            <w:pPr>
              <w:spacing w:line="360" w:lineRule="auto"/>
              <w:rPr>
                <w:rFonts w:ascii="宋体" w:hAnsi="宋体" w:cs="宋体"/>
                <w:color w:val="auto"/>
                <w:sz w:val="24"/>
                <w:szCs w:val="24"/>
                <w:highlight w:val="none"/>
              </w:rPr>
            </w:pPr>
            <w:r>
              <w:rPr>
                <w:rFonts w:ascii="Segoe UI Symbol" w:hAnsi="Segoe UI Symbol" w:cs="Segoe UI Symbol"/>
                <w:color w:val="auto"/>
                <w:sz w:val="24"/>
                <w:szCs w:val="24"/>
                <w:highlight w:val="none"/>
              </w:rPr>
              <w:t>☑</w:t>
            </w:r>
            <w:r>
              <w:rPr>
                <w:rFonts w:hint="eastAsia" w:ascii="宋体" w:hAnsi="宋体" w:cs="宋体"/>
                <w:color w:val="auto"/>
                <w:sz w:val="24"/>
                <w:szCs w:val="24"/>
                <w:highlight w:val="none"/>
              </w:rPr>
              <w:t>以分标（</w:t>
            </w:r>
            <w:r>
              <w:rPr>
                <w:rFonts w:ascii="Segoe UI Symbol" w:hAnsi="Segoe UI Symbol" w:cs="Segoe UI Symbol"/>
                <w:color w:val="auto"/>
                <w:sz w:val="24"/>
                <w:szCs w:val="24"/>
                <w:highlight w:val="none"/>
              </w:rPr>
              <w:t>☑</w:t>
            </w:r>
            <w:r>
              <w:rPr>
                <w:rFonts w:hint="eastAsia" w:ascii="宋体" w:hAnsi="宋体" w:cs="宋体"/>
                <w:color w:val="auto"/>
                <w:sz w:val="24"/>
                <w:szCs w:val="24"/>
                <w:highlight w:val="none"/>
              </w:rPr>
              <w:t>成交金额/□采购预算/□暂定成交金额/□其他）为计费额，按本须知正文第</w:t>
            </w:r>
            <w:r>
              <w:rPr>
                <w:rFonts w:ascii="宋体" w:hAnsi="宋体" w:cs="宋体"/>
                <w:color w:val="auto"/>
                <w:sz w:val="24"/>
                <w:szCs w:val="24"/>
                <w:highlight w:val="none"/>
              </w:rPr>
              <w:t>32</w:t>
            </w:r>
            <w:r>
              <w:rPr>
                <w:rFonts w:hint="eastAsia" w:ascii="宋体" w:hAnsi="宋体" w:cs="宋体"/>
                <w:color w:val="auto"/>
                <w:sz w:val="24"/>
                <w:szCs w:val="24"/>
                <w:highlight w:val="none"/>
              </w:rPr>
              <w:t>.</w:t>
            </w:r>
            <w:r>
              <w:rPr>
                <w:rFonts w:ascii="宋体" w:hAnsi="宋体" w:cs="宋体"/>
                <w:color w:val="auto"/>
                <w:sz w:val="24"/>
                <w:szCs w:val="24"/>
                <w:highlight w:val="none"/>
              </w:rPr>
              <w:t>2</w:t>
            </w:r>
            <w:r>
              <w:rPr>
                <w:rFonts w:hint="eastAsia" w:ascii="宋体" w:hAnsi="宋体" w:cs="宋体"/>
                <w:color w:val="auto"/>
                <w:sz w:val="24"/>
                <w:szCs w:val="24"/>
                <w:highlight w:val="none"/>
              </w:rPr>
              <w:t>条规定的收费计算标准（□货物类/</w:t>
            </w:r>
            <w:r>
              <w:rPr>
                <w:rFonts w:ascii="Segoe UI Symbol" w:hAnsi="Segoe UI Symbol" w:cs="Segoe UI Symbol"/>
                <w:color w:val="auto"/>
                <w:sz w:val="24"/>
                <w:szCs w:val="24"/>
                <w:highlight w:val="none"/>
              </w:rPr>
              <w:t>☑</w:t>
            </w:r>
            <w:r>
              <w:rPr>
                <w:rFonts w:hint="eastAsia" w:ascii="宋体" w:hAnsi="宋体" w:cs="宋体"/>
                <w:color w:val="auto"/>
                <w:sz w:val="24"/>
                <w:szCs w:val="24"/>
                <w:highlight w:val="none"/>
              </w:rPr>
              <w:t>服务类/□工程类）采用差额定率累进法计算出收费基准价格，采购代理收费以（</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收费基准价格/</w:t>
            </w:r>
            <w:r>
              <w:rPr>
                <w:rFonts w:hint="eastAsia" w:ascii="Segoe UI Symbol" w:hAnsi="Segoe UI Symbol" w:cs="Segoe UI Symbol"/>
                <w:color w:val="auto"/>
                <w:sz w:val="24"/>
                <w:szCs w:val="24"/>
                <w:highlight w:val="none"/>
                <w:lang w:eastAsia="zh-CN"/>
              </w:rPr>
              <w:t>□</w:t>
            </w:r>
            <w:r>
              <w:rPr>
                <w:rFonts w:hint="eastAsia" w:ascii="宋体" w:hAnsi="宋体" w:cs="宋体"/>
                <w:color w:val="auto"/>
                <w:sz w:val="24"/>
                <w:szCs w:val="24"/>
                <w:highlight w:val="none"/>
              </w:rPr>
              <w:t>收费基准价格下浮</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w:t>
            </w:r>
            <w:r>
              <w:rPr>
                <w:rFonts w:ascii="宋体" w:hAnsi="宋体" w:cs="宋体"/>
                <w:color w:val="auto"/>
                <w:sz w:val="24"/>
                <w:szCs w:val="24"/>
                <w:highlight w:val="none"/>
              </w:rPr>
              <w:t>/</w:t>
            </w:r>
            <w:r>
              <w:rPr>
                <w:rFonts w:hint="eastAsia" w:ascii="宋体" w:hAnsi="宋体" w:cs="宋体"/>
                <w:color w:val="auto"/>
                <w:sz w:val="24"/>
                <w:szCs w:val="24"/>
                <w:highlight w:val="none"/>
              </w:rPr>
              <w:t>□收费基准价格上浮</w:t>
            </w:r>
            <w:r>
              <w:rPr>
                <w:rFonts w:hint="eastAsia" w:ascii="宋体" w:hAnsi="宋体" w:cs="宋体"/>
                <w:color w:val="auto"/>
                <w:sz w:val="24"/>
                <w:szCs w:val="24"/>
                <w:highlight w:val="none"/>
                <w:u w:val="single"/>
              </w:rPr>
              <w:t>%</w:t>
            </w:r>
            <w:r>
              <w:rPr>
                <w:rFonts w:hint="eastAsia" w:ascii="宋体" w:hAnsi="宋体" w:cs="宋体"/>
                <w:color w:val="auto"/>
                <w:sz w:val="24"/>
                <w:szCs w:val="24"/>
                <w:highlight w:val="none"/>
              </w:rPr>
              <w:t>）收取。</w:t>
            </w:r>
          </w:p>
          <w:p w14:paraId="2A4B89D6">
            <w:pPr>
              <w:pStyle w:val="24"/>
              <w:snapToGrid w:val="0"/>
              <w:spacing w:line="360" w:lineRule="auto"/>
              <w:rPr>
                <w:rFonts w:hAnsi="宋体" w:cs="宋体"/>
                <w:color w:val="auto"/>
                <w:sz w:val="24"/>
                <w:szCs w:val="24"/>
                <w:highlight w:val="none"/>
                <w:u w:val="single"/>
              </w:rPr>
            </w:pPr>
            <w:r>
              <w:rPr>
                <w:rFonts w:hint="eastAsia" w:hAnsi="宋体" w:cs="宋体"/>
                <w:color w:val="auto"/>
                <w:sz w:val="24"/>
                <w:szCs w:val="24"/>
                <w:highlight w:val="none"/>
              </w:rPr>
              <w:t>□固定采购代理收费</w:t>
            </w:r>
            <w:r>
              <w:rPr>
                <w:rFonts w:hint="eastAsia" w:hAnsi="宋体" w:cs="宋体"/>
                <w:color w:val="auto"/>
                <w:sz w:val="24"/>
                <w:szCs w:val="24"/>
                <w:highlight w:val="none"/>
                <w:u w:val="single"/>
              </w:rPr>
              <w:t xml:space="preserve"> </w:t>
            </w:r>
            <w:r>
              <w:rPr>
                <w:rFonts w:hAnsi="宋体" w:cs="宋体"/>
                <w:color w:val="auto"/>
                <w:sz w:val="24"/>
                <w:szCs w:val="24"/>
                <w:highlight w:val="none"/>
                <w:u w:val="single"/>
              </w:rPr>
              <w:t xml:space="preserve">          </w:t>
            </w:r>
            <w:r>
              <w:rPr>
                <w:rFonts w:hint="eastAsia" w:hAnsi="宋体" w:cs="宋体"/>
                <w:color w:val="auto"/>
                <w:sz w:val="24"/>
                <w:szCs w:val="24"/>
                <w:highlight w:val="none"/>
                <w:u w:val="single"/>
              </w:rPr>
              <w:t>。</w:t>
            </w:r>
          </w:p>
          <w:p w14:paraId="4CAFA5A9">
            <w:pPr>
              <w:pStyle w:val="24"/>
              <w:snapToGrid w:val="0"/>
              <w:spacing w:line="360" w:lineRule="auto"/>
              <w:rPr>
                <w:rFonts w:hint="eastAsia" w:hAnsi="宋体" w:eastAsia="宋体" w:cs="宋体"/>
                <w:color w:val="auto"/>
                <w:sz w:val="24"/>
                <w:szCs w:val="24"/>
                <w:highlight w:val="none"/>
                <w:lang w:eastAsia="zh-CN"/>
              </w:rPr>
            </w:pPr>
            <w:r>
              <w:rPr>
                <w:rFonts w:hint="eastAsia" w:hAnsi="宋体" w:cs="宋体"/>
                <w:color w:val="auto"/>
                <w:sz w:val="24"/>
                <w:szCs w:val="24"/>
                <w:highlight w:val="none"/>
              </w:rPr>
              <w:t>3. 采购代理费收取银行账户</w:t>
            </w:r>
            <w:r>
              <w:rPr>
                <w:rFonts w:hint="eastAsia" w:hAnsi="宋体" w:cs="宋体"/>
                <w:color w:val="auto"/>
                <w:sz w:val="24"/>
                <w:szCs w:val="24"/>
                <w:highlight w:val="none"/>
                <w:lang w:eastAsia="zh-CN"/>
              </w:rPr>
              <w:t>：</w:t>
            </w:r>
          </w:p>
          <w:p w14:paraId="7C07EFD9">
            <w:pPr>
              <w:snapToGrid w:val="0"/>
              <w:spacing w:line="360" w:lineRule="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开户名称：广西众联工程项目管理有限公司  </w:t>
            </w:r>
          </w:p>
          <w:p w14:paraId="197A87A0">
            <w:pPr>
              <w:snapToGrid w:val="0"/>
              <w:spacing w:line="360" w:lineRule="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开户银行：中国光大银行股份有限公司南宁民主支行</w:t>
            </w:r>
          </w:p>
          <w:p w14:paraId="3B97B2E6">
            <w:pPr>
              <w:snapToGrid w:val="0"/>
              <w:spacing w:line="360" w:lineRule="auto"/>
              <w:rPr>
                <w:rFonts w:ascii="宋体" w:hAnsi="宋体" w:cs="宋体"/>
                <w:color w:val="auto"/>
                <w:sz w:val="24"/>
                <w:szCs w:val="24"/>
                <w:highlight w:val="none"/>
              </w:rPr>
            </w:pPr>
            <w:r>
              <w:rPr>
                <w:rFonts w:hint="eastAsia" w:ascii="宋体" w:hAnsi="宋体" w:cs="宋体"/>
                <w:color w:val="auto"/>
                <w:kern w:val="0"/>
                <w:sz w:val="24"/>
                <w:szCs w:val="24"/>
                <w:highlight w:val="none"/>
              </w:rPr>
              <w:t>银行账号：7890  0188  0001  67866</w:t>
            </w:r>
          </w:p>
        </w:tc>
      </w:tr>
      <w:tr w14:paraId="3D5F05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3B979C1F">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3</w:t>
            </w:r>
            <w:r>
              <w:rPr>
                <w:rFonts w:ascii="宋体" w:hAnsi="宋体" w:cs="宋体"/>
                <w:color w:val="auto"/>
                <w:sz w:val="24"/>
                <w:szCs w:val="24"/>
                <w:highlight w:val="none"/>
              </w:rPr>
              <w:t>3.1</w:t>
            </w:r>
          </w:p>
        </w:tc>
        <w:tc>
          <w:tcPr>
            <w:tcW w:w="7830" w:type="dxa"/>
            <w:vAlign w:val="center"/>
          </w:tcPr>
          <w:p w14:paraId="7F61C258">
            <w:pPr>
              <w:pStyle w:val="24"/>
              <w:snapToGrid w:val="0"/>
              <w:spacing w:line="360" w:lineRule="auto"/>
              <w:rPr>
                <w:rFonts w:hAnsi="宋体" w:cs="宋体"/>
                <w:color w:val="auto"/>
                <w:kern w:val="2"/>
                <w:sz w:val="24"/>
                <w:szCs w:val="24"/>
                <w:highlight w:val="none"/>
              </w:rPr>
            </w:pPr>
            <w:r>
              <w:rPr>
                <w:rFonts w:hint="eastAsia" w:hAnsi="宋体"/>
                <w:color w:val="auto"/>
                <w:sz w:val="24"/>
                <w:szCs w:val="24"/>
                <w:highlight w:val="none"/>
              </w:rPr>
              <w:t>解释：</w:t>
            </w:r>
            <w:r>
              <w:rPr>
                <w:rFonts w:hAnsi="宋体"/>
                <w:color w:val="auto"/>
                <w:sz w:val="24"/>
                <w:szCs w:val="24"/>
                <w:highlight w:val="none"/>
              </w:rPr>
              <w:t>构成本</w:t>
            </w:r>
            <w:r>
              <w:rPr>
                <w:rFonts w:hint="eastAsia" w:hAnsi="宋体"/>
                <w:color w:val="auto"/>
                <w:sz w:val="24"/>
                <w:szCs w:val="24"/>
                <w:highlight w:val="none"/>
              </w:rPr>
              <w:t>磋商文件</w:t>
            </w:r>
            <w:r>
              <w:rPr>
                <w:rFonts w:hAnsi="宋体"/>
                <w:color w:val="auto"/>
                <w:sz w:val="24"/>
                <w:szCs w:val="24"/>
                <w:highlight w:val="none"/>
              </w:rPr>
              <w:t>的各个组成文件应互为解释，互为说明；除</w:t>
            </w:r>
            <w:r>
              <w:rPr>
                <w:rFonts w:hint="eastAsia" w:hAnsi="宋体"/>
                <w:color w:val="auto"/>
                <w:sz w:val="24"/>
                <w:szCs w:val="24"/>
                <w:highlight w:val="none"/>
              </w:rPr>
              <w:t>磋商文件</w:t>
            </w:r>
            <w:r>
              <w:rPr>
                <w:rFonts w:hAnsi="宋体"/>
                <w:color w:val="auto"/>
                <w:sz w:val="24"/>
                <w:szCs w:val="24"/>
                <w:highlight w:val="none"/>
              </w:rPr>
              <w:t>中有特别规定外，仅适用于</w:t>
            </w:r>
            <w:r>
              <w:rPr>
                <w:rFonts w:hint="eastAsia" w:hAnsi="宋体"/>
                <w:color w:val="auto"/>
                <w:sz w:val="24"/>
                <w:szCs w:val="24"/>
                <w:highlight w:val="none"/>
              </w:rPr>
              <w:t>竞标</w:t>
            </w:r>
            <w:r>
              <w:rPr>
                <w:rFonts w:hAnsi="宋体"/>
                <w:color w:val="auto"/>
                <w:sz w:val="24"/>
                <w:szCs w:val="24"/>
                <w:highlight w:val="none"/>
              </w:rPr>
              <w:t>阶段的规定，按</w:t>
            </w:r>
            <w:r>
              <w:rPr>
                <w:rFonts w:hint="eastAsia" w:hAnsi="宋体"/>
                <w:color w:val="auto"/>
                <w:sz w:val="24"/>
                <w:szCs w:val="24"/>
                <w:highlight w:val="none"/>
              </w:rPr>
              <w:t>更正公告（澄清公告）</w:t>
            </w:r>
            <w:r>
              <w:rPr>
                <w:rFonts w:hAnsi="宋体"/>
                <w:color w:val="auto"/>
                <w:sz w:val="24"/>
                <w:szCs w:val="24"/>
                <w:highlight w:val="none"/>
              </w:rPr>
              <w:t>、</w:t>
            </w:r>
            <w:r>
              <w:rPr>
                <w:rFonts w:hint="eastAsia" w:hAnsi="宋体"/>
                <w:color w:val="auto"/>
                <w:sz w:val="24"/>
                <w:szCs w:val="24"/>
                <w:highlight w:val="none"/>
              </w:rPr>
              <w:t>竞争性磋商</w:t>
            </w:r>
            <w:r>
              <w:rPr>
                <w:rFonts w:hAnsi="宋体"/>
                <w:color w:val="auto"/>
                <w:sz w:val="24"/>
                <w:szCs w:val="24"/>
                <w:highlight w:val="none"/>
              </w:rPr>
              <w:t>公告、</w:t>
            </w:r>
            <w:r>
              <w:rPr>
                <w:rFonts w:hint="eastAsia" w:hAnsi="宋体"/>
                <w:color w:val="auto"/>
                <w:sz w:val="24"/>
                <w:szCs w:val="24"/>
                <w:highlight w:val="none"/>
              </w:rPr>
              <w:t>供应商</w:t>
            </w:r>
            <w:r>
              <w:rPr>
                <w:rFonts w:hAnsi="宋体"/>
                <w:color w:val="auto"/>
                <w:sz w:val="24"/>
                <w:szCs w:val="24"/>
                <w:highlight w:val="none"/>
              </w:rPr>
              <w:t>须知</w:t>
            </w:r>
            <w:r>
              <w:rPr>
                <w:rFonts w:hint="eastAsia" w:hAnsi="宋体"/>
                <w:color w:val="auto"/>
                <w:sz w:val="24"/>
                <w:szCs w:val="24"/>
                <w:highlight w:val="none"/>
              </w:rPr>
              <w:t>、采购需求</w:t>
            </w:r>
            <w:r>
              <w:rPr>
                <w:rFonts w:hAnsi="宋体"/>
                <w:color w:val="auto"/>
                <w:sz w:val="24"/>
                <w:szCs w:val="24"/>
                <w:highlight w:val="none"/>
              </w:rPr>
              <w:t>、</w:t>
            </w:r>
            <w:r>
              <w:rPr>
                <w:rFonts w:hint="eastAsia" w:hAnsi="宋体"/>
                <w:color w:val="auto"/>
                <w:sz w:val="24"/>
                <w:szCs w:val="24"/>
                <w:highlight w:val="none"/>
              </w:rPr>
              <w:t>评审程序、评审方法和评审标准</w:t>
            </w:r>
            <w:r>
              <w:rPr>
                <w:rFonts w:hAnsi="宋体"/>
                <w:color w:val="auto"/>
                <w:sz w:val="24"/>
                <w:szCs w:val="24"/>
                <w:highlight w:val="none"/>
              </w:rPr>
              <w:t>、</w:t>
            </w:r>
            <w:r>
              <w:rPr>
                <w:rFonts w:hint="eastAsia" w:hAnsi="宋体"/>
                <w:color w:val="auto"/>
                <w:sz w:val="24"/>
                <w:szCs w:val="24"/>
                <w:highlight w:val="none"/>
              </w:rPr>
              <w:t>响应</w:t>
            </w:r>
            <w:r>
              <w:rPr>
                <w:rFonts w:hAnsi="宋体"/>
                <w:color w:val="auto"/>
                <w:sz w:val="24"/>
                <w:szCs w:val="24"/>
                <w:highlight w:val="none"/>
              </w:rPr>
              <w:t>文件格式</w:t>
            </w:r>
            <w:r>
              <w:rPr>
                <w:rFonts w:hint="eastAsia" w:hAnsi="宋体"/>
                <w:color w:val="auto"/>
                <w:sz w:val="24"/>
                <w:szCs w:val="24"/>
                <w:highlight w:val="none"/>
              </w:rPr>
              <w:t>、合同文本</w:t>
            </w:r>
            <w:r>
              <w:rPr>
                <w:rFonts w:hAnsi="宋体"/>
                <w:color w:val="auto"/>
                <w:sz w:val="24"/>
                <w:szCs w:val="24"/>
                <w:highlight w:val="none"/>
              </w:rPr>
              <w:t>的先后顺序解释；同一组成文件中就同一事项的规定或者约定不一致的，以编排顺序在后者为准；同一组成文件不同版本之间有不一致的，以形成时间在后者为准；</w:t>
            </w:r>
            <w:r>
              <w:rPr>
                <w:rFonts w:hint="eastAsia" w:hAnsi="宋体"/>
                <w:color w:val="auto"/>
                <w:sz w:val="24"/>
                <w:szCs w:val="24"/>
                <w:highlight w:val="none"/>
              </w:rPr>
              <w:t>更正公告（澄清公告）</w:t>
            </w:r>
            <w:r>
              <w:rPr>
                <w:rFonts w:hAnsi="宋体"/>
                <w:color w:val="auto"/>
                <w:sz w:val="24"/>
                <w:szCs w:val="24"/>
                <w:highlight w:val="none"/>
              </w:rPr>
              <w:t>与同步更新的</w:t>
            </w:r>
            <w:r>
              <w:rPr>
                <w:rFonts w:hint="eastAsia" w:hAnsi="宋体"/>
                <w:color w:val="auto"/>
                <w:sz w:val="24"/>
                <w:szCs w:val="24"/>
                <w:highlight w:val="none"/>
              </w:rPr>
              <w:t>磋商文件</w:t>
            </w:r>
            <w:r>
              <w:rPr>
                <w:rFonts w:hAnsi="宋体"/>
                <w:color w:val="auto"/>
                <w:sz w:val="24"/>
                <w:szCs w:val="24"/>
                <w:highlight w:val="none"/>
              </w:rPr>
              <w:t>不一致时以</w:t>
            </w:r>
            <w:r>
              <w:rPr>
                <w:rFonts w:hint="eastAsia" w:hAnsi="宋体"/>
                <w:color w:val="auto"/>
                <w:sz w:val="24"/>
                <w:szCs w:val="24"/>
                <w:highlight w:val="none"/>
              </w:rPr>
              <w:t>更正公告（澄清公告）</w:t>
            </w:r>
            <w:r>
              <w:rPr>
                <w:rFonts w:hAnsi="宋体"/>
                <w:color w:val="auto"/>
                <w:sz w:val="24"/>
                <w:szCs w:val="24"/>
                <w:highlight w:val="none"/>
              </w:rPr>
              <w:t>为准。按本款前述规定仍不能形成结论的，由</w:t>
            </w:r>
            <w:r>
              <w:rPr>
                <w:rFonts w:hint="eastAsia" w:hAnsi="宋体"/>
                <w:color w:val="auto"/>
                <w:sz w:val="24"/>
                <w:szCs w:val="24"/>
                <w:highlight w:val="none"/>
              </w:rPr>
              <w:t>采购</w:t>
            </w:r>
            <w:r>
              <w:rPr>
                <w:rFonts w:hAnsi="宋体"/>
                <w:color w:val="auto"/>
                <w:sz w:val="24"/>
                <w:szCs w:val="24"/>
                <w:highlight w:val="none"/>
              </w:rPr>
              <w:t>人</w:t>
            </w:r>
            <w:r>
              <w:rPr>
                <w:rFonts w:hint="eastAsia" w:hAnsi="宋体"/>
                <w:color w:val="auto"/>
                <w:sz w:val="24"/>
                <w:szCs w:val="24"/>
                <w:highlight w:val="none"/>
              </w:rPr>
              <w:t>或者采购代理机构</w:t>
            </w:r>
            <w:r>
              <w:rPr>
                <w:rFonts w:hAnsi="宋体"/>
                <w:color w:val="auto"/>
                <w:sz w:val="24"/>
                <w:szCs w:val="24"/>
                <w:highlight w:val="none"/>
              </w:rPr>
              <w:t>负责解释。</w:t>
            </w:r>
          </w:p>
        </w:tc>
      </w:tr>
      <w:tr w14:paraId="6783BB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071A53BD">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3</w:t>
            </w:r>
            <w:r>
              <w:rPr>
                <w:rFonts w:ascii="宋体" w:hAnsi="宋体" w:cs="宋体"/>
                <w:color w:val="auto"/>
                <w:sz w:val="24"/>
                <w:szCs w:val="24"/>
                <w:highlight w:val="none"/>
              </w:rPr>
              <w:t>3.2</w:t>
            </w:r>
          </w:p>
        </w:tc>
        <w:tc>
          <w:tcPr>
            <w:tcW w:w="7830" w:type="dxa"/>
            <w:vAlign w:val="center"/>
          </w:tcPr>
          <w:p w14:paraId="5C8A1F96">
            <w:pPr>
              <w:pStyle w:val="24"/>
              <w:snapToGrid w:val="0"/>
              <w:spacing w:line="360" w:lineRule="auto"/>
              <w:rPr>
                <w:rFonts w:hAnsi="宋体" w:cs="宋体"/>
                <w:color w:val="auto"/>
                <w:sz w:val="24"/>
                <w:szCs w:val="24"/>
                <w:highlight w:val="none"/>
              </w:rPr>
            </w:pPr>
            <w:r>
              <w:rPr>
                <w:rFonts w:hint="eastAsia" w:hAnsi="宋体" w:cs="宋体"/>
                <w:color w:val="auto"/>
                <w:sz w:val="24"/>
                <w:szCs w:val="24"/>
                <w:highlight w:val="none"/>
              </w:rPr>
              <w:t>1.本磋商文件中描述供应商的“公章”是指根据我国对公章的管理规定，用供应商法定主体行为名称制作的印章，除本磋商文件有特殊规定外，供应商的财务章、部门章、分公司章、工会章、合同章、竞标/投标专用章、业务专用章及银行的转账章、现金收讫章、现金付讫章等其他形式印章均不能代替公章。</w:t>
            </w:r>
          </w:p>
          <w:p w14:paraId="4A932158">
            <w:pPr>
              <w:pStyle w:val="24"/>
              <w:snapToGrid w:val="0"/>
              <w:spacing w:line="360" w:lineRule="auto"/>
              <w:rPr>
                <w:rFonts w:hAnsi="宋体" w:cs="宋体"/>
                <w:color w:val="auto"/>
                <w:sz w:val="24"/>
                <w:szCs w:val="24"/>
                <w:highlight w:val="none"/>
              </w:rPr>
            </w:pPr>
            <w:r>
              <w:rPr>
                <w:rFonts w:hint="eastAsia" w:hAnsi="宋体" w:cs="宋体"/>
                <w:bCs/>
                <w:color w:val="auto"/>
                <w:sz w:val="24"/>
                <w:szCs w:val="24"/>
                <w:highlight w:val="none"/>
              </w:rPr>
              <w:t>2.本磋商文件所称的“</w:t>
            </w:r>
            <w:r>
              <w:rPr>
                <w:rFonts w:hint="eastAsia" w:hAnsi="宋体"/>
                <w:color w:val="auto"/>
                <w:sz w:val="24"/>
                <w:szCs w:val="24"/>
                <w:highlight w:val="none"/>
              </w:rPr>
              <w:t>电子签章</w:t>
            </w:r>
            <w:r>
              <w:rPr>
                <w:rFonts w:hint="eastAsia" w:hAnsi="宋体" w:cs="宋体"/>
                <w:bCs/>
                <w:color w:val="auto"/>
                <w:sz w:val="24"/>
                <w:szCs w:val="24"/>
                <w:highlight w:val="none"/>
              </w:rPr>
              <w:t>”、“电子签名”</w:t>
            </w:r>
            <w:r>
              <w:rPr>
                <w:rFonts w:hint="eastAsia" w:hAnsi="宋体"/>
                <w:color w:val="auto"/>
                <w:sz w:val="24"/>
                <w:szCs w:val="24"/>
                <w:highlight w:val="none"/>
              </w:rPr>
              <w:t>，是指经“政采云”平台认可的CA认证的电子签名数据为表现形式的印章，可用于签署电子响应文件，电子印章与实物印章具有同等法律效力，不因其采用电子化表现形式而否定其法律效力。</w:t>
            </w:r>
          </w:p>
          <w:p w14:paraId="16A99824">
            <w:pPr>
              <w:pStyle w:val="24"/>
              <w:snapToGrid w:val="0"/>
              <w:spacing w:line="360" w:lineRule="auto"/>
              <w:rPr>
                <w:rFonts w:hAnsi="宋体" w:cs="宋体"/>
                <w:bCs/>
                <w:color w:val="auto"/>
                <w:sz w:val="24"/>
                <w:szCs w:val="24"/>
                <w:highlight w:val="none"/>
              </w:rPr>
            </w:pPr>
            <w:r>
              <w:rPr>
                <w:rFonts w:hAnsi="宋体" w:cs="宋体"/>
                <w:color w:val="auto"/>
                <w:sz w:val="24"/>
                <w:szCs w:val="24"/>
                <w:highlight w:val="none"/>
              </w:rPr>
              <w:t>3</w:t>
            </w:r>
            <w:r>
              <w:rPr>
                <w:rFonts w:hint="eastAsia" w:hAnsi="宋体" w:cs="宋体"/>
                <w:color w:val="auto"/>
                <w:sz w:val="24"/>
                <w:szCs w:val="24"/>
                <w:highlight w:val="none"/>
              </w:rPr>
              <w:t>.供应商为其他组织或者自然人时，本磋商文件规定的法定代表人指负责人或者自然人。本磋商文件所称负责人是指参加竞标的其他组织</w:t>
            </w:r>
            <w:r>
              <w:rPr>
                <w:rFonts w:hint="eastAsia" w:hAnsi="宋体" w:cs="宋体"/>
                <w:bCs/>
                <w:color w:val="auto"/>
                <w:sz w:val="24"/>
                <w:szCs w:val="24"/>
                <w:highlight w:val="none"/>
              </w:rPr>
              <w:t>营业执照或者执业许可证等证照上的</w:t>
            </w:r>
            <w:r>
              <w:rPr>
                <w:rFonts w:hint="eastAsia" w:hAnsi="宋体" w:cs="宋体"/>
                <w:color w:val="auto"/>
                <w:sz w:val="24"/>
                <w:szCs w:val="24"/>
                <w:highlight w:val="none"/>
              </w:rPr>
              <w:t>负责人，本磋商文件所称自然人指参与竞标的自然人本人，</w:t>
            </w:r>
            <w:r>
              <w:rPr>
                <w:rFonts w:hint="eastAsia" w:hAnsi="宋体" w:cs="宋体"/>
                <w:bCs/>
                <w:color w:val="auto"/>
                <w:sz w:val="24"/>
                <w:szCs w:val="24"/>
                <w:highlight w:val="none"/>
              </w:rPr>
              <w:t>且应具备独立承担民事责任能力，自然人应当为年满18岁以上成年人（十六周岁以上的未成年人，以自己的劳动收入为主要生活来源的，视为完全民事行为能力人）。</w:t>
            </w:r>
          </w:p>
          <w:p w14:paraId="24C6F9AE">
            <w:pPr>
              <w:pStyle w:val="24"/>
              <w:snapToGrid w:val="0"/>
              <w:spacing w:line="360" w:lineRule="auto"/>
              <w:rPr>
                <w:rFonts w:hAnsi="宋体" w:cs="宋体"/>
                <w:color w:val="auto"/>
                <w:sz w:val="24"/>
                <w:szCs w:val="24"/>
                <w:highlight w:val="none"/>
              </w:rPr>
            </w:pPr>
            <w:r>
              <w:rPr>
                <w:rFonts w:hAnsi="宋体" w:cs="宋体"/>
                <w:color w:val="auto"/>
                <w:sz w:val="24"/>
                <w:szCs w:val="24"/>
                <w:highlight w:val="none"/>
              </w:rPr>
              <w:t>4.</w:t>
            </w:r>
            <w:r>
              <w:rPr>
                <w:rFonts w:hint="eastAsia" w:hAnsi="宋体" w:cs="宋体"/>
                <w:color w:val="auto"/>
                <w:sz w:val="24"/>
                <w:szCs w:val="24"/>
                <w:highlight w:val="none"/>
              </w:rPr>
              <w:t>本磋商文件中描述供应商的“签字”是指供应商的法定代表人或者委托代理人亲自在文件规定签署处亲笔写上个人的名字的行为，私章、签字章、印鉴、影印等其他形式均不能代替亲笔签字。</w:t>
            </w:r>
          </w:p>
          <w:p w14:paraId="12AE3812">
            <w:pPr>
              <w:pStyle w:val="24"/>
              <w:snapToGrid w:val="0"/>
              <w:spacing w:line="360" w:lineRule="auto"/>
              <w:rPr>
                <w:rFonts w:hAnsi="宋体" w:cs="宋体"/>
                <w:color w:val="auto"/>
                <w:sz w:val="24"/>
                <w:szCs w:val="24"/>
                <w:highlight w:val="none"/>
              </w:rPr>
            </w:pPr>
            <w:r>
              <w:rPr>
                <w:rFonts w:hint="eastAsia" w:hAnsi="宋体" w:cs="宋体"/>
                <w:color w:val="auto"/>
                <w:sz w:val="24"/>
                <w:szCs w:val="24"/>
                <w:highlight w:val="none"/>
              </w:rPr>
              <w:t>5</w:t>
            </w:r>
            <w:r>
              <w:rPr>
                <w:rFonts w:hAnsi="宋体" w:cs="宋体"/>
                <w:color w:val="auto"/>
                <w:sz w:val="24"/>
                <w:szCs w:val="24"/>
                <w:highlight w:val="none"/>
              </w:rPr>
              <w:t>.</w:t>
            </w:r>
            <w:r>
              <w:rPr>
                <w:rFonts w:hint="eastAsia" w:hAnsi="宋体" w:cs="宋体"/>
                <w:color w:val="auto"/>
                <w:sz w:val="24"/>
                <w:szCs w:val="24"/>
                <w:highlight w:val="none"/>
              </w:rPr>
              <w:t>本磋商文件所称的“以上”“以下”“以内”“届满”，包括本数；所称的“不满”“超过”“以外”，不包括本数。</w:t>
            </w:r>
          </w:p>
        </w:tc>
      </w:tr>
    </w:tbl>
    <w:p w14:paraId="77698F50">
      <w:pPr>
        <w:spacing w:line="400" w:lineRule="exact"/>
        <w:jc w:val="center"/>
        <w:rPr>
          <w:rFonts w:ascii="宋体" w:hAnsi="宋体"/>
          <w:b/>
          <w:color w:val="auto"/>
          <w:sz w:val="32"/>
          <w:szCs w:val="32"/>
          <w:highlight w:val="none"/>
        </w:rPr>
      </w:pPr>
      <w:r>
        <w:rPr>
          <w:rFonts w:ascii="宋体" w:hAnsi="宋体"/>
          <w:b/>
          <w:color w:val="auto"/>
          <w:sz w:val="32"/>
          <w:szCs w:val="32"/>
          <w:highlight w:val="none"/>
        </w:rPr>
        <w:br w:type="page"/>
      </w:r>
      <w:r>
        <w:rPr>
          <w:rFonts w:hint="eastAsia" w:ascii="宋体" w:hAnsi="宋体"/>
          <w:b/>
          <w:color w:val="auto"/>
          <w:sz w:val="32"/>
          <w:szCs w:val="32"/>
          <w:highlight w:val="none"/>
        </w:rPr>
        <w:t>供应商须知正文</w:t>
      </w:r>
    </w:p>
    <w:p w14:paraId="2BBA228C">
      <w:pPr>
        <w:spacing w:line="400" w:lineRule="exact"/>
        <w:jc w:val="center"/>
        <w:rPr>
          <w:rFonts w:ascii="宋体" w:hAnsi="宋体"/>
          <w:b/>
          <w:color w:val="auto"/>
          <w:sz w:val="32"/>
          <w:szCs w:val="32"/>
          <w:highlight w:val="none"/>
        </w:rPr>
      </w:pPr>
    </w:p>
    <w:p w14:paraId="634C9EBC">
      <w:pPr>
        <w:spacing w:line="400" w:lineRule="exact"/>
        <w:jc w:val="center"/>
        <w:rPr>
          <w:rFonts w:ascii="宋体" w:hAnsi="宋体"/>
          <w:b/>
          <w:color w:val="auto"/>
          <w:sz w:val="32"/>
          <w:szCs w:val="32"/>
          <w:highlight w:val="none"/>
        </w:rPr>
      </w:pPr>
      <w:r>
        <w:rPr>
          <w:rFonts w:hint="eastAsia" w:ascii="宋体" w:hAnsi="宋体"/>
          <w:b/>
          <w:color w:val="auto"/>
          <w:sz w:val="32"/>
          <w:szCs w:val="32"/>
          <w:highlight w:val="none"/>
        </w:rPr>
        <w:t>一、总则</w:t>
      </w:r>
    </w:p>
    <w:p w14:paraId="1C8A2590">
      <w:pPr>
        <w:spacing w:line="400" w:lineRule="exact"/>
        <w:rPr>
          <w:rFonts w:ascii="宋体" w:hAnsi="宋体"/>
          <w:color w:val="auto"/>
          <w:szCs w:val="21"/>
          <w:highlight w:val="none"/>
        </w:rPr>
      </w:pPr>
    </w:p>
    <w:p w14:paraId="1968456A">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1.适用范围</w:t>
      </w:r>
    </w:p>
    <w:p w14:paraId="489FCD6E">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1.1本项目采购人、采购代理机构、供应商、磋商小组的相关行为均受《中华人民共和国政府采购法》《中华人民共和国政府采购法实施条例》</w:t>
      </w:r>
      <w:r>
        <w:rPr>
          <w:rFonts w:hint="eastAsia" w:ascii="宋体" w:hAnsi="宋体"/>
          <w:color w:val="auto"/>
          <w:sz w:val="24"/>
          <w:szCs w:val="24"/>
          <w:highlight w:val="none"/>
        </w:rPr>
        <w:t>《政府采购竞争性磋商采购方式管理暂行办法》《财政部关于政府采购竞争性磋商采购方式管理暂行办法有关问题的补充通知》</w:t>
      </w:r>
      <w:r>
        <w:rPr>
          <w:rFonts w:hint="eastAsia" w:ascii="宋体" w:hAnsi="宋体" w:cs="宋体"/>
          <w:color w:val="auto"/>
          <w:sz w:val="24"/>
          <w:szCs w:val="24"/>
          <w:highlight w:val="none"/>
        </w:rPr>
        <w:t>及本项目本级和上级财政部门政府采购有关规定的约束和保护。</w:t>
      </w:r>
    </w:p>
    <w:p w14:paraId="533202A1">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1.2</w:t>
      </w:r>
      <w:r>
        <w:rPr>
          <w:rFonts w:hint="eastAsia" w:ascii="宋体" w:hAnsi="宋体" w:cs="宋体"/>
          <w:color w:val="auto"/>
          <w:spacing w:val="-6"/>
          <w:sz w:val="24"/>
          <w:szCs w:val="24"/>
          <w:highlight w:val="none"/>
        </w:rPr>
        <w:t>本竞争性磋商文件（以下简称磋商文件）适用于本项目的所有采购程序和环节（法律、法规另有规定的，从其规定）。</w:t>
      </w:r>
    </w:p>
    <w:p w14:paraId="3AC867A4">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2.定义</w:t>
      </w:r>
    </w:p>
    <w:p w14:paraId="019F2C35">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2.1“采购人”是指依法进行政府采购的国家机关、事业单位、团体组织。</w:t>
      </w:r>
    </w:p>
    <w:p w14:paraId="352BDC9F">
      <w:pPr>
        <w:spacing w:line="360" w:lineRule="auto"/>
        <w:ind w:left="0" w:leftChars="0" w:firstLine="420" w:firstLineChars="175"/>
        <w:jc w:val="left"/>
        <w:rPr>
          <w:rFonts w:ascii="宋体" w:hAnsi="宋体" w:cs="宋体"/>
          <w:color w:val="auto"/>
          <w:sz w:val="24"/>
          <w:szCs w:val="24"/>
          <w:highlight w:val="none"/>
          <w:u w:val="single"/>
        </w:rPr>
      </w:pPr>
      <w:r>
        <w:rPr>
          <w:rFonts w:hint="eastAsia" w:ascii="宋体" w:hAnsi="宋体" w:cs="宋体"/>
          <w:color w:val="auto"/>
          <w:sz w:val="24"/>
          <w:szCs w:val="24"/>
          <w:highlight w:val="none"/>
        </w:rPr>
        <w:t>2.2“采购代理机构”是指政府采购集中采购机构和集中采购机构以外的采购代理机构。</w:t>
      </w:r>
    </w:p>
    <w:p w14:paraId="35E5D06F">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2.3“供应商”是指向采购人提供货物、工程或者服务的法人、其他组织或者自然人。</w:t>
      </w:r>
    </w:p>
    <w:p w14:paraId="3670FB94">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olor w:val="auto"/>
          <w:sz w:val="24"/>
          <w:szCs w:val="24"/>
          <w:highlight w:val="none"/>
        </w:rPr>
        <w:t>2.4“服务”是指除货物和工程以外的其他政府采购对象。</w:t>
      </w:r>
    </w:p>
    <w:p w14:paraId="33EF9D0E">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w:t>
      </w:r>
      <w:r>
        <w:rPr>
          <w:rFonts w:ascii="宋体" w:hAnsi="宋体" w:cs="宋体"/>
          <w:color w:val="auto"/>
          <w:sz w:val="24"/>
          <w:szCs w:val="24"/>
          <w:highlight w:val="none"/>
        </w:rPr>
        <w:t>5</w:t>
      </w:r>
      <w:r>
        <w:rPr>
          <w:rFonts w:hint="eastAsia" w:ascii="宋体" w:hAnsi="宋体" w:cs="宋体"/>
          <w:color w:val="auto"/>
          <w:sz w:val="24"/>
          <w:szCs w:val="24"/>
          <w:highlight w:val="none"/>
        </w:rPr>
        <w:t>“竞标”是指供应商按照本项目竞争性磋商公告规定的方式获取磋商文件、提交响应文件并希望获得标的的行为。</w:t>
      </w:r>
    </w:p>
    <w:p w14:paraId="34DE2A38">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2.6“书面形式”是指合同书、信件和数据电文（包括电报、电传、传真、电子数据交换和电子邮件）等可以有形地表现所载内容的形式。</w:t>
      </w:r>
    </w:p>
    <w:p w14:paraId="1F7B8771">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2.7“响应文件”</w:t>
      </w:r>
      <w:r>
        <w:rPr>
          <w:rFonts w:hint="eastAsia" w:ascii="宋体" w:hAnsi="宋体" w:cs="宋体"/>
          <w:color w:val="auto"/>
          <w:spacing w:val="-6"/>
          <w:sz w:val="24"/>
          <w:szCs w:val="24"/>
          <w:highlight w:val="none"/>
        </w:rPr>
        <w:t>是指：供应商根据本磋商文件要求，编制包含资格证明、报价、商务技术等所有内容的文件。</w:t>
      </w:r>
    </w:p>
    <w:p w14:paraId="0313B0DF">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2.8“实质性要求”是指磋商文件中已经指明不满足则响应文件按无效响应处理的条款，或者不能负偏离的条款，或者采购需求中带“▲”的条款。</w:t>
      </w:r>
    </w:p>
    <w:p w14:paraId="7611EACD">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2.9“正偏离”，是指响应文件对磋商文件“采购需求”中有关条款作出的响应优于条款要求并有利于采购人的情形。</w:t>
      </w:r>
    </w:p>
    <w:p w14:paraId="4DAF3199">
      <w:pPr>
        <w:spacing w:line="360" w:lineRule="auto"/>
        <w:ind w:left="0" w:leftChars="0" w:firstLine="420" w:firstLineChars="175"/>
        <w:jc w:val="left"/>
        <w:rPr>
          <w:rFonts w:ascii="宋体" w:hAnsi="宋体" w:cs="宋体"/>
          <w:color w:val="auto"/>
          <w:sz w:val="24"/>
          <w:szCs w:val="24"/>
          <w:highlight w:val="none"/>
        </w:rPr>
      </w:pPr>
      <w:r>
        <w:rPr>
          <w:rFonts w:ascii="宋体" w:hAnsi="宋体" w:cs="宋体"/>
          <w:color w:val="auto"/>
          <w:sz w:val="24"/>
          <w:szCs w:val="24"/>
          <w:highlight w:val="none"/>
        </w:rPr>
        <w:t>2.</w:t>
      </w:r>
      <w:r>
        <w:rPr>
          <w:rFonts w:hint="eastAsia" w:ascii="宋体" w:hAnsi="宋体" w:cs="宋体"/>
          <w:color w:val="auto"/>
          <w:sz w:val="24"/>
          <w:szCs w:val="24"/>
          <w:highlight w:val="none"/>
        </w:rPr>
        <w:t>10“负偏离”，是指响应文件对磋商文件“采购需求”中有关条款作出的响应不满足条款要求，导致采购人要求不能得到满足的情形。</w:t>
      </w:r>
    </w:p>
    <w:p w14:paraId="1B273574">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2.11“允许负偏离的条款”是指采购需求中的不属于“实质性要求”的条款。</w:t>
      </w:r>
    </w:p>
    <w:p w14:paraId="72BE2886">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w:t>
      </w:r>
      <w:r>
        <w:rPr>
          <w:rFonts w:ascii="宋体" w:hAnsi="宋体" w:cs="宋体"/>
          <w:color w:val="auto"/>
          <w:sz w:val="24"/>
          <w:szCs w:val="24"/>
          <w:highlight w:val="none"/>
        </w:rPr>
        <w:t>1</w:t>
      </w:r>
      <w:r>
        <w:rPr>
          <w:rFonts w:hint="eastAsia" w:ascii="宋体" w:hAnsi="宋体" w:cs="宋体"/>
          <w:color w:val="auto"/>
          <w:sz w:val="24"/>
          <w:szCs w:val="24"/>
          <w:highlight w:val="none"/>
        </w:rPr>
        <w:t>2“首次报价”是指供应商提交的首次响应文件中的报价。</w:t>
      </w:r>
    </w:p>
    <w:p w14:paraId="1759EEA8">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3.供应商的资格条件</w:t>
      </w:r>
    </w:p>
    <w:p w14:paraId="1735C3D4">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供应商的资格条件详见“供应商须知前附表”。</w:t>
      </w:r>
    </w:p>
    <w:p w14:paraId="2FDFF976">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4.竞标费用</w:t>
      </w:r>
    </w:p>
    <w:p w14:paraId="5269659F">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供应商应承担参与本次采购活动有关的所有费用，包括但不限于获取磋商文件、勘查现场、编制和提交响应文件、参加磋商与应答、签订合同等，不论竞标结果如何，均应自行承担。</w:t>
      </w:r>
    </w:p>
    <w:p w14:paraId="150B4DD9">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5.联合体竞标</w:t>
      </w:r>
    </w:p>
    <w:p w14:paraId="5DC06687">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5.1本项目是否接受联合体竞标，详见“供应商须知前附表”。</w:t>
      </w:r>
    </w:p>
    <w:p w14:paraId="4208A791">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5.2</w:t>
      </w:r>
      <w:r>
        <w:rPr>
          <w:rFonts w:hint="eastAsia" w:ascii="宋体" w:hAnsi="宋体"/>
          <w:color w:val="auto"/>
          <w:sz w:val="24"/>
          <w:szCs w:val="24"/>
          <w:highlight w:val="none"/>
        </w:rPr>
        <w:t>如接受联合体竞标，</w:t>
      </w:r>
      <w:r>
        <w:rPr>
          <w:rFonts w:hint="eastAsia" w:ascii="宋体" w:hAnsi="宋体" w:cs="宋体"/>
          <w:color w:val="auto"/>
          <w:sz w:val="24"/>
          <w:szCs w:val="24"/>
          <w:highlight w:val="none"/>
        </w:rPr>
        <w:t>联合体竞标要求详见“供应商须知前附表”。</w:t>
      </w:r>
    </w:p>
    <w:p w14:paraId="639558C8">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5.3</w:t>
      </w:r>
      <w:bookmarkStart w:id="142" w:name="_Hlk65857072"/>
      <w:r>
        <w:rPr>
          <w:rFonts w:hint="eastAsia" w:ascii="宋体" w:hAnsi="宋体"/>
          <w:color w:val="auto"/>
          <w:sz w:val="24"/>
          <w:szCs w:val="24"/>
          <w:highlight w:val="none"/>
        </w:rPr>
        <w:t>根据《政府采购促进中小企业发展管理办法》（财库〔2020〕46号）第九条第二款及《广西壮族自治区财政厅关于持续优化政府采购营商环境推动高质量发展的通知》（桂财采〔2024〕55号）的规定，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4%-6%的扣除，用扣除后的价格参加评审。</w:t>
      </w:r>
      <w:bookmarkEnd w:id="142"/>
      <w:r>
        <w:rPr>
          <w:rFonts w:hint="eastAsia" w:ascii="宋体" w:hAnsi="宋体"/>
          <w:color w:val="auto"/>
          <w:sz w:val="24"/>
          <w:szCs w:val="24"/>
          <w:highlight w:val="none"/>
        </w:rPr>
        <w:t>本项目</w:t>
      </w:r>
      <w:r>
        <w:rPr>
          <w:rFonts w:hint="eastAsia" w:ascii="宋体" w:hAnsi="宋体"/>
          <w:bCs/>
          <w:color w:val="auto"/>
          <w:sz w:val="24"/>
          <w:szCs w:val="24"/>
          <w:highlight w:val="none"/>
        </w:rPr>
        <w:t>属于专门面向中小企业采购的项目，不再重复享受</w:t>
      </w:r>
      <w:r>
        <w:rPr>
          <w:rFonts w:ascii="宋体" w:hAnsi="宋体"/>
          <w:bCs/>
          <w:color w:val="auto"/>
          <w:sz w:val="24"/>
          <w:szCs w:val="24"/>
          <w:highlight w:val="none"/>
        </w:rPr>
        <w:t>报价</w:t>
      </w:r>
      <w:r>
        <w:rPr>
          <w:rFonts w:hint="eastAsia" w:ascii="宋体" w:hAnsi="宋体"/>
          <w:bCs/>
          <w:color w:val="auto"/>
          <w:sz w:val="24"/>
          <w:szCs w:val="24"/>
          <w:highlight w:val="none"/>
        </w:rPr>
        <w:t>以上</w:t>
      </w:r>
      <w:r>
        <w:rPr>
          <w:rFonts w:ascii="宋体" w:hAnsi="宋体"/>
          <w:bCs/>
          <w:color w:val="auto"/>
          <w:sz w:val="24"/>
          <w:szCs w:val="24"/>
          <w:highlight w:val="none"/>
        </w:rPr>
        <w:t>政策。</w:t>
      </w:r>
    </w:p>
    <w:p w14:paraId="79E6C4E4">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6.转包与分包</w:t>
      </w:r>
    </w:p>
    <w:p w14:paraId="7AA0B03D">
      <w:pPr>
        <w:spacing w:line="360" w:lineRule="auto"/>
        <w:ind w:left="0" w:leftChars="0" w:firstLine="420" w:firstLineChars="175"/>
        <w:jc w:val="left"/>
        <w:rPr>
          <w:rFonts w:ascii="宋体" w:hAnsi="宋体" w:cs="宋体"/>
          <w:color w:val="auto"/>
          <w:sz w:val="24"/>
          <w:szCs w:val="24"/>
          <w:highlight w:val="none"/>
        </w:rPr>
      </w:pPr>
      <w:bookmarkStart w:id="143" w:name="_Toc254970673"/>
      <w:bookmarkStart w:id="144" w:name="_Toc254970532"/>
      <w:r>
        <w:rPr>
          <w:rFonts w:hint="eastAsia" w:ascii="宋体" w:hAnsi="宋体" w:cs="宋体"/>
          <w:color w:val="auto"/>
          <w:sz w:val="24"/>
          <w:szCs w:val="24"/>
          <w:highlight w:val="none"/>
        </w:rPr>
        <w:t>6.1本项目不允许转包。</w:t>
      </w:r>
    </w:p>
    <w:p w14:paraId="39586FF4">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6.2本项目是否允许分包详见“供应商须知前附表”，本项目不允许违法分包。允许分包的非主体、非关键性工作，根据法律法规规定承担该工作需要行政许可的，如该工作由供应商自行承担，供应商应具备相应的行政许可，如供应商不具备相应的行政许可必须采用分包的方式，但分包供应商应具备相应行政许可。</w:t>
      </w:r>
    </w:p>
    <w:p w14:paraId="76AE3E0F">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6.3供应商根据磋商文件的规定和采购项目的实际情况，拟在成交后将成交项目的非主体、非关键性工作分包的，应当在响应文件中载明分包承担主体，分包承担主体应当具备相应资质条件且不得再次分包。</w:t>
      </w:r>
    </w:p>
    <w:p w14:paraId="674C81F8">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7.特别说明</w:t>
      </w:r>
      <w:bookmarkEnd w:id="143"/>
      <w:bookmarkEnd w:id="144"/>
    </w:p>
    <w:p w14:paraId="1CA58038">
      <w:pPr>
        <w:spacing w:line="360" w:lineRule="auto"/>
        <w:ind w:left="0" w:leftChars="0" w:firstLine="420" w:firstLineChars="175"/>
        <w:jc w:val="left"/>
        <w:rPr>
          <w:rFonts w:ascii="宋体" w:hAnsi="宋体" w:cs="宋体"/>
          <w:color w:val="auto"/>
          <w:sz w:val="24"/>
          <w:szCs w:val="24"/>
          <w:highlight w:val="none"/>
        </w:rPr>
      </w:pPr>
      <w:bookmarkStart w:id="145" w:name="_8.1提供相同品牌产品且通过资格审查、符合性审查的不同投标人参加同一合"/>
      <w:bookmarkEnd w:id="145"/>
      <w:r>
        <w:rPr>
          <w:rFonts w:hint="eastAsia" w:ascii="宋体" w:hAnsi="宋体" w:cs="宋体"/>
          <w:color w:val="auto"/>
          <w:sz w:val="24"/>
          <w:szCs w:val="24"/>
          <w:highlight w:val="none"/>
        </w:rPr>
        <w:t>7.</w:t>
      </w:r>
      <w:r>
        <w:rPr>
          <w:rFonts w:ascii="宋体" w:hAnsi="宋体" w:cs="宋体"/>
          <w:color w:val="auto"/>
          <w:sz w:val="24"/>
          <w:szCs w:val="24"/>
          <w:highlight w:val="none"/>
        </w:rPr>
        <w:t>1</w:t>
      </w:r>
      <w:bookmarkStart w:id="146" w:name="_Hlk65832145"/>
      <w:r>
        <w:rPr>
          <w:rFonts w:hint="eastAsia" w:ascii="宋体" w:hAnsi="宋体"/>
          <w:color w:val="auto"/>
          <w:sz w:val="24"/>
          <w:szCs w:val="24"/>
          <w:highlight w:val="none"/>
        </w:rPr>
        <w:t>如果本磋商文件要求提供供应商或制造商的资格、信誉、荣誉、业绩与企业认证等材料的，资格、信誉、荣誉、业绩与企业认证等必须为供应商或者制造商所拥有或自身获得</w:t>
      </w:r>
      <w:r>
        <w:rPr>
          <w:rFonts w:hint="eastAsia" w:ascii="宋体" w:hAnsi="宋体" w:cs="宋体"/>
          <w:color w:val="auto"/>
          <w:sz w:val="24"/>
          <w:szCs w:val="24"/>
          <w:highlight w:val="none"/>
        </w:rPr>
        <w:t>。</w:t>
      </w:r>
    </w:p>
    <w:bookmarkEnd w:id="146"/>
    <w:p w14:paraId="321B7070">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7.</w:t>
      </w:r>
      <w:r>
        <w:rPr>
          <w:rFonts w:ascii="宋体" w:hAnsi="宋体" w:cs="宋体"/>
          <w:color w:val="auto"/>
          <w:sz w:val="24"/>
          <w:szCs w:val="24"/>
          <w:highlight w:val="none"/>
        </w:rPr>
        <w:t>2</w:t>
      </w:r>
      <w:r>
        <w:rPr>
          <w:rFonts w:hint="eastAsia" w:ascii="宋体" w:hAnsi="宋体" w:cs="宋体"/>
          <w:color w:val="auto"/>
          <w:sz w:val="24"/>
          <w:szCs w:val="24"/>
          <w:highlight w:val="none"/>
        </w:rPr>
        <w:t>供应商应仔细阅读磋商文件的所有内容，按照磋商文件的要求提交响应文件，并对所提供的全部资料的真实性承担法律责任。</w:t>
      </w:r>
    </w:p>
    <w:p w14:paraId="5089EEB4">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7.</w:t>
      </w:r>
      <w:r>
        <w:rPr>
          <w:rFonts w:ascii="宋体" w:hAnsi="宋体" w:cs="宋体"/>
          <w:color w:val="auto"/>
          <w:sz w:val="24"/>
          <w:szCs w:val="24"/>
          <w:highlight w:val="none"/>
        </w:rPr>
        <w:t>3</w:t>
      </w:r>
      <w:r>
        <w:rPr>
          <w:rFonts w:hint="eastAsia" w:ascii="宋体" w:hAnsi="宋体" w:cs="宋体"/>
          <w:color w:val="auto"/>
          <w:sz w:val="24"/>
          <w:szCs w:val="24"/>
          <w:highlight w:val="none"/>
        </w:rPr>
        <w:t>供应商在竞标活动中提供任何疑似虚假材料，将报监管部门查处；签订合同后发现的，成交供应商须依照《中华人民共和国消费者权益保护法》规定赔偿采购人，且民事赔偿并不免除违法供应商的行政与刑事责任。</w:t>
      </w:r>
    </w:p>
    <w:p w14:paraId="041AEA40">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7.</w:t>
      </w:r>
      <w:r>
        <w:rPr>
          <w:rFonts w:ascii="宋体" w:hAnsi="宋体" w:cs="宋体"/>
          <w:color w:val="auto"/>
          <w:sz w:val="24"/>
          <w:szCs w:val="24"/>
          <w:highlight w:val="none"/>
        </w:rPr>
        <w:t>4</w:t>
      </w:r>
      <w:r>
        <w:rPr>
          <w:rFonts w:hint="eastAsia" w:ascii="宋体" w:hAnsi="宋体" w:cs="宋体"/>
          <w:color w:val="auto"/>
          <w:sz w:val="24"/>
          <w:szCs w:val="24"/>
          <w:highlight w:val="none"/>
        </w:rPr>
        <w:t>在政府采购活动中，采购人员及相关人员与供应商有下列利害关系之一的，应当回避：</w:t>
      </w:r>
    </w:p>
    <w:p w14:paraId="49B7D0C1">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（1）参加采购活动前3年内与供应商存在劳动关系；</w:t>
      </w:r>
    </w:p>
    <w:p w14:paraId="7D39BEA2">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（2）参加采购活动前3年内担任供应商的董事、监事；</w:t>
      </w:r>
    </w:p>
    <w:p w14:paraId="5377E46E">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（3）参加采购活动前3年内是供应商的控股股东或者实际控制人；</w:t>
      </w:r>
    </w:p>
    <w:p w14:paraId="3ACE8DC0">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（4）与供应商的法定代表人或者负责人有夫妻、直系血亲、三代以内旁系血亲或者近姻亲关系；</w:t>
      </w:r>
    </w:p>
    <w:p w14:paraId="3F8B9CED">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（5）与供应商有其他可能影响政府采购活动公平、公正进行的关系。</w:t>
      </w:r>
    </w:p>
    <w:p w14:paraId="7B2DEE26">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供应商认为采购人员及相关人员与其他供应商有利害关系的，可以向采购人或者采购代理机构书面提出回避申请，并说明理由。采购人或者采购代理机构应当及时询问被申请回避人员，有利害关系的被申请回避人员应当回避。</w:t>
      </w:r>
    </w:p>
    <w:p w14:paraId="1601D986">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7.</w:t>
      </w:r>
      <w:r>
        <w:rPr>
          <w:rFonts w:ascii="宋体" w:hAnsi="宋体" w:cs="宋体"/>
          <w:color w:val="auto"/>
          <w:sz w:val="24"/>
          <w:szCs w:val="24"/>
          <w:highlight w:val="none"/>
        </w:rPr>
        <w:t>5</w:t>
      </w:r>
      <w:r>
        <w:rPr>
          <w:rFonts w:hint="eastAsia" w:ascii="宋体" w:hAnsi="宋体" w:cs="宋体"/>
          <w:color w:val="auto"/>
          <w:sz w:val="24"/>
          <w:szCs w:val="24"/>
          <w:highlight w:val="none"/>
        </w:rPr>
        <w:t>有下列情形之一的视为供应商相互串通竞标，响应文件将被视为无效：</w:t>
      </w:r>
    </w:p>
    <w:p w14:paraId="34727B46">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 xml:space="preserve">（1）不同供应商的响应文件由同一单位或者个人编制； </w:t>
      </w:r>
    </w:p>
    <w:p w14:paraId="2748A398">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（2）不同供应商委托同一单位或者个人办理竞标事宜；</w:t>
      </w:r>
    </w:p>
    <w:p w14:paraId="2BB7A27A">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（3）不同的供应商的响应文件载明的项目管理员为同一个人；</w:t>
      </w:r>
    </w:p>
    <w:p w14:paraId="6CB9268B">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（4）不同供应商的响应文件异常一致或者报价呈规律性差异；</w:t>
      </w:r>
    </w:p>
    <w:p w14:paraId="2A3DD87A">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（5）不同供应商的响应文件相互混装；</w:t>
      </w:r>
    </w:p>
    <w:p w14:paraId="1E0E54BB">
      <w:pPr>
        <w:tabs>
          <w:tab w:val="left" w:pos="6931"/>
        </w:tabs>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（6）不同供应商的磋商保证金从同一单位或者个人账户转出。</w:t>
      </w:r>
      <w:r>
        <w:rPr>
          <w:rFonts w:ascii="宋体" w:hAnsi="宋体" w:cs="宋体"/>
          <w:color w:val="auto"/>
          <w:sz w:val="24"/>
          <w:szCs w:val="24"/>
          <w:highlight w:val="none"/>
        </w:rPr>
        <w:tab/>
      </w:r>
    </w:p>
    <w:p w14:paraId="057A3D2F">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7.</w:t>
      </w:r>
      <w:r>
        <w:rPr>
          <w:rFonts w:ascii="宋体" w:hAnsi="宋体" w:cs="宋体"/>
          <w:color w:val="auto"/>
          <w:sz w:val="24"/>
          <w:szCs w:val="24"/>
          <w:highlight w:val="none"/>
        </w:rPr>
        <w:t>6</w:t>
      </w:r>
      <w:r>
        <w:rPr>
          <w:rFonts w:hint="eastAsia" w:ascii="宋体" w:hAnsi="宋体" w:cs="宋体"/>
          <w:color w:val="auto"/>
          <w:sz w:val="24"/>
          <w:szCs w:val="24"/>
          <w:highlight w:val="none"/>
        </w:rPr>
        <w:t>供应商有下列情形之一的，属于恶意串通行为，将报同级监督管理部门：</w:t>
      </w:r>
    </w:p>
    <w:p w14:paraId="68FEE611">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（1）供应商直接或者间接从采购人或者采购代理机构处获得其他供应商的相关信息并修改其响应文件；</w:t>
      </w:r>
    </w:p>
    <w:p w14:paraId="31CEC489">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（2）供应商按照采购人或者采购代理机构的授意撤换、修改响应文件；</w:t>
      </w:r>
    </w:p>
    <w:p w14:paraId="03CEEA9F">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（3）供应商之间协商报价、技术方案等响应文件或者响应文件的实质性内容；</w:t>
      </w:r>
    </w:p>
    <w:p w14:paraId="3E17A7AA">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（4）属于同一集团、协会、商会等组织成员的供应商按照该组织要求协同参加政府采购活动；</w:t>
      </w:r>
    </w:p>
    <w:p w14:paraId="3648935A">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（5）供应商之间事先约定一致抬高或者压低报价，或者在政府采购活动中事先约定轮流以高价位或者低价位成交，或者事先约定由某一特定供应商成交，然后再参加竞标；</w:t>
      </w:r>
    </w:p>
    <w:p w14:paraId="6B1F2CBD">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（6）供应商之间商定部分供应商放弃参加政府采购活动或者放弃成交；</w:t>
      </w:r>
    </w:p>
    <w:p w14:paraId="53CC3752">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（7）供应商与采购人或者采购代理机构之间、供应商相互之间，为谋求特定供应商成交或者排斥其他供应商的其他串通行为。</w:t>
      </w:r>
    </w:p>
    <w:p w14:paraId="5DAAC606">
      <w:pPr>
        <w:spacing w:line="360" w:lineRule="auto"/>
        <w:ind w:left="0" w:leftChars="0" w:firstLine="420" w:firstLineChars="175"/>
        <w:jc w:val="left"/>
        <w:rPr>
          <w:rFonts w:ascii="宋体" w:hAnsi="宋体"/>
          <w:color w:val="auto"/>
          <w:sz w:val="24"/>
          <w:szCs w:val="24"/>
          <w:highlight w:val="none"/>
        </w:rPr>
      </w:pPr>
      <w:bookmarkStart w:id="147" w:name="_Toc254970534"/>
      <w:bookmarkStart w:id="148" w:name="_Toc254970675"/>
    </w:p>
    <w:p w14:paraId="36A67E4E">
      <w:pPr>
        <w:spacing w:line="360" w:lineRule="auto"/>
        <w:ind w:left="0" w:leftChars="0" w:firstLine="562" w:firstLineChars="175"/>
        <w:jc w:val="center"/>
        <w:rPr>
          <w:rFonts w:ascii="宋体" w:hAnsi="宋体"/>
          <w:b/>
          <w:bCs/>
          <w:color w:val="auto"/>
          <w:sz w:val="32"/>
          <w:szCs w:val="32"/>
          <w:highlight w:val="none"/>
        </w:rPr>
      </w:pPr>
      <w:r>
        <w:rPr>
          <w:rFonts w:hint="eastAsia" w:ascii="宋体" w:hAnsi="宋体"/>
          <w:b/>
          <w:bCs/>
          <w:color w:val="auto"/>
          <w:sz w:val="32"/>
          <w:szCs w:val="32"/>
          <w:highlight w:val="none"/>
        </w:rPr>
        <w:t>二、磋商文件</w:t>
      </w:r>
      <w:bookmarkEnd w:id="147"/>
      <w:bookmarkEnd w:id="148"/>
    </w:p>
    <w:p w14:paraId="3E7C8BAF">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8.磋商文件的构成</w:t>
      </w:r>
    </w:p>
    <w:p w14:paraId="7F97FA52">
      <w:pPr>
        <w:spacing w:line="360" w:lineRule="auto"/>
        <w:ind w:left="0" w:leftChars="0" w:firstLine="420" w:firstLineChars="175"/>
        <w:jc w:val="left"/>
        <w:rPr>
          <w:rFonts w:hint="eastAsia" w:ascii="宋体" w:hAnsi="宋体"/>
          <w:color w:val="auto"/>
          <w:sz w:val="24"/>
          <w:szCs w:val="24"/>
          <w:highlight w:val="none"/>
        </w:rPr>
      </w:pPr>
      <w:r>
        <w:rPr>
          <w:rFonts w:hint="eastAsia" w:ascii="宋体" w:hAnsi="宋体"/>
          <w:color w:val="auto"/>
          <w:sz w:val="24"/>
          <w:szCs w:val="24"/>
          <w:highlight w:val="none"/>
        </w:rPr>
        <w:t>第一章　竞争性磋商公告</w:t>
      </w:r>
    </w:p>
    <w:p w14:paraId="677A6351">
      <w:pPr>
        <w:spacing w:line="360" w:lineRule="auto"/>
        <w:ind w:left="0" w:leftChars="0" w:firstLine="420" w:firstLineChars="175"/>
        <w:jc w:val="left"/>
        <w:rPr>
          <w:rFonts w:hint="eastAsia" w:ascii="宋体" w:hAnsi="宋体"/>
          <w:color w:val="auto"/>
          <w:sz w:val="24"/>
          <w:szCs w:val="24"/>
          <w:highlight w:val="none"/>
        </w:rPr>
      </w:pPr>
      <w:r>
        <w:rPr>
          <w:rFonts w:hint="eastAsia" w:ascii="宋体" w:hAnsi="宋体"/>
          <w:color w:val="auto"/>
          <w:sz w:val="24"/>
          <w:szCs w:val="24"/>
          <w:highlight w:val="none"/>
        </w:rPr>
        <w:t>第二章  采购需求</w:t>
      </w:r>
    </w:p>
    <w:p w14:paraId="0700DFBD">
      <w:pPr>
        <w:spacing w:line="360" w:lineRule="auto"/>
        <w:ind w:left="0" w:leftChars="0" w:firstLine="420" w:firstLineChars="175"/>
        <w:jc w:val="left"/>
        <w:rPr>
          <w:rFonts w:hint="eastAsia" w:ascii="宋体" w:hAnsi="宋体"/>
          <w:color w:val="auto"/>
          <w:sz w:val="24"/>
          <w:szCs w:val="24"/>
          <w:highlight w:val="none"/>
        </w:rPr>
      </w:pPr>
      <w:r>
        <w:rPr>
          <w:rFonts w:hint="eastAsia" w:ascii="宋体" w:hAnsi="宋体"/>
          <w:color w:val="auto"/>
          <w:sz w:val="24"/>
          <w:szCs w:val="24"/>
          <w:highlight w:val="none"/>
        </w:rPr>
        <w:t>第三章  供应商须知</w:t>
      </w:r>
    </w:p>
    <w:p w14:paraId="33DBDC70">
      <w:pPr>
        <w:spacing w:line="360" w:lineRule="auto"/>
        <w:ind w:left="0" w:leftChars="0" w:firstLine="420" w:firstLineChars="175"/>
        <w:jc w:val="left"/>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 xml:space="preserve">第四章  </w:t>
      </w:r>
      <w:r>
        <w:rPr>
          <w:rFonts w:hint="eastAsia" w:ascii="宋体" w:hAnsi="宋体"/>
          <w:color w:val="auto"/>
          <w:sz w:val="24"/>
          <w:szCs w:val="24"/>
          <w:highlight w:val="none"/>
          <w:lang w:eastAsia="zh-CN"/>
        </w:rPr>
        <w:t>评审程序、评审方法和评审标准</w:t>
      </w:r>
    </w:p>
    <w:p w14:paraId="2FCEDECC">
      <w:pPr>
        <w:spacing w:line="360" w:lineRule="auto"/>
        <w:ind w:left="0" w:leftChars="0" w:firstLine="420" w:firstLineChars="175"/>
        <w:jc w:val="left"/>
        <w:rPr>
          <w:rFonts w:hint="eastAsia" w:ascii="宋体" w:hAnsi="宋体"/>
          <w:color w:val="auto"/>
          <w:sz w:val="24"/>
          <w:szCs w:val="24"/>
          <w:highlight w:val="none"/>
        </w:rPr>
      </w:pPr>
      <w:r>
        <w:rPr>
          <w:rFonts w:hint="eastAsia" w:ascii="宋体" w:hAnsi="宋体"/>
          <w:color w:val="auto"/>
          <w:sz w:val="24"/>
          <w:szCs w:val="24"/>
          <w:highlight w:val="none"/>
        </w:rPr>
        <w:t>第五章  拟签订的合同文本</w:t>
      </w:r>
    </w:p>
    <w:p w14:paraId="28A1A631">
      <w:pPr>
        <w:spacing w:line="360" w:lineRule="auto"/>
        <w:ind w:left="0" w:leftChars="0" w:firstLine="420" w:firstLineChars="175"/>
        <w:jc w:val="left"/>
        <w:rPr>
          <w:rFonts w:hint="eastAsia" w:ascii="宋体" w:hAnsi="宋体"/>
          <w:color w:val="auto"/>
          <w:sz w:val="24"/>
          <w:szCs w:val="24"/>
          <w:highlight w:val="none"/>
        </w:rPr>
      </w:pPr>
      <w:r>
        <w:rPr>
          <w:rFonts w:hint="eastAsia" w:ascii="宋体" w:hAnsi="宋体"/>
          <w:color w:val="auto"/>
          <w:sz w:val="24"/>
          <w:szCs w:val="24"/>
          <w:highlight w:val="none"/>
        </w:rPr>
        <w:t>第六章  响应文件格式</w:t>
      </w:r>
    </w:p>
    <w:p w14:paraId="3C9BC88E">
      <w:pPr>
        <w:spacing w:line="360" w:lineRule="auto"/>
        <w:ind w:left="0" w:leftChars="0" w:firstLine="420" w:firstLineChars="175"/>
        <w:jc w:val="left"/>
        <w:rPr>
          <w:rFonts w:ascii="宋体" w:hAnsi="宋体"/>
          <w:color w:val="auto"/>
          <w:sz w:val="24"/>
          <w:szCs w:val="24"/>
          <w:highlight w:val="none"/>
        </w:rPr>
      </w:pPr>
      <w:r>
        <w:rPr>
          <w:rFonts w:hint="eastAsia" w:ascii="宋体" w:hAnsi="宋体"/>
          <w:color w:val="auto"/>
          <w:sz w:val="24"/>
          <w:szCs w:val="24"/>
          <w:highlight w:val="none"/>
        </w:rPr>
        <w:t>第七章　其他文书、文件格式</w:t>
      </w:r>
    </w:p>
    <w:p w14:paraId="213D780F">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9.供应商的询问</w:t>
      </w:r>
    </w:p>
    <w:p w14:paraId="55DE5F2A">
      <w:pPr>
        <w:spacing w:line="360" w:lineRule="auto"/>
        <w:ind w:left="0" w:leftChars="0" w:firstLine="420" w:firstLineChars="175"/>
        <w:jc w:val="left"/>
        <w:rPr>
          <w:rFonts w:ascii="宋体" w:hAnsi="宋体"/>
          <w:color w:val="auto"/>
          <w:sz w:val="24"/>
          <w:szCs w:val="24"/>
          <w:highlight w:val="none"/>
        </w:rPr>
      </w:pPr>
      <w:r>
        <w:rPr>
          <w:rFonts w:hint="eastAsia" w:ascii="宋体" w:hAnsi="宋体"/>
          <w:color w:val="auto"/>
          <w:sz w:val="24"/>
          <w:szCs w:val="24"/>
          <w:highlight w:val="none"/>
        </w:rPr>
        <w:t>供应商应认真阅读磋商文件的采购需求，如供应商对磋商文件有疑问的，如要求采购人作出澄清或者修改的，供应商尽可能在</w:t>
      </w:r>
      <w:r>
        <w:rPr>
          <w:rFonts w:ascii="宋体" w:hAnsi="宋体"/>
          <w:color w:val="auto"/>
          <w:sz w:val="24"/>
          <w:szCs w:val="24"/>
          <w:highlight w:val="none"/>
        </w:rPr>
        <w:t>提交首次响应文件截止之日</w:t>
      </w:r>
      <w:r>
        <w:rPr>
          <w:rFonts w:hint="eastAsia" w:ascii="宋体" w:hAnsi="宋体"/>
          <w:color w:val="auto"/>
          <w:sz w:val="24"/>
          <w:szCs w:val="24"/>
          <w:highlight w:val="none"/>
          <w:lang w:val="en-US" w:eastAsia="zh-CN"/>
        </w:rPr>
        <w:t>5日</w:t>
      </w:r>
      <w:r>
        <w:rPr>
          <w:rFonts w:ascii="宋体" w:hAnsi="宋体"/>
          <w:color w:val="auto"/>
          <w:sz w:val="24"/>
          <w:szCs w:val="24"/>
          <w:highlight w:val="none"/>
        </w:rPr>
        <w:t>前</w:t>
      </w:r>
      <w:r>
        <w:rPr>
          <w:rFonts w:hint="eastAsia" w:ascii="宋体" w:hAnsi="宋体"/>
          <w:color w:val="auto"/>
          <w:sz w:val="24"/>
          <w:szCs w:val="24"/>
          <w:highlight w:val="none"/>
        </w:rPr>
        <w:t>，以书面形式向</w:t>
      </w:r>
      <w:r>
        <w:rPr>
          <w:rFonts w:ascii="宋体" w:hAnsi="宋体"/>
          <w:color w:val="auto"/>
          <w:sz w:val="24"/>
          <w:szCs w:val="24"/>
          <w:highlight w:val="none"/>
        </w:rPr>
        <w:t>采购人、采购代理机构</w:t>
      </w:r>
      <w:r>
        <w:rPr>
          <w:rFonts w:hint="eastAsia" w:ascii="宋体" w:hAnsi="宋体"/>
          <w:color w:val="auto"/>
          <w:sz w:val="24"/>
          <w:szCs w:val="24"/>
          <w:highlight w:val="none"/>
        </w:rPr>
        <w:t>提出。</w:t>
      </w:r>
    </w:p>
    <w:p w14:paraId="2E27A6F9">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10.磋商文件的澄清和修改</w:t>
      </w:r>
    </w:p>
    <w:p w14:paraId="1850CAEF">
      <w:pPr>
        <w:spacing w:line="360" w:lineRule="auto"/>
        <w:ind w:left="0" w:leftChars="0" w:firstLine="420" w:firstLineChars="175"/>
        <w:jc w:val="left"/>
        <w:rPr>
          <w:rFonts w:ascii="宋体" w:hAnsi="宋体"/>
          <w:color w:val="auto"/>
          <w:sz w:val="24"/>
          <w:szCs w:val="24"/>
          <w:highlight w:val="none"/>
        </w:rPr>
      </w:pPr>
      <w:r>
        <w:rPr>
          <w:rFonts w:ascii="宋体" w:hAnsi="宋体"/>
          <w:color w:val="auto"/>
          <w:sz w:val="24"/>
          <w:szCs w:val="24"/>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在提交首次响应文件截止之日</w:t>
      </w:r>
      <w:r>
        <w:rPr>
          <w:rFonts w:hint="eastAsia" w:ascii="宋体" w:hAnsi="宋体"/>
          <w:color w:val="auto"/>
          <w:sz w:val="24"/>
          <w:szCs w:val="24"/>
          <w:highlight w:val="none"/>
        </w:rPr>
        <w:t>5日前</w:t>
      </w:r>
      <w:r>
        <w:rPr>
          <w:rFonts w:ascii="宋体" w:hAnsi="宋体"/>
          <w:color w:val="auto"/>
          <w:sz w:val="24"/>
          <w:szCs w:val="24"/>
          <w:highlight w:val="none"/>
        </w:rPr>
        <w:t>，以书面形式通知所有</w:t>
      </w:r>
      <w:r>
        <w:rPr>
          <w:rFonts w:hint="eastAsia" w:ascii="宋体" w:hAnsi="宋体"/>
          <w:color w:val="auto"/>
          <w:sz w:val="24"/>
          <w:szCs w:val="24"/>
          <w:highlight w:val="none"/>
        </w:rPr>
        <w:t>获取</w:t>
      </w:r>
      <w:r>
        <w:rPr>
          <w:rFonts w:ascii="宋体" w:hAnsi="宋体"/>
          <w:color w:val="auto"/>
          <w:sz w:val="24"/>
          <w:szCs w:val="24"/>
          <w:highlight w:val="none"/>
        </w:rPr>
        <w:t>磋商文件的供应商，不足</w:t>
      </w:r>
      <w:r>
        <w:rPr>
          <w:rFonts w:hint="eastAsia" w:ascii="宋体" w:hAnsi="宋体"/>
          <w:color w:val="auto"/>
          <w:sz w:val="24"/>
          <w:szCs w:val="24"/>
          <w:highlight w:val="none"/>
        </w:rPr>
        <w:t>5日</w:t>
      </w:r>
      <w:r>
        <w:rPr>
          <w:rFonts w:ascii="宋体" w:hAnsi="宋体"/>
          <w:color w:val="auto"/>
          <w:sz w:val="24"/>
          <w:szCs w:val="24"/>
          <w:highlight w:val="none"/>
        </w:rPr>
        <w:t>的，应当顺延提交首次响应文件截止之日。</w:t>
      </w:r>
    </w:p>
    <w:p w14:paraId="692DE6D8">
      <w:pPr>
        <w:spacing w:line="360" w:lineRule="auto"/>
        <w:ind w:left="0" w:leftChars="0" w:firstLine="420" w:firstLineChars="175"/>
        <w:jc w:val="left"/>
        <w:rPr>
          <w:rFonts w:ascii="宋体" w:hAnsi="宋体"/>
          <w:color w:val="auto"/>
          <w:sz w:val="24"/>
          <w:szCs w:val="24"/>
          <w:highlight w:val="none"/>
        </w:rPr>
      </w:pPr>
    </w:p>
    <w:p w14:paraId="2AEBA962">
      <w:pPr>
        <w:spacing w:line="360" w:lineRule="auto"/>
        <w:ind w:left="0" w:leftChars="0" w:firstLine="562" w:firstLineChars="175"/>
        <w:jc w:val="center"/>
        <w:rPr>
          <w:rFonts w:hint="eastAsia" w:ascii="宋体" w:hAnsi="宋体"/>
          <w:b/>
          <w:bCs/>
          <w:color w:val="auto"/>
          <w:sz w:val="32"/>
          <w:szCs w:val="32"/>
          <w:highlight w:val="none"/>
        </w:rPr>
      </w:pPr>
      <w:r>
        <w:rPr>
          <w:rFonts w:hint="eastAsia" w:ascii="宋体" w:hAnsi="宋体"/>
          <w:b/>
          <w:bCs/>
          <w:color w:val="auto"/>
          <w:sz w:val="32"/>
          <w:szCs w:val="32"/>
          <w:highlight w:val="none"/>
        </w:rPr>
        <w:t>三、响应文件的编制</w:t>
      </w:r>
    </w:p>
    <w:p w14:paraId="6430A63B">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11.响应文件的编制原则</w:t>
      </w:r>
    </w:p>
    <w:p w14:paraId="0FC192A6">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供应商必须按照磋商文件的要求编制响应文件，并对其提交的响应文件的真实性、合法性承担法律责任。响应文件必须对磋商文件作出实质性响应。</w:t>
      </w:r>
    </w:p>
    <w:p w14:paraId="7F597F54">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12.响应文件的组成</w:t>
      </w:r>
    </w:p>
    <w:p w14:paraId="7A54DBF2">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12.1响应文件由资格证明文件、报价文件、商务技术文件三部分组成。</w:t>
      </w:r>
    </w:p>
    <w:p w14:paraId="3FBCBE5A">
      <w:pPr>
        <w:spacing w:line="360" w:lineRule="auto"/>
        <w:ind w:left="0" w:leftChars="0" w:firstLine="420" w:firstLineChars="175"/>
        <w:jc w:val="left"/>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12.1.1资格证明文件：详见“供应商须知前附表”</w:t>
      </w:r>
      <w:r>
        <w:rPr>
          <w:rFonts w:hint="eastAsia" w:ascii="宋体" w:hAnsi="宋体" w:cs="宋体"/>
          <w:color w:val="auto"/>
          <w:sz w:val="24"/>
          <w:szCs w:val="24"/>
          <w:highlight w:val="none"/>
          <w:lang w:eastAsia="zh-CN"/>
        </w:rPr>
        <w:t>。</w:t>
      </w:r>
    </w:p>
    <w:p w14:paraId="1D403913">
      <w:pPr>
        <w:spacing w:line="360" w:lineRule="auto"/>
        <w:ind w:left="0" w:leftChars="0" w:firstLine="420" w:firstLineChars="175"/>
        <w:jc w:val="left"/>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12.1.2报价文件：详见“供应商须知前附表”</w:t>
      </w:r>
      <w:r>
        <w:rPr>
          <w:rFonts w:hint="eastAsia" w:ascii="宋体" w:hAnsi="宋体" w:cs="宋体"/>
          <w:color w:val="auto"/>
          <w:sz w:val="24"/>
          <w:szCs w:val="24"/>
          <w:highlight w:val="none"/>
          <w:lang w:eastAsia="zh-CN"/>
        </w:rPr>
        <w:t>。</w:t>
      </w:r>
    </w:p>
    <w:p w14:paraId="10296E94">
      <w:pPr>
        <w:spacing w:line="360" w:lineRule="auto"/>
        <w:ind w:left="0" w:leftChars="0" w:firstLine="420" w:firstLineChars="175"/>
        <w:jc w:val="left"/>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12.1.3商务技术文件：详见“供应商须知前附表”</w:t>
      </w:r>
      <w:r>
        <w:rPr>
          <w:rFonts w:hint="eastAsia" w:ascii="宋体" w:hAnsi="宋体" w:cs="宋体"/>
          <w:color w:val="auto"/>
          <w:sz w:val="24"/>
          <w:szCs w:val="24"/>
          <w:highlight w:val="none"/>
          <w:lang w:eastAsia="zh-CN"/>
        </w:rPr>
        <w:t>。</w:t>
      </w:r>
    </w:p>
    <w:p w14:paraId="4656339A">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13.计量单位</w:t>
      </w:r>
    </w:p>
    <w:p w14:paraId="2ED7F6E6">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磋商文件已有明确规定的，使用磋商文件规定的计量单位；磋商文件没有规定的，应采用中华人民共和国法定计量单位，货币种类为人民币，否则视同未响应。</w:t>
      </w:r>
    </w:p>
    <w:p w14:paraId="330F2713">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14.竞标的风险</w:t>
      </w:r>
    </w:p>
    <w:p w14:paraId="05897CDA">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供应商没有按照磋商文件要求提供全部资料，或者供应商没有对磋商文件在各方面作出实质性响应可能导致其响应无效，是供应商应当考虑的风险。</w:t>
      </w:r>
    </w:p>
    <w:p w14:paraId="7077B51C">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15.竞标报价</w:t>
      </w:r>
    </w:p>
    <w:p w14:paraId="199CC734">
      <w:pPr>
        <w:tabs>
          <w:tab w:val="left" w:pos="2492"/>
        </w:tabs>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15.1竞标报价应按磋商文件中“竞标报价表”格式填写。</w:t>
      </w:r>
    </w:p>
    <w:p w14:paraId="3944C4C4">
      <w:pPr>
        <w:tabs>
          <w:tab w:val="left" w:pos="2492"/>
        </w:tabs>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15.2竞标报价的内容见“供应商须知前附表”。</w:t>
      </w:r>
    </w:p>
    <w:p w14:paraId="1BA4BC3C">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15.3竞标报价要求</w:t>
      </w:r>
    </w:p>
    <w:p w14:paraId="3DA270CF">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w:t>
      </w:r>
      <w:r>
        <w:rPr>
          <w:rFonts w:ascii="宋体" w:hAnsi="宋体" w:cs="宋体"/>
          <w:color w:val="auto"/>
          <w:sz w:val="24"/>
          <w:szCs w:val="24"/>
          <w:highlight w:val="none"/>
        </w:rPr>
        <w:t>5.3.1</w:t>
      </w:r>
      <w:r>
        <w:rPr>
          <w:rFonts w:hint="eastAsia" w:ascii="宋体" w:hAnsi="宋体" w:cs="宋体"/>
          <w:color w:val="auto"/>
          <w:sz w:val="24"/>
          <w:szCs w:val="24"/>
          <w:highlight w:val="none"/>
        </w:rPr>
        <w:t>供应商的竞标报价应符合以下要求，否则响应文件按无效响应处理：</w:t>
      </w:r>
    </w:p>
    <w:p w14:paraId="012296D2">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（1）供应商必须就“采购需求”中所竞标的每个分标的全部内容分别作完整唯一总价报价，不得存在漏项报价；</w:t>
      </w:r>
    </w:p>
    <w:p w14:paraId="679C4EC0">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w:t>
      </w:r>
      <w:r>
        <w:rPr>
          <w:rFonts w:ascii="宋体" w:hAnsi="宋体" w:cs="宋体"/>
          <w:color w:val="auto"/>
          <w:sz w:val="24"/>
          <w:szCs w:val="24"/>
          <w:highlight w:val="none"/>
        </w:rPr>
        <w:t>2</w:t>
      </w:r>
      <w:r>
        <w:rPr>
          <w:rFonts w:hint="eastAsia" w:ascii="宋体" w:hAnsi="宋体" w:cs="宋体"/>
          <w:color w:val="auto"/>
          <w:sz w:val="24"/>
          <w:szCs w:val="24"/>
          <w:highlight w:val="none"/>
        </w:rPr>
        <w:t>）供应商必须就所竞标的分标的单项内容作唯一报价。</w:t>
      </w:r>
    </w:p>
    <w:p w14:paraId="41AF4E31">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15.3.</w:t>
      </w:r>
      <w:r>
        <w:rPr>
          <w:rFonts w:ascii="宋体" w:hAnsi="宋体" w:cs="宋体"/>
          <w:color w:val="auto"/>
          <w:sz w:val="24"/>
          <w:szCs w:val="24"/>
          <w:highlight w:val="none"/>
        </w:rPr>
        <w:t>2</w:t>
      </w:r>
      <w:r>
        <w:rPr>
          <w:rFonts w:hint="eastAsia" w:ascii="宋体" w:hAnsi="宋体" w:cs="宋体"/>
          <w:color w:val="auto"/>
          <w:sz w:val="24"/>
          <w:szCs w:val="24"/>
          <w:highlight w:val="none"/>
        </w:rPr>
        <w:t>竞标报价（包含首次报价、最后报价）超过所竞标分标规定的采购预算金额或者最高限价的，其响应文件将按无效处理。</w:t>
      </w:r>
    </w:p>
    <w:p w14:paraId="0AF57323">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15.3.</w:t>
      </w:r>
      <w:r>
        <w:rPr>
          <w:rFonts w:ascii="宋体" w:hAnsi="宋体" w:cs="宋体"/>
          <w:color w:val="auto"/>
          <w:sz w:val="24"/>
          <w:szCs w:val="24"/>
          <w:highlight w:val="none"/>
        </w:rPr>
        <w:t>3</w:t>
      </w:r>
      <w:bookmarkStart w:id="149" w:name="_Hlk42592874"/>
      <w:r>
        <w:rPr>
          <w:rFonts w:hint="eastAsia" w:ascii="宋体" w:hAnsi="宋体" w:cs="宋体"/>
          <w:color w:val="auto"/>
          <w:sz w:val="24"/>
          <w:szCs w:val="24"/>
          <w:highlight w:val="none"/>
        </w:rPr>
        <w:t>竞标报价（包含首次报价、最后报价）超过分项采购预算金额或者最高限价的，其响应文件将按无效处理。</w:t>
      </w:r>
    </w:p>
    <w:bookmarkEnd w:id="149"/>
    <w:p w14:paraId="3208DEE4">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16.竞标有效期</w:t>
      </w:r>
    </w:p>
    <w:p w14:paraId="445DC185">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16.1竞标有效期是指为保证采购人有足够的时间在提交响应文件后完成评审、确定成交供应商、合同签订等工作而要求供应商提交的响应文件在一定时间内保持有效的期限。</w:t>
      </w:r>
    </w:p>
    <w:p w14:paraId="76B88DE0">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16.2 竞标有效期应由供应商按“供应商须知前附表”规定的期限作出响应。</w:t>
      </w:r>
    </w:p>
    <w:p w14:paraId="41B28D2B">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16.3供应商的响应文件在竞标有效期内均保持有效。</w:t>
      </w:r>
    </w:p>
    <w:p w14:paraId="54A1681C">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17.磋商保证金</w:t>
      </w:r>
    </w:p>
    <w:p w14:paraId="053C2C02">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17.1供应商须按“供应商须知前附表”的规定提交磋商保证金。</w:t>
      </w:r>
    </w:p>
    <w:p w14:paraId="4139088C">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17.2磋商保证金的退还</w:t>
      </w:r>
    </w:p>
    <w:p w14:paraId="694D1839">
      <w:pPr>
        <w:spacing w:line="360" w:lineRule="auto"/>
        <w:ind w:left="0" w:leftChars="0" w:firstLine="420" w:firstLineChars="175"/>
        <w:jc w:val="left"/>
        <w:rPr>
          <w:rFonts w:ascii="宋体" w:hAnsi="宋体" w:cs="宋体"/>
          <w:color w:val="auto"/>
          <w:sz w:val="24"/>
          <w:szCs w:val="24"/>
          <w:highlight w:val="none"/>
        </w:rPr>
      </w:pPr>
      <w:bookmarkStart w:id="150" w:name="_Hlk66782243"/>
      <w:r>
        <w:rPr>
          <w:rFonts w:hint="eastAsia" w:ascii="宋体" w:hAnsi="宋体" w:cs="宋体"/>
          <w:color w:val="auto"/>
          <w:sz w:val="24"/>
          <w:szCs w:val="24"/>
          <w:highlight w:val="none"/>
        </w:rPr>
        <w:t>未</w:t>
      </w:r>
      <w:r>
        <w:rPr>
          <w:rFonts w:hint="eastAsia" w:ascii="宋体" w:hAnsi="宋体" w:cs="宋体"/>
          <w:color w:val="auto"/>
          <w:spacing w:val="-6"/>
          <w:sz w:val="24"/>
          <w:szCs w:val="24"/>
          <w:highlight w:val="none"/>
        </w:rPr>
        <w:t>成交供应商的竞标保证金自成交通知书发出之日起</w:t>
      </w:r>
      <w:r>
        <w:rPr>
          <w:rFonts w:hint="eastAsia" w:ascii="宋体" w:hAnsi="宋体" w:cs="宋体"/>
          <w:color w:val="auto"/>
          <w:spacing w:val="-6"/>
          <w:sz w:val="24"/>
          <w:szCs w:val="24"/>
          <w:highlight w:val="none"/>
          <w:lang w:val="en-US" w:eastAsia="zh-CN"/>
        </w:rPr>
        <w:t>5</w:t>
      </w:r>
      <w:r>
        <w:rPr>
          <w:rFonts w:hint="eastAsia" w:ascii="宋体" w:hAnsi="宋体" w:cs="宋体"/>
          <w:color w:val="auto"/>
          <w:spacing w:val="-6"/>
          <w:sz w:val="24"/>
          <w:szCs w:val="24"/>
          <w:highlight w:val="none"/>
        </w:rPr>
        <w:t>个工作日内退还</w:t>
      </w:r>
      <w:r>
        <w:rPr>
          <w:rFonts w:hint="eastAsia" w:ascii="宋体" w:hAnsi="宋体" w:cs="宋体"/>
          <w:color w:val="auto"/>
          <w:spacing w:val="-6"/>
          <w:sz w:val="24"/>
          <w:szCs w:val="24"/>
          <w:highlight w:val="none"/>
          <w:lang w:eastAsia="zh-CN"/>
        </w:rPr>
        <w:t>（无息）</w:t>
      </w:r>
      <w:r>
        <w:rPr>
          <w:rFonts w:hint="eastAsia" w:ascii="宋体" w:hAnsi="宋体" w:cs="宋体"/>
          <w:color w:val="auto"/>
          <w:spacing w:val="-6"/>
          <w:sz w:val="24"/>
          <w:szCs w:val="24"/>
          <w:highlight w:val="none"/>
        </w:rPr>
        <w:t>；</w:t>
      </w:r>
      <w:r>
        <w:rPr>
          <w:rFonts w:hint="eastAsia" w:ascii="宋体" w:hAnsi="宋体" w:cs="宋体"/>
          <w:color w:val="auto"/>
          <w:sz w:val="24"/>
          <w:szCs w:val="24"/>
          <w:highlight w:val="none"/>
        </w:rPr>
        <w:t>成交供应商的磋商保证金自签订合同之日起</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个工作日内退还</w:t>
      </w:r>
      <w:r>
        <w:rPr>
          <w:rFonts w:hint="eastAsia" w:ascii="宋体" w:hAnsi="宋体" w:cs="宋体"/>
          <w:color w:val="auto"/>
          <w:spacing w:val="-6"/>
          <w:sz w:val="24"/>
          <w:szCs w:val="24"/>
          <w:highlight w:val="none"/>
          <w:lang w:eastAsia="zh-CN"/>
        </w:rPr>
        <w:t>（无息）</w:t>
      </w:r>
      <w:r>
        <w:rPr>
          <w:rFonts w:hint="eastAsia" w:ascii="宋体" w:hAnsi="宋体" w:cs="宋体"/>
          <w:color w:val="auto"/>
          <w:sz w:val="24"/>
          <w:szCs w:val="24"/>
          <w:highlight w:val="none"/>
        </w:rPr>
        <w:t>。</w:t>
      </w:r>
      <w:bookmarkEnd w:id="150"/>
      <w:r>
        <w:rPr>
          <w:rFonts w:hint="eastAsia" w:ascii="宋体" w:hAnsi="宋体" w:cs="宋体"/>
          <w:color w:val="auto"/>
          <w:sz w:val="24"/>
          <w:szCs w:val="24"/>
          <w:highlight w:val="none"/>
        </w:rPr>
        <w:t xml:space="preserve"> </w:t>
      </w:r>
    </w:p>
    <w:p w14:paraId="229C09FC">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17.3磋商保证金不计息。</w:t>
      </w:r>
    </w:p>
    <w:p w14:paraId="76AFFBE2">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 xml:space="preserve">17.4供应商有下列情形之一的，磋商保证金将不予退还： </w:t>
      </w:r>
    </w:p>
    <w:p w14:paraId="2383D36D">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（1）供应商在提交响应文件截止时间后撤回响应文件的；</w:t>
      </w:r>
    </w:p>
    <w:p w14:paraId="071AF41E">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olor w:val="auto"/>
          <w:sz w:val="24"/>
          <w:szCs w:val="24"/>
          <w:highlight w:val="none"/>
        </w:rPr>
        <w:t>（2）未按规定提交履约保证金的；</w:t>
      </w:r>
    </w:p>
    <w:p w14:paraId="19F9C113">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（3）供应商在响应文件中提供虚假材料的；</w:t>
      </w:r>
    </w:p>
    <w:p w14:paraId="300F980B">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（4）除因不可抗力或者磋商文件认可的情形以外，成交供应商不与采购人签订合同的；</w:t>
      </w:r>
    </w:p>
    <w:p w14:paraId="301A7108">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（5）供应商与采购人、其他供应商或者采购代理机构恶意串通的；</w:t>
      </w:r>
    </w:p>
    <w:p w14:paraId="5EA87CF8">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（6）法律法规规定的其他情形。</w:t>
      </w:r>
    </w:p>
    <w:p w14:paraId="7F67B5D5">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18.响应文件编制的要求</w:t>
      </w:r>
    </w:p>
    <w:p w14:paraId="53548E3E">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18.1供应商应先安装“广西政府采购云平台电子交易客户端”（请自行前往“广西政府采购云平台”进行下载），并按照本项目磋商文件规定的格式和顺序和“广西政府采购云平台”的要求编制并加密。响应文件内容不完整、编排混乱导致响应文件被误读、漏读或者查找不到相关内容的，由此引发的后果由供应商承担。</w:t>
      </w:r>
    </w:p>
    <w:p w14:paraId="09CF249F">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18.2为确保网上操作合法、有效和安全，供应商应当在提交响应文件截止时间前完成在“广西政府采购云平台”的身份认证，确保在电子竞标过程中能够对相关数据电文进行加密和使用电子签章。</w:t>
      </w:r>
    </w:p>
    <w:p w14:paraId="369E8F8C">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18.3响应文件须由供应商在规定位置签字、盖章（具体以供应商须知前附表或响应文件格式规定为准），否则按无效响应处理。</w:t>
      </w:r>
    </w:p>
    <w:p w14:paraId="06327101">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18.4响应文件中标注的供应商名称应与主体资格证明（如营业执照或者事业单位法人证书或者执业许可证或者登记证书等）及公章一致，供应商为自然人的，标注的供应商名称应与身份证姓名及签名一致，否则其响应文件按无效响应处理。</w:t>
      </w:r>
    </w:p>
    <w:p w14:paraId="78436184">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18.5响应文件应尽量避免涂改、行间插字或者删除。如果出现上述情况，改动之处应由供应商的法定代表人或者其委托代理人签字（或者电子签名）或者加盖公章或者加盖电子签章。响应文件因涂改、行间插字或者删除导致字迹潦草或者表达不清所引起的后果由供应商承担。</w:t>
      </w:r>
    </w:p>
    <w:p w14:paraId="3A15A462">
      <w:pPr>
        <w:spacing w:line="360" w:lineRule="auto"/>
        <w:ind w:left="0" w:leftChars="0" w:firstLine="422" w:firstLineChars="175"/>
        <w:jc w:val="left"/>
        <w:rPr>
          <w:rFonts w:ascii="黑体" w:hAnsi="黑体" w:eastAsia="黑体"/>
          <w:color w:val="auto"/>
          <w:sz w:val="24"/>
          <w:szCs w:val="24"/>
          <w:highlight w:val="none"/>
        </w:rPr>
      </w:pPr>
      <w:r>
        <w:rPr>
          <w:rFonts w:hint="eastAsia" w:ascii="黑体" w:hAnsi="黑体" w:eastAsia="黑体" w:cs="宋体"/>
          <w:b/>
          <w:bCs/>
          <w:color w:val="auto"/>
          <w:sz w:val="24"/>
          <w:szCs w:val="24"/>
          <w:highlight w:val="none"/>
        </w:rPr>
        <w:t>19.电子</w:t>
      </w:r>
      <w:r>
        <w:rPr>
          <w:rFonts w:hint="eastAsia" w:ascii="黑体" w:hAnsi="黑体" w:eastAsia="黑体"/>
          <w:b/>
          <w:color w:val="auto"/>
          <w:sz w:val="24"/>
          <w:szCs w:val="24"/>
          <w:highlight w:val="none"/>
        </w:rPr>
        <w:t>备份响应文件</w:t>
      </w:r>
    </w:p>
    <w:p w14:paraId="1415F9DE">
      <w:pPr>
        <w:spacing w:line="360" w:lineRule="auto"/>
        <w:ind w:left="0" w:leftChars="0" w:firstLine="420" w:firstLineChars="175"/>
        <w:jc w:val="left"/>
        <w:rPr>
          <w:rFonts w:ascii="宋体" w:hAnsi="宋体" w:cs="宋体"/>
          <w:color w:val="auto"/>
          <w:sz w:val="24"/>
          <w:szCs w:val="24"/>
          <w:highlight w:val="none"/>
        </w:rPr>
      </w:pPr>
      <w:r>
        <w:rPr>
          <w:rFonts w:hint="eastAsia"/>
          <w:color w:val="auto"/>
          <w:sz w:val="24"/>
          <w:szCs w:val="24"/>
          <w:highlight w:val="none"/>
        </w:rPr>
        <w:t>电子备份响应文件是指通过“广西政府采购云平台电子投标客户端”在线编制生成且后缀名为“</w:t>
      </w:r>
      <w:r>
        <w:rPr>
          <w:color w:val="auto"/>
          <w:sz w:val="24"/>
          <w:szCs w:val="24"/>
          <w:highlight w:val="none"/>
        </w:rPr>
        <w:t>bfbs</w:t>
      </w:r>
      <w:r>
        <w:rPr>
          <w:rFonts w:hint="eastAsia"/>
          <w:color w:val="auto"/>
          <w:sz w:val="24"/>
          <w:szCs w:val="24"/>
          <w:highlight w:val="none"/>
        </w:rPr>
        <w:t>”的文件，是否接受电子备份响应文件</w:t>
      </w:r>
      <w:r>
        <w:rPr>
          <w:rFonts w:hint="eastAsia" w:hAnsi="宋体"/>
          <w:bCs/>
          <w:color w:val="auto"/>
          <w:sz w:val="24"/>
          <w:szCs w:val="24"/>
          <w:highlight w:val="none"/>
        </w:rPr>
        <w:t>详见在“供应商须知前附表”。</w:t>
      </w:r>
    </w:p>
    <w:p w14:paraId="53496331">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20.响应文件的提交</w:t>
      </w:r>
    </w:p>
    <w:p w14:paraId="105AEE89">
      <w:pPr>
        <w:spacing w:line="360" w:lineRule="auto"/>
        <w:ind w:left="0" w:leftChars="0" w:firstLine="420" w:firstLineChars="175"/>
        <w:jc w:val="left"/>
        <w:rPr>
          <w:rFonts w:hAnsi="宋体"/>
          <w:b/>
          <w:color w:val="auto"/>
          <w:sz w:val="24"/>
          <w:szCs w:val="24"/>
          <w:highlight w:val="none"/>
        </w:rPr>
      </w:pPr>
      <w:r>
        <w:rPr>
          <w:rFonts w:hint="eastAsia" w:hAnsi="宋体"/>
          <w:bCs/>
          <w:color w:val="auto"/>
          <w:sz w:val="24"/>
          <w:szCs w:val="24"/>
          <w:highlight w:val="none"/>
        </w:rPr>
        <w:t>20.1供应商必须按“供应商须知前附表”规定的</w:t>
      </w:r>
      <w:r>
        <w:rPr>
          <w:rFonts w:hint="eastAsia" w:ascii="宋体" w:hAnsi="宋体" w:cs="宋体"/>
          <w:color w:val="auto"/>
          <w:sz w:val="24"/>
          <w:szCs w:val="24"/>
          <w:highlight w:val="none"/>
        </w:rPr>
        <w:t>时间</w:t>
      </w:r>
      <w:r>
        <w:rPr>
          <w:rFonts w:hint="eastAsia" w:ascii="宋体" w:hAnsi="宋体"/>
          <w:color w:val="auto"/>
          <w:sz w:val="24"/>
          <w:szCs w:val="24"/>
          <w:highlight w:val="none"/>
        </w:rPr>
        <w:t>及</w:t>
      </w:r>
      <w:r>
        <w:rPr>
          <w:rFonts w:hint="eastAsia" w:hAnsi="宋体"/>
          <w:bCs/>
          <w:color w:val="auto"/>
          <w:sz w:val="24"/>
          <w:szCs w:val="24"/>
          <w:highlight w:val="none"/>
        </w:rPr>
        <w:t>地点提交响应文件。电子响应文件应在制作完成后，</w:t>
      </w:r>
      <w:r>
        <w:rPr>
          <w:rFonts w:hAnsi="宋体"/>
          <w:bCs/>
          <w:color w:val="auto"/>
          <w:sz w:val="24"/>
          <w:szCs w:val="24"/>
          <w:highlight w:val="none"/>
        </w:rPr>
        <w:t>在</w:t>
      </w:r>
      <w:r>
        <w:rPr>
          <w:rFonts w:hint="eastAsia" w:hAnsi="宋体"/>
          <w:bCs/>
          <w:color w:val="auto"/>
          <w:sz w:val="24"/>
          <w:szCs w:val="24"/>
          <w:highlight w:val="none"/>
        </w:rPr>
        <w:t>提交响应文件截止</w:t>
      </w:r>
      <w:r>
        <w:rPr>
          <w:rFonts w:hAnsi="宋体"/>
          <w:bCs/>
          <w:color w:val="auto"/>
          <w:sz w:val="24"/>
          <w:szCs w:val="24"/>
          <w:highlight w:val="none"/>
        </w:rPr>
        <w:t>时间前</w:t>
      </w:r>
      <w:r>
        <w:rPr>
          <w:rFonts w:hint="eastAsia" w:hAnsi="宋体"/>
          <w:bCs/>
          <w:color w:val="auto"/>
          <w:sz w:val="24"/>
          <w:szCs w:val="24"/>
          <w:highlight w:val="none"/>
        </w:rPr>
        <w:t>通过有效数字证书（CA认证锁）进行电子签章、加密，然后通过网络将加密的电子响应文件提交至</w:t>
      </w:r>
      <w:r>
        <w:rPr>
          <w:rFonts w:hint="eastAsia" w:ascii="宋体" w:hAnsi="宋体"/>
          <w:color w:val="auto"/>
          <w:sz w:val="24"/>
          <w:szCs w:val="24"/>
          <w:highlight w:val="none"/>
        </w:rPr>
        <w:t>“广西政府采购云平台”</w:t>
      </w:r>
      <w:r>
        <w:rPr>
          <w:rFonts w:hint="eastAsia" w:hAnsi="宋体"/>
          <w:bCs/>
          <w:color w:val="auto"/>
          <w:sz w:val="24"/>
          <w:szCs w:val="24"/>
          <w:highlight w:val="none"/>
        </w:rPr>
        <w:t xml:space="preserve">。 </w:t>
      </w:r>
      <w:r>
        <w:rPr>
          <w:rFonts w:hint="eastAsia" w:hAnsi="宋体"/>
          <w:b/>
          <w:color w:val="auto"/>
          <w:sz w:val="24"/>
          <w:szCs w:val="24"/>
          <w:highlight w:val="none"/>
        </w:rPr>
        <w:t xml:space="preserve"> </w:t>
      </w:r>
    </w:p>
    <w:p w14:paraId="37929F85">
      <w:pPr>
        <w:spacing w:line="360" w:lineRule="auto"/>
        <w:ind w:left="0" w:leftChars="0" w:firstLine="422" w:firstLineChars="175"/>
        <w:jc w:val="left"/>
        <w:rPr>
          <w:rFonts w:ascii="宋体" w:hAnsi="宋体" w:cs="宋体"/>
          <w:color w:val="auto"/>
          <w:sz w:val="24"/>
          <w:szCs w:val="24"/>
          <w:highlight w:val="none"/>
        </w:rPr>
      </w:pPr>
      <w:r>
        <w:rPr>
          <w:rFonts w:hint="eastAsia" w:ascii="宋体" w:hAnsi="宋体"/>
          <w:b/>
          <w:color w:val="auto"/>
          <w:sz w:val="24"/>
          <w:szCs w:val="24"/>
          <w:highlight w:val="none"/>
        </w:rPr>
        <w:t>20.</w:t>
      </w:r>
      <w:r>
        <w:rPr>
          <w:rFonts w:ascii="宋体" w:hAnsi="宋体"/>
          <w:b/>
          <w:color w:val="auto"/>
          <w:sz w:val="24"/>
          <w:szCs w:val="24"/>
          <w:highlight w:val="none"/>
        </w:rPr>
        <w:t>2</w:t>
      </w:r>
      <w:r>
        <w:rPr>
          <w:rFonts w:hint="eastAsia" w:ascii="宋体" w:hAnsi="宋体"/>
          <w:b/>
          <w:color w:val="auto"/>
          <w:sz w:val="24"/>
          <w:szCs w:val="24"/>
          <w:highlight w:val="none"/>
        </w:rPr>
        <w:t>未在规定时间内提交或者未按照磋商文件要求加密的电子响应文件，“广西政府采购云平台”将拒收。</w:t>
      </w:r>
    </w:p>
    <w:p w14:paraId="03D975F7">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21.首次响应文件的补充、修改与撤回</w:t>
      </w:r>
    </w:p>
    <w:p w14:paraId="48064220">
      <w:pPr>
        <w:spacing w:line="360" w:lineRule="auto"/>
        <w:ind w:left="0" w:leftChars="0" w:firstLine="420" w:firstLineChars="175"/>
        <w:jc w:val="left"/>
        <w:rPr>
          <w:rFonts w:ascii="宋体" w:hAnsi="宋体"/>
          <w:color w:val="auto"/>
          <w:sz w:val="24"/>
          <w:szCs w:val="24"/>
          <w:highlight w:val="none"/>
        </w:rPr>
      </w:pPr>
      <w:bookmarkStart w:id="151" w:name="_Toc254970684"/>
      <w:bookmarkStart w:id="152" w:name="_Toc254970543"/>
      <w:r>
        <w:rPr>
          <w:rFonts w:ascii="宋体" w:hAnsi="宋体" w:cs="宋体"/>
          <w:color w:val="auto"/>
          <w:sz w:val="24"/>
          <w:szCs w:val="24"/>
          <w:highlight w:val="none"/>
        </w:rPr>
        <w:t>2</w:t>
      </w:r>
      <w:r>
        <w:rPr>
          <w:rFonts w:hint="eastAsia" w:ascii="宋体" w:hAnsi="宋体" w:cs="宋体"/>
          <w:color w:val="auto"/>
          <w:sz w:val="24"/>
          <w:szCs w:val="24"/>
          <w:highlight w:val="none"/>
        </w:rPr>
        <w:t>1.1</w:t>
      </w:r>
      <w:r>
        <w:rPr>
          <w:rFonts w:hint="eastAsia" w:ascii="宋体" w:hAnsi="宋体"/>
          <w:bCs/>
          <w:color w:val="auto"/>
          <w:sz w:val="24"/>
          <w:szCs w:val="24"/>
          <w:highlight w:val="none"/>
        </w:rPr>
        <w:t>供应商应当在</w:t>
      </w:r>
      <w:r>
        <w:rPr>
          <w:rFonts w:hint="eastAsia" w:hAnsi="宋体"/>
          <w:bCs/>
          <w:color w:val="auto"/>
          <w:sz w:val="24"/>
          <w:szCs w:val="24"/>
          <w:highlight w:val="none"/>
        </w:rPr>
        <w:t>提交响应文件截止</w:t>
      </w:r>
      <w:r>
        <w:rPr>
          <w:rFonts w:hAnsi="宋体"/>
          <w:bCs/>
          <w:color w:val="auto"/>
          <w:sz w:val="24"/>
          <w:szCs w:val="24"/>
          <w:highlight w:val="none"/>
        </w:rPr>
        <w:t>时间</w:t>
      </w:r>
      <w:r>
        <w:rPr>
          <w:rFonts w:hint="eastAsia" w:ascii="宋体" w:hAnsi="宋体"/>
          <w:bCs/>
          <w:color w:val="auto"/>
          <w:sz w:val="24"/>
          <w:szCs w:val="24"/>
          <w:highlight w:val="none"/>
        </w:rPr>
        <w:t>前完成电子响应文件的提交（上传），</w:t>
      </w:r>
      <w:r>
        <w:rPr>
          <w:rFonts w:hint="eastAsia" w:hAnsi="宋体"/>
          <w:bCs/>
          <w:color w:val="auto"/>
          <w:sz w:val="24"/>
          <w:szCs w:val="24"/>
          <w:highlight w:val="none"/>
        </w:rPr>
        <w:t>提交响应文件截止</w:t>
      </w:r>
      <w:r>
        <w:rPr>
          <w:rFonts w:hAnsi="宋体"/>
          <w:bCs/>
          <w:color w:val="auto"/>
          <w:sz w:val="24"/>
          <w:szCs w:val="24"/>
          <w:highlight w:val="none"/>
        </w:rPr>
        <w:t>时间</w:t>
      </w:r>
      <w:r>
        <w:rPr>
          <w:rFonts w:hint="eastAsia" w:hAnsi="宋体"/>
          <w:bCs/>
          <w:color w:val="auto"/>
          <w:sz w:val="24"/>
          <w:szCs w:val="24"/>
          <w:highlight w:val="none"/>
        </w:rPr>
        <w:t>前</w:t>
      </w:r>
      <w:r>
        <w:rPr>
          <w:rFonts w:hint="eastAsia" w:ascii="宋体" w:hAnsi="宋体"/>
          <w:bCs/>
          <w:color w:val="auto"/>
          <w:sz w:val="24"/>
          <w:szCs w:val="24"/>
          <w:highlight w:val="none"/>
        </w:rPr>
        <w:t>可以补充、修改或者撤回响应文件。补充或者修改响应文件的，应当先行撤回原响应文件，补充、修改后重新提交（上传），</w:t>
      </w:r>
      <w:r>
        <w:rPr>
          <w:rFonts w:hint="eastAsia" w:hAnsi="宋体"/>
          <w:bCs/>
          <w:color w:val="auto"/>
          <w:sz w:val="24"/>
          <w:szCs w:val="24"/>
          <w:highlight w:val="none"/>
        </w:rPr>
        <w:t>提交响应文件截止</w:t>
      </w:r>
      <w:r>
        <w:rPr>
          <w:rFonts w:hAnsi="宋体"/>
          <w:bCs/>
          <w:color w:val="auto"/>
          <w:sz w:val="24"/>
          <w:szCs w:val="24"/>
          <w:highlight w:val="none"/>
        </w:rPr>
        <w:t>时间</w:t>
      </w:r>
      <w:r>
        <w:rPr>
          <w:rFonts w:hint="eastAsia" w:hAnsi="宋体"/>
          <w:bCs/>
          <w:color w:val="auto"/>
          <w:sz w:val="24"/>
          <w:szCs w:val="24"/>
          <w:highlight w:val="none"/>
        </w:rPr>
        <w:t>前</w:t>
      </w:r>
      <w:r>
        <w:rPr>
          <w:rFonts w:hint="eastAsia" w:ascii="宋体" w:hAnsi="宋体"/>
          <w:bCs/>
          <w:color w:val="auto"/>
          <w:sz w:val="24"/>
          <w:szCs w:val="24"/>
          <w:highlight w:val="none"/>
        </w:rPr>
        <w:t>未完成提交（上传）的，视为撤回响应文件。</w:t>
      </w:r>
      <w:r>
        <w:rPr>
          <w:rFonts w:hint="eastAsia" w:hAnsi="宋体"/>
          <w:bCs/>
          <w:color w:val="auto"/>
          <w:sz w:val="24"/>
          <w:szCs w:val="24"/>
          <w:highlight w:val="none"/>
        </w:rPr>
        <w:t>提交响应文件截止</w:t>
      </w:r>
      <w:r>
        <w:rPr>
          <w:rFonts w:hAnsi="宋体"/>
          <w:bCs/>
          <w:color w:val="auto"/>
          <w:sz w:val="24"/>
          <w:szCs w:val="24"/>
          <w:highlight w:val="none"/>
        </w:rPr>
        <w:t>时间</w:t>
      </w:r>
      <w:r>
        <w:rPr>
          <w:rFonts w:hint="eastAsia" w:ascii="宋体" w:hAnsi="宋体"/>
          <w:bCs/>
          <w:color w:val="auto"/>
          <w:sz w:val="24"/>
          <w:szCs w:val="24"/>
          <w:highlight w:val="none"/>
        </w:rPr>
        <w:t>以后提交（上传）的响应文件，“广西政府采购云平台”将予以拒收。</w:t>
      </w:r>
      <w:r>
        <w:rPr>
          <w:rFonts w:hint="eastAsia" w:ascii="宋体" w:hAnsi="宋体" w:cs="宋体"/>
          <w:color w:val="auto"/>
          <w:sz w:val="24"/>
          <w:szCs w:val="24"/>
          <w:highlight w:val="none"/>
        </w:rPr>
        <w:t>（补充、修改或者撤回方式可</w:t>
      </w:r>
      <w:r>
        <w:rPr>
          <w:rFonts w:hint="eastAsia" w:ascii="宋体" w:hAnsi="宋体"/>
          <w:color w:val="auto"/>
          <w:sz w:val="24"/>
          <w:szCs w:val="24"/>
          <w:highlight w:val="none"/>
        </w:rPr>
        <w:t>登录</w:t>
      </w:r>
      <w:r>
        <w:rPr>
          <w:rFonts w:hint="eastAsia" w:ascii="宋体" w:hAnsi="宋体"/>
          <w:bCs/>
          <w:color w:val="auto"/>
          <w:sz w:val="24"/>
          <w:szCs w:val="24"/>
          <w:highlight w:val="none"/>
        </w:rPr>
        <w:t>“广西政府采购云平台”</w:t>
      </w:r>
      <w:r>
        <w:rPr>
          <w:rFonts w:hint="eastAsia" w:ascii="宋体" w:hAnsi="宋体" w:cs="宋体"/>
          <w:color w:val="auto"/>
          <w:kern w:val="0"/>
          <w:sz w:val="24"/>
          <w:szCs w:val="24"/>
          <w:highlight w:val="none"/>
        </w:rPr>
        <w:t>，</w:t>
      </w:r>
      <w:r>
        <w:rPr>
          <w:rFonts w:hint="eastAsia" w:ascii="宋体" w:hAnsi="宋体"/>
          <w:color w:val="auto"/>
          <w:sz w:val="24"/>
          <w:szCs w:val="24"/>
          <w:highlight w:val="none"/>
        </w:rPr>
        <w:t>进入“服务中心”中查看</w:t>
      </w:r>
      <w:r>
        <w:rPr>
          <w:rFonts w:hint="eastAsia" w:ascii="宋体" w:hAnsi="宋体" w:cs="宋体"/>
          <w:color w:val="auto"/>
          <w:sz w:val="24"/>
          <w:szCs w:val="24"/>
          <w:highlight w:val="none"/>
        </w:rPr>
        <w:t xml:space="preserve"> “电子投标文件制作与投送教程”）</w:t>
      </w:r>
    </w:p>
    <w:bookmarkEnd w:id="151"/>
    <w:bookmarkEnd w:id="152"/>
    <w:p w14:paraId="6B6810D3">
      <w:pPr>
        <w:pStyle w:val="152"/>
        <w:adjustRightInd/>
        <w:spacing w:before="0" w:line="360" w:lineRule="auto"/>
        <w:ind w:left="0" w:leftChars="0" w:firstLine="420" w:firstLineChars="175"/>
        <w:jc w:val="left"/>
        <w:rPr>
          <w:rFonts w:ascii="宋体" w:hAnsi="宋体" w:cs="宋体"/>
          <w:color w:val="auto"/>
          <w:sz w:val="24"/>
          <w:szCs w:val="24"/>
          <w:highlight w:val="none"/>
        </w:rPr>
      </w:pPr>
      <w:r>
        <w:rPr>
          <w:rFonts w:ascii="宋体" w:hAnsi="宋体" w:cs="宋体"/>
          <w:color w:val="auto"/>
          <w:sz w:val="24"/>
          <w:szCs w:val="24"/>
          <w:highlight w:val="none"/>
        </w:rPr>
        <w:t>2</w:t>
      </w:r>
      <w:r>
        <w:rPr>
          <w:rFonts w:hint="eastAsia" w:ascii="宋体" w:hAnsi="宋体" w:cs="宋体"/>
          <w:color w:val="auto"/>
          <w:sz w:val="24"/>
          <w:szCs w:val="24"/>
          <w:highlight w:val="none"/>
        </w:rPr>
        <w:t>1</w:t>
      </w:r>
      <w:r>
        <w:rPr>
          <w:rFonts w:ascii="宋体" w:hAnsi="宋体" w:cs="宋体"/>
          <w:color w:val="auto"/>
          <w:sz w:val="24"/>
          <w:szCs w:val="24"/>
          <w:highlight w:val="none"/>
        </w:rPr>
        <w:t>.</w:t>
      </w:r>
      <w:r>
        <w:rPr>
          <w:rFonts w:hint="eastAsia" w:ascii="宋体" w:hAnsi="宋体" w:cs="宋体"/>
          <w:color w:val="auto"/>
          <w:sz w:val="24"/>
          <w:szCs w:val="24"/>
          <w:highlight w:val="none"/>
        </w:rPr>
        <w:t>2在提交响应文件截止时间前，除供应商补充、修改或者撤回响应文件外，任何单位和个人不得解密或提取响应文件。</w:t>
      </w:r>
    </w:p>
    <w:p w14:paraId="526ED364">
      <w:pPr>
        <w:spacing w:line="360" w:lineRule="auto"/>
        <w:ind w:left="0" w:leftChars="0" w:firstLine="422" w:firstLineChars="175"/>
        <w:jc w:val="left"/>
        <w:rPr>
          <w:rFonts w:ascii="黑体" w:hAnsi="黑体" w:eastAsia="黑体" w:cs="宋体"/>
          <w:b/>
          <w:bCs/>
          <w:color w:val="auto"/>
          <w:sz w:val="24"/>
          <w:szCs w:val="24"/>
          <w:highlight w:val="none"/>
        </w:rPr>
      </w:pPr>
      <w:bookmarkStart w:id="153" w:name="_Hlk45702405"/>
      <w:r>
        <w:rPr>
          <w:rFonts w:hint="eastAsia" w:ascii="黑体" w:hAnsi="黑体" w:eastAsia="黑体" w:cs="宋体"/>
          <w:b/>
          <w:bCs/>
          <w:color w:val="auto"/>
          <w:sz w:val="24"/>
          <w:szCs w:val="24"/>
          <w:highlight w:val="none"/>
        </w:rPr>
        <w:t>22.响应文件的退回</w:t>
      </w:r>
    </w:p>
    <w:p w14:paraId="7FA2E51B">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采购人和采购代理机构对已提交的响应文件概不退回。</w:t>
      </w:r>
    </w:p>
    <w:p w14:paraId="2188CBFE">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23.截止时间后的撤回</w:t>
      </w:r>
    </w:p>
    <w:p w14:paraId="06C1DBC4">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供应商在响应文件提交截止时间后向采购人、采购代理机构书面申请撤回响应文件的，将根据本须知正文17.4的规定不予退还其磋商保证金。</w:t>
      </w:r>
    </w:p>
    <w:bookmarkEnd w:id="153"/>
    <w:p w14:paraId="1BB2D0A7">
      <w:pPr>
        <w:spacing w:line="360" w:lineRule="auto"/>
        <w:ind w:left="0" w:leftChars="0" w:firstLine="420" w:firstLineChars="175"/>
        <w:jc w:val="left"/>
        <w:rPr>
          <w:rFonts w:ascii="宋体" w:hAnsi="宋体"/>
          <w:color w:val="auto"/>
          <w:sz w:val="24"/>
          <w:szCs w:val="24"/>
          <w:highlight w:val="none"/>
        </w:rPr>
      </w:pPr>
    </w:p>
    <w:p w14:paraId="20ABA006">
      <w:pPr>
        <w:spacing w:line="360" w:lineRule="auto"/>
        <w:ind w:firstLine="321" w:firstLineChars="100"/>
        <w:jc w:val="center"/>
        <w:rPr>
          <w:rFonts w:ascii="宋体" w:hAnsi="宋体"/>
          <w:b/>
          <w:bCs/>
          <w:color w:val="auto"/>
          <w:sz w:val="32"/>
          <w:szCs w:val="32"/>
          <w:highlight w:val="none"/>
        </w:rPr>
      </w:pPr>
      <w:r>
        <w:rPr>
          <w:rFonts w:hint="eastAsia" w:ascii="宋体" w:hAnsi="宋体"/>
          <w:b/>
          <w:bCs/>
          <w:color w:val="auto"/>
          <w:sz w:val="32"/>
          <w:szCs w:val="32"/>
          <w:highlight w:val="none"/>
        </w:rPr>
        <w:t>四、评审及磋商</w:t>
      </w:r>
    </w:p>
    <w:p w14:paraId="6B951403">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24.磋商小组成立</w:t>
      </w:r>
    </w:p>
    <w:p w14:paraId="53715146">
      <w:pPr>
        <w:pStyle w:val="16"/>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24.1磋商小组由采购人代表和评审专家共3人以上单数组成，具体人数见“供应商须知前附表”，其中评审专家人数不得少于磋商小组成员总数的2/3。采购人代表不得以评审专家身份参加本部门或者本单位采购项目的评审。采购代理机构人员不得参加本机构代理的采购项目的评审。达到公开招标数额标准的货物或者服务采购项目，或者达到公开招标规模标准的政府采购工程，经批准采用竞争性磋商方式采购的，磋商小组由5人以上单数组成。</w:t>
      </w:r>
    </w:p>
    <w:p w14:paraId="00F32C9A">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24.2评审专家应当从政府采购评审专家库内相关专业的专家名单中随机抽取。市场竞争不充分的科研项目，以及需要扶持的科技成果转化项目，以及情况特殊、通过随机方式难以确定合适的评审专家的项目，经主管预算单位同意，可以自行选定评审专家。技术复杂、专业性强的采购项目，评审专家中应当包含1名法律专家。</w:t>
      </w:r>
    </w:p>
    <w:p w14:paraId="2C7B929A">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24.3</w:t>
      </w:r>
      <w:r>
        <w:rPr>
          <w:rFonts w:hint="eastAsia" w:hAnsi="宋体"/>
          <w:bCs/>
          <w:color w:val="auto"/>
          <w:sz w:val="24"/>
          <w:szCs w:val="24"/>
          <w:highlight w:val="none"/>
        </w:rPr>
        <w:t>采购代理机构应当基于“广西政府采购云平台”抽（选）取评审专家。</w:t>
      </w:r>
    </w:p>
    <w:p w14:paraId="72E32F7C">
      <w:pPr>
        <w:spacing w:line="360" w:lineRule="auto"/>
        <w:ind w:left="0" w:leftChars="0" w:firstLine="422" w:firstLineChars="175"/>
        <w:jc w:val="left"/>
        <w:rPr>
          <w:rFonts w:ascii="黑体" w:hAnsi="黑体" w:eastAsia="黑体" w:cs="宋体"/>
          <w:b/>
          <w:bCs/>
          <w:color w:val="auto"/>
          <w:sz w:val="24"/>
          <w:szCs w:val="24"/>
          <w:highlight w:val="none"/>
        </w:rPr>
      </w:pPr>
      <w:r>
        <w:rPr>
          <w:rFonts w:ascii="黑体" w:hAnsi="黑体" w:eastAsia="黑体" w:cs="宋体"/>
          <w:b/>
          <w:bCs/>
          <w:color w:val="auto"/>
          <w:sz w:val="24"/>
          <w:szCs w:val="24"/>
          <w:highlight w:val="none"/>
        </w:rPr>
        <w:t>25.</w:t>
      </w:r>
      <w:r>
        <w:rPr>
          <w:rFonts w:hint="eastAsia" w:ascii="黑体" w:hAnsi="黑体" w:eastAsia="黑体" w:cs="宋体"/>
          <w:b/>
          <w:bCs/>
          <w:color w:val="auto"/>
          <w:sz w:val="24"/>
          <w:szCs w:val="24"/>
          <w:highlight w:val="none"/>
        </w:rPr>
        <w:t>首次响应文件的开启和解密</w:t>
      </w:r>
    </w:p>
    <w:p w14:paraId="50E719A9">
      <w:pPr>
        <w:spacing w:line="360" w:lineRule="auto"/>
        <w:ind w:left="0" w:leftChars="0" w:firstLine="420" w:firstLineChars="175"/>
        <w:jc w:val="left"/>
        <w:rPr>
          <w:rFonts w:ascii="宋体" w:hAnsi="宋体" w:cs="宋体"/>
          <w:color w:val="auto"/>
          <w:sz w:val="24"/>
          <w:szCs w:val="24"/>
          <w:highlight w:val="none"/>
        </w:rPr>
      </w:pPr>
      <w:r>
        <w:rPr>
          <w:rFonts w:hint="eastAsia" w:hAnsi="宋体"/>
          <w:bCs/>
          <w:color w:val="auto"/>
          <w:sz w:val="24"/>
          <w:szCs w:val="24"/>
          <w:highlight w:val="none"/>
        </w:rPr>
        <w:t>采购代理机构将在“供应商须知前附表”规定的时</w:t>
      </w:r>
      <w:r>
        <w:rPr>
          <w:rFonts w:hint="eastAsia" w:hAnsi="宋体"/>
          <w:color w:val="auto"/>
          <w:sz w:val="24"/>
          <w:szCs w:val="24"/>
          <w:highlight w:val="none"/>
        </w:rPr>
        <w:t>间通过电子交易平台组织响应文件开启，供应商的法定代表人或其委托代理人须携带加密时所用的CA锁，按平台提示和磋商文件的规定登录到</w:t>
      </w:r>
      <w:r>
        <w:rPr>
          <w:rFonts w:hint="eastAsia" w:ascii="宋体" w:hAnsi="宋体"/>
          <w:bCs/>
          <w:color w:val="auto"/>
          <w:sz w:val="24"/>
          <w:szCs w:val="24"/>
          <w:highlight w:val="none"/>
        </w:rPr>
        <w:t>“广西政府采购云平台”</w:t>
      </w:r>
      <w:r>
        <w:rPr>
          <w:rFonts w:hint="eastAsia" w:hAnsi="宋体"/>
          <w:color w:val="auto"/>
          <w:sz w:val="24"/>
          <w:szCs w:val="24"/>
          <w:highlight w:val="none"/>
        </w:rPr>
        <w:t>电子开标大厅签到，</w:t>
      </w:r>
      <w:r>
        <w:rPr>
          <w:rFonts w:hint="eastAsia"/>
          <w:color w:val="auto"/>
          <w:sz w:val="24"/>
          <w:szCs w:val="24"/>
          <w:highlight w:val="none"/>
        </w:rPr>
        <w:t>采购代理机构依托</w:t>
      </w:r>
      <w:r>
        <w:rPr>
          <w:rFonts w:hint="eastAsia" w:ascii="宋体" w:hAnsi="宋体"/>
          <w:bCs/>
          <w:color w:val="auto"/>
          <w:sz w:val="24"/>
          <w:szCs w:val="24"/>
          <w:highlight w:val="none"/>
        </w:rPr>
        <w:t>“广西政府采购云平台”</w:t>
      </w:r>
      <w:r>
        <w:rPr>
          <w:rFonts w:hint="eastAsia"/>
          <w:color w:val="auto"/>
          <w:sz w:val="24"/>
          <w:szCs w:val="24"/>
          <w:highlight w:val="none"/>
        </w:rPr>
        <w:t>向各供应商发出电子加密响应文件【开始解密】通知，由供应商按</w:t>
      </w:r>
      <w:r>
        <w:rPr>
          <w:rFonts w:hint="eastAsia" w:hAnsi="宋体"/>
          <w:bCs/>
          <w:color w:val="auto"/>
          <w:sz w:val="24"/>
          <w:szCs w:val="24"/>
          <w:highlight w:val="none"/>
        </w:rPr>
        <w:t>“供应商须知前附表”</w:t>
      </w:r>
      <w:r>
        <w:rPr>
          <w:rFonts w:hint="eastAsia"/>
          <w:color w:val="auto"/>
          <w:sz w:val="24"/>
          <w:szCs w:val="24"/>
          <w:highlight w:val="none"/>
        </w:rPr>
        <w:t>规定的时间内自行进行响应文件解密</w:t>
      </w:r>
      <w:r>
        <w:rPr>
          <w:rFonts w:hint="eastAsia" w:hAnsi="宋体"/>
          <w:color w:val="auto"/>
          <w:sz w:val="24"/>
          <w:szCs w:val="24"/>
          <w:highlight w:val="none"/>
        </w:rPr>
        <w:t>。</w:t>
      </w:r>
      <w:r>
        <w:rPr>
          <w:rFonts w:hint="eastAsia"/>
          <w:b/>
          <w:color w:val="auto"/>
          <w:sz w:val="24"/>
          <w:szCs w:val="24"/>
          <w:highlight w:val="none"/>
        </w:rPr>
        <w:t>供应商未在</w:t>
      </w:r>
      <w:r>
        <w:rPr>
          <w:b/>
          <w:color w:val="auto"/>
          <w:sz w:val="24"/>
          <w:szCs w:val="24"/>
          <w:highlight w:val="none"/>
        </w:rPr>
        <w:t>规定的时间内解密</w:t>
      </w:r>
      <w:r>
        <w:rPr>
          <w:rFonts w:hint="eastAsia"/>
          <w:b/>
          <w:color w:val="auto"/>
          <w:sz w:val="24"/>
          <w:szCs w:val="24"/>
          <w:highlight w:val="none"/>
        </w:rPr>
        <w:t>响应文件</w:t>
      </w:r>
      <w:r>
        <w:rPr>
          <w:b/>
          <w:color w:val="auto"/>
          <w:sz w:val="24"/>
          <w:szCs w:val="24"/>
          <w:highlight w:val="none"/>
        </w:rPr>
        <w:t>或</w:t>
      </w:r>
      <w:r>
        <w:rPr>
          <w:rFonts w:hint="eastAsia"/>
          <w:b/>
          <w:color w:val="auto"/>
          <w:sz w:val="24"/>
          <w:szCs w:val="24"/>
          <w:highlight w:val="none"/>
        </w:rPr>
        <w:t>者</w:t>
      </w:r>
      <w:r>
        <w:rPr>
          <w:b/>
          <w:color w:val="auto"/>
          <w:sz w:val="24"/>
          <w:szCs w:val="24"/>
          <w:highlight w:val="none"/>
        </w:rPr>
        <w:t>解密失败的</w:t>
      </w:r>
      <w:r>
        <w:rPr>
          <w:rFonts w:hint="eastAsia"/>
          <w:b/>
          <w:color w:val="auto"/>
          <w:sz w:val="24"/>
          <w:szCs w:val="24"/>
          <w:highlight w:val="none"/>
        </w:rPr>
        <w:t>，供应商</w:t>
      </w:r>
      <w:r>
        <w:rPr>
          <w:rFonts w:hint="eastAsia" w:ascii="宋体" w:hAnsi="宋体"/>
          <w:b/>
          <w:color w:val="auto"/>
          <w:sz w:val="24"/>
          <w:szCs w:val="24"/>
          <w:highlight w:val="none"/>
        </w:rPr>
        <w:t>的响应文件作无效处理</w:t>
      </w:r>
      <w:r>
        <w:rPr>
          <w:b/>
          <w:color w:val="auto"/>
          <w:sz w:val="24"/>
          <w:szCs w:val="24"/>
          <w:highlight w:val="none"/>
        </w:rPr>
        <w:t>。</w:t>
      </w:r>
    </w:p>
    <w:p w14:paraId="0647A44A">
      <w:pPr>
        <w:spacing w:line="360" w:lineRule="auto"/>
        <w:ind w:left="0" w:leftChars="0" w:firstLine="422" w:firstLineChars="175"/>
        <w:jc w:val="left"/>
        <w:rPr>
          <w:rFonts w:ascii="黑体" w:hAnsi="黑体" w:eastAsia="黑体" w:cs="宋体"/>
          <w:b/>
          <w:bCs/>
          <w:color w:val="auto"/>
          <w:sz w:val="24"/>
          <w:szCs w:val="24"/>
          <w:highlight w:val="none"/>
        </w:rPr>
      </w:pPr>
      <w:r>
        <w:rPr>
          <w:rFonts w:ascii="黑体" w:hAnsi="黑体" w:eastAsia="黑体" w:cs="宋体"/>
          <w:b/>
          <w:bCs/>
          <w:color w:val="auto"/>
          <w:sz w:val="24"/>
          <w:szCs w:val="24"/>
          <w:highlight w:val="none"/>
        </w:rPr>
        <w:t>26</w:t>
      </w:r>
      <w:r>
        <w:rPr>
          <w:rFonts w:hint="eastAsia" w:ascii="黑体" w:hAnsi="黑体" w:eastAsia="黑体" w:cs="宋体"/>
          <w:b/>
          <w:bCs/>
          <w:color w:val="auto"/>
          <w:sz w:val="24"/>
          <w:szCs w:val="24"/>
          <w:highlight w:val="none"/>
        </w:rPr>
        <w:t>.评审程序、评审方法和评审标准</w:t>
      </w:r>
    </w:p>
    <w:p w14:paraId="5FDD410D">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w:t>
      </w:r>
      <w:r>
        <w:rPr>
          <w:rFonts w:ascii="宋体" w:hAnsi="宋体" w:cs="宋体"/>
          <w:color w:val="auto"/>
          <w:sz w:val="24"/>
          <w:szCs w:val="24"/>
          <w:highlight w:val="none"/>
        </w:rPr>
        <w:t>6</w:t>
      </w:r>
      <w:r>
        <w:rPr>
          <w:rFonts w:hint="eastAsia" w:ascii="宋体" w:hAnsi="宋体" w:cs="宋体"/>
          <w:color w:val="auto"/>
          <w:sz w:val="24"/>
          <w:szCs w:val="24"/>
          <w:highlight w:val="none"/>
        </w:rPr>
        <w:t>.1本项目的评审方法为综合评分法。</w:t>
      </w:r>
    </w:p>
    <w:p w14:paraId="6C4AEC8E">
      <w:pPr>
        <w:spacing w:line="360" w:lineRule="auto"/>
        <w:ind w:left="0" w:leftChars="0" w:firstLine="420" w:firstLineChars="175"/>
        <w:jc w:val="left"/>
        <w:rPr>
          <w:rFonts w:ascii="宋体" w:hAnsi="宋体" w:cs="宋体"/>
          <w:color w:val="auto"/>
          <w:sz w:val="24"/>
          <w:szCs w:val="24"/>
          <w:highlight w:val="none"/>
        </w:rPr>
      </w:pPr>
      <w:r>
        <w:rPr>
          <w:rFonts w:ascii="宋体" w:hAnsi="宋体" w:cs="宋体"/>
          <w:color w:val="auto"/>
          <w:sz w:val="24"/>
          <w:szCs w:val="24"/>
          <w:highlight w:val="none"/>
        </w:rPr>
        <w:t>26.2</w:t>
      </w:r>
      <w:r>
        <w:rPr>
          <w:rFonts w:hint="eastAsia" w:ascii="宋体" w:hAnsi="宋体" w:cs="宋体"/>
          <w:color w:val="auto"/>
          <w:sz w:val="24"/>
          <w:szCs w:val="24"/>
          <w:highlight w:val="none"/>
        </w:rPr>
        <w:t>磋商小组</w:t>
      </w:r>
      <w:r>
        <w:rPr>
          <w:rFonts w:ascii="宋体" w:hAnsi="宋体" w:cs="宋体"/>
          <w:color w:val="auto"/>
          <w:sz w:val="24"/>
          <w:szCs w:val="24"/>
          <w:highlight w:val="none"/>
        </w:rPr>
        <w:t>按照</w:t>
      </w:r>
      <w:r>
        <w:rPr>
          <w:rFonts w:hint="eastAsia" w:ascii="宋体" w:hAnsi="宋体" w:cs="宋体"/>
          <w:color w:val="auto"/>
          <w:sz w:val="24"/>
          <w:szCs w:val="24"/>
          <w:highlight w:val="none"/>
        </w:rPr>
        <w:t>“第四章 评审程序、评审方法和评审标准”</w:t>
      </w:r>
      <w:r>
        <w:rPr>
          <w:rFonts w:ascii="宋体" w:hAnsi="宋体" w:cs="宋体"/>
          <w:color w:val="auto"/>
          <w:sz w:val="24"/>
          <w:szCs w:val="24"/>
          <w:highlight w:val="none"/>
        </w:rPr>
        <w:t>规定的方法、评审因素、标准和程序对</w:t>
      </w:r>
      <w:r>
        <w:rPr>
          <w:rFonts w:hint="eastAsia" w:ascii="宋体" w:hAnsi="宋体" w:cs="宋体"/>
          <w:color w:val="auto"/>
          <w:sz w:val="24"/>
          <w:szCs w:val="24"/>
          <w:highlight w:val="none"/>
        </w:rPr>
        <w:t>响应</w:t>
      </w:r>
      <w:r>
        <w:rPr>
          <w:rFonts w:ascii="宋体" w:hAnsi="宋体" w:cs="宋体"/>
          <w:color w:val="auto"/>
          <w:sz w:val="24"/>
          <w:szCs w:val="24"/>
          <w:highlight w:val="none"/>
        </w:rPr>
        <w:t>文件进行评审。</w:t>
      </w:r>
    </w:p>
    <w:p w14:paraId="3ED06D81">
      <w:pPr>
        <w:spacing w:line="360" w:lineRule="auto"/>
        <w:ind w:left="0" w:leftChars="0" w:firstLine="420" w:firstLineChars="175"/>
        <w:jc w:val="left"/>
        <w:rPr>
          <w:rFonts w:ascii="宋体" w:hAnsi="宋体"/>
          <w:color w:val="auto"/>
          <w:sz w:val="24"/>
          <w:szCs w:val="24"/>
          <w:highlight w:val="none"/>
        </w:rPr>
      </w:pPr>
      <w:r>
        <w:rPr>
          <w:rFonts w:hint="eastAsia" w:ascii="宋体" w:hAnsi="宋体"/>
          <w:color w:val="auto"/>
          <w:sz w:val="24"/>
          <w:szCs w:val="24"/>
          <w:highlight w:val="none"/>
        </w:rPr>
        <w:t>2</w:t>
      </w:r>
      <w:r>
        <w:rPr>
          <w:rFonts w:ascii="宋体" w:hAnsi="宋体"/>
          <w:color w:val="auto"/>
          <w:sz w:val="24"/>
          <w:szCs w:val="24"/>
          <w:highlight w:val="none"/>
        </w:rPr>
        <w:t xml:space="preserve">6.3 </w:t>
      </w:r>
      <w:r>
        <w:rPr>
          <w:rFonts w:hint="eastAsia" w:ascii="宋体" w:hAnsi="宋体"/>
          <w:color w:val="auto"/>
          <w:sz w:val="24"/>
          <w:szCs w:val="24"/>
          <w:highlight w:val="none"/>
        </w:rPr>
        <w:t>商务/技术要求允许负偏离的条款数详见“供应商须知前附表”。</w:t>
      </w:r>
    </w:p>
    <w:p w14:paraId="3BBE848F">
      <w:pPr>
        <w:spacing w:line="360" w:lineRule="auto"/>
        <w:ind w:left="0" w:leftChars="0" w:firstLine="420" w:firstLineChars="175"/>
        <w:jc w:val="left"/>
        <w:rPr>
          <w:rFonts w:ascii="宋体" w:hAnsi="宋体"/>
          <w:color w:val="auto"/>
          <w:sz w:val="24"/>
          <w:szCs w:val="24"/>
          <w:highlight w:val="none"/>
        </w:rPr>
      </w:pPr>
      <w:r>
        <w:rPr>
          <w:rFonts w:hint="eastAsia" w:ascii="宋体" w:hAnsi="宋体" w:cs="宋体"/>
          <w:color w:val="auto"/>
          <w:sz w:val="24"/>
          <w:szCs w:val="24"/>
          <w:highlight w:val="none"/>
        </w:rPr>
        <w:t>26.</w:t>
      </w:r>
      <w:r>
        <w:rPr>
          <w:rFonts w:ascii="宋体" w:hAnsi="宋体" w:cs="宋体"/>
          <w:color w:val="auto"/>
          <w:sz w:val="24"/>
          <w:szCs w:val="24"/>
          <w:highlight w:val="none"/>
        </w:rPr>
        <w:t>4</w:t>
      </w:r>
      <w:r>
        <w:rPr>
          <w:rFonts w:hint="eastAsia" w:ascii="宋体" w:hAnsi="宋体" w:cs="宋体"/>
          <w:color w:val="auto"/>
          <w:sz w:val="24"/>
          <w:szCs w:val="24"/>
          <w:highlight w:val="none"/>
        </w:rPr>
        <w:t>磋商小组成员要依法独立评审，并对评审意见承担个人责任。磋商小组成员对需要共同认定的事项存在争议的，按照少数服从多数的原则做出结论。持不同意见的磋商小组成员应当在评审报告上签署不同意见并说明理由，否则视为同意。</w:t>
      </w:r>
    </w:p>
    <w:p w14:paraId="1DAF96D3">
      <w:pPr>
        <w:spacing w:line="360" w:lineRule="auto"/>
        <w:ind w:left="0" w:leftChars="0" w:firstLine="420" w:firstLineChars="175"/>
        <w:jc w:val="left"/>
        <w:rPr>
          <w:rFonts w:hAnsi="宋体"/>
          <w:color w:val="auto"/>
          <w:sz w:val="24"/>
          <w:szCs w:val="24"/>
          <w:highlight w:val="none"/>
        </w:rPr>
      </w:pPr>
      <w:r>
        <w:rPr>
          <w:rFonts w:hint="eastAsia" w:ascii="宋体" w:hAnsi="宋体" w:cs="宋体"/>
          <w:color w:val="auto"/>
          <w:sz w:val="24"/>
          <w:szCs w:val="24"/>
          <w:highlight w:val="none"/>
        </w:rPr>
        <w:t>2</w:t>
      </w:r>
      <w:r>
        <w:rPr>
          <w:rFonts w:ascii="宋体" w:hAnsi="宋体" w:cs="宋体"/>
          <w:color w:val="auto"/>
          <w:sz w:val="24"/>
          <w:szCs w:val="24"/>
          <w:highlight w:val="none"/>
        </w:rPr>
        <w:t>6.5</w:t>
      </w:r>
      <w:r>
        <w:rPr>
          <w:rFonts w:hint="eastAsia" w:hAnsi="宋体"/>
          <w:color w:val="auto"/>
          <w:sz w:val="24"/>
          <w:szCs w:val="24"/>
          <w:highlight w:val="none"/>
        </w:rPr>
        <w:t>电子交易活动的中止。采购过程中出现以下情形，导致电子交易平台无法正常运行，或者无法保证电子交易的公平、公正和安全时，采购机构可中止电子交易活动：</w:t>
      </w:r>
    </w:p>
    <w:p w14:paraId="3560E73E">
      <w:pPr>
        <w:spacing w:line="360" w:lineRule="auto"/>
        <w:ind w:left="0" w:leftChars="0" w:firstLine="420" w:firstLineChars="175"/>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（1）电子交易平台发生故障而无法登录访问的； </w:t>
      </w:r>
    </w:p>
    <w:p w14:paraId="3728ECD9">
      <w:pPr>
        <w:spacing w:line="360" w:lineRule="auto"/>
        <w:ind w:left="0" w:leftChars="0" w:firstLine="420" w:firstLineChars="175"/>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（2）电子交易平台应用或数据库出现错误，不能进行正常操作的；</w:t>
      </w:r>
    </w:p>
    <w:p w14:paraId="25E8CACA">
      <w:pPr>
        <w:spacing w:line="360" w:lineRule="auto"/>
        <w:ind w:left="0" w:leftChars="0" w:firstLine="420" w:firstLineChars="175"/>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（3）电子交易平台发现严重安全漏洞，有潜在泄密危险的；</w:t>
      </w:r>
    </w:p>
    <w:p w14:paraId="1A3DEF54">
      <w:pPr>
        <w:spacing w:line="360" w:lineRule="auto"/>
        <w:ind w:left="0" w:leftChars="0" w:firstLine="420" w:firstLineChars="175"/>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（4）病毒发作导致不能进行正常操作的； </w:t>
      </w:r>
    </w:p>
    <w:p w14:paraId="296F9CBB">
      <w:pPr>
        <w:spacing w:line="360" w:lineRule="auto"/>
        <w:ind w:left="0" w:leftChars="0" w:firstLine="420" w:firstLineChars="175"/>
        <w:jc w:val="left"/>
        <w:rPr>
          <w:rFonts w:hAnsi="宋体"/>
          <w:color w:val="auto"/>
          <w:sz w:val="24"/>
          <w:szCs w:val="24"/>
          <w:highlight w:val="none"/>
        </w:rPr>
      </w:pPr>
      <w:r>
        <w:rPr>
          <w:rFonts w:hint="eastAsia" w:ascii="宋体" w:hAnsi="宋体" w:eastAsia="宋体" w:cs="宋体"/>
          <w:color w:val="auto"/>
          <w:sz w:val="24"/>
          <w:szCs w:val="24"/>
          <w:highlight w:val="none"/>
        </w:rPr>
        <w:t>（5）其他无</w:t>
      </w:r>
      <w:r>
        <w:rPr>
          <w:rFonts w:hint="eastAsia" w:hAnsi="宋体"/>
          <w:color w:val="auto"/>
          <w:sz w:val="24"/>
          <w:szCs w:val="24"/>
          <w:highlight w:val="none"/>
        </w:rPr>
        <w:t>法保证电子交易的公平、公正和安全的情况。</w:t>
      </w:r>
    </w:p>
    <w:p w14:paraId="1C483EB0">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olor w:val="auto"/>
          <w:sz w:val="24"/>
          <w:szCs w:val="24"/>
          <w:highlight w:val="none"/>
        </w:rPr>
        <w:t>26.</w:t>
      </w:r>
      <w:r>
        <w:rPr>
          <w:rFonts w:ascii="宋体" w:hAnsi="宋体"/>
          <w:color w:val="auto"/>
          <w:sz w:val="24"/>
          <w:szCs w:val="24"/>
          <w:highlight w:val="none"/>
        </w:rPr>
        <w:t>6</w:t>
      </w:r>
      <w:r>
        <w:rPr>
          <w:rFonts w:hint="eastAsia" w:hAnsi="宋体"/>
          <w:color w:val="auto"/>
          <w:sz w:val="24"/>
          <w:szCs w:val="24"/>
          <w:highlight w:val="none"/>
        </w:rPr>
        <w:t>出现以上情形，不影响采购公平、公正性的，采购组织机构可以待上述情形消除后继续组织电子交易活动；影响或可能影响采购公平、公正性的，经采购代理机构确认，报采购人同意后，应当重新采购。采购代理机构必须对原有的资料及信息作出妥善保密处理，并报财政部门备案。</w:t>
      </w:r>
    </w:p>
    <w:p w14:paraId="7AB1A540">
      <w:pPr>
        <w:spacing w:line="360" w:lineRule="auto"/>
        <w:ind w:left="0" w:leftChars="0" w:firstLine="422" w:firstLineChars="175"/>
        <w:jc w:val="left"/>
        <w:rPr>
          <w:rFonts w:ascii="黑体" w:hAnsi="黑体" w:eastAsia="黑体" w:cs="宋体"/>
          <w:b/>
          <w:bCs/>
          <w:color w:val="auto"/>
          <w:sz w:val="24"/>
          <w:szCs w:val="24"/>
          <w:highlight w:val="none"/>
        </w:rPr>
      </w:pPr>
      <w:r>
        <w:rPr>
          <w:rFonts w:ascii="黑体" w:hAnsi="黑体" w:eastAsia="黑体" w:cs="宋体"/>
          <w:b/>
          <w:bCs/>
          <w:color w:val="auto"/>
          <w:sz w:val="24"/>
          <w:szCs w:val="24"/>
          <w:highlight w:val="none"/>
        </w:rPr>
        <w:t>27</w:t>
      </w:r>
      <w:r>
        <w:rPr>
          <w:rFonts w:hint="eastAsia" w:ascii="黑体" w:hAnsi="黑体" w:eastAsia="黑体" w:cs="宋体"/>
          <w:b/>
          <w:bCs/>
          <w:color w:val="auto"/>
          <w:sz w:val="24"/>
          <w:szCs w:val="24"/>
          <w:highlight w:val="none"/>
        </w:rPr>
        <w:t>.确定成交供应商及结果公告</w:t>
      </w:r>
    </w:p>
    <w:p w14:paraId="687CC112">
      <w:pPr>
        <w:spacing w:line="360" w:lineRule="auto"/>
        <w:ind w:left="0" w:leftChars="0" w:firstLine="420" w:firstLineChars="175"/>
        <w:jc w:val="left"/>
        <w:rPr>
          <w:rFonts w:ascii="宋体" w:hAnsi="宋体" w:cs="宋体"/>
          <w:color w:val="auto"/>
          <w:sz w:val="24"/>
          <w:szCs w:val="24"/>
          <w:highlight w:val="none"/>
        </w:rPr>
      </w:pPr>
      <w:r>
        <w:rPr>
          <w:rFonts w:ascii="宋体" w:hAnsi="宋体" w:cs="宋体"/>
          <w:color w:val="auto"/>
          <w:sz w:val="24"/>
          <w:szCs w:val="24"/>
          <w:highlight w:val="none"/>
        </w:rPr>
        <w:t>27</w:t>
      </w:r>
      <w:r>
        <w:rPr>
          <w:rFonts w:hint="eastAsia" w:ascii="宋体" w:hAnsi="宋体" w:cs="宋体"/>
          <w:color w:val="auto"/>
          <w:sz w:val="24"/>
          <w:szCs w:val="24"/>
          <w:highlight w:val="none"/>
        </w:rPr>
        <w:t>.1</w:t>
      </w:r>
      <w:r>
        <w:rPr>
          <w:rFonts w:hint="eastAsia" w:ascii="宋体" w:hAnsi="宋体" w:cs="宋体"/>
          <w:color w:val="auto"/>
          <w:kern w:val="0"/>
          <w:sz w:val="24"/>
          <w:szCs w:val="24"/>
          <w:highlight w:val="none"/>
        </w:rPr>
        <w:t xml:space="preserve"> </w:t>
      </w:r>
      <w:r>
        <w:rPr>
          <w:rFonts w:hint="eastAsia" w:ascii="宋体" w:hAnsi="宋体" w:cs="宋体"/>
          <w:color w:val="auto"/>
          <w:sz w:val="24"/>
          <w:szCs w:val="24"/>
          <w:highlight w:val="none"/>
        </w:rPr>
        <w:t>采购代理机构应当在评审结束后2个工作日内将评审报告送采购人确认。采购人应当在收到评审报告后5个工作日内，从评审报告提出的成交候选供应商中，按照排序由高到低的原则确定成交供应商，也可以书面授权磋商小组直接确定成交供应商。采购人逾期未确定成交供应商且不提出异议的，视为确定评审报告提出的排序第一的供应商为成交供应商。</w:t>
      </w:r>
    </w:p>
    <w:p w14:paraId="23066A97">
      <w:pPr>
        <w:spacing w:line="360" w:lineRule="auto"/>
        <w:ind w:left="0" w:leftChars="0" w:firstLine="420" w:firstLineChars="175"/>
        <w:jc w:val="left"/>
        <w:rPr>
          <w:rFonts w:ascii="宋体" w:hAnsi="宋体" w:cs="Courier New"/>
          <w:color w:val="auto"/>
          <w:sz w:val="24"/>
          <w:szCs w:val="24"/>
          <w:highlight w:val="none"/>
        </w:rPr>
      </w:pPr>
      <w:r>
        <w:rPr>
          <w:rFonts w:ascii="宋体" w:hAnsi="宋体" w:cs="宋体"/>
          <w:color w:val="auto"/>
          <w:sz w:val="24"/>
          <w:szCs w:val="24"/>
          <w:highlight w:val="none"/>
        </w:rPr>
        <w:t>27</w:t>
      </w:r>
      <w:r>
        <w:rPr>
          <w:rFonts w:hint="eastAsia" w:ascii="宋体" w:hAnsi="宋体" w:cs="宋体"/>
          <w:color w:val="auto"/>
          <w:sz w:val="24"/>
          <w:szCs w:val="24"/>
          <w:highlight w:val="none"/>
        </w:rPr>
        <w:t>.2采购代理机构应当在</w:t>
      </w:r>
      <w:r>
        <w:rPr>
          <w:rFonts w:hint="eastAsia" w:ascii="宋体" w:hAnsi="宋体" w:cs="宋体"/>
          <w:color w:val="auto"/>
          <w:kern w:val="0"/>
          <w:sz w:val="24"/>
          <w:szCs w:val="24"/>
          <w:highlight w:val="none"/>
        </w:rPr>
        <w:t>成交</w:t>
      </w:r>
      <w:r>
        <w:rPr>
          <w:rFonts w:hint="eastAsia" w:ascii="宋体" w:hAnsi="宋体" w:cs="宋体"/>
          <w:color w:val="auto"/>
          <w:sz w:val="24"/>
          <w:szCs w:val="24"/>
          <w:highlight w:val="none"/>
        </w:rPr>
        <w:t>供应商确定后2个工作日内，在省级以上财政部门指定的媒体上公告成交结果，同时向成交供应商发出成交通知书。采购人或者采购代理机构发出成交通知书前，应当对成交供应商信用进行查询，对列入失信被执行人、重大税收违法失信主体、政府采购严重违法失信行为记录名单及其他不符合《中华人民共和国政府采购法》第二十二条规定条件的供应商，取消其成交资格，并确定排名第二的成交候选人为成交供应商。排名第二的成交候选人因上述规定的同样原因被取消成交资格的，采购人可以确定排名第三的成交候选人为成交供应商，以此类推。以上信息查询记录及相关证据与磋商文件一并保存。</w:t>
      </w:r>
      <w:bookmarkStart w:id="154" w:name="_Hlk66782294"/>
      <w:r>
        <w:rPr>
          <w:rFonts w:hint="eastAsia" w:ascii="宋体" w:hAnsi="宋体" w:cs="Courier New"/>
          <w:color w:val="auto"/>
          <w:sz w:val="24"/>
          <w:szCs w:val="24"/>
          <w:highlight w:val="none"/>
        </w:rPr>
        <w:t>成交供应商享受</w:t>
      </w:r>
      <w:r>
        <w:rPr>
          <w:rFonts w:hint="eastAsia" w:ascii="宋体" w:hAnsi="宋体"/>
          <w:color w:val="auto"/>
          <w:sz w:val="24"/>
          <w:szCs w:val="24"/>
          <w:highlight w:val="none"/>
        </w:rPr>
        <w:t>《政府采购促进中小企业发展管理办法》（财库〔2020〕46号）规定的中小企业扶持</w:t>
      </w:r>
      <w:r>
        <w:rPr>
          <w:rFonts w:hint="eastAsia" w:ascii="宋体" w:hAnsi="宋体" w:cs="Courier New"/>
          <w:color w:val="auto"/>
          <w:sz w:val="24"/>
          <w:szCs w:val="24"/>
          <w:highlight w:val="none"/>
        </w:rPr>
        <w:t>政策的，采购人、采购代理机构应当随成交结果公开成交供应商的《中小企业声明函》。</w:t>
      </w:r>
      <w:bookmarkEnd w:id="154"/>
    </w:p>
    <w:p w14:paraId="554053FB">
      <w:pPr>
        <w:spacing w:line="360" w:lineRule="auto"/>
        <w:ind w:left="0" w:leftChars="0" w:firstLine="420" w:firstLineChars="175"/>
        <w:jc w:val="left"/>
        <w:rPr>
          <w:rFonts w:ascii="宋体" w:hAnsi="宋体" w:cs="Courier New"/>
          <w:color w:val="auto"/>
          <w:sz w:val="24"/>
          <w:szCs w:val="24"/>
          <w:highlight w:val="none"/>
        </w:rPr>
      </w:pPr>
      <w:r>
        <w:rPr>
          <w:rFonts w:hint="eastAsia" w:ascii="宋体" w:hAnsi="宋体" w:cs="Courier New"/>
          <w:color w:val="auto"/>
          <w:sz w:val="24"/>
          <w:szCs w:val="24"/>
          <w:highlight w:val="none"/>
        </w:rPr>
        <w:t>27.3出现下列情形之一的，采购人或者采购代理机构应当终止竞争性磋商采购活动，发布项目终止公告并说明原因，重新开展采购活动：</w:t>
      </w:r>
    </w:p>
    <w:p w14:paraId="2003366A">
      <w:pPr>
        <w:spacing w:line="360" w:lineRule="auto"/>
        <w:ind w:left="0" w:leftChars="0" w:firstLine="420" w:firstLineChars="175"/>
        <w:jc w:val="left"/>
        <w:rPr>
          <w:rFonts w:ascii="宋体" w:hAnsi="宋体" w:cs="Courier New"/>
          <w:color w:val="auto"/>
          <w:sz w:val="24"/>
          <w:szCs w:val="24"/>
          <w:highlight w:val="none"/>
        </w:rPr>
      </w:pPr>
      <w:r>
        <w:rPr>
          <w:rFonts w:hint="eastAsia" w:ascii="宋体" w:hAnsi="宋体" w:cs="Courier New"/>
          <w:color w:val="auto"/>
          <w:sz w:val="24"/>
          <w:szCs w:val="24"/>
          <w:highlight w:val="none"/>
        </w:rPr>
        <w:t>（1）因情况变化，不再符合规定的竞争性磋商采购方式适用情形的；</w:t>
      </w:r>
    </w:p>
    <w:p w14:paraId="5A08FFC9">
      <w:pPr>
        <w:spacing w:line="360" w:lineRule="auto"/>
        <w:ind w:left="0" w:leftChars="0" w:firstLine="420" w:firstLineChars="175"/>
        <w:jc w:val="left"/>
        <w:rPr>
          <w:rFonts w:ascii="宋体" w:hAnsi="宋体" w:cs="Courier New"/>
          <w:color w:val="auto"/>
          <w:sz w:val="24"/>
          <w:szCs w:val="24"/>
          <w:highlight w:val="none"/>
        </w:rPr>
      </w:pPr>
      <w:r>
        <w:rPr>
          <w:rFonts w:hint="eastAsia" w:ascii="宋体" w:hAnsi="宋体" w:cs="Courier New"/>
          <w:color w:val="auto"/>
          <w:sz w:val="24"/>
          <w:szCs w:val="24"/>
          <w:highlight w:val="none"/>
        </w:rPr>
        <w:t>（2）出现影响采购公正的违法、违规行为的；</w:t>
      </w:r>
    </w:p>
    <w:p w14:paraId="395DF7CE">
      <w:pPr>
        <w:spacing w:line="360" w:lineRule="auto"/>
        <w:ind w:left="0" w:leftChars="0" w:firstLine="420" w:firstLineChars="175"/>
        <w:jc w:val="left"/>
        <w:rPr>
          <w:rFonts w:ascii="宋体" w:hAnsi="宋体" w:cs="Courier New"/>
          <w:color w:val="auto"/>
          <w:sz w:val="24"/>
          <w:szCs w:val="24"/>
          <w:highlight w:val="none"/>
        </w:rPr>
      </w:pPr>
      <w:r>
        <w:rPr>
          <w:rFonts w:hint="eastAsia" w:ascii="宋体" w:hAnsi="宋体" w:cs="Courier New"/>
          <w:color w:val="auto"/>
          <w:sz w:val="24"/>
          <w:szCs w:val="24"/>
          <w:highlight w:val="none"/>
        </w:rPr>
        <w:t>（3）除“第四章 评审程序、评审方法和评审标准”第</w:t>
      </w:r>
      <w:r>
        <w:rPr>
          <w:rFonts w:hint="eastAsia" w:ascii="宋体" w:hAnsi="宋体" w:cs="Courier New"/>
          <w:color w:val="auto"/>
          <w:sz w:val="24"/>
          <w:szCs w:val="24"/>
          <w:highlight w:val="none"/>
          <w:lang w:val="en-US" w:eastAsia="zh-CN"/>
        </w:rPr>
        <w:t>5</w:t>
      </w:r>
      <w:r>
        <w:rPr>
          <w:rFonts w:hint="eastAsia" w:ascii="宋体" w:hAnsi="宋体" w:cs="Courier New"/>
          <w:color w:val="auto"/>
          <w:sz w:val="24"/>
          <w:szCs w:val="24"/>
          <w:highlight w:val="none"/>
        </w:rPr>
        <w:t>.3条规定的情形外，在采购过程中符合要求的供应商或者报价未超过采购预算的供应商不足3家的。</w:t>
      </w:r>
    </w:p>
    <w:p w14:paraId="27CF79FD">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Courier New"/>
          <w:color w:val="auto"/>
          <w:sz w:val="24"/>
          <w:szCs w:val="24"/>
          <w:highlight w:val="none"/>
        </w:rPr>
        <w:t>27.4 在采购活动中因重大变故，采购任务取消的，采购人或者采购代理机构应当终止采购活动，通知所有参加采购活动的供应商，并将项目实施情况和采购任务取消原因报送本级财政部门。</w:t>
      </w:r>
    </w:p>
    <w:p w14:paraId="30E621E8">
      <w:pPr>
        <w:spacing w:line="360" w:lineRule="auto"/>
        <w:ind w:left="0" w:leftChars="0" w:firstLine="422" w:firstLineChars="175"/>
        <w:jc w:val="left"/>
        <w:rPr>
          <w:rFonts w:ascii="黑体" w:hAnsi="黑体" w:eastAsia="黑体" w:cs="宋体"/>
          <w:b/>
          <w:bCs/>
          <w:color w:val="auto"/>
          <w:sz w:val="24"/>
          <w:szCs w:val="24"/>
          <w:highlight w:val="none"/>
        </w:rPr>
      </w:pPr>
      <w:r>
        <w:rPr>
          <w:rFonts w:ascii="黑体" w:hAnsi="黑体" w:eastAsia="黑体" w:cs="宋体"/>
          <w:b/>
          <w:bCs/>
          <w:color w:val="auto"/>
          <w:sz w:val="24"/>
          <w:szCs w:val="24"/>
          <w:highlight w:val="none"/>
        </w:rPr>
        <w:t>28</w:t>
      </w:r>
      <w:r>
        <w:rPr>
          <w:rFonts w:hint="eastAsia" w:ascii="黑体" w:hAnsi="黑体" w:eastAsia="黑体" w:cs="宋体"/>
          <w:b/>
          <w:bCs/>
          <w:color w:val="auto"/>
          <w:sz w:val="24"/>
          <w:szCs w:val="24"/>
          <w:highlight w:val="none"/>
        </w:rPr>
        <w:t>.履约保证金</w:t>
      </w:r>
    </w:p>
    <w:p w14:paraId="3A764B3E">
      <w:pPr>
        <w:spacing w:line="360" w:lineRule="auto"/>
        <w:ind w:left="0" w:leftChars="0" w:firstLine="420" w:firstLineChars="175"/>
        <w:jc w:val="left"/>
        <w:rPr>
          <w:rFonts w:ascii="宋体" w:hAnsi="宋体" w:cs="宋体"/>
          <w:color w:val="auto"/>
          <w:sz w:val="24"/>
          <w:szCs w:val="24"/>
          <w:highlight w:val="none"/>
        </w:rPr>
      </w:pPr>
      <w:r>
        <w:rPr>
          <w:rFonts w:ascii="宋体" w:hAnsi="宋体" w:cs="宋体"/>
          <w:color w:val="auto"/>
          <w:sz w:val="24"/>
          <w:szCs w:val="24"/>
          <w:highlight w:val="none"/>
        </w:rPr>
        <w:t>28</w:t>
      </w:r>
      <w:r>
        <w:rPr>
          <w:rFonts w:hint="eastAsia" w:ascii="宋体" w:hAnsi="宋体" w:cs="宋体"/>
          <w:color w:val="auto"/>
          <w:sz w:val="24"/>
          <w:szCs w:val="24"/>
          <w:highlight w:val="none"/>
        </w:rPr>
        <w:t>.1</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履约保证金的金额、提交方式、退付的时间和条件详见 “供应商须知前附表”。成交供应商未按规定提交履约保证金的，视为拒绝</w:t>
      </w:r>
      <w:r>
        <w:rPr>
          <w:rFonts w:ascii="宋体" w:hAnsi="宋体"/>
          <w:color w:val="auto"/>
          <w:sz w:val="24"/>
          <w:szCs w:val="24"/>
          <w:highlight w:val="none"/>
        </w:rPr>
        <w:t>与采购人</w:t>
      </w:r>
      <w:r>
        <w:rPr>
          <w:rFonts w:hint="eastAsia" w:ascii="宋体" w:hAnsi="宋体" w:cs="宋体"/>
          <w:color w:val="auto"/>
          <w:sz w:val="24"/>
          <w:szCs w:val="24"/>
          <w:highlight w:val="none"/>
        </w:rPr>
        <w:t>签订合同。</w:t>
      </w:r>
    </w:p>
    <w:p w14:paraId="3F512796">
      <w:pPr>
        <w:spacing w:line="360" w:lineRule="auto"/>
        <w:ind w:left="0" w:leftChars="0" w:firstLine="420" w:firstLineChars="175"/>
        <w:jc w:val="left"/>
        <w:rPr>
          <w:rFonts w:ascii="宋体" w:hAnsi="宋体" w:cs="宋体"/>
          <w:color w:val="auto"/>
          <w:sz w:val="24"/>
          <w:szCs w:val="24"/>
          <w:highlight w:val="none"/>
        </w:rPr>
      </w:pPr>
      <w:r>
        <w:rPr>
          <w:rFonts w:ascii="宋体" w:hAnsi="宋体" w:cs="宋体"/>
          <w:color w:val="auto"/>
          <w:sz w:val="24"/>
          <w:szCs w:val="24"/>
          <w:highlight w:val="none"/>
        </w:rPr>
        <w:t>28</w:t>
      </w:r>
      <w:r>
        <w:rPr>
          <w:rFonts w:hint="eastAsia" w:ascii="宋体" w:hAnsi="宋体" w:cs="宋体"/>
          <w:color w:val="auto"/>
          <w:sz w:val="24"/>
          <w:szCs w:val="24"/>
          <w:highlight w:val="none"/>
        </w:rPr>
        <w:t>.2在履约保证金退还日期前，若成交供应商的开户名称、开户银行、</w:t>
      </w:r>
      <w:r>
        <w:rPr>
          <w:rFonts w:hint="eastAsia" w:ascii="宋体" w:hAnsi="宋体" w:cs="宋体"/>
          <w:color w:val="auto"/>
          <w:sz w:val="24"/>
          <w:szCs w:val="24"/>
          <w:highlight w:val="none"/>
          <w:lang w:eastAsia="zh-CN"/>
        </w:rPr>
        <w:t>账</w:t>
      </w:r>
      <w:r>
        <w:rPr>
          <w:rFonts w:hint="eastAsia" w:ascii="宋体" w:hAnsi="宋体" w:cs="宋体"/>
          <w:color w:val="auto"/>
          <w:sz w:val="24"/>
          <w:szCs w:val="24"/>
          <w:highlight w:val="none"/>
        </w:rPr>
        <w:t>号有变动的，</w:t>
      </w:r>
      <w:r>
        <w:rPr>
          <w:rFonts w:hint="eastAsia" w:ascii="宋体" w:hAnsi="宋体" w:cs="宋体"/>
          <w:color w:val="auto"/>
          <w:sz w:val="24"/>
          <w:szCs w:val="24"/>
          <w:highlight w:val="none"/>
          <w:lang w:eastAsia="zh-CN"/>
        </w:rPr>
        <w:t>须</w:t>
      </w:r>
      <w:r>
        <w:rPr>
          <w:rFonts w:hint="eastAsia" w:ascii="宋体" w:hAnsi="宋体" w:cs="宋体"/>
          <w:color w:val="auto"/>
          <w:sz w:val="24"/>
          <w:szCs w:val="24"/>
          <w:highlight w:val="none"/>
        </w:rPr>
        <w:t>以书面形式通知履约保证金收取单位，否则由此产生的后果由成交供应商自行承担。</w:t>
      </w:r>
    </w:p>
    <w:p w14:paraId="42A0223C">
      <w:pPr>
        <w:spacing w:line="360" w:lineRule="auto"/>
        <w:ind w:left="0" w:leftChars="0" w:firstLine="422" w:firstLineChars="175"/>
        <w:jc w:val="left"/>
        <w:rPr>
          <w:rFonts w:ascii="黑体" w:hAnsi="黑体" w:eastAsia="黑体" w:cs="宋体"/>
          <w:b/>
          <w:bCs/>
          <w:color w:val="auto"/>
          <w:sz w:val="24"/>
          <w:szCs w:val="24"/>
          <w:highlight w:val="none"/>
        </w:rPr>
      </w:pPr>
      <w:r>
        <w:rPr>
          <w:rFonts w:ascii="黑体" w:hAnsi="黑体" w:eastAsia="黑体" w:cs="宋体"/>
          <w:b/>
          <w:bCs/>
          <w:color w:val="auto"/>
          <w:sz w:val="24"/>
          <w:szCs w:val="24"/>
          <w:highlight w:val="none"/>
        </w:rPr>
        <w:t>29</w:t>
      </w:r>
      <w:r>
        <w:rPr>
          <w:rFonts w:hint="eastAsia" w:ascii="黑体" w:hAnsi="黑体" w:eastAsia="黑体" w:cs="宋体"/>
          <w:b/>
          <w:bCs/>
          <w:color w:val="auto"/>
          <w:sz w:val="24"/>
          <w:szCs w:val="24"/>
          <w:highlight w:val="none"/>
        </w:rPr>
        <w:t>.签订合同</w:t>
      </w:r>
    </w:p>
    <w:p w14:paraId="5C8FA846">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29.1成交供应商领取电子成交通知书后，在</w:t>
      </w:r>
      <w:r>
        <w:rPr>
          <w:rFonts w:hint="eastAsia" w:ascii="宋体" w:hAnsi="宋体" w:cs="宋体"/>
          <w:color w:val="auto"/>
          <w:sz w:val="24"/>
          <w:szCs w:val="24"/>
          <w:highlight w:val="none"/>
          <w:lang w:val="zh-CN"/>
        </w:rPr>
        <w:t>规定的日期、时间、地点，由法定代表人或其授权代表与采购人代表签订采购合同。如成交供应商为联合体的，由联合体成员各方法定代表人或其授权代表与采购人代表签订合同。</w:t>
      </w:r>
    </w:p>
    <w:p w14:paraId="7C605DF8">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29.2签订合同时间：按成交通知书规定的时间与采购人签订合同。</w:t>
      </w:r>
    </w:p>
    <w:p w14:paraId="7B288634">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29.</w:t>
      </w:r>
      <w:r>
        <w:rPr>
          <w:rFonts w:ascii="宋体" w:hAnsi="宋体" w:cs="宋体"/>
          <w:color w:val="auto"/>
          <w:sz w:val="24"/>
          <w:szCs w:val="24"/>
          <w:highlight w:val="none"/>
        </w:rPr>
        <w:t>3</w:t>
      </w:r>
      <w:r>
        <w:rPr>
          <w:rFonts w:hint="eastAsia" w:ascii="宋体" w:hAnsi="宋体" w:cs="宋体"/>
          <w:color w:val="auto"/>
          <w:sz w:val="24"/>
          <w:szCs w:val="24"/>
          <w:highlight w:val="none"/>
        </w:rPr>
        <w:t>成交供应商拒绝签订政府采购合同（包括但不限于放弃成交、因不可抗力不能履行合同而放弃签订合同），采购人可以按照评审报告推荐的成交候选人名单排序，确定下一候选人为成交供应商，也可以重新开展政府采购活动。如采购人无正当理由拒签合同的，给成交供应商造成损失的，成交供应商可追究采购人承担相应的法律责任。</w:t>
      </w:r>
    </w:p>
    <w:p w14:paraId="67534ECD">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29.4政府采购合同是政府采购项目验收的依据，成交供应商和采购人应当按照采购合同约定的各自的权利和义务全面履行合同。任何一方当事人在履行合同过程中均不得擅自变更、中止或终止合同。政府采购合同继续履行将损害国家利益和社会公共利益的，双方当事人应当变更、中止或终止合同。有过错的一方应当承担赔偿责任，双方都有过错的，各自承担相应的责任。</w:t>
      </w:r>
    </w:p>
    <w:p w14:paraId="70D53C37">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29.5采购人或成交供应商不得单方面向合同另一方提出任何磋商文件没有约定的条件或不合理的要求，作为签订合同的条件；也不得协商另行订立背离磋商文件和合同实质性内容的协议。</w:t>
      </w:r>
    </w:p>
    <w:p w14:paraId="79B91E90">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29.6如签订合同并生效后，供应商无故拒绝或延期，除按照合同条款处理外，将承担相应的法律责任。</w:t>
      </w:r>
    </w:p>
    <w:p w14:paraId="4698C257">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29.7政府采购合同履行中，采购人需追加与合同标的相同的货物、工程或者服务的，在不改变合同其他条款的前提下，可以与供应商协商签订补充合同，但所有补充合同的采购金额不得超过原合同采购金额的10%。</w:t>
      </w:r>
    </w:p>
    <w:p w14:paraId="4F89A4C3">
      <w:pPr>
        <w:spacing w:line="360" w:lineRule="auto"/>
        <w:ind w:left="0" w:leftChars="0" w:firstLine="422" w:firstLineChars="175"/>
        <w:jc w:val="left"/>
        <w:rPr>
          <w:rFonts w:ascii="黑体" w:hAnsi="黑体" w:eastAsia="黑体" w:cs="宋体"/>
          <w:b/>
          <w:bCs/>
          <w:color w:val="auto"/>
          <w:sz w:val="24"/>
          <w:szCs w:val="24"/>
          <w:highlight w:val="none"/>
        </w:rPr>
      </w:pPr>
      <w:r>
        <w:rPr>
          <w:rFonts w:ascii="黑体" w:hAnsi="黑体" w:eastAsia="黑体" w:cs="宋体"/>
          <w:b/>
          <w:bCs/>
          <w:color w:val="auto"/>
          <w:sz w:val="24"/>
          <w:szCs w:val="24"/>
          <w:highlight w:val="none"/>
        </w:rPr>
        <w:t>30</w:t>
      </w:r>
      <w:r>
        <w:rPr>
          <w:rFonts w:hint="eastAsia" w:ascii="黑体" w:hAnsi="黑体" w:eastAsia="黑体" w:cs="宋体"/>
          <w:b/>
          <w:bCs/>
          <w:color w:val="auto"/>
          <w:sz w:val="24"/>
          <w:szCs w:val="24"/>
          <w:highlight w:val="none"/>
        </w:rPr>
        <w:t>.政府采购合同公告</w:t>
      </w:r>
    </w:p>
    <w:p w14:paraId="5AAA325F">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根据《中华人民共和国政府采购法实施条例》第五十条规定，采购人应当自政府采购合同签订之日起2个工作日内，将政府采购合同在省级以上人民政府财政部门指定的媒体上公告，但政府采购合同中涉及国家秘密、商业秘密的内容除外。</w:t>
      </w:r>
    </w:p>
    <w:p w14:paraId="6598BB49">
      <w:pPr>
        <w:spacing w:line="360" w:lineRule="auto"/>
        <w:ind w:left="0" w:leftChars="0" w:firstLine="422" w:firstLineChars="175"/>
        <w:jc w:val="left"/>
        <w:rPr>
          <w:rFonts w:ascii="黑体" w:hAnsi="黑体" w:eastAsia="黑体" w:cs="宋体"/>
          <w:b/>
          <w:bCs/>
          <w:color w:val="auto"/>
          <w:sz w:val="24"/>
          <w:szCs w:val="24"/>
          <w:highlight w:val="none"/>
        </w:rPr>
      </w:pPr>
      <w:r>
        <w:rPr>
          <w:rFonts w:ascii="黑体" w:hAnsi="黑体" w:eastAsia="黑体" w:cs="宋体"/>
          <w:b/>
          <w:bCs/>
          <w:color w:val="auto"/>
          <w:sz w:val="24"/>
          <w:szCs w:val="24"/>
          <w:highlight w:val="none"/>
        </w:rPr>
        <w:t>31</w:t>
      </w:r>
      <w:r>
        <w:rPr>
          <w:rFonts w:hint="eastAsia" w:ascii="黑体" w:hAnsi="黑体" w:eastAsia="黑体" w:cs="宋体"/>
          <w:b/>
          <w:bCs/>
          <w:color w:val="auto"/>
          <w:sz w:val="24"/>
          <w:szCs w:val="24"/>
          <w:highlight w:val="none"/>
        </w:rPr>
        <w:t>. 询问、质疑和投诉</w:t>
      </w:r>
    </w:p>
    <w:p w14:paraId="59E85810">
      <w:pPr>
        <w:pStyle w:val="7"/>
        <w:spacing w:line="360" w:lineRule="auto"/>
        <w:ind w:left="0" w:leftChars="0" w:firstLine="422" w:firstLineChars="175"/>
        <w:jc w:val="left"/>
        <w:rPr>
          <w:rFonts w:ascii="宋体" w:hAnsi="宋体"/>
          <w:color w:val="auto"/>
          <w:sz w:val="24"/>
          <w:szCs w:val="24"/>
          <w:highlight w:val="none"/>
        </w:rPr>
      </w:pPr>
      <w:r>
        <w:rPr>
          <w:rFonts w:hint="eastAsia" w:ascii="宋体" w:hAnsi="宋体" w:cs="宋体"/>
          <w:color w:val="auto"/>
          <w:sz w:val="24"/>
          <w:szCs w:val="24"/>
          <w:highlight w:val="none"/>
        </w:rPr>
        <w:t>3</w:t>
      </w:r>
      <w:r>
        <w:rPr>
          <w:rFonts w:ascii="宋体" w:hAnsi="宋体" w:cs="宋体"/>
          <w:color w:val="auto"/>
          <w:sz w:val="24"/>
          <w:szCs w:val="24"/>
          <w:highlight w:val="none"/>
        </w:rPr>
        <w:t>1</w:t>
      </w:r>
      <w:r>
        <w:rPr>
          <w:rFonts w:hint="eastAsia" w:ascii="宋体" w:hAnsi="宋体" w:cs="宋体"/>
          <w:color w:val="auto"/>
          <w:sz w:val="24"/>
          <w:szCs w:val="24"/>
          <w:highlight w:val="none"/>
        </w:rPr>
        <w:t>.1供应商对政府采购活动事项有疑问的，可以向采购人、采购代理机构提出询问，采购人或者采购代理机构应当在3个工作日内对供应商依法提出的询问作出答复，</w:t>
      </w:r>
      <w:r>
        <w:rPr>
          <w:rFonts w:hint="eastAsia" w:ascii="宋体" w:hAnsi="宋体"/>
          <w:color w:val="auto"/>
          <w:sz w:val="24"/>
          <w:szCs w:val="24"/>
          <w:highlight w:val="none"/>
        </w:rPr>
        <w:t>但答复的内容不得涉及商业秘密</w:t>
      </w:r>
      <w:r>
        <w:rPr>
          <w:rFonts w:hint="eastAsia" w:ascii="宋体" w:hAnsi="宋体" w:cs="宋体"/>
          <w:color w:val="auto"/>
          <w:sz w:val="24"/>
          <w:szCs w:val="24"/>
          <w:highlight w:val="none"/>
        </w:rPr>
        <w:t>。</w:t>
      </w:r>
    </w:p>
    <w:p w14:paraId="4E3A6F88">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3</w:t>
      </w:r>
      <w:r>
        <w:rPr>
          <w:rFonts w:ascii="宋体" w:hAnsi="宋体" w:cs="宋体"/>
          <w:color w:val="auto"/>
          <w:sz w:val="24"/>
          <w:szCs w:val="24"/>
          <w:highlight w:val="none"/>
        </w:rPr>
        <w:t>1</w:t>
      </w:r>
      <w:r>
        <w:rPr>
          <w:rFonts w:hint="eastAsia" w:ascii="宋体" w:hAnsi="宋体" w:cs="宋体"/>
          <w:color w:val="auto"/>
          <w:sz w:val="24"/>
          <w:szCs w:val="24"/>
          <w:highlight w:val="none"/>
        </w:rPr>
        <w:t>.2供应商认为磋商文件、采购过程或者成交结果使自己的合法权益受到损害的，应当在知道或者应知其权益受到损害之日起7个工作日内，以书面形式向采购人、采购代理机构提出质疑，</w:t>
      </w:r>
      <w:r>
        <w:rPr>
          <w:rFonts w:ascii="宋体" w:hAnsi="宋体" w:cs="Arial"/>
          <w:color w:val="auto"/>
          <w:sz w:val="24"/>
          <w:szCs w:val="24"/>
          <w:highlight w:val="none"/>
          <w:shd w:val="clear" w:color="auto" w:fill="FFFFFF"/>
        </w:rPr>
        <w:t>接收质疑函的方式、联系部门、联系电话和通讯地址等信息</w:t>
      </w:r>
      <w:r>
        <w:rPr>
          <w:rFonts w:hint="eastAsia" w:ascii="宋体" w:hAnsi="宋体" w:cs="Arial"/>
          <w:color w:val="auto"/>
          <w:sz w:val="24"/>
          <w:szCs w:val="24"/>
          <w:highlight w:val="none"/>
          <w:shd w:val="clear" w:color="auto" w:fill="FFFFFF"/>
        </w:rPr>
        <w:t>详见</w:t>
      </w:r>
      <w:r>
        <w:rPr>
          <w:rFonts w:hint="eastAsia" w:ascii="宋体" w:hAnsi="宋体" w:cs="宋体"/>
          <w:color w:val="auto"/>
          <w:sz w:val="24"/>
          <w:szCs w:val="24"/>
          <w:highlight w:val="none"/>
        </w:rPr>
        <w:t>“供应商须知前附表”。具体质疑起算时间如下：</w:t>
      </w:r>
    </w:p>
    <w:p w14:paraId="2983D302">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（1）对可以质疑的磋商文件提出质疑的，为收到磋商文件之日或者</w:t>
      </w:r>
      <w:r>
        <w:rPr>
          <w:rFonts w:hint="eastAsia" w:ascii="宋体" w:hAnsi="宋体"/>
          <w:color w:val="auto"/>
          <w:sz w:val="24"/>
          <w:szCs w:val="24"/>
          <w:highlight w:val="none"/>
        </w:rPr>
        <w:t>竞争性磋商公告期限届满之日</w:t>
      </w:r>
      <w:r>
        <w:rPr>
          <w:rFonts w:hint="eastAsia" w:ascii="宋体" w:hAnsi="宋体" w:cs="宋体"/>
          <w:color w:val="auto"/>
          <w:sz w:val="24"/>
          <w:szCs w:val="24"/>
          <w:highlight w:val="none"/>
        </w:rPr>
        <w:t>；</w:t>
      </w:r>
    </w:p>
    <w:p w14:paraId="1532C09E">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（2）对采购过程提出质疑的，为各采购程序环节结束之日；</w:t>
      </w:r>
    </w:p>
    <w:p w14:paraId="75106B88">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（3）对成交结果提出质疑的，为成交结果公告期限届满之日。</w:t>
      </w:r>
    </w:p>
    <w:p w14:paraId="26D14DCC">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3</w:t>
      </w:r>
      <w:r>
        <w:rPr>
          <w:rFonts w:ascii="宋体" w:hAnsi="宋体" w:cs="宋体"/>
          <w:color w:val="auto"/>
          <w:sz w:val="24"/>
          <w:szCs w:val="24"/>
          <w:highlight w:val="none"/>
        </w:rPr>
        <w:t>1</w:t>
      </w:r>
      <w:r>
        <w:rPr>
          <w:rFonts w:hint="eastAsia" w:ascii="宋体" w:hAnsi="宋体" w:cs="宋体"/>
          <w:color w:val="auto"/>
          <w:sz w:val="24"/>
          <w:szCs w:val="24"/>
          <w:highlight w:val="none"/>
        </w:rPr>
        <w:t>.3供应商提出的询问或者质疑超出采购人对采购代理机构委托授权范围的，采购代理机构应当告知供应商向采购人提出。政府采购评审专家应当配合采购人或者采购代理机构答复供应商的询问和质疑。</w:t>
      </w:r>
    </w:p>
    <w:p w14:paraId="554A93DF">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3</w:t>
      </w:r>
      <w:r>
        <w:rPr>
          <w:rFonts w:ascii="宋体" w:hAnsi="宋体" w:cs="宋体"/>
          <w:color w:val="auto"/>
          <w:sz w:val="24"/>
          <w:szCs w:val="24"/>
          <w:highlight w:val="none"/>
        </w:rPr>
        <w:t>1</w:t>
      </w:r>
      <w:r>
        <w:rPr>
          <w:rFonts w:hint="eastAsia" w:ascii="宋体" w:hAnsi="宋体" w:cs="宋体"/>
          <w:color w:val="auto"/>
          <w:sz w:val="24"/>
          <w:szCs w:val="24"/>
          <w:highlight w:val="none"/>
        </w:rPr>
        <w:t>.4 供应商提出质疑应当提交质疑函和必要的证明材料，针对同一采购程序环节的质疑必须在法定质疑期内一次性提出。质疑函应当包括下列内容</w:t>
      </w:r>
      <w:r>
        <w:rPr>
          <w:rFonts w:hint="eastAsia" w:hAnsi="宋体"/>
          <w:bCs/>
          <w:color w:val="auto"/>
          <w:sz w:val="24"/>
          <w:szCs w:val="24"/>
          <w:highlight w:val="none"/>
        </w:rPr>
        <w:t>（质疑函格式后附）</w:t>
      </w:r>
      <w:r>
        <w:rPr>
          <w:rFonts w:hint="eastAsia" w:ascii="宋体" w:hAnsi="宋体" w:cs="宋体"/>
          <w:color w:val="auto"/>
          <w:sz w:val="24"/>
          <w:szCs w:val="24"/>
          <w:highlight w:val="none"/>
        </w:rPr>
        <w:t>：</w:t>
      </w:r>
    </w:p>
    <w:p w14:paraId="5CF6D8AF">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（1）供应商的姓名或者名称、地址、邮编、联系人及联系电话；</w:t>
      </w:r>
    </w:p>
    <w:p w14:paraId="516A2CD5">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（2）质疑项目的名称、编号；</w:t>
      </w:r>
    </w:p>
    <w:p w14:paraId="7FD4CB9D">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（3）具体、明确的质疑事项和与质疑事项相关的请求；</w:t>
      </w:r>
    </w:p>
    <w:p w14:paraId="10E7F85D">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（4）事实依据；</w:t>
      </w:r>
    </w:p>
    <w:p w14:paraId="4E8FF43A">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（5）必要的法律依据；</w:t>
      </w:r>
    </w:p>
    <w:p w14:paraId="4E179928">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（6）提出质疑的日期。</w:t>
      </w:r>
    </w:p>
    <w:p w14:paraId="40266BAC">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供应商为自然人的，应当由本人签字；供应商为法人或者其他组织的，应当由法定代表人、主要负责人，或者其委托代理人签字或者盖章，并加盖公章。</w:t>
      </w:r>
    </w:p>
    <w:p w14:paraId="56177FF5">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3</w:t>
      </w:r>
      <w:r>
        <w:rPr>
          <w:rFonts w:ascii="宋体" w:hAnsi="宋体" w:cs="宋体"/>
          <w:color w:val="auto"/>
          <w:sz w:val="24"/>
          <w:szCs w:val="24"/>
          <w:highlight w:val="none"/>
        </w:rPr>
        <w:t>1.5</w:t>
      </w:r>
      <w:r>
        <w:rPr>
          <w:rFonts w:hint="eastAsia" w:ascii="宋体" w:hAnsi="宋体" w:cs="宋体"/>
          <w:color w:val="auto"/>
          <w:sz w:val="24"/>
          <w:szCs w:val="24"/>
          <w:highlight w:val="none"/>
        </w:rPr>
        <w:t>采购人、采购代理机构认为供应商质疑不成立，或者成立但未对成交结果构成影响的，继续开展采购活动；认为供应商质疑成立且影响或者可能影响成交结果的，按照下列情况处理：</w:t>
      </w:r>
    </w:p>
    <w:p w14:paraId="51E27480">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（一）对</w:t>
      </w:r>
      <w:r>
        <w:rPr>
          <w:rFonts w:hint="eastAsia" w:ascii="宋体" w:hAnsi="宋体" w:cs="宋体"/>
          <w:color w:val="auto"/>
          <w:sz w:val="24"/>
          <w:szCs w:val="24"/>
          <w:highlight w:val="none"/>
          <w:lang w:eastAsia="zh-CN"/>
        </w:rPr>
        <w:t>磋商</w:t>
      </w:r>
      <w:r>
        <w:rPr>
          <w:rFonts w:hint="eastAsia" w:ascii="宋体" w:hAnsi="宋体" w:cs="宋体"/>
          <w:color w:val="auto"/>
          <w:sz w:val="24"/>
          <w:szCs w:val="24"/>
          <w:highlight w:val="none"/>
        </w:rPr>
        <w:t>文件提出的质疑，依法通过澄清或者修改可以继续开展采购活动的，澄清或者修改</w:t>
      </w:r>
      <w:r>
        <w:rPr>
          <w:rFonts w:hint="eastAsia" w:ascii="宋体" w:hAnsi="宋体" w:cs="宋体"/>
          <w:color w:val="auto"/>
          <w:sz w:val="24"/>
          <w:szCs w:val="24"/>
          <w:highlight w:val="none"/>
          <w:lang w:eastAsia="zh-CN"/>
        </w:rPr>
        <w:t>磋商</w:t>
      </w:r>
      <w:r>
        <w:rPr>
          <w:rFonts w:hint="eastAsia" w:ascii="宋体" w:hAnsi="宋体" w:cs="宋体"/>
          <w:color w:val="auto"/>
          <w:sz w:val="24"/>
          <w:szCs w:val="24"/>
          <w:highlight w:val="none"/>
        </w:rPr>
        <w:t>文件后继续开展采购活动；否则应当修改</w:t>
      </w:r>
      <w:r>
        <w:rPr>
          <w:rFonts w:hint="eastAsia" w:ascii="宋体" w:hAnsi="宋体" w:cs="宋体"/>
          <w:color w:val="auto"/>
          <w:sz w:val="24"/>
          <w:szCs w:val="24"/>
          <w:highlight w:val="none"/>
          <w:lang w:eastAsia="zh-CN"/>
        </w:rPr>
        <w:t>磋商</w:t>
      </w:r>
      <w:r>
        <w:rPr>
          <w:rFonts w:hint="eastAsia" w:ascii="宋体" w:hAnsi="宋体" w:cs="宋体"/>
          <w:color w:val="auto"/>
          <w:sz w:val="24"/>
          <w:szCs w:val="24"/>
          <w:highlight w:val="none"/>
        </w:rPr>
        <w:t>文件后重新开展采购活动。</w:t>
      </w:r>
    </w:p>
    <w:p w14:paraId="459ED39D">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（二）对采购过程或者成交结果提出的质疑，合格供应商符合法定数量时，可以从合格的成交候选人中另行确定成交供应商的，应当依法另行确定成交供应商；否则应当重新开展采购活动。</w:t>
      </w:r>
    </w:p>
    <w:p w14:paraId="5D1D5DE3">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质疑答复导致成交结果改变的，采购人或者采购代理机构应当将有关情况书面报告本级财政部门。</w:t>
      </w:r>
    </w:p>
    <w:p w14:paraId="2ACE4840">
      <w:pPr>
        <w:spacing w:line="360" w:lineRule="auto"/>
        <w:ind w:left="0" w:leftChars="0" w:firstLine="420" w:firstLineChars="175"/>
        <w:jc w:val="left"/>
        <w:rPr>
          <w:rFonts w:ascii="宋体" w:hAnsi="宋体" w:cs="宋体"/>
          <w:color w:val="auto"/>
          <w:sz w:val="24"/>
          <w:szCs w:val="24"/>
          <w:highlight w:val="none"/>
        </w:rPr>
      </w:pPr>
      <w:r>
        <w:rPr>
          <w:rFonts w:ascii="宋体" w:hAnsi="宋体" w:cs="宋体"/>
          <w:color w:val="auto"/>
          <w:sz w:val="24"/>
          <w:szCs w:val="24"/>
          <w:highlight w:val="none"/>
        </w:rPr>
        <w:t>31</w:t>
      </w:r>
      <w:r>
        <w:rPr>
          <w:rFonts w:hint="eastAsia" w:ascii="宋体" w:hAnsi="宋体" w:cs="宋体"/>
          <w:color w:val="auto"/>
          <w:sz w:val="24"/>
          <w:szCs w:val="24"/>
          <w:highlight w:val="none"/>
        </w:rPr>
        <w:t>.</w:t>
      </w:r>
      <w:r>
        <w:rPr>
          <w:rFonts w:ascii="宋体" w:hAnsi="宋体" w:cs="宋体"/>
          <w:color w:val="auto"/>
          <w:sz w:val="24"/>
          <w:szCs w:val="24"/>
          <w:highlight w:val="none"/>
        </w:rPr>
        <w:t>6</w:t>
      </w:r>
      <w:r>
        <w:rPr>
          <w:rFonts w:hint="eastAsia" w:ascii="宋体" w:hAnsi="宋体" w:cs="宋体"/>
          <w:color w:val="auto"/>
          <w:sz w:val="24"/>
          <w:szCs w:val="24"/>
          <w:highlight w:val="none"/>
        </w:rPr>
        <w:t>质疑供应商对采购人、采购代理机构的答复不满意，或者采购人、采购代理机构未在规定时间内作出答复的，可以在答复期满后15个工作日内向《政府采购质疑和投诉办法》（财政部令第94号）第六条规定的财政部门提起投诉（投诉书格式后附）。</w:t>
      </w:r>
    </w:p>
    <w:p w14:paraId="67CAAAE4">
      <w:pPr>
        <w:spacing w:line="360" w:lineRule="auto"/>
        <w:ind w:left="0" w:leftChars="0" w:firstLine="422" w:firstLineChars="175"/>
        <w:jc w:val="left"/>
        <w:rPr>
          <w:rFonts w:ascii="黑体" w:hAnsi="黑体" w:eastAsia="黑体" w:cs="宋体"/>
          <w:b/>
          <w:bCs/>
          <w:color w:val="auto"/>
          <w:sz w:val="24"/>
          <w:szCs w:val="24"/>
          <w:highlight w:val="none"/>
        </w:rPr>
      </w:pPr>
      <w:r>
        <w:rPr>
          <w:rFonts w:ascii="黑体" w:hAnsi="黑体" w:eastAsia="黑体" w:cs="宋体"/>
          <w:b/>
          <w:bCs/>
          <w:color w:val="auto"/>
          <w:sz w:val="24"/>
          <w:szCs w:val="24"/>
          <w:highlight w:val="none"/>
        </w:rPr>
        <w:t>32</w:t>
      </w:r>
      <w:r>
        <w:rPr>
          <w:rFonts w:hint="eastAsia" w:ascii="黑体" w:hAnsi="黑体" w:eastAsia="黑体" w:cs="宋体"/>
          <w:b/>
          <w:bCs/>
          <w:color w:val="auto"/>
          <w:sz w:val="24"/>
          <w:szCs w:val="24"/>
          <w:highlight w:val="none"/>
        </w:rPr>
        <w:t>.其他内容</w:t>
      </w:r>
    </w:p>
    <w:p w14:paraId="442F9D59">
      <w:pPr>
        <w:tabs>
          <w:tab w:val="left" w:pos="2835"/>
        </w:tabs>
        <w:spacing w:line="360" w:lineRule="auto"/>
        <w:ind w:left="0" w:leftChars="0" w:firstLine="420" w:firstLineChars="175"/>
        <w:jc w:val="left"/>
        <w:rPr>
          <w:rFonts w:ascii="宋体" w:hAnsi="宋体" w:cs="宋体"/>
          <w:color w:val="auto"/>
          <w:sz w:val="24"/>
          <w:szCs w:val="24"/>
          <w:highlight w:val="none"/>
        </w:rPr>
      </w:pPr>
      <w:r>
        <w:rPr>
          <w:rFonts w:ascii="宋体" w:hAnsi="宋体" w:cs="宋体"/>
          <w:color w:val="auto"/>
          <w:sz w:val="24"/>
          <w:szCs w:val="24"/>
          <w:highlight w:val="none"/>
        </w:rPr>
        <w:t>32</w:t>
      </w:r>
      <w:r>
        <w:rPr>
          <w:rFonts w:hint="eastAsia" w:ascii="宋体" w:hAnsi="宋体" w:cs="宋体"/>
          <w:color w:val="auto"/>
          <w:sz w:val="24"/>
          <w:szCs w:val="24"/>
          <w:highlight w:val="none"/>
        </w:rPr>
        <w:t>.1代理服务收取标准及缴费账户详见“供应商须知前附表”，供应商为联合体的，可以由联合体中的一方或者多方共同交纳代理服务费。</w:t>
      </w:r>
    </w:p>
    <w:p w14:paraId="57FA93E2">
      <w:pPr>
        <w:tabs>
          <w:tab w:val="left" w:pos="2835"/>
        </w:tabs>
        <w:spacing w:line="360" w:lineRule="auto"/>
        <w:ind w:left="0" w:leftChars="0" w:firstLine="420" w:firstLineChars="175"/>
        <w:jc w:val="left"/>
        <w:rPr>
          <w:rFonts w:ascii="宋体" w:hAnsi="宋体" w:cs="宋体"/>
          <w:color w:val="auto"/>
          <w:sz w:val="24"/>
          <w:szCs w:val="24"/>
          <w:highlight w:val="none"/>
        </w:rPr>
      </w:pPr>
      <w:r>
        <w:rPr>
          <w:rFonts w:ascii="宋体" w:hAnsi="宋体" w:cs="宋体"/>
          <w:color w:val="auto"/>
          <w:sz w:val="24"/>
          <w:szCs w:val="24"/>
          <w:highlight w:val="none"/>
        </w:rPr>
        <w:t>32.2</w:t>
      </w:r>
      <w:r>
        <w:rPr>
          <w:rFonts w:hint="eastAsia" w:ascii="宋体" w:hAnsi="宋体" w:cs="宋体"/>
          <w:color w:val="auto"/>
          <w:sz w:val="24"/>
          <w:szCs w:val="24"/>
          <w:highlight w:val="none"/>
        </w:rPr>
        <w:t>代理服务费收费计算标准：</w:t>
      </w:r>
      <w:r>
        <w:rPr>
          <w:rFonts w:hint="eastAsia" w:ascii="宋体" w:hAnsi="宋体" w:eastAsia="宋体" w:cs="宋体"/>
          <w:b w:val="0"/>
          <w:bCs w:val="0"/>
          <w:color w:val="auto"/>
          <w:sz w:val="24"/>
          <w:szCs w:val="24"/>
          <w:highlight w:val="none"/>
          <w:vertAlign w:val="baseline"/>
          <w:lang w:val="en-US" w:eastAsia="zh-CN"/>
        </w:rPr>
        <w:t>按</w:t>
      </w:r>
      <w:r>
        <w:rPr>
          <w:rFonts w:hint="default" w:ascii="宋体" w:hAnsi="宋体" w:eastAsia="宋体" w:cs="宋体"/>
          <w:b w:val="0"/>
          <w:bCs w:val="0"/>
          <w:color w:val="auto"/>
          <w:sz w:val="24"/>
          <w:szCs w:val="24"/>
          <w:highlight w:val="none"/>
          <w:vertAlign w:val="baseline"/>
          <w:lang w:val="en-US" w:eastAsia="zh-CN"/>
        </w:rPr>
        <w:t>国家发展计划委员会《招标代理服务费管理暂行办法》（计价格〔2002〕1980号）、《</w:t>
      </w:r>
      <w:r>
        <w:rPr>
          <w:rFonts w:hint="eastAsia" w:ascii="宋体" w:hAnsi="宋体" w:cs="宋体"/>
          <w:b w:val="0"/>
          <w:bCs w:val="0"/>
          <w:color w:val="auto"/>
          <w:sz w:val="24"/>
          <w:szCs w:val="24"/>
          <w:highlight w:val="none"/>
          <w:vertAlign w:val="baseline"/>
          <w:lang w:val="en-US" w:eastAsia="zh-CN"/>
        </w:rPr>
        <w:t>国家发展改革委</w:t>
      </w:r>
      <w:r>
        <w:rPr>
          <w:rFonts w:hint="default" w:ascii="宋体" w:hAnsi="宋体" w:eastAsia="宋体" w:cs="宋体"/>
          <w:b w:val="0"/>
          <w:bCs w:val="0"/>
          <w:color w:val="auto"/>
          <w:sz w:val="24"/>
          <w:szCs w:val="24"/>
          <w:highlight w:val="none"/>
          <w:vertAlign w:val="baseline"/>
          <w:lang w:val="en-US" w:eastAsia="zh-CN"/>
        </w:rPr>
        <w:t>关于降低部分建设项目收费标准规范收费行为等有关问题的通知》（发改价格〔2011〕534号）规定计取</w:t>
      </w:r>
      <w:r>
        <w:rPr>
          <w:rFonts w:hint="eastAsia" w:ascii="宋体" w:hAnsi="宋体" w:eastAsia="宋体" w:cs="宋体"/>
          <w:b w:val="0"/>
          <w:bCs w:val="0"/>
          <w:color w:val="auto"/>
          <w:sz w:val="24"/>
          <w:szCs w:val="24"/>
          <w:highlight w:val="none"/>
          <w:vertAlign w:val="baseline"/>
          <w:lang w:val="en-US" w:eastAsia="zh-CN"/>
        </w:rPr>
        <w:t>，由成交供应商支付</w:t>
      </w:r>
      <w:r>
        <w:rPr>
          <w:rFonts w:hint="eastAsia" w:ascii="宋体" w:hAnsi="宋体" w:cs="宋体"/>
          <w:color w:val="auto"/>
          <w:sz w:val="24"/>
          <w:szCs w:val="24"/>
          <w:highlight w:val="none"/>
        </w:rPr>
        <w:t>。</w:t>
      </w:r>
    </w:p>
    <w:tbl>
      <w:tblPr>
        <w:tblStyle w:val="50"/>
        <w:tblW w:w="90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48"/>
        <w:gridCol w:w="1837"/>
        <w:gridCol w:w="1697"/>
        <w:gridCol w:w="1713"/>
      </w:tblGrid>
      <w:tr w14:paraId="64238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8" w:hRule="atLeast"/>
        </w:trPr>
        <w:tc>
          <w:tcPr>
            <w:tcW w:w="3848" w:type="dxa"/>
            <w:tcBorders>
              <w:tl2br w:val="single" w:color="auto" w:sz="4" w:space="0"/>
            </w:tcBorders>
          </w:tcPr>
          <w:p w14:paraId="080EE410">
            <w:pPr>
              <w:spacing w:line="360" w:lineRule="auto"/>
              <w:ind w:left="2699" w:leftChars="228" w:hanging="2220" w:hangingChars="925"/>
              <w:jc w:val="left"/>
              <w:rPr>
                <w:rFonts w:ascii="宋体" w:hAnsi="宋体" w:cs="宋体"/>
                <w:color w:val="auto"/>
                <w:sz w:val="24"/>
                <w:szCs w:val="24"/>
                <w:highlight w:val="none"/>
              </w:rPr>
            </w:pPr>
            <w:r>
              <w:rPr>
                <w:rFonts w:hint="eastAsia" w:ascii="宋体" w:hAnsi="宋体" w:cs="宋体"/>
                <w:color w:val="auto"/>
                <w:sz w:val="24"/>
                <w:szCs w:val="24"/>
                <w:highlight w:val="none"/>
              </w:rPr>
              <w:t xml:space="preserve">                 费率</w:t>
            </w:r>
          </w:p>
          <w:p w14:paraId="1BF7BD75">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金额</w:t>
            </w:r>
          </w:p>
        </w:tc>
        <w:tc>
          <w:tcPr>
            <w:tcW w:w="1837" w:type="dxa"/>
            <w:vAlign w:val="center"/>
          </w:tcPr>
          <w:p w14:paraId="1F7E02D2">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货物类</w:t>
            </w:r>
          </w:p>
        </w:tc>
        <w:tc>
          <w:tcPr>
            <w:tcW w:w="1697" w:type="dxa"/>
            <w:vAlign w:val="center"/>
          </w:tcPr>
          <w:p w14:paraId="792C7BC4">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服务类</w:t>
            </w:r>
          </w:p>
        </w:tc>
        <w:tc>
          <w:tcPr>
            <w:tcW w:w="1713" w:type="dxa"/>
            <w:vAlign w:val="center"/>
          </w:tcPr>
          <w:p w14:paraId="29AE4618">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工程类</w:t>
            </w:r>
          </w:p>
        </w:tc>
      </w:tr>
      <w:tr w14:paraId="0BC68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8" w:type="dxa"/>
          </w:tcPr>
          <w:p w14:paraId="4EA24336">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100万元以下</w:t>
            </w:r>
          </w:p>
        </w:tc>
        <w:tc>
          <w:tcPr>
            <w:tcW w:w="1837" w:type="dxa"/>
          </w:tcPr>
          <w:p w14:paraId="5123996D">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kern w:val="0"/>
                <w:sz w:val="24"/>
                <w:szCs w:val="24"/>
                <w:highlight w:val="none"/>
              </w:rPr>
              <w:t>1.5%</w:t>
            </w:r>
          </w:p>
        </w:tc>
        <w:tc>
          <w:tcPr>
            <w:tcW w:w="1697" w:type="dxa"/>
          </w:tcPr>
          <w:p w14:paraId="15A5D409">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kern w:val="0"/>
                <w:sz w:val="24"/>
                <w:szCs w:val="24"/>
                <w:highlight w:val="none"/>
              </w:rPr>
              <w:t>1.5%</w:t>
            </w:r>
          </w:p>
        </w:tc>
        <w:tc>
          <w:tcPr>
            <w:tcW w:w="1713" w:type="dxa"/>
          </w:tcPr>
          <w:p w14:paraId="252100A2">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kern w:val="0"/>
                <w:sz w:val="24"/>
                <w:szCs w:val="24"/>
                <w:highlight w:val="none"/>
              </w:rPr>
              <w:t>1.0%</w:t>
            </w:r>
          </w:p>
        </w:tc>
      </w:tr>
      <w:tr w14:paraId="1DB11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8" w:type="dxa"/>
          </w:tcPr>
          <w:p w14:paraId="38E11D0C">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100～500万元</w:t>
            </w:r>
          </w:p>
        </w:tc>
        <w:tc>
          <w:tcPr>
            <w:tcW w:w="1837" w:type="dxa"/>
          </w:tcPr>
          <w:p w14:paraId="36CB1CC8">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kern w:val="0"/>
                <w:sz w:val="24"/>
                <w:szCs w:val="24"/>
                <w:highlight w:val="none"/>
              </w:rPr>
              <w:t>1.1%</w:t>
            </w:r>
          </w:p>
        </w:tc>
        <w:tc>
          <w:tcPr>
            <w:tcW w:w="1697" w:type="dxa"/>
          </w:tcPr>
          <w:p w14:paraId="1FD801E7">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kern w:val="0"/>
                <w:sz w:val="24"/>
                <w:szCs w:val="24"/>
                <w:highlight w:val="none"/>
              </w:rPr>
              <w:t>0.8%</w:t>
            </w:r>
          </w:p>
        </w:tc>
        <w:tc>
          <w:tcPr>
            <w:tcW w:w="1713" w:type="dxa"/>
          </w:tcPr>
          <w:p w14:paraId="0904CA8C">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kern w:val="0"/>
                <w:sz w:val="24"/>
                <w:szCs w:val="24"/>
                <w:highlight w:val="none"/>
              </w:rPr>
              <w:t>0.7%</w:t>
            </w:r>
          </w:p>
        </w:tc>
      </w:tr>
      <w:tr w14:paraId="63EE0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8" w:type="dxa"/>
          </w:tcPr>
          <w:p w14:paraId="1B5C277A">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500～1000万元</w:t>
            </w:r>
          </w:p>
        </w:tc>
        <w:tc>
          <w:tcPr>
            <w:tcW w:w="1837" w:type="dxa"/>
          </w:tcPr>
          <w:p w14:paraId="471B3C59">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kern w:val="0"/>
                <w:sz w:val="24"/>
                <w:szCs w:val="24"/>
                <w:highlight w:val="none"/>
              </w:rPr>
              <w:t>0.8%</w:t>
            </w:r>
          </w:p>
        </w:tc>
        <w:tc>
          <w:tcPr>
            <w:tcW w:w="1697" w:type="dxa"/>
          </w:tcPr>
          <w:p w14:paraId="02B68CCB">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kern w:val="0"/>
                <w:sz w:val="24"/>
                <w:szCs w:val="24"/>
                <w:highlight w:val="none"/>
              </w:rPr>
              <w:t>0.45%</w:t>
            </w:r>
          </w:p>
        </w:tc>
        <w:tc>
          <w:tcPr>
            <w:tcW w:w="1713" w:type="dxa"/>
          </w:tcPr>
          <w:p w14:paraId="14B2C207">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kern w:val="0"/>
                <w:sz w:val="24"/>
                <w:szCs w:val="24"/>
                <w:highlight w:val="none"/>
              </w:rPr>
              <w:t>0.55%</w:t>
            </w:r>
          </w:p>
        </w:tc>
      </w:tr>
      <w:tr w14:paraId="34A73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8" w:type="dxa"/>
          </w:tcPr>
          <w:p w14:paraId="1F567928">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1000～5000万元</w:t>
            </w:r>
          </w:p>
        </w:tc>
        <w:tc>
          <w:tcPr>
            <w:tcW w:w="1837" w:type="dxa"/>
          </w:tcPr>
          <w:p w14:paraId="00FE3BCA">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kern w:val="0"/>
                <w:sz w:val="24"/>
                <w:szCs w:val="24"/>
                <w:highlight w:val="none"/>
              </w:rPr>
              <w:t>0.5%</w:t>
            </w:r>
          </w:p>
        </w:tc>
        <w:tc>
          <w:tcPr>
            <w:tcW w:w="1697" w:type="dxa"/>
          </w:tcPr>
          <w:p w14:paraId="0E57C390">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kern w:val="0"/>
                <w:sz w:val="24"/>
                <w:szCs w:val="24"/>
                <w:highlight w:val="none"/>
              </w:rPr>
              <w:t>0.25%</w:t>
            </w:r>
          </w:p>
        </w:tc>
        <w:tc>
          <w:tcPr>
            <w:tcW w:w="1713" w:type="dxa"/>
          </w:tcPr>
          <w:p w14:paraId="3792E23F">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kern w:val="0"/>
                <w:sz w:val="24"/>
                <w:szCs w:val="24"/>
                <w:highlight w:val="none"/>
              </w:rPr>
              <w:t>0.35%</w:t>
            </w:r>
          </w:p>
        </w:tc>
      </w:tr>
      <w:tr w14:paraId="4CF20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8" w:type="dxa"/>
          </w:tcPr>
          <w:p w14:paraId="090B6FD8">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5000万元～1亿元</w:t>
            </w:r>
          </w:p>
        </w:tc>
        <w:tc>
          <w:tcPr>
            <w:tcW w:w="1837" w:type="dxa"/>
          </w:tcPr>
          <w:p w14:paraId="6182AFA5">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kern w:val="0"/>
                <w:sz w:val="24"/>
                <w:szCs w:val="24"/>
                <w:highlight w:val="none"/>
              </w:rPr>
              <w:t>0.25%</w:t>
            </w:r>
          </w:p>
        </w:tc>
        <w:tc>
          <w:tcPr>
            <w:tcW w:w="1697" w:type="dxa"/>
          </w:tcPr>
          <w:p w14:paraId="510B4618">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kern w:val="0"/>
                <w:sz w:val="24"/>
                <w:szCs w:val="24"/>
                <w:highlight w:val="none"/>
              </w:rPr>
              <w:t>0.1%</w:t>
            </w:r>
          </w:p>
        </w:tc>
        <w:tc>
          <w:tcPr>
            <w:tcW w:w="1713" w:type="dxa"/>
          </w:tcPr>
          <w:p w14:paraId="61805D34">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kern w:val="0"/>
                <w:sz w:val="24"/>
                <w:szCs w:val="24"/>
                <w:highlight w:val="none"/>
              </w:rPr>
              <w:t>0.2%</w:t>
            </w:r>
          </w:p>
        </w:tc>
      </w:tr>
      <w:tr w14:paraId="5351A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8" w:type="dxa"/>
          </w:tcPr>
          <w:p w14:paraId="438F85A4">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1～5亿元</w:t>
            </w:r>
          </w:p>
        </w:tc>
        <w:tc>
          <w:tcPr>
            <w:tcW w:w="1837" w:type="dxa"/>
          </w:tcPr>
          <w:p w14:paraId="753FDA50">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sz w:val="24"/>
                <w:szCs w:val="24"/>
                <w:highlight w:val="none"/>
              </w:rPr>
              <w:t>0.05%</w:t>
            </w:r>
          </w:p>
        </w:tc>
        <w:tc>
          <w:tcPr>
            <w:tcW w:w="1697" w:type="dxa"/>
          </w:tcPr>
          <w:p w14:paraId="019AFBA3">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sz w:val="24"/>
                <w:szCs w:val="24"/>
                <w:highlight w:val="none"/>
              </w:rPr>
              <w:t>0.05%</w:t>
            </w:r>
          </w:p>
        </w:tc>
        <w:tc>
          <w:tcPr>
            <w:tcW w:w="1713" w:type="dxa"/>
          </w:tcPr>
          <w:p w14:paraId="22693FDC">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sz w:val="24"/>
                <w:szCs w:val="24"/>
                <w:highlight w:val="none"/>
              </w:rPr>
              <w:t>0.05%</w:t>
            </w:r>
          </w:p>
        </w:tc>
      </w:tr>
      <w:tr w14:paraId="75AE4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8" w:type="dxa"/>
          </w:tcPr>
          <w:p w14:paraId="3CA85C91">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5～10亿元</w:t>
            </w:r>
          </w:p>
        </w:tc>
        <w:tc>
          <w:tcPr>
            <w:tcW w:w="1837" w:type="dxa"/>
          </w:tcPr>
          <w:p w14:paraId="082BFC7D">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sz w:val="24"/>
                <w:szCs w:val="24"/>
                <w:highlight w:val="none"/>
              </w:rPr>
              <w:t>0.035%</w:t>
            </w:r>
          </w:p>
        </w:tc>
        <w:tc>
          <w:tcPr>
            <w:tcW w:w="1697" w:type="dxa"/>
          </w:tcPr>
          <w:p w14:paraId="46BCE1BF">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sz w:val="24"/>
                <w:szCs w:val="24"/>
                <w:highlight w:val="none"/>
              </w:rPr>
              <w:t>0.035%</w:t>
            </w:r>
          </w:p>
        </w:tc>
        <w:tc>
          <w:tcPr>
            <w:tcW w:w="1713" w:type="dxa"/>
          </w:tcPr>
          <w:p w14:paraId="0DD91F84">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sz w:val="24"/>
                <w:szCs w:val="24"/>
                <w:highlight w:val="none"/>
              </w:rPr>
              <w:t>0.035%</w:t>
            </w:r>
          </w:p>
        </w:tc>
      </w:tr>
      <w:tr w14:paraId="1C285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8" w:type="dxa"/>
          </w:tcPr>
          <w:p w14:paraId="2BF49245">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10～50亿元</w:t>
            </w:r>
          </w:p>
        </w:tc>
        <w:tc>
          <w:tcPr>
            <w:tcW w:w="1837" w:type="dxa"/>
          </w:tcPr>
          <w:p w14:paraId="51D3FA02">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sz w:val="24"/>
                <w:szCs w:val="24"/>
                <w:highlight w:val="none"/>
              </w:rPr>
              <w:t>0.008%</w:t>
            </w:r>
          </w:p>
        </w:tc>
        <w:tc>
          <w:tcPr>
            <w:tcW w:w="1697" w:type="dxa"/>
          </w:tcPr>
          <w:p w14:paraId="340E4AF2">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sz w:val="24"/>
                <w:szCs w:val="24"/>
                <w:highlight w:val="none"/>
              </w:rPr>
              <w:t>0.008%</w:t>
            </w:r>
          </w:p>
        </w:tc>
        <w:tc>
          <w:tcPr>
            <w:tcW w:w="1713" w:type="dxa"/>
          </w:tcPr>
          <w:p w14:paraId="72D2F7B7">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sz w:val="24"/>
                <w:szCs w:val="24"/>
                <w:highlight w:val="none"/>
              </w:rPr>
              <w:t>0.008%</w:t>
            </w:r>
          </w:p>
        </w:tc>
      </w:tr>
      <w:tr w14:paraId="69516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8" w:type="dxa"/>
          </w:tcPr>
          <w:p w14:paraId="754EB3AE">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50～100亿元</w:t>
            </w:r>
          </w:p>
        </w:tc>
        <w:tc>
          <w:tcPr>
            <w:tcW w:w="1837" w:type="dxa"/>
          </w:tcPr>
          <w:p w14:paraId="0F8F579B">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sz w:val="24"/>
                <w:szCs w:val="24"/>
                <w:highlight w:val="none"/>
              </w:rPr>
              <w:t>0.006%</w:t>
            </w:r>
          </w:p>
        </w:tc>
        <w:tc>
          <w:tcPr>
            <w:tcW w:w="1697" w:type="dxa"/>
          </w:tcPr>
          <w:p w14:paraId="555A7B42">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sz w:val="24"/>
                <w:szCs w:val="24"/>
                <w:highlight w:val="none"/>
              </w:rPr>
              <w:t>0.006%</w:t>
            </w:r>
          </w:p>
        </w:tc>
        <w:tc>
          <w:tcPr>
            <w:tcW w:w="1713" w:type="dxa"/>
          </w:tcPr>
          <w:p w14:paraId="11984413">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sz w:val="24"/>
                <w:szCs w:val="24"/>
                <w:highlight w:val="none"/>
              </w:rPr>
              <w:t>0.006%</w:t>
            </w:r>
          </w:p>
        </w:tc>
      </w:tr>
      <w:tr w14:paraId="64344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8" w:type="dxa"/>
          </w:tcPr>
          <w:p w14:paraId="4CEF7D24">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100亿以上</w:t>
            </w:r>
          </w:p>
        </w:tc>
        <w:tc>
          <w:tcPr>
            <w:tcW w:w="1837" w:type="dxa"/>
          </w:tcPr>
          <w:p w14:paraId="2DAC5140">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sz w:val="24"/>
                <w:szCs w:val="24"/>
                <w:highlight w:val="none"/>
              </w:rPr>
              <w:t>0.004%</w:t>
            </w:r>
          </w:p>
        </w:tc>
        <w:tc>
          <w:tcPr>
            <w:tcW w:w="1697" w:type="dxa"/>
          </w:tcPr>
          <w:p w14:paraId="08642271">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sz w:val="24"/>
                <w:szCs w:val="24"/>
                <w:highlight w:val="none"/>
              </w:rPr>
              <w:t>0.004%</w:t>
            </w:r>
          </w:p>
        </w:tc>
        <w:tc>
          <w:tcPr>
            <w:tcW w:w="1713" w:type="dxa"/>
          </w:tcPr>
          <w:p w14:paraId="4BF76614">
            <w:pPr>
              <w:spacing w:line="360" w:lineRule="auto"/>
              <w:ind w:left="0" w:leftChars="0" w:firstLine="0" w:firstLineChars="0"/>
              <w:jc w:val="center"/>
              <w:rPr>
                <w:rFonts w:ascii="宋体" w:hAnsi="宋体" w:cs="宋体"/>
                <w:color w:val="auto"/>
                <w:sz w:val="24"/>
                <w:szCs w:val="24"/>
                <w:highlight w:val="none"/>
              </w:rPr>
            </w:pPr>
            <w:r>
              <w:rPr>
                <w:rFonts w:hint="eastAsia" w:ascii="宋体" w:hAnsi="宋体" w:cs="宋体"/>
                <w:color w:val="auto"/>
                <w:sz w:val="24"/>
                <w:szCs w:val="24"/>
                <w:highlight w:val="none"/>
              </w:rPr>
              <w:t>0.004%</w:t>
            </w:r>
          </w:p>
        </w:tc>
      </w:tr>
    </w:tbl>
    <w:p w14:paraId="780B1810">
      <w:pPr>
        <w:spacing w:line="360" w:lineRule="auto"/>
        <w:ind w:left="0" w:leftChars="0" w:firstLine="420" w:firstLineChars="175"/>
        <w:jc w:val="left"/>
        <w:rPr>
          <w:rFonts w:ascii="宋体" w:hAnsi="宋体" w:cs="宋体"/>
          <w:color w:val="auto"/>
          <w:sz w:val="24"/>
          <w:szCs w:val="24"/>
          <w:highlight w:val="none"/>
        </w:rPr>
      </w:pPr>
      <w:r>
        <w:rPr>
          <w:rFonts w:ascii="宋体" w:hAnsi="宋体" w:cs="宋体"/>
          <w:color w:val="auto"/>
          <w:sz w:val="24"/>
          <w:szCs w:val="24"/>
          <w:highlight w:val="none"/>
        </w:rPr>
        <w:t>注：</w:t>
      </w:r>
      <w:r>
        <w:rPr>
          <w:rFonts w:hint="eastAsia" w:ascii="宋体" w:hAnsi="宋体" w:cs="宋体"/>
          <w:color w:val="auto"/>
          <w:sz w:val="24"/>
          <w:szCs w:val="24"/>
          <w:highlight w:val="none"/>
        </w:rPr>
        <w:t>（1）</w:t>
      </w:r>
      <w:r>
        <w:rPr>
          <w:rFonts w:ascii="宋体" w:hAnsi="宋体" w:cs="宋体"/>
          <w:color w:val="auto"/>
          <w:sz w:val="24"/>
          <w:szCs w:val="24"/>
          <w:highlight w:val="none"/>
        </w:rPr>
        <w:t>按本表费率计算的收费为</w:t>
      </w:r>
      <w:r>
        <w:rPr>
          <w:rFonts w:hint="eastAsia" w:ascii="宋体" w:hAnsi="宋体" w:cs="宋体"/>
          <w:color w:val="auto"/>
          <w:sz w:val="24"/>
          <w:szCs w:val="24"/>
          <w:highlight w:val="none"/>
        </w:rPr>
        <w:t>采购</w:t>
      </w:r>
      <w:r>
        <w:rPr>
          <w:rFonts w:ascii="宋体" w:hAnsi="宋体" w:cs="宋体"/>
          <w:color w:val="auto"/>
          <w:sz w:val="24"/>
          <w:szCs w:val="24"/>
          <w:highlight w:val="none"/>
        </w:rPr>
        <w:t>代理的收费基准价格</w:t>
      </w:r>
      <w:r>
        <w:rPr>
          <w:rFonts w:hint="eastAsia" w:ascii="宋体" w:hAnsi="宋体" w:cs="宋体"/>
          <w:color w:val="auto"/>
          <w:sz w:val="24"/>
          <w:szCs w:val="24"/>
          <w:highlight w:val="none"/>
        </w:rPr>
        <w:t>；</w:t>
      </w:r>
    </w:p>
    <w:p w14:paraId="7FC8A115">
      <w:pPr>
        <w:spacing w:line="360" w:lineRule="auto"/>
        <w:ind w:left="0" w:leftChars="0" w:firstLine="420" w:firstLineChars="175"/>
        <w:jc w:val="left"/>
        <w:rPr>
          <w:rFonts w:ascii="宋体" w:hAnsi="宋体" w:cs="宋体"/>
          <w:color w:val="auto"/>
          <w:sz w:val="24"/>
          <w:szCs w:val="24"/>
          <w:highlight w:val="none"/>
        </w:rPr>
      </w:pPr>
      <w:r>
        <w:rPr>
          <w:rFonts w:hint="eastAsia" w:ascii="宋体" w:hAnsi="宋体" w:cs="宋体"/>
          <w:color w:val="auto"/>
          <w:sz w:val="24"/>
          <w:szCs w:val="24"/>
          <w:highlight w:val="none"/>
        </w:rPr>
        <w:t>（2）采购</w:t>
      </w:r>
      <w:r>
        <w:rPr>
          <w:rFonts w:ascii="宋体" w:hAnsi="宋体" w:cs="宋体"/>
          <w:color w:val="auto"/>
          <w:sz w:val="24"/>
          <w:szCs w:val="24"/>
          <w:highlight w:val="none"/>
        </w:rPr>
        <w:t>代理收费按差额定率累进法计算。</w:t>
      </w:r>
    </w:p>
    <w:p w14:paraId="5BEB9EBE">
      <w:pPr>
        <w:spacing w:line="360" w:lineRule="auto"/>
        <w:ind w:left="0" w:leftChars="0" w:firstLine="420" w:firstLineChars="175"/>
        <w:jc w:val="left"/>
        <w:rPr>
          <w:rFonts w:ascii="宋体" w:hAnsi="宋体" w:cs="宋体"/>
          <w:color w:val="auto"/>
          <w:sz w:val="24"/>
          <w:szCs w:val="24"/>
          <w:highlight w:val="none"/>
        </w:rPr>
      </w:pPr>
      <w:r>
        <w:rPr>
          <w:rFonts w:ascii="宋体" w:hAnsi="宋体" w:cs="宋体"/>
          <w:color w:val="auto"/>
          <w:sz w:val="24"/>
          <w:szCs w:val="24"/>
          <w:highlight w:val="none"/>
        </w:rPr>
        <w:t>例如：某</w:t>
      </w:r>
      <w:r>
        <w:rPr>
          <w:rFonts w:hint="eastAsia" w:ascii="宋体" w:hAnsi="宋体" w:cs="宋体"/>
          <w:color w:val="auto"/>
          <w:sz w:val="24"/>
          <w:szCs w:val="24"/>
          <w:highlight w:val="none"/>
        </w:rPr>
        <w:t>服务采购</w:t>
      </w:r>
      <w:r>
        <w:rPr>
          <w:rFonts w:ascii="宋体" w:hAnsi="宋体" w:cs="宋体"/>
          <w:color w:val="auto"/>
          <w:sz w:val="24"/>
          <w:szCs w:val="24"/>
          <w:highlight w:val="none"/>
        </w:rPr>
        <w:t>代理业务</w:t>
      </w:r>
      <w:r>
        <w:rPr>
          <w:rFonts w:hint="eastAsia" w:ascii="宋体" w:hAnsi="宋体" w:cs="宋体"/>
          <w:color w:val="auto"/>
          <w:sz w:val="24"/>
          <w:szCs w:val="24"/>
          <w:highlight w:val="none"/>
        </w:rPr>
        <w:t>成交</w:t>
      </w:r>
      <w:r>
        <w:rPr>
          <w:rFonts w:ascii="宋体" w:hAnsi="宋体" w:cs="宋体"/>
          <w:color w:val="auto"/>
          <w:sz w:val="24"/>
          <w:szCs w:val="24"/>
          <w:highlight w:val="none"/>
        </w:rPr>
        <w:t>金额</w:t>
      </w:r>
      <w:r>
        <w:rPr>
          <w:rFonts w:hint="eastAsia" w:ascii="宋体" w:hAnsi="宋体" w:cs="宋体"/>
          <w:color w:val="auto"/>
          <w:sz w:val="24"/>
          <w:szCs w:val="24"/>
          <w:highlight w:val="none"/>
        </w:rPr>
        <w:t>或者暂定价</w:t>
      </w:r>
      <w:r>
        <w:rPr>
          <w:rFonts w:ascii="宋体" w:hAnsi="宋体" w:cs="宋体"/>
          <w:color w:val="auto"/>
          <w:sz w:val="24"/>
          <w:szCs w:val="24"/>
          <w:highlight w:val="none"/>
        </w:rPr>
        <w:t>为150万元，计算</w:t>
      </w:r>
      <w:r>
        <w:rPr>
          <w:rFonts w:hint="eastAsia" w:ascii="宋体" w:hAnsi="宋体" w:cs="宋体"/>
          <w:color w:val="auto"/>
          <w:sz w:val="24"/>
          <w:szCs w:val="24"/>
          <w:highlight w:val="none"/>
        </w:rPr>
        <w:t>采购</w:t>
      </w:r>
      <w:r>
        <w:rPr>
          <w:rFonts w:ascii="宋体" w:hAnsi="宋体" w:cs="宋体"/>
          <w:color w:val="auto"/>
          <w:sz w:val="24"/>
          <w:szCs w:val="24"/>
          <w:highlight w:val="none"/>
        </w:rPr>
        <w:t>代理收费额如下：</w:t>
      </w:r>
    </w:p>
    <w:p w14:paraId="2B0565CB">
      <w:pPr>
        <w:spacing w:line="360" w:lineRule="auto"/>
        <w:ind w:left="0" w:leftChars="0" w:firstLine="420" w:firstLineChars="175"/>
        <w:jc w:val="left"/>
        <w:rPr>
          <w:rFonts w:ascii="宋体" w:hAnsi="宋体" w:cs="宋体"/>
          <w:color w:val="auto"/>
          <w:sz w:val="24"/>
          <w:szCs w:val="24"/>
          <w:highlight w:val="none"/>
        </w:rPr>
      </w:pPr>
      <w:r>
        <w:rPr>
          <w:rFonts w:ascii="宋体" w:hAnsi="宋体" w:cs="宋体"/>
          <w:color w:val="auto"/>
          <w:sz w:val="24"/>
          <w:szCs w:val="24"/>
          <w:highlight w:val="none"/>
        </w:rPr>
        <w:t>100 万元 ×l.5 %＝ 1.5 万元</w:t>
      </w:r>
    </w:p>
    <w:p w14:paraId="0F892048">
      <w:pPr>
        <w:spacing w:line="360" w:lineRule="auto"/>
        <w:ind w:left="0" w:leftChars="0" w:firstLine="420" w:firstLineChars="175"/>
        <w:jc w:val="left"/>
        <w:rPr>
          <w:rFonts w:ascii="宋体" w:hAnsi="宋体" w:cs="宋体"/>
          <w:color w:val="auto"/>
          <w:sz w:val="24"/>
          <w:szCs w:val="24"/>
          <w:highlight w:val="none"/>
        </w:rPr>
      </w:pPr>
      <w:r>
        <w:rPr>
          <w:rFonts w:ascii="宋体" w:hAnsi="宋体" w:cs="宋体"/>
          <w:color w:val="auto"/>
          <w:sz w:val="24"/>
          <w:szCs w:val="24"/>
          <w:highlight w:val="none"/>
        </w:rPr>
        <w:t>（ 150 － 100 ）万元 ×0.8%＝ 0.4万元</w:t>
      </w:r>
    </w:p>
    <w:p w14:paraId="78001D67">
      <w:pPr>
        <w:tabs>
          <w:tab w:val="left" w:pos="2835"/>
        </w:tabs>
        <w:spacing w:line="360" w:lineRule="auto"/>
        <w:ind w:left="0" w:leftChars="0" w:firstLine="420" w:firstLineChars="175"/>
        <w:jc w:val="left"/>
        <w:rPr>
          <w:rFonts w:ascii="宋体" w:hAnsi="宋体" w:cs="宋体"/>
          <w:color w:val="auto"/>
          <w:sz w:val="24"/>
          <w:szCs w:val="24"/>
          <w:highlight w:val="none"/>
        </w:rPr>
      </w:pPr>
      <w:r>
        <w:rPr>
          <w:rFonts w:ascii="宋体" w:hAnsi="宋体" w:cs="宋体"/>
          <w:color w:val="auto"/>
          <w:sz w:val="24"/>
          <w:szCs w:val="24"/>
          <w:highlight w:val="none"/>
        </w:rPr>
        <w:t>合计收费＝ 1.5 ＋ 0.4＝ 1.9 万元</w:t>
      </w:r>
    </w:p>
    <w:p w14:paraId="0797E242">
      <w:pPr>
        <w:spacing w:line="360" w:lineRule="auto"/>
        <w:ind w:left="0" w:leftChars="0" w:firstLine="422" w:firstLineChars="175"/>
        <w:jc w:val="left"/>
        <w:rPr>
          <w:rFonts w:ascii="黑体" w:hAnsi="黑体" w:eastAsia="黑体" w:cs="宋体"/>
          <w:b/>
          <w:bCs/>
          <w:color w:val="auto"/>
          <w:sz w:val="24"/>
          <w:szCs w:val="24"/>
          <w:highlight w:val="none"/>
        </w:rPr>
      </w:pPr>
      <w:r>
        <w:rPr>
          <w:rFonts w:hint="eastAsia" w:ascii="黑体" w:hAnsi="黑体" w:eastAsia="黑体" w:cs="宋体"/>
          <w:b/>
          <w:bCs/>
          <w:color w:val="auto"/>
          <w:sz w:val="24"/>
          <w:szCs w:val="24"/>
          <w:highlight w:val="none"/>
        </w:rPr>
        <w:t>3</w:t>
      </w:r>
      <w:r>
        <w:rPr>
          <w:rFonts w:ascii="黑体" w:hAnsi="黑体" w:eastAsia="黑体" w:cs="宋体"/>
          <w:b/>
          <w:bCs/>
          <w:color w:val="auto"/>
          <w:sz w:val="24"/>
          <w:szCs w:val="24"/>
          <w:highlight w:val="none"/>
        </w:rPr>
        <w:t>3.需要补充的其他内容</w:t>
      </w:r>
    </w:p>
    <w:p w14:paraId="2CC3E003">
      <w:pPr>
        <w:pStyle w:val="24"/>
        <w:spacing w:line="360" w:lineRule="auto"/>
        <w:ind w:left="0" w:leftChars="0" w:firstLine="422" w:firstLineChars="175"/>
        <w:jc w:val="left"/>
        <w:textAlignment w:val="center"/>
        <w:rPr>
          <w:rFonts w:hAnsi="宋体" w:cs="宋体"/>
          <w:color w:val="auto"/>
          <w:kern w:val="2"/>
          <w:sz w:val="24"/>
          <w:szCs w:val="24"/>
          <w:highlight w:val="none"/>
        </w:rPr>
      </w:pPr>
      <w:r>
        <w:rPr>
          <w:rFonts w:hint="eastAsia" w:hAnsi="宋体" w:cs="宋体"/>
          <w:color w:val="auto"/>
          <w:kern w:val="2"/>
          <w:sz w:val="24"/>
          <w:szCs w:val="24"/>
          <w:highlight w:val="none"/>
        </w:rPr>
        <w:t>3</w:t>
      </w:r>
      <w:r>
        <w:rPr>
          <w:rFonts w:hAnsi="宋体" w:cs="宋体"/>
          <w:color w:val="auto"/>
          <w:kern w:val="2"/>
          <w:sz w:val="24"/>
          <w:szCs w:val="24"/>
          <w:highlight w:val="none"/>
        </w:rPr>
        <w:t>3.1</w:t>
      </w:r>
      <w:r>
        <w:rPr>
          <w:rFonts w:hint="eastAsia" w:hAnsi="宋体" w:cs="宋体"/>
          <w:color w:val="auto"/>
          <w:kern w:val="2"/>
          <w:sz w:val="24"/>
          <w:szCs w:val="24"/>
          <w:highlight w:val="none"/>
        </w:rPr>
        <w:t>本磋商文件解释规则详见“供应商须知前附表”。</w:t>
      </w:r>
    </w:p>
    <w:p w14:paraId="2B4650B4">
      <w:pPr>
        <w:pStyle w:val="24"/>
        <w:spacing w:line="360" w:lineRule="auto"/>
        <w:ind w:left="0" w:leftChars="0" w:firstLine="422" w:firstLineChars="175"/>
        <w:jc w:val="left"/>
        <w:textAlignment w:val="center"/>
        <w:rPr>
          <w:rFonts w:hAnsi="宋体" w:cs="宋体"/>
          <w:color w:val="auto"/>
          <w:kern w:val="2"/>
          <w:sz w:val="24"/>
          <w:szCs w:val="24"/>
          <w:highlight w:val="none"/>
        </w:rPr>
      </w:pPr>
      <w:r>
        <w:rPr>
          <w:rFonts w:hAnsi="宋体" w:cs="宋体"/>
          <w:color w:val="auto"/>
          <w:kern w:val="2"/>
          <w:sz w:val="24"/>
          <w:szCs w:val="24"/>
          <w:highlight w:val="none"/>
        </w:rPr>
        <w:t>33.2</w:t>
      </w:r>
      <w:r>
        <w:rPr>
          <w:rFonts w:hint="eastAsia" w:hAnsi="宋体" w:cs="宋体"/>
          <w:color w:val="auto"/>
          <w:kern w:val="2"/>
          <w:sz w:val="24"/>
          <w:szCs w:val="24"/>
          <w:highlight w:val="none"/>
        </w:rPr>
        <w:t xml:space="preserve"> 其他事项详见“供应商须知前附表”。</w:t>
      </w:r>
    </w:p>
    <w:p w14:paraId="4FB56ED3">
      <w:pPr>
        <w:pStyle w:val="24"/>
        <w:spacing w:line="360" w:lineRule="auto"/>
        <w:ind w:left="0" w:leftChars="0" w:firstLine="422" w:firstLineChars="175"/>
        <w:jc w:val="left"/>
        <w:textAlignment w:val="center"/>
        <w:rPr>
          <w:rFonts w:hAnsi="宋体" w:cs="宋体"/>
          <w:color w:val="auto"/>
          <w:kern w:val="2"/>
          <w:sz w:val="24"/>
          <w:szCs w:val="24"/>
          <w:highlight w:val="none"/>
        </w:rPr>
      </w:pPr>
      <w:r>
        <w:rPr>
          <w:rFonts w:hint="eastAsia" w:hAnsi="宋体" w:cs="宋体"/>
          <w:color w:val="auto"/>
          <w:kern w:val="2"/>
          <w:sz w:val="24"/>
          <w:szCs w:val="24"/>
          <w:highlight w:val="none"/>
        </w:rPr>
        <w:t>3</w:t>
      </w:r>
      <w:r>
        <w:rPr>
          <w:rFonts w:hAnsi="宋体" w:cs="宋体"/>
          <w:color w:val="auto"/>
          <w:kern w:val="2"/>
          <w:sz w:val="24"/>
          <w:szCs w:val="24"/>
          <w:highlight w:val="none"/>
        </w:rPr>
        <w:t>3.3</w:t>
      </w:r>
      <w:r>
        <w:rPr>
          <w:rFonts w:hint="eastAsia" w:hAnsi="宋体" w:cs="宋体"/>
          <w:color w:val="auto"/>
          <w:kern w:val="2"/>
          <w:sz w:val="24"/>
          <w:szCs w:val="24"/>
          <w:highlight w:val="none"/>
        </w:rPr>
        <w:t>本磋商文件所称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在政府采购活动中，供应商提供的货物、工程或者服务符合下列情形的，享受本磋商文件规定的中小企业扶持政策：</w:t>
      </w:r>
    </w:p>
    <w:p w14:paraId="01D8EA73">
      <w:pPr>
        <w:pStyle w:val="24"/>
        <w:spacing w:line="360" w:lineRule="auto"/>
        <w:ind w:left="0" w:leftChars="0" w:firstLine="422" w:firstLineChars="175"/>
        <w:contextualSpacing/>
        <w:jc w:val="left"/>
        <w:rPr>
          <w:rFonts w:hAnsi="宋体"/>
          <w:color w:val="auto"/>
          <w:sz w:val="24"/>
          <w:szCs w:val="24"/>
          <w:highlight w:val="none"/>
        </w:rPr>
      </w:pPr>
      <w:r>
        <w:rPr>
          <w:rFonts w:hint="eastAsia" w:hAnsi="宋体"/>
          <w:color w:val="auto"/>
          <w:sz w:val="24"/>
          <w:szCs w:val="24"/>
          <w:highlight w:val="none"/>
        </w:rPr>
        <w:t>（1）在货物采购项目中，货物由中小企业制造，即货物由中小企业生产且使用该中小企业商号或者注册商标，不对其中涉及的工程承建商和服务的承接商作出要求；</w:t>
      </w:r>
    </w:p>
    <w:p w14:paraId="6D348B71">
      <w:pPr>
        <w:pStyle w:val="24"/>
        <w:spacing w:line="360" w:lineRule="auto"/>
        <w:ind w:left="0" w:leftChars="0" w:firstLine="422" w:firstLineChars="175"/>
        <w:contextualSpacing/>
        <w:jc w:val="left"/>
        <w:rPr>
          <w:rFonts w:hAnsi="宋体"/>
          <w:color w:val="auto"/>
          <w:sz w:val="24"/>
          <w:szCs w:val="24"/>
          <w:highlight w:val="none"/>
        </w:rPr>
      </w:pPr>
      <w:r>
        <w:rPr>
          <w:rFonts w:hint="eastAsia" w:hAnsi="宋体"/>
          <w:color w:val="auto"/>
          <w:sz w:val="24"/>
          <w:szCs w:val="24"/>
          <w:highlight w:val="none"/>
        </w:rPr>
        <w:t>（2）在工程采购项目中，工程由中小企业承建，即工程施工单位为中小企业，不对其中涉及的货物的制造商和服务的承接商作出要求；</w:t>
      </w:r>
    </w:p>
    <w:p w14:paraId="583972F4">
      <w:pPr>
        <w:pStyle w:val="24"/>
        <w:spacing w:line="360" w:lineRule="auto"/>
        <w:ind w:left="0" w:leftChars="0" w:firstLine="422" w:firstLineChars="175"/>
        <w:contextualSpacing/>
        <w:jc w:val="left"/>
        <w:rPr>
          <w:rFonts w:hAnsi="宋体"/>
          <w:color w:val="auto"/>
          <w:sz w:val="24"/>
          <w:szCs w:val="24"/>
          <w:highlight w:val="none"/>
        </w:rPr>
      </w:pPr>
      <w:r>
        <w:rPr>
          <w:rFonts w:hint="eastAsia" w:hAnsi="宋体"/>
          <w:color w:val="auto"/>
          <w:sz w:val="24"/>
          <w:szCs w:val="24"/>
          <w:highlight w:val="none"/>
        </w:rPr>
        <w:t>（3）在服务采购项目中，服务由中小企业承接，即提供服务的人员为中小企业依照《中华人民共和国劳动合同法》订立劳动合同的从业人员，不对其中涉及的货物的制造商和工程承建商作出要求。</w:t>
      </w:r>
    </w:p>
    <w:p w14:paraId="6142591E">
      <w:pPr>
        <w:pStyle w:val="24"/>
        <w:spacing w:line="360" w:lineRule="auto"/>
        <w:ind w:left="0" w:leftChars="0" w:firstLine="422" w:firstLineChars="175"/>
        <w:jc w:val="left"/>
        <w:textAlignment w:val="center"/>
        <w:rPr>
          <w:rFonts w:hAnsi="宋体" w:cs="宋体"/>
          <w:color w:val="auto"/>
          <w:kern w:val="2"/>
          <w:sz w:val="24"/>
          <w:szCs w:val="24"/>
          <w:highlight w:val="none"/>
        </w:rPr>
      </w:pPr>
      <w:r>
        <w:rPr>
          <w:rFonts w:hint="eastAsia" w:hAnsi="宋体" w:cs="宋体"/>
          <w:color w:val="auto"/>
          <w:kern w:val="2"/>
          <w:sz w:val="24"/>
          <w:szCs w:val="24"/>
          <w:highlight w:val="none"/>
        </w:rPr>
        <w:t>在货物采购项目中，供应商提供的货物既有中小企业制造货物，也有大型企业制造货物的，不享受本磋商文件规定的中小企业扶持政策。以联合体形式参加政府采购活动，联合体各方均为中小企业的，联合体视同中小企业。其中，联合体各方均为小微企业的，联合体视同小微企业。</w:t>
      </w:r>
    </w:p>
    <w:p w14:paraId="44D8A297">
      <w:pPr>
        <w:pStyle w:val="2"/>
        <w:spacing w:line="360" w:lineRule="auto"/>
        <w:ind w:left="0" w:leftChars="0" w:firstLine="422" w:firstLineChars="175"/>
        <w:jc w:val="left"/>
        <w:rPr>
          <w:rFonts w:hint="eastAsia" w:ascii="宋体" w:hAnsi="宋体" w:cs="宋体"/>
          <w:bCs/>
          <w:color w:val="auto"/>
          <w:sz w:val="24"/>
          <w:szCs w:val="24"/>
          <w:highlight w:val="none"/>
        </w:rPr>
      </w:pPr>
      <w:r>
        <w:rPr>
          <w:rFonts w:hint="eastAsia" w:hAnsi="宋体" w:cs="宋体"/>
          <w:color w:val="auto"/>
          <w:kern w:val="2"/>
          <w:sz w:val="24"/>
          <w:szCs w:val="24"/>
          <w:highlight w:val="none"/>
        </w:rPr>
        <w:t>依据本磋商文件规定享受扶持政策获得政府采购合同的，小微企业不得将合同分包给大中型企业，中型企业不得将合同分包给大型企业。</w:t>
      </w:r>
    </w:p>
    <w:p w14:paraId="7D38829F">
      <w:pPr>
        <w:pStyle w:val="2"/>
        <w:spacing w:line="360" w:lineRule="auto"/>
        <w:ind w:left="0" w:leftChars="0" w:firstLine="562" w:firstLineChars="175"/>
        <w:jc w:val="left"/>
        <w:rPr>
          <w:rFonts w:hint="eastAsia" w:ascii="宋体" w:hAnsi="宋体" w:cs="宋体"/>
          <w:bCs/>
          <w:color w:val="auto"/>
          <w:sz w:val="32"/>
          <w:highlight w:val="none"/>
        </w:rPr>
      </w:pPr>
    </w:p>
    <w:p w14:paraId="1A9DFD68">
      <w:pPr>
        <w:pStyle w:val="2"/>
        <w:jc w:val="center"/>
        <w:rPr>
          <w:rFonts w:hint="eastAsia" w:ascii="宋体" w:hAnsi="宋体" w:cs="宋体"/>
          <w:bCs/>
          <w:color w:val="auto"/>
          <w:sz w:val="32"/>
          <w:highlight w:val="none"/>
        </w:rPr>
      </w:pPr>
    </w:p>
    <w:p w14:paraId="4AF50DD8">
      <w:pPr>
        <w:pStyle w:val="2"/>
        <w:jc w:val="center"/>
        <w:rPr>
          <w:rFonts w:hint="eastAsia" w:ascii="宋体" w:hAnsi="宋体" w:cs="宋体"/>
          <w:bCs/>
          <w:color w:val="auto"/>
          <w:sz w:val="32"/>
          <w:highlight w:val="none"/>
        </w:rPr>
      </w:pPr>
    </w:p>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p w14:paraId="15EECF1F">
      <w:pPr>
        <w:pStyle w:val="48"/>
        <w:ind w:firstLine="0" w:firstLineChars="0"/>
        <w:rPr>
          <w:rFonts w:hint="eastAsia"/>
          <w:color w:val="auto"/>
          <w:highlight w:val="none"/>
        </w:rPr>
      </w:pPr>
    </w:p>
    <w:p w14:paraId="3F93DA14">
      <w:pPr>
        <w:pStyle w:val="48"/>
        <w:ind w:firstLine="0" w:firstLineChars="0"/>
        <w:rPr>
          <w:rFonts w:hint="eastAsia"/>
          <w:color w:val="auto"/>
          <w:highlight w:val="none"/>
        </w:rPr>
      </w:pPr>
    </w:p>
    <w:p w14:paraId="66801F78">
      <w:pPr>
        <w:pStyle w:val="48"/>
        <w:ind w:firstLine="0" w:firstLineChars="0"/>
        <w:rPr>
          <w:color w:val="auto"/>
          <w:highlight w:val="none"/>
        </w:rPr>
      </w:pPr>
      <w:r>
        <w:rPr>
          <w:rFonts w:hint="eastAsia"/>
          <w:color w:val="auto"/>
          <w:highlight w:val="none"/>
        </w:rPr>
        <w:t>附件1：</w:t>
      </w:r>
    </w:p>
    <w:p w14:paraId="35340876">
      <w:pPr>
        <w:widowControl/>
        <w:shd w:val="clear" w:color="auto" w:fill="FFFFFF"/>
        <w:spacing w:line="480" w:lineRule="atLeast"/>
        <w:jc w:val="center"/>
        <w:rPr>
          <w:rFonts w:ascii="宋体" w:hAnsi="宋体" w:cs="宋体"/>
          <w:color w:val="auto"/>
          <w:kern w:val="0"/>
          <w:sz w:val="32"/>
          <w:szCs w:val="32"/>
          <w:highlight w:val="none"/>
        </w:rPr>
      </w:pPr>
      <w:r>
        <w:rPr>
          <w:rFonts w:hint="eastAsia" w:ascii="宋体" w:hAnsi="宋体" w:cs="黑体"/>
          <w:color w:val="auto"/>
          <w:kern w:val="0"/>
          <w:sz w:val="32"/>
          <w:szCs w:val="32"/>
          <w:highlight w:val="none"/>
        </w:rPr>
        <w:t>广西壮族自治区政府采购项目合同验收书</w:t>
      </w:r>
      <w:r>
        <w:rPr>
          <w:rFonts w:hint="eastAsia" w:ascii="宋体" w:hAnsi="宋体" w:cs="宋体"/>
          <w:color w:val="auto"/>
          <w:kern w:val="0"/>
          <w:sz w:val="32"/>
          <w:szCs w:val="32"/>
          <w:highlight w:val="none"/>
        </w:rPr>
        <w:t>（格式）</w:t>
      </w:r>
    </w:p>
    <w:p w14:paraId="525924AE">
      <w:pPr>
        <w:widowControl/>
        <w:shd w:val="clear" w:color="auto" w:fill="FFFFFF"/>
        <w:spacing w:line="480" w:lineRule="atLeast"/>
        <w:jc w:val="center"/>
        <w:rPr>
          <w:rFonts w:ascii="宋体" w:hAnsi="宋体" w:cs="宋体"/>
          <w:color w:val="auto"/>
          <w:kern w:val="0"/>
          <w:szCs w:val="21"/>
          <w:highlight w:val="none"/>
        </w:rPr>
      </w:pPr>
    </w:p>
    <w:p w14:paraId="5E4C70A9">
      <w:pPr>
        <w:widowControl/>
        <w:shd w:val="clear" w:color="auto" w:fill="FFFFFF"/>
        <w:snapToGrid w:val="0"/>
        <w:spacing w:line="360" w:lineRule="auto"/>
        <w:ind w:firstLine="482"/>
        <w:jc w:val="left"/>
        <w:rPr>
          <w:rFonts w:ascii="宋体" w:hAnsi="宋体" w:cs="宋体"/>
          <w:color w:val="auto"/>
          <w:kern w:val="0"/>
          <w:sz w:val="24"/>
          <w:highlight w:val="none"/>
        </w:rPr>
      </w:pPr>
      <w:r>
        <w:rPr>
          <w:rFonts w:hint="eastAsia" w:ascii="宋体" w:hAnsi="宋体" w:cs="宋体"/>
          <w:color w:val="auto"/>
          <w:kern w:val="0"/>
          <w:sz w:val="24"/>
          <w:highlight w:val="none"/>
        </w:rPr>
        <w:t>根据政府采购项目（</w:t>
      </w:r>
      <w:r>
        <w:rPr>
          <w:rFonts w:hint="eastAsia" w:ascii="宋体" w:hAnsi="宋体" w:cs="宋体"/>
          <w:color w:val="auto"/>
          <w:kern w:val="0"/>
          <w:sz w:val="24"/>
          <w:highlight w:val="none"/>
          <w:u w:val="single"/>
        </w:rPr>
        <w:t>采购合同编号：</w:t>
      </w:r>
      <w:r>
        <w:rPr>
          <w:rFonts w:hint="eastAsia" w:ascii="宋体" w:hAnsi="宋体" w:cs="宋体"/>
          <w:color w:val="auto"/>
          <w:kern w:val="0"/>
          <w:sz w:val="24"/>
          <w:highlight w:val="none"/>
          <w:u w:val="single"/>
        </w:rPr>
        <w:softHyphen/>
      </w:r>
      <w:r>
        <w:rPr>
          <w:rFonts w:hint="eastAsia" w:ascii="宋体" w:hAnsi="宋体" w:cs="宋体"/>
          <w:color w:val="auto"/>
          <w:kern w:val="0"/>
          <w:sz w:val="24"/>
          <w:highlight w:val="none"/>
        </w:rPr>
        <w:t>）的约定，我单位对（</w:t>
      </w:r>
      <w:r>
        <w:rPr>
          <w:rFonts w:hint="eastAsia" w:ascii="宋体" w:hAnsi="宋体" w:cs="宋体"/>
          <w:color w:val="auto"/>
          <w:kern w:val="0"/>
          <w:sz w:val="24"/>
          <w:highlight w:val="none"/>
          <w:u w:val="single"/>
        </w:rPr>
        <w:t xml:space="preserve"> 项目名称 </w:t>
      </w:r>
      <w:r>
        <w:rPr>
          <w:rFonts w:hint="eastAsia" w:ascii="宋体" w:hAnsi="宋体" w:cs="宋体"/>
          <w:color w:val="auto"/>
          <w:kern w:val="0"/>
          <w:sz w:val="24"/>
          <w:highlight w:val="none"/>
        </w:rPr>
        <w:t>） 政府采购项目中标（或成交）供应商（</w:t>
      </w:r>
      <w:r>
        <w:rPr>
          <w:rFonts w:hint="eastAsia" w:ascii="宋体" w:hAnsi="宋体" w:cs="宋体"/>
          <w:color w:val="auto"/>
          <w:kern w:val="0"/>
          <w:sz w:val="24"/>
          <w:highlight w:val="none"/>
          <w:u w:val="single"/>
        </w:rPr>
        <w:t xml:space="preserve"> 公司名称 </w:t>
      </w:r>
      <w:r>
        <w:rPr>
          <w:rFonts w:hint="eastAsia" w:ascii="宋体" w:hAnsi="宋体" w:cs="宋体"/>
          <w:color w:val="auto"/>
          <w:kern w:val="0"/>
          <w:sz w:val="24"/>
          <w:highlight w:val="none"/>
        </w:rPr>
        <w:t>） 提供的货物（或工程、服务）进行了验收，验收情况如下：</w:t>
      </w:r>
    </w:p>
    <w:tbl>
      <w:tblPr>
        <w:tblStyle w:val="50"/>
        <w:tblW w:w="0" w:type="auto"/>
        <w:jc w:val="center"/>
        <w:tblLayout w:type="fixed"/>
        <w:tblCellMar>
          <w:top w:w="0" w:type="dxa"/>
          <w:left w:w="0" w:type="dxa"/>
          <w:bottom w:w="0" w:type="dxa"/>
          <w:right w:w="0" w:type="dxa"/>
        </w:tblCellMar>
      </w:tblPr>
      <w:tblGrid>
        <w:gridCol w:w="1331"/>
        <w:gridCol w:w="1921"/>
        <w:gridCol w:w="798"/>
        <w:gridCol w:w="102"/>
        <w:gridCol w:w="2002"/>
        <w:gridCol w:w="178"/>
        <w:gridCol w:w="685"/>
        <w:gridCol w:w="2354"/>
      </w:tblGrid>
      <w:tr w14:paraId="43AD18FD">
        <w:tblPrEx>
          <w:tblCellMar>
            <w:top w:w="0" w:type="dxa"/>
            <w:left w:w="0" w:type="dxa"/>
            <w:bottom w:w="0" w:type="dxa"/>
            <w:right w:w="0" w:type="dxa"/>
          </w:tblCellMar>
        </w:tblPrEx>
        <w:trPr>
          <w:trHeight w:val="497" w:hRule="atLeast"/>
          <w:jc w:val="center"/>
        </w:trPr>
        <w:tc>
          <w:tcPr>
            <w:tcW w:w="3252" w:type="dxa"/>
            <w:gridSpan w:val="2"/>
            <w:tcBorders>
              <w:top w:val="single" w:color="auto" w:sz="8" w:space="0"/>
              <w:left w:val="single" w:color="auto" w:sz="8" w:space="0"/>
              <w:bottom w:val="single" w:color="auto" w:sz="8" w:space="0"/>
              <w:right w:val="single" w:color="auto" w:sz="8" w:space="0"/>
            </w:tcBorders>
            <w:noWrap/>
            <w:vAlign w:val="center"/>
          </w:tcPr>
          <w:p w14:paraId="38E03002">
            <w:pPr>
              <w:widowControl/>
              <w:snapToGrid w:val="0"/>
              <w:spacing w:before="100" w:beforeAutospacing="1" w:after="100" w:afterAutospacing="1" w:line="320" w:lineRule="atLeast"/>
              <w:ind w:firstLine="5"/>
              <w:jc w:val="center"/>
              <w:rPr>
                <w:rFonts w:ascii="宋体" w:hAnsi="宋体" w:cs="宋体"/>
                <w:color w:val="auto"/>
                <w:kern w:val="0"/>
                <w:sz w:val="24"/>
                <w:highlight w:val="none"/>
              </w:rPr>
            </w:pPr>
            <w:r>
              <w:rPr>
                <w:rFonts w:hint="eastAsia" w:ascii="宋体" w:hAnsi="宋体" w:cs="宋体"/>
                <w:color w:val="auto"/>
                <w:kern w:val="0"/>
                <w:sz w:val="24"/>
                <w:highlight w:val="none"/>
              </w:rPr>
              <w:t>验收方式：</w:t>
            </w:r>
          </w:p>
        </w:tc>
        <w:tc>
          <w:tcPr>
            <w:tcW w:w="6119" w:type="dxa"/>
            <w:gridSpan w:val="6"/>
            <w:tcBorders>
              <w:top w:val="single" w:color="auto" w:sz="8" w:space="0"/>
              <w:left w:val="nil"/>
              <w:bottom w:val="single" w:color="auto" w:sz="8" w:space="0"/>
              <w:right w:val="single" w:color="auto" w:sz="8" w:space="0"/>
            </w:tcBorders>
            <w:noWrap/>
            <w:vAlign w:val="center"/>
          </w:tcPr>
          <w:p w14:paraId="79DF0D56">
            <w:pPr>
              <w:widowControl/>
              <w:snapToGrid w:val="0"/>
              <w:spacing w:before="100" w:beforeAutospacing="1" w:after="100" w:afterAutospacing="1" w:line="320" w:lineRule="atLeast"/>
              <w:ind w:firstLine="480"/>
              <w:jc w:val="center"/>
              <w:rPr>
                <w:rFonts w:ascii="宋体" w:hAnsi="宋体" w:cs="宋体"/>
                <w:color w:val="auto"/>
                <w:kern w:val="0"/>
                <w:sz w:val="24"/>
                <w:highlight w:val="none"/>
              </w:rPr>
            </w:pPr>
            <w:r>
              <w:rPr>
                <w:rFonts w:hint="eastAsia" w:ascii="宋体" w:hAnsi="宋体" w:cs="宋体"/>
                <w:color w:val="auto"/>
                <w:kern w:val="0"/>
                <w:sz w:val="24"/>
                <w:highlight w:val="none"/>
              </w:rPr>
              <w:t>□自行验收 □委托验收</w:t>
            </w:r>
          </w:p>
        </w:tc>
      </w:tr>
      <w:tr w14:paraId="59D0A486">
        <w:tblPrEx>
          <w:tblCellMar>
            <w:top w:w="0" w:type="dxa"/>
            <w:left w:w="0" w:type="dxa"/>
            <w:bottom w:w="0" w:type="dxa"/>
            <w:right w:w="0" w:type="dxa"/>
          </w:tblCellMar>
        </w:tblPrEx>
        <w:trPr>
          <w:trHeight w:val="622" w:hRule="atLeast"/>
          <w:jc w:val="center"/>
        </w:trPr>
        <w:tc>
          <w:tcPr>
            <w:tcW w:w="1331" w:type="dxa"/>
            <w:tcBorders>
              <w:top w:val="nil"/>
              <w:left w:val="single" w:color="auto" w:sz="8" w:space="0"/>
              <w:bottom w:val="single" w:color="auto" w:sz="8" w:space="0"/>
              <w:right w:val="single" w:color="auto" w:sz="8" w:space="0"/>
            </w:tcBorders>
            <w:noWrap/>
            <w:vAlign w:val="center"/>
          </w:tcPr>
          <w:p w14:paraId="275EABD6">
            <w:pPr>
              <w:widowControl/>
              <w:snapToGrid w:val="0"/>
              <w:spacing w:before="100" w:beforeAutospacing="1" w:after="100" w:afterAutospacing="1" w:line="320" w:lineRule="atLeast"/>
              <w:ind w:firstLine="2"/>
              <w:jc w:val="center"/>
              <w:rPr>
                <w:rFonts w:ascii="宋体" w:hAnsi="宋体" w:cs="宋体"/>
                <w:color w:val="auto"/>
                <w:kern w:val="0"/>
                <w:sz w:val="24"/>
                <w:highlight w:val="none"/>
              </w:rPr>
            </w:pPr>
            <w:r>
              <w:rPr>
                <w:rFonts w:hint="eastAsia" w:ascii="宋体" w:hAnsi="宋体" w:cs="宋体"/>
                <w:color w:val="auto"/>
                <w:kern w:val="0"/>
                <w:sz w:val="24"/>
                <w:highlight w:val="none"/>
              </w:rPr>
              <w:t>序号</w:t>
            </w:r>
          </w:p>
        </w:tc>
        <w:tc>
          <w:tcPr>
            <w:tcW w:w="1921" w:type="dxa"/>
            <w:tcBorders>
              <w:top w:val="nil"/>
              <w:left w:val="nil"/>
              <w:bottom w:val="single" w:color="auto" w:sz="8" w:space="0"/>
              <w:right w:val="single" w:color="auto" w:sz="8" w:space="0"/>
            </w:tcBorders>
            <w:noWrap/>
            <w:vAlign w:val="center"/>
          </w:tcPr>
          <w:p w14:paraId="414FA666">
            <w:pPr>
              <w:widowControl/>
              <w:snapToGrid w:val="0"/>
              <w:spacing w:before="100" w:beforeAutospacing="1" w:after="100" w:afterAutospacing="1" w:line="320" w:lineRule="atLeast"/>
              <w:ind w:firstLine="2"/>
              <w:jc w:val="center"/>
              <w:rPr>
                <w:rFonts w:ascii="宋体" w:hAnsi="宋体" w:cs="宋体"/>
                <w:color w:val="auto"/>
                <w:kern w:val="0"/>
                <w:sz w:val="24"/>
                <w:highlight w:val="none"/>
              </w:rPr>
            </w:pPr>
            <w:r>
              <w:rPr>
                <w:rFonts w:hint="eastAsia" w:ascii="宋体" w:hAnsi="宋体" w:cs="宋体"/>
                <w:color w:val="auto"/>
                <w:kern w:val="0"/>
                <w:sz w:val="24"/>
                <w:highlight w:val="none"/>
              </w:rPr>
              <w:t>名 称</w:t>
            </w:r>
          </w:p>
        </w:tc>
        <w:tc>
          <w:tcPr>
            <w:tcW w:w="2902" w:type="dxa"/>
            <w:gridSpan w:val="3"/>
            <w:tcBorders>
              <w:top w:val="nil"/>
              <w:left w:val="nil"/>
              <w:bottom w:val="single" w:color="auto" w:sz="8" w:space="0"/>
              <w:right w:val="single" w:color="auto" w:sz="8" w:space="0"/>
            </w:tcBorders>
            <w:noWrap/>
            <w:vAlign w:val="center"/>
          </w:tcPr>
          <w:p w14:paraId="4717E1F9">
            <w:pPr>
              <w:widowControl/>
              <w:snapToGrid w:val="0"/>
              <w:spacing w:before="100" w:beforeAutospacing="1" w:after="100" w:afterAutospacing="1" w:line="320" w:lineRule="atLeast"/>
              <w:ind w:firstLine="2"/>
              <w:jc w:val="center"/>
              <w:rPr>
                <w:rFonts w:ascii="宋体" w:hAnsi="宋体" w:cs="宋体"/>
                <w:color w:val="auto"/>
                <w:kern w:val="0"/>
                <w:sz w:val="24"/>
                <w:highlight w:val="none"/>
              </w:rPr>
            </w:pPr>
            <w:r>
              <w:rPr>
                <w:rFonts w:hint="eastAsia" w:ascii="宋体" w:hAnsi="宋体" w:cs="宋体"/>
                <w:color w:val="auto"/>
                <w:kern w:val="0"/>
                <w:sz w:val="24"/>
                <w:highlight w:val="none"/>
              </w:rPr>
              <w:t>货物型号规格、标准及配置等（或服务内容、标准）</w:t>
            </w:r>
          </w:p>
        </w:tc>
        <w:tc>
          <w:tcPr>
            <w:tcW w:w="863" w:type="dxa"/>
            <w:gridSpan w:val="2"/>
            <w:tcBorders>
              <w:top w:val="nil"/>
              <w:left w:val="nil"/>
              <w:bottom w:val="single" w:color="auto" w:sz="8" w:space="0"/>
              <w:right w:val="single" w:color="auto" w:sz="8" w:space="0"/>
            </w:tcBorders>
            <w:noWrap/>
            <w:vAlign w:val="center"/>
          </w:tcPr>
          <w:p w14:paraId="2C9C2F54">
            <w:pPr>
              <w:widowControl/>
              <w:snapToGrid w:val="0"/>
              <w:spacing w:before="100" w:beforeAutospacing="1" w:after="100" w:afterAutospacing="1" w:line="320" w:lineRule="atLeast"/>
              <w:jc w:val="center"/>
              <w:rPr>
                <w:rFonts w:ascii="宋体" w:hAnsi="宋体" w:cs="宋体"/>
                <w:color w:val="auto"/>
                <w:kern w:val="0"/>
                <w:sz w:val="24"/>
                <w:highlight w:val="none"/>
              </w:rPr>
            </w:pPr>
            <w:r>
              <w:rPr>
                <w:rFonts w:hint="eastAsia" w:ascii="宋体" w:hAnsi="宋体" w:cs="宋体"/>
                <w:color w:val="auto"/>
                <w:kern w:val="0"/>
                <w:sz w:val="24"/>
                <w:highlight w:val="none"/>
              </w:rPr>
              <w:t>数量</w:t>
            </w:r>
          </w:p>
        </w:tc>
        <w:tc>
          <w:tcPr>
            <w:tcW w:w="2354" w:type="dxa"/>
            <w:tcBorders>
              <w:top w:val="nil"/>
              <w:left w:val="nil"/>
              <w:bottom w:val="single" w:color="auto" w:sz="8" w:space="0"/>
              <w:right w:val="single" w:color="auto" w:sz="8" w:space="0"/>
            </w:tcBorders>
            <w:noWrap/>
            <w:vAlign w:val="center"/>
          </w:tcPr>
          <w:p w14:paraId="43A465C2">
            <w:pPr>
              <w:widowControl/>
              <w:snapToGrid w:val="0"/>
              <w:spacing w:before="100" w:beforeAutospacing="1" w:after="100" w:afterAutospacing="1" w:line="320" w:lineRule="atLeast"/>
              <w:ind w:firstLine="2"/>
              <w:jc w:val="center"/>
              <w:rPr>
                <w:rFonts w:ascii="宋体" w:hAnsi="宋体" w:cs="宋体"/>
                <w:color w:val="auto"/>
                <w:kern w:val="0"/>
                <w:sz w:val="24"/>
                <w:highlight w:val="none"/>
              </w:rPr>
            </w:pPr>
            <w:r>
              <w:rPr>
                <w:rFonts w:hint="eastAsia" w:ascii="宋体" w:hAnsi="宋体" w:cs="宋体"/>
                <w:color w:val="auto"/>
                <w:kern w:val="0"/>
                <w:sz w:val="24"/>
                <w:highlight w:val="none"/>
              </w:rPr>
              <w:t>金 额</w:t>
            </w:r>
          </w:p>
        </w:tc>
      </w:tr>
      <w:tr w14:paraId="4916C759">
        <w:tblPrEx>
          <w:tblCellMar>
            <w:top w:w="0" w:type="dxa"/>
            <w:left w:w="0" w:type="dxa"/>
            <w:bottom w:w="0" w:type="dxa"/>
            <w:right w:w="0" w:type="dxa"/>
          </w:tblCellMar>
        </w:tblPrEx>
        <w:trPr>
          <w:trHeight w:val="487" w:hRule="atLeast"/>
          <w:jc w:val="center"/>
        </w:trPr>
        <w:tc>
          <w:tcPr>
            <w:tcW w:w="1331" w:type="dxa"/>
            <w:tcBorders>
              <w:top w:val="nil"/>
              <w:left w:val="single" w:color="auto" w:sz="8" w:space="0"/>
              <w:bottom w:val="single" w:color="auto" w:sz="8" w:space="0"/>
              <w:right w:val="single" w:color="auto" w:sz="8" w:space="0"/>
            </w:tcBorders>
            <w:noWrap/>
            <w:vAlign w:val="center"/>
          </w:tcPr>
          <w:p w14:paraId="53A791BA">
            <w:pPr>
              <w:widowControl/>
              <w:spacing w:before="100" w:beforeAutospacing="1" w:after="100" w:afterAutospacing="1" w:line="240" w:lineRule="atLeast"/>
              <w:jc w:val="center"/>
              <w:rPr>
                <w:rFonts w:ascii="宋体" w:hAnsi="宋体" w:cs="宋体"/>
                <w:color w:val="auto"/>
                <w:kern w:val="0"/>
                <w:sz w:val="24"/>
                <w:highlight w:val="none"/>
              </w:rPr>
            </w:pPr>
          </w:p>
        </w:tc>
        <w:tc>
          <w:tcPr>
            <w:tcW w:w="1921" w:type="dxa"/>
            <w:tcBorders>
              <w:top w:val="nil"/>
              <w:left w:val="nil"/>
              <w:bottom w:val="single" w:color="auto" w:sz="8" w:space="0"/>
              <w:right w:val="single" w:color="auto" w:sz="8" w:space="0"/>
            </w:tcBorders>
            <w:noWrap/>
            <w:vAlign w:val="center"/>
          </w:tcPr>
          <w:p w14:paraId="3AB43603">
            <w:pPr>
              <w:widowControl/>
              <w:spacing w:before="100" w:beforeAutospacing="1" w:after="100" w:afterAutospacing="1" w:line="240" w:lineRule="atLeast"/>
              <w:jc w:val="center"/>
              <w:rPr>
                <w:rFonts w:ascii="宋体" w:hAnsi="宋体" w:cs="宋体"/>
                <w:color w:val="auto"/>
                <w:kern w:val="0"/>
                <w:sz w:val="24"/>
                <w:highlight w:val="none"/>
              </w:rPr>
            </w:pPr>
          </w:p>
        </w:tc>
        <w:tc>
          <w:tcPr>
            <w:tcW w:w="2902" w:type="dxa"/>
            <w:gridSpan w:val="3"/>
            <w:tcBorders>
              <w:top w:val="nil"/>
              <w:left w:val="nil"/>
              <w:bottom w:val="single" w:color="auto" w:sz="8" w:space="0"/>
              <w:right w:val="single" w:color="auto" w:sz="8" w:space="0"/>
            </w:tcBorders>
            <w:noWrap/>
            <w:vAlign w:val="center"/>
          </w:tcPr>
          <w:p w14:paraId="58EAB2F6">
            <w:pPr>
              <w:widowControl/>
              <w:spacing w:before="100" w:beforeAutospacing="1" w:after="100" w:afterAutospacing="1" w:line="240" w:lineRule="atLeast"/>
              <w:jc w:val="center"/>
              <w:rPr>
                <w:rFonts w:ascii="宋体" w:hAnsi="宋体" w:cs="宋体"/>
                <w:color w:val="auto"/>
                <w:kern w:val="0"/>
                <w:sz w:val="24"/>
                <w:highlight w:val="none"/>
              </w:rPr>
            </w:pPr>
          </w:p>
        </w:tc>
        <w:tc>
          <w:tcPr>
            <w:tcW w:w="863" w:type="dxa"/>
            <w:gridSpan w:val="2"/>
            <w:tcBorders>
              <w:top w:val="nil"/>
              <w:left w:val="nil"/>
              <w:bottom w:val="single" w:color="auto" w:sz="8" w:space="0"/>
              <w:right w:val="single" w:color="auto" w:sz="8" w:space="0"/>
            </w:tcBorders>
            <w:noWrap/>
            <w:vAlign w:val="center"/>
          </w:tcPr>
          <w:p w14:paraId="0DEDADC3">
            <w:pPr>
              <w:widowControl/>
              <w:spacing w:before="100" w:beforeAutospacing="1" w:after="100" w:afterAutospacing="1" w:line="240" w:lineRule="atLeast"/>
              <w:jc w:val="center"/>
              <w:rPr>
                <w:rFonts w:ascii="宋体" w:hAnsi="宋体" w:cs="宋体"/>
                <w:color w:val="auto"/>
                <w:kern w:val="0"/>
                <w:sz w:val="24"/>
                <w:highlight w:val="none"/>
              </w:rPr>
            </w:pPr>
          </w:p>
        </w:tc>
        <w:tc>
          <w:tcPr>
            <w:tcW w:w="2354" w:type="dxa"/>
            <w:tcBorders>
              <w:top w:val="nil"/>
              <w:left w:val="nil"/>
              <w:bottom w:val="single" w:color="auto" w:sz="8" w:space="0"/>
              <w:right w:val="single" w:color="auto" w:sz="8" w:space="0"/>
            </w:tcBorders>
            <w:noWrap/>
            <w:vAlign w:val="center"/>
          </w:tcPr>
          <w:p w14:paraId="4AFFE7DC">
            <w:pPr>
              <w:widowControl/>
              <w:spacing w:before="100" w:beforeAutospacing="1" w:after="100" w:afterAutospacing="1" w:line="240" w:lineRule="atLeast"/>
              <w:jc w:val="center"/>
              <w:rPr>
                <w:rFonts w:ascii="宋体" w:hAnsi="宋体" w:cs="宋体"/>
                <w:color w:val="auto"/>
                <w:kern w:val="0"/>
                <w:sz w:val="24"/>
                <w:highlight w:val="none"/>
              </w:rPr>
            </w:pPr>
          </w:p>
        </w:tc>
      </w:tr>
      <w:tr w14:paraId="2F05497D">
        <w:tblPrEx>
          <w:tblCellMar>
            <w:top w:w="0" w:type="dxa"/>
            <w:left w:w="0" w:type="dxa"/>
            <w:bottom w:w="0" w:type="dxa"/>
            <w:right w:w="0" w:type="dxa"/>
          </w:tblCellMar>
        </w:tblPrEx>
        <w:trPr>
          <w:trHeight w:val="487" w:hRule="atLeast"/>
          <w:jc w:val="center"/>
        </w:trPr>
        <w:tc>
          <w:tcPr>
            <w:tcW w:w="1331" w:type="dxa"/>
            <w:tcBorders>
              <w:top w:val="nil"/>
              <w:left w:val="single" w:color="auto" w:sz="8" w:space="0"/>
              <w:bottom w:val="single" w:color="auto" w:sz="8" w:space="0"/>
              <w:right w:val="single" w:color="auto" w:sz="8" w:space="0"/>
            </w:tcBorders>
            <w:noWrap/>
            <w:vAlign w:val="center"/>
          </w:tcPr>
          <w:p w14:paraId="5B6151D2">
            <w:pPr>
              <w:widowControl/>
              <w:spacing w:before="100" w:beforeAutospacing="1" w:after="100" w:afterAutospacing="1" w:line="240" w:lineRule="atLeast"/>
              <w:jc w:val="center"/>
              <w:rPr>
                <w:rFonts w:ascii="宋体" w:hAnsi="宋体" w:cs="宋体"/>
                <w:color w:val="auto"/>
                <w:kern w:val="0"/>
                <w:sz w:val="24"/>
                <w:highlight w:val="none"/>
              </w:rPr>
            </w:pPr>
          </w:p>
        </w:tc>
        <w:tc>
          <w:tcPr>
            <w:tcW w:w="1921" w:type="dxa"/>
            <w:tcBorders>
              <w:top w:val="nil"/>
              <w:left w:val="nil"/>
              <w:bottom w:val="single" w:color="auto" w:sz="8" w:space="0"/>
              <w:right w:val="single" w:color="auto" w:sz="8" w:space="0"/>
            </w:tcBorders>
            <w:noWrap/>
            <w:vAlign w:val="center"/>
          </w:tcPr>
          <w:p w14:paraId="436D1A59">
            <w:pPr>
              <w:widowControl/>
              <w:spacing w:before="100" w:beforeAutospacing="1" w:after="100" w:afterAutospacing="1" w:line="240" w:lineRule="atLeast"/>
              <w:jc w:val="center"/>
              <w:rPr>
                <w:rFonts w:ascii="宋体" w:hAnsi="宋体" w:cs="宋体"/>
                <w:color w:val="auto"/>
                <w:kern w:val="0"/>
                <w:sz w:val="24"/>
                <w:highlight w:val="none"/>
              </w:rPr>
            </w:pPr>
          </w:p>
        </w:tc>
        <w:tc>
          <w:tcPr>
            <w:tcW w:w="2902" w:type="dxa"/>
            <w:gridSpan w:val="3"/>
            <w:tcBorders>
              <w:top w:val="nil"/>
              <w:left w:val="nil"/>
              <w:bottom w:val="single" w:color="auto" w:sz="8" w:space="0"/>
              <w:right w:val="single" w:color="auto" w:sz="8" w:space="0"/>
            </w:tcBorders>
            <w:noWrap/>
            <w:vAlign w:val="center"/>
          </w:tcPr>
          <w:p w14:paraId="0AC7AFFB">
            <w:pPr>
              <w:widowControl/>
              <w:spacing w:before="100" w:beforeAutospacing="1" w:after="100" w:afterAutospacing="1" w:line="240" w:lineRule="atLeast"/>
              <w:jc w:val="center"/>
              <w:rPr>
                <w:rFonts w:ascii="宋体" w:hAnsi="宋体" w:cs="宋体"/>
                <w:color w:val="auto"/>
                <w:kern w:val="0"/>
                <w:sz w:val="24"/>
                <w:highlight w:val="none"/>
              </w:rPr>
            </w:pPr>
          </w:p>
        </w:tc>
        <w:tc>
          <w:tcPr>
            <w:tcW w:w="863" w:type="dxa"/>
            <w:gridSpan w:val="2"/>
            <w:tcBorders>
              <w:top w:val="nil"/>
              <w:left w:val="nil"/>
              <w:bottom w:val="single" w:color="auto" w:sz="8" w:space="0"/>
              <w:right w:val="single" w:color="auto" w:sz="8" w:space="0"/>
            </w:tcBorders>
            <w:noWrap/>
            <w:vAlign w:val="center"/>
          </w:tcPr>
          <w:p w14:paraId="5B063887">
            <w:pPr>
              <w:widowControl/>
              <w:spacing w:before="100" w:beforeAutospacing="1" w:after="100" w:afterAutospacing="1" w:line="240" w:lineRule="atLeast"/>
              <w:jc w:val="center"/>
              <w:rPr>
                <w:rFonts w:ascii="宋体" w:hAnsi="宋体" w:cs="宋体"/>
                <w:color w:val="auto"/>
                <w:kern w:val="0"/>
                <w:sz w:val="24"/>
                <w:highlight w:val="none"/>
              </w:rPr>
            </w:pPr>
          </w:p>
        </w:tc>
        <w:tc>
          <w:tcPr>
            <w:tcW w:w="2354" w:type="dxa"/>
            <w:tcBorders>
              <w:top w:val="nil"/>
              <w:left w:val="nil"/>
              <w:bottom w:val="single" w:color="auto" w:sz="8" w:space="0"/>
              <w:right w:val="single" w:color="auto" w:sz="8" w:space="0"/>
            </w:tcBorders>
            <w:noWrap/>
            <w:vAlign w:val="center"/>
          </w:tcPr>
          <w:p w14:paraId="525AB022">
            <w:pPr>
              <w:widowControl/>
              <w:spacing w:before="100" w:beforeAutospacing="1" w:after="100" w:afterAutospacing="1" w:line="240" w:lineRule="atLeast"/>
              <w:jc w:val="center"/>
              <w:rPr>
                <w:rFonts w:ascii="宋体" w:hAnsi="宋体" w:cs="宋体"/>
                <w:color w:val="auto"/>
                <w:kern w:val="0"/>
                <w:sz w:val="24"/>
                <w:highlight w:val="none"/>
              </w:rPr>
            </w:pPr>
          </w:p>
        </w:tc>
      </w:tr>
      <w:tr w14:paraId="66CC9225">
        <w:tblPrEx>
          <w:tblCellMar>
            <w:top w:w="0" w:type="dxa"/>
            <w:left w:w="0" w:type="dxa"/>
            <w:bottom w:w="0" w:type="dxa"/>
            <w:right w:w="0" w:type="dxa"/>
          </w:tblCellMar>
        </w:tblPrEx>
        <w:trPr>
          <w:trHeight w:val="487" w:hRule="atLeast"/>
          <w:jc w:val="center"/>
        </w:trPr>
        <w:tc>
          <w:tcPr>
            <w:tcW w:w="1331" w:type="dxa"/>
            <w:tcBorders>
              <w:top w:val="nil"/>
              <w:left w:val="single" w:color="auto" w:sz="8" w:space="0"/>
              <w:bottom w:val="single" w:color="auto" w:sz="8" w:space="0"/>
              <w:right w:val="single" w:color="auto" w:sz="8" w:space="0"/>
            </w:tcBorders>
            <w:noWrap/>
            <w:vAlign w:val="center"/>
          </w:tcPr>
          <w:p w14:paraId="42D6ABF5">
            <w:pPr>
              <w:widowControl/>
              <w:spacing w:before="100" w:beforeAutospacing="1" w:after="100" w:afterAutospacing="1" w:line="240" w:lineRule="atLeast"/>
              <w:jc w:val="center"/>
              <w:rPr>
                <w:rFonts w:ascii="宋体" w:hAnsi="宋体" w:cs="宋体"/>
                <w:color w:val="auto"/>
                <w:kern w:val="0"/>
                <w:sz w:val="24"/>
                <w:highlight w:val="none"/>
              </w:rPr>
            </w:pPr>
          </w:p>
        </w:tc>
        <w:tc>
          <w:tcPr>
            <w:tcW w:w="1921" w:type="dxa"/>
            <w:tcBorders>
              <w:top w:val="nil"/>
              <w:left w:val="nil"/>
              <w:bottom w:val="single" w:color="auto" w:sz="8" w:space="0"/>
              <w:right w:val="single" w:color="auto" w:sz="8" w:space="0"/>
            </w:tcBorders>
            <w:noWrap/>
            <w:vAlign w:val="center"/>
          </w:tcPr>
          <w:p w14:paraId="6A5126C1">
            <w:pPr>
              <w:widowControl/>
              <w:spacing w:before="100" w:beforeAutospacing="1" w:after="100" w:afterAutospacing="1" w:line="240" w:lineRule="atLeast"/>
              <w:jc w:val="center"/>
              <w:rPr>
                <w:rFonts w:ascii="宋体" w:hAnsi="宋体" w:cs="宋体"/>
                <w:color w:val="auto"/>
                <w:kern w:val="0"/>
                <w:sz w:val="24"/>
                <w:highlight w:val="none"/>
              </w:rPr>
            </w:pPr>
          </w:p>
        </w:tc>
        <w:tc>
          <w:tcPr>
            <w:tcW w:w="2902" w:type="dxa"/>
            <w:gridSpan w:val="3"/>
            <w:tcBorders>
              <w:top w:val="nil"/>
              <w:left w:val="nil"/>
              <w:bottom w:val="single" w:color="auto" w:sz="8" w:space="0"/>
              <w:right w:val="single" w:color="auto" w:sz="8" w:space="0"/>
            </w:tcBorders>
            <w:noWrap/>
            <w:vAlign w:val="center"/>
          </w:tcPr>
          <w:p w14:paraId="0914187E">
            <w:pPr>
              <w:widowControl/>
              <w:spacing w:before="100" w:beforeAutospacing="1" w:after="100" w:afterAutospacing="1" w:line="240" w:lineRule="atLeast"/>
              <w:jc w:val="center"/>
              <w:rPr>
                <w:rFonts w:ascii="宋体" w:hAnsi="宋体" w:cs="宋体"/>
                <w:color w:val="auto"/>
                <w:kern w:val="0"/>
                <w:sz w:val="24"/>
                <w:highlight w:val="none"/>
              </w:rPr>
            </w:pPr>
          </w:p>
        </w:tc>
        <w:tc>
          <w:tcPr>
            <w:tcW w:w="863" w:type="dxa"/>
            <w:gridSpan w:val="2"/>
            <w:tcBorders>
              <w:top w:val="nil"/>
              <w:left w:val="nil"/>
              <w:bottom w:val="single" w:color="auto" w:sz="8" w:space="0"/>
              <w:right w:val="single" w:color="auto" w:sz="8" w:space="0"/>
            </w:tcBorders>
            <w:noWrap/>
            <w:vAlign w:val="center"/>
          </w:tcPr>
          <w:p w14:paraId="60F0F41A">
            <w:pPr>
              <w:widowControl/>
              <w:spacing w:before="100" w:beforeAutospacing="1" w:after="100" w:afterAutospacing="1" w:line="240" w:lineRule="atLeast"/>
              <w:jc w:val="center"/>
              <w:rPr>
                <w:rFonts w:ascii="宋体" w:hAnsi="宋体" w:cs="宋体"/>
                <w:color w:val="auto"/>
                <w:kern w:val="0"/>
                <w:sz w:val="24"/>
                <w:highlight w:val="none"/>
              </w:rPr>
            </w:pPr>
          </w:p>
        </w:tc>
        <w:tc>
          <w:tcPr>
            <w:tcW w:w="2354" w:type="dxa"/>
            <w:tcBorders>
              <w:top w:val="nil"/>
              <w:left w:val="nil"/>
              <w:bottom w:val="single" w:color="auto" w:sz="8" w:space="0"/>
              <w:right w:val="single" w:color="auto" w:sz="8" w:space="0"/>
            </w:tcBorders>
            <w:noWrap/>
            <w:vAlign w:val="center"/>
          </w:tcPr>
          <w:p w14:paraId="06682A50">
            <w:pPr>
              <w:widowControl/>
              <w:spacing w:before="100" w:beforeAutospacing="1" w:after="100" w:afterAutospacing="1" w:line="240" w:lineRule="atLeast"/>
              <w:jc w:val="center"/>
              <w:rPr>
                <w:rFonts w:ascii="宋体" w:hAnsi="宋体" w:cs="宋体"/>
                <w:color w:val="auto"/>
                <w:kern w:val="0"/>
                <w:sz w:val="24"/>
                <w:highlight w:val="none"/>
              </w:rPr>
            </w:pPr>
          </w:p>
        </w:tc>
      </w:tr>
      <w:tr w14:paraId="15851D3B">
        <w:tblPrEx>
          <w:tblCellMar>
            <w:top w:w="0" w:type="dxa"/>
            <w:left w:w="0" w:type="dxa"/>
            <w:bottom w:w="0" w:type="dxa"/>
            <w:right w:w="0" w:type="dxa"/>
          </w:tblCellMar>
        </w:tblPrEx>
        <w:trPr>
          <w:trHeight w:val="487" w:hRule="atLeast"/>
          <w:jc w:val="center"/>
        </w:trPr>
        <w:tc>
          <w:tcPr>
            <w:tcW w:w="6154" w:type="dxa"/>
            <w:gridSpan w:val="5"/>
            <w:tcBorders>
              <w:top w:val="nil"/>
              <w:left w:val="single" w:color="auto" w:sz="8" w:space="0"/>
              <w:bottom w:val="single" w:color="auto" w:sz="8" w:space="0"/>
              <w:right w:val="single" w:color="auto" w:sz="8" w:space="0"/>
            </w:tcBorders>
            <w:noWrap/>
            <w:vAlign w:val="center"/>
          </w:tcPr>
          <w:p w14:paraId="6467BDF9">
            <w:pPr>
              <w:widowControl/>
              <w:snapToGrid w:val="0"/>
              <w:spacing w:before="100" w:beforeAutospacing="1" w:after="100" w:afterAutospacing="1" w:line="320" w:lineRule="atLeast"/>
              <w:ind w:firstLine="5"/>
              <w:jc w:val="center"/>
              <w:rPr>
                <w:rFonts w:ascii="宋体" w:hAnsi="宋体" w:cs="宋体"/>
                <w:color w:val="auto"/>
                <w:kern w:val="0"/>
                <w:sz w:val="24"/>
                <w:highlight w:val="none"/>
              </w:rPr>
            </w:pPr>
            <w:r>
              <w:rPr>
                <w:rFonts w:hint="eastAsia" w:ascii="宋体" w:hAnsi="宋体" w:cs="宋体"/>
                <w:color w:val="auto"/>
                <w:kern w:val="0"/>
                <w:sz w:val="24"/>
                <w:highlight w:val="none"/>
              </w:rPr>
              <w:t>合 计</w:t>
            </w:r>
          </w:p>
        </w:tc>
        <w:tc>
          <w:tcPr>
            <w:tcW w:w="863" w:type="dxa"/>
            <w:gridSpan w:val="2"/>
            <w:tcBorders>
              <w:top w:val="nil"/>
              <w:left w:val="nil"/>
              <w:bottom w:val="single" w:color="auto" w:sz="8" w:space="0"/>
              <w:right w:val="single" w:color="auto" w:sz="8" w:space="0"/>
            </w:tcBorders>
            <w:noWrap/>
            <w:vAlign w:val="center"/>
          </w:tcPr>
          <w:p w14:paraId="32D01281">
            <w:pPr>
              <w:widowControl/>
              <w:spacing w:before="100" w:beforeAutospacing="1" w:after="100" w:afterAutospacing="1" w:line="240" w:lineRule="atLeast"/>
              <w:jc w:val="center"/>
              <w:rPr>
                <w:rFonts w:ascii="宋体" w:hAnsi="宋体" w:cs="宋体"/>
                <w:color w:val="auto"/>
                <w:kern w:val="0"/>
                <w:sz w:val="24"/>
                <w:highlight w:val="none"/>
              </w:rPr>
            </w:pPr>
          </w:p>
        </w:tc>
        <w:tc>
          <w:tcPr>
            <w:tcW w:w="2354" w:type="dxa"/>
            <w:tcBorders>
              <w:top w:val="nil"/>
              <w:left w:val="nil"/>
              <w:bottom w:val="single" w:color="auto" w:sz="8" w:space="0"/>
              <w:right w:val="single" w:color="auto" w:sz="8" w:space="0"/>
            </w:tcBorders>
            <w:noWrap/>
            <w:vAlign w:val="center"/>
          </w:tcPr>
          <w:p w14:paraId="657CA75C">
            <w:pPr>
              <w:widowControl/>
              <w:spacing w:before="100" w:beforeAutospacing="1" w:after="100" w:afterAutospacing="1" w:line="240" w:lineRule="atLeast"/>
              <w:jc w:val="center"/>
              <w:rPr>
                <w:rFonts w:ascii="宋体" w:hAnsi="宋体" w:cs="宋体"/>
                <w:color w:val="auto"/>
                <w:kern w:val="0"/>
                <w:sz w:val="24"/>
                <w:highlight w:val="none"/>
              </w:rPr>
            </w:pPr>
          </w:p>
        </w:tc>
      </w:tr>
      <w:tr w14:paraId="55CACA05">
        <w:tblPrEx>
          <w:tblCellMar>
            <w:top w:w="0" w:type="dxa"/>
            <w:left w:w="0" w:type="dxa"/>
            <w:bottom w:w="0" w:type="dxa"/>
            <w:right w:w="0" w:type="dxa"/>
          </w:tblCellMar>
        </w:tblPrEx>
        <w:trPr>
          <w:trHeight w:val="641" w:hRule="atLeast"/>
          <w:jc w:val="center"/>
        </w:trPr>
        <w:tc>
          <w:tcPr>
            <w:tcW w:w="9371" w:type="dxa"/>
            <w:gridSpan w:val="8"/>
            <w:tcBorders>
              <w:top w:val="nil"/>
              <w:left w:val="single" w:color="auto" w:sz="8" w:space="0"/>
              <w:bottom w:val="single" w:color="auto" w:sz="8" w:space="0"/>
              <w:right w:val="single" w:color="auto" w:sz="8" w:space="0"/>
            </w:tcBorders>
            <w:noWrap/>
            <w:vAlign w:val="center"/>
          </w:tcPr>
          <w:p w14:paraId="66D8359E">
            <w:pPr>
              <w:widowControl/>
              <w:snapToGrid w:val="0"/>
              <w:spacing w:before="100" w:beforeAutospacing="1" w:after="100" w:afterAutospacing="1" w:line="320" w:lineRule="atLeast"/>
              <w:ind w:firstLine="2"/>
              <w:jc w:val="left"/>
              <w:rPr>
                <w:rFonts w:ascii="宋体" w:hAnsi="宋体" w:cs="宋体"/>
                <w:color w:val="auto"/>
                <w:kern w:val="0"/>
                <w:sz w:val="24"/>
                <w:highlight w:val="none"/>
              </w:rPr>
            </w:pPr>
            <w:r>
              <w:rPr>
                <w:rFonts w:hint="eastAsia" w:ascii="宋体" w:hAnsi="宋体" w:cs="宋体"/>
                <w:color w:val="auto"/>
                <w:kern w:val="0"/>
                <w:sz w:val="24"/>
                <w:highlight w:val="none"/>
              </w:rPr>
              <w:t>合计大写金额： 亿 仟 佰 拾 万 仟 佰 拾 元</w:t>
            </w:r>
          </w:p>
        </w:tc>
      </w:tr>
      <w:tr w14:paraId="6F376B04">
        <w:tblPrEx>
          <w:tblCellMar>
            <w:top w:w="0" w:type="dxa"/>
            <w:left w:w="0" w:type="dxa"/>
            <w:bottom w:w="0" w:type="dxa"/>
            <w:right w:w="0" w:type="dxa"/>
          </w:tblCellMar>
        </w:tblPrEx>
        <w:trPr>
          <w:trHeight w:val="641" w:hRule="atLeast"/>
          <w:jc w:val="center"/>
        </w:trPr>
        <w:tc>
          <w:tcPr>
            <w:tcW w:w="1331" w:type="dxa"/>
            <w:tcBorders>
              <w:top w:val="nil"/>
              <w:left w:val="single" w:color="auto" w:sz="8" w:space="0"/>
              <w:bottom w:val="single" w:color="auto" w:sz="8" w:space="0"/>
              <w:right w:val="single" w:color="auto" w:sz="8" w:space="0"/>
            </w:tcBorders>
            <w:noWrap/>
            <w:vAlign w:val="center"/>
          </w:tcPr>
          <w:p w14:paraId="2A2E0C05">
            <w:pPr>
              <w:widowControl/>
              <w:snapToGrid w:val="0"/>
              <w:spacing w:before="100" w:beforeAutospacing="1" w:after="100" w:afterAutospacing="1" w:line="320" w:lineRule="atLeast"/>
              <w:ind w:firstLine="2"/>
              <w:jc w:val="center"/>
              <w:rPr>
                <w:rFonts w:ascii="宋体" w:hAnsi="宋体" w:cs="宋体"/>
                <w:color w:val="auto"/>
                <w:kern w:val="0"/>
                <w:sz w:val="24"/>
                <w:highlight w:val="none"/>
              </w:rPr>
            </w:pPr>
            <w:r>
              <w:rPr>
                <w:rFonts w:hint="eastAsia" w:ascii="宋体" w:hAnsi="宋体" w:cs="宋体"/>
                <w:color w:val="auto"/>
                <w:kern w:val="0"/>
                <w:sz w:val="24"/>
                <w:highlight w:val="none"/>
              </w:rPr>
              <w:t>实际供货日期</w:t>
            </w:r>
          </w:p>
        </w:tc>
        <w:tc>
          <w:tcPr>
            <w:tcW w:w="2719" w:type="dxa"/>
            <w:gridSpan w:val="2"/>
            <w:tcBorders>
              <w:top w:val="nil"/>
              <w:left w:val="nil"/>
              <w:bottom w:val="single" w:color="auto" w:sz="8" w:space="0"/>
              <w:right w:val="single" w:color="auto" w:sz="8" w:space="0"/>
            </w:tcBorders>
            <w:noWrap/>
            <w:vAlign w:val="center"/>
          </w:tcPr>
          <w:p w14:paraId="64982B44">
            <w:pPr>
              <w:widowControl/>
              <w:spacing w:before="100" w:beforeAutospacing="1" w:after="100" w:afterAutospacing="1" w:line="240" w:lineRule="atLeast"/>
              <w:jc w:val="center"/>
              <w:rPr>
                <w:rFonts w:ascii="宋体" w:hAnsi="宋体" w:cs="宋体"/>
                <w:color w:val="auto"/>
                <w:kern w:val="0"/>
                <w:sz w:val="24"/>
                <w:highlight w:val="none"/>
              </w:rPr>
            </w:pPr>
          </w:p>
        </w:tc>
        <w:tc>
          <w:tcPr>
            <w:tcW w:w="2282" w:type="dxa"/>
            <w:gridSpan w:val="3"/>
            <w:tcBorders>
              <w:top w:val="nil"/>
              <w:left w:val="nil"/>
              <w:bottom w:val="single" w:color="auto" w:sz="8" w:space="0"/>
              <w:right w:val="single" w:color="auto" w:sz="8" w:space="0"/>
            </w:tcBorders>
            <w:noWrap/>
            <w:vAlign w:val="center"/>
          </w:tcPr>
          <w:p w14:paraId="5AF9F737">
            <w:pPr>
              <w:widowControl/>
              <w:snapToGrid w:val="0"/>
              <w:spacing w:before="100" w:beforeAutospacing="1" w:after="100" w:afterAutospacing="1" w:line="320" w:lineRule="atLeast"/>
              <w:ind w:firstLine="46"/>
              <w:jc w:val="center"/>
              <w:rPr>
                <w:rFonts w:ascii="宋体" w:hAnsi="宋体" w:cs="宋体"/>
                <w:color w:val="auto"/>
                <w:kern w:val="0"/>
                <w:sz w:val="24"/>
                <w:highlight w:val="none"/>
              </w:rPr>
            </w:pPr>
            <w:r>
              <w:rPr>
                <w:rFonts w:hint="eastAsia" w:ascii="宋体" w:hAnsi="宋体" w:cs="宋体"/>
                <w:color w:val="auto"/>
                <w:kern w:val="0"/>
                <w:sz w:val="24"/>
                <w:highlight w:val="none"/>
              </w:rPr>
              <w:t>合同交货验收日期</w:t>
            </w:r>
          </w:p>
        </w:tc>
        <w:tc>
          <w:tcPr>
            <w:tcW w:w="3039" w:type="dxa"/>
            <w:gridSpan w:val="2"/>
            <w:tcBorders>
              <w:top w:val="nil"/>
              <w:left w:val="nil"/>
              <w:bottom w:val="single" w:color="auto" w:sz="8" w:space="0"/>
              <w:right w:val="single" w:color="auto" w:sz="8" w:space="0"/>
            </w:tcBorders>
            <w:noWrap/>
            <w:vAlign w:val="center"/>
          </w:tcPr>
          <w:p w14:paraId="7C38B50F">
            <w:pPr>
              <w:widowControl/>
              <w:spacing w:before="100" w:beforeAutospacing="1" w:after="100" w:afterAutospacing="1" w:line="240" w:lineRule="atLeast"/>
              <w:jc w:val="center"/>
              <w:rPr>
                <w:rFonts w:ascii="宋体" w:hAnsi="宋体" w:cs="宋体"/>
                <w:color w:val="auto"/>
                <w:kern w:val="0"/>
                <w:sz w:val="24"/>
                <w:highlight w:val="none"/>
              </w:rPr>
            </w:pPr>
          </w:p>
        </w:tc>
      </w:tr>
      <w:tr w14:paraId="671A7327">
        <w:tblPrEx>
          <w:tblCellMar>
            <w:top w:w="0" w:type="dxa"/>
            <w:left w:w="0" w:type="dxa"/>
            <w:bottom w:w="0" w:type="dxa"/>
            <w:right w:w="0" w:type="dxa"/>
          </w:tblCellMar>
        </w:tblPrEx>
        <w:trPr>
          <w:trHeight w:val="693" w:hRule="atLeast"/>
          <w:jc w:val="center"/>
        </w:trPr>
        <w:tc>
          <w:tcPr>
            <w:tcW w:w="1331"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62427EA6">
            <w:pPr>
              <w:widowControl/>
              <w:snapToGrid w:val="0"/>
              <w:spacing w:before="100" w:beforeAutospacing="1" w:after="100" w:afterAutospacing="1" w:line="320" w:lineRule="atLeast"/>
              <w:jc w:val="left"/>
              <w:rPr>
                <w:rFonts w:ascii="宋体" w:hAnsi="宋体" w:cs="宋体"/>
                <w:color w:val="auto"/>
                <w:kern w:val="0"/>
                <w:sz w:val="24"/>
                <w:highlight w:val="none"/>
              </w:rPr>
            </w:pPr>
            <w:r>
              <w:rPr>
                <w:rFonts w:hint="eastAsia" w:ascii="宋体" w:hAnsi="宋体" w:cs="宋体"/>
                <w:color w:val="auto"/>
                <w:kern w:val="0"/>
                <w:sz w:val="24"/>
                <w:highlight w:val="none"/>
              </w:rPr>
              <w:t>验收具体内容</w:t>
            </w:r>
          </w:p>
        </w:tc>
        <w:tc>
          <w:tcPr>
            <w:tcW w:w="8040" w:type="dxa"/>
            <w:gridSpan w:val="7"/>
            <w:tcBorders>
              <w:top w:val="nil"/>
              <w:left w:val="nil"/>
              <w:bottom w:val="single" w:color="auto" w:sz="8" w:space="0"/>
              <w:right w:val="single" w:color="auto" w:sz="8" w:space="0"/>
            </w:tcBorders>
            <w:noWrap/>
            <w:tcMar>
              <w:top w:w="0" w:type="dxa"/>
              <w:left w:w="108" w:type="dxa"/>
              <w:bottom w:w="0" w:type="dxa"/>
              <w:right w:w="108" w:type="dxa"/>
            </w:tcMar>
            <w:vAlign w:val="center"/>
          </w:tcPr>
          <w:p w14:paraId="226F4644">
            <w:pPr>
              <w:widowControl/>
              <w:snapToGrid w:val="0"/>
              <w:spacing w:before="100" w:beforeAutospacing="1" w:after="100" w:afterAutospacing="1" w:line="320" w:lineRule="atLeast"/>
              <w:jc w:val="left"/>
              <w:rPr>
                <w:rFonts w:ascii="宋体" w:hAnsi="宋体" w:cs="宋体"/>
                <w:color w:val="auto"/>
                <w:kern w:val="0"/>
                <w:sz w:val="24"/>
                <w:highlight w:val="none"/>
              </w:rPr>
            </w:pPr>
            <w:r>
              <w:rPr>
                <w:rFonts w:hint="eastAsia" w:ascii="宋体" w:hAnsi="宋体" w:cs="宋体"/>
                <w:color w:val="auto"/>
                <w:kern w:val="0"/>
                <w:sz w:val="24"/>
                <w:highlight w:val="none"/>
              </w:rPr>
              <w:t>（应按采购合同、</w:t>
            </w:r>
            <w:r>
              <w:rPr>
                <w:rFonts w:hint="eastAsia" w:ascii="宋体" w:hAnsi="宋体" w:cs="宋体"/>
                <w:color w:val="auto"/>
                <w:sz w:val="24"/>
                <w:szCs w:val="24"/>
                <w:highlight w:val="none"/>
                <w:lang w:eastAsia="zh-CN"/>
              </w:rPr>
              <w:t>磋商</w:t>
            </w:r>
            <w:r>
              <w:rPr>
                <w:rFonts w:hint="eastAsia" w:ascii="宋体" w:hAnsi="宋体" w:cs="宋体"/>
                <w:color w:val="auto"/>
                <w:kern w:val="0"/>
                <w:sz w:val="24"/>
                <w:highlight w:val="none"/>
              </w:rPr>
              <w:t>文件、响应文件及验收方案等进行验收；并核对中标或者成交供应商在安装调试等方面是否违反合同约定或服务规范要求、提供的质量保证证明材料是否齐全、应有的配件及附件是否达到合同约定等。可附件)</w:t>
            </w:r>
          </w:p>
        </w:tc>
      </w:tr>
      <w:tr w14:paraId="10CB4CDA">
        <w:tblPrEx>
          <w:tblCellMar>
            <w:top w:w="0" w:type="dxa"/>
            <w:left w:w="0" w:type="dxa"/>
            <w:bottom w:w="0" w:type="dxa"/>
            <w:right w:w="0" w:type="dxa"/>
          </w:tblCellMar>
        </w:tblPrEx>
        <w:trPr>
          <w:trHeight w:val="1281" w:hRule="atLeast"/>
          <w:jc w:val="center"/>
        </w:trPr>
        <w:tc>
          <w:tcPr>
            <w:tcW w:w="1331" w:type="dxa"/>
            <w:vMerge w:val="restart"/>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70E64BF3">
            <w:pPr>
              <w:widowControl/>
              <w:spacing w:before="100" w:beforeAutospacing="1" w:after="100" w:afterAutospacing="1" w:line="320" w:lineRule="atLeast"/>
              <w:jc w:val="left"/>
              <w:rPr>
                <w:rFonts w:ascii="宋体" w:hAnsi="宋体" w:cs="宋体"/>
                <w:color w:val="auto"/>
                <w:kern w:val="0"/>
                <w:sz w:val="24"/>
                <w:highlight w:val="none"/>
              </w:rPr>
            </w:pPr>
            <w:r>
              <w:rPr>
                <w:rFonts w:hint="eastAsia" w:ascii="宋体" w:hAnsi="宋体" w:cs="宋体"/>
                <w:color w:val="auto"/>
                <w:kern w:val="0"/>
                <w:sz w:val="24"/>
                <w:highlight w:val="none"/>
              </w:rPr>
              <w:t>验收小组意见</w:t>
            </w:r>
          </w:p>
        </w:tc>
        <w:tc>
          <w:tcPr>
            <w:tcW w:w="8040" w:type="dxa"/>
            <w:gridSpan w:val="7"/>
            <w:tcBorders>
              <w:top w:val="nil"/>
              <w:left w:val="nil"/>
              <w:bottom w:val="single" w:color="auto" w:sz="8" w:space="0"/>
              <w:right w:val="single" w:color="auto" w:sz="8" w:space="0"/>
            </w:tcBorders>
            <w:noWrap/>
            <w:vAlign w:val="center"/>
          </w:tcPr>
          <w:p w14:paraId="045934A5">
            <w:pPr>
              <w:widowControl/>
              <w:spacing w:before="100" w:beforeAutospacing="1" w:after="100" w:afterAutospacing="1" w:line="320" w:lineRule="atLeast"/>
              <w:jc w:val="left"/>
              <w:rPr>
                <w:rFonts w:ascii="宋体" w:hAnsi="宋体" w:cs="宋体"/>
                <w:color w:val="auto"/>
                <w:kern w:val="0"/>
                <w:sz w:val="24"/>
                <w:highlight w:val="none"/>
              </w:rPr>
            </w:pPr>
            <w:r>
              <w:rPr>
                <w:rFonts w:hint="eastAsia" w:ascii="宋体" w:hAnsi="宋体" w:cs="宋体"/>
                <w:color w:val="auto"/>
                <w:kern w:val="0"/>
                <w:sz w:val="24"/>
                <w:highlight w:val="none"/>
              </w:rPr>
              <w:t>验收结论性意见：</w:t>
            </w:r>
          </w:p>
        </w:tc>
      </w:tr>
      <w:tr w14:paraId="3938A67B">
        <w:tblPrEx>
          <w:tblCellMar>
            <w:top w:w="0" w:type="dxa"/>
            <w:left w:w="0" w:type="dxa"/>
            <w:bottom w:w="0" w:type="dxa"/>
            <w:right w:w="0" w:type="dxa"/>
          </w:tblCellMar>
        </w:tblPrEx>
        <w:trPr>
          <w:trHeight w:val="607" w:hRule="atLeast"/>
          <w:jc w:val="center"/>
        </w:trPr>
        <w:tc>
          <w:tcPr>
            <w:tcW w:w="1331" w:type="dxa"/>
            <w:vMerge w:val="continue"/>
            <w:tcBorders>
              <w:top w:val="nil"/>
              <w:left w:val="single" w:color="auto" w:sz="8" w:space="0"/>
              <w:bottom w:val="single" w:color="auto" w:sz="8" w:space="0"/>
              <w:right w:val="single" w:color="auto" w:sz="8" w:space="0"/>
            </w:tcBorders>
            <w:noWrap/>
            <w:vAlign w:val="center"/>
          </w:tcPr>
          <w:p w14:paraId="3DE611F3">
            <w:pPr>
              <w:widowControl/>
              <w:jc w:val="left"/>
              <w:rPr>
                <w:rFonts w:ascii="宋体" w:hAnsi="宋体" w:cs="宋体"/>
                <w:color w:val="auto"/>
                <w:kern w:val="0"/>
                <w:sz w:val="24"/>
                <w:highlight w:val="none"/>
              </w:rPr>
            </w:pPr>
          </w:p>
        </w:tc>
        <w:tc>
          <w:tcPr>
            <w:tcW w:w="8040" w:type="dxa"/>
            <w:gridSpan w:val="7"/>
            <w:tcBorders>
              <w:top w:val="nil"/>
              <w:left w:val="nil"/>
              <w:bottom w:val="single" w:color="auto" w:sz="8" w:space="0"/>
              <w:right w:val="single" w:color="auto" w:sz="8" w:space="0"/>
            </w:tcBorders>
            <w:noWrap/>
            <w:vAlign w:val="center"/>
          </w:tcPr>
          <w:p w14:paraId="7E74DE12">
            <w:pPr>
              <w:widowControl/>
              <w:spacing w:before="100" w:beforeAutospacing="1" w:after="100" w:afterAutospacing="1" w:line="320" w:lineRule="atLeast"/>
              <w:jc w:val="left"/>
              <w:rPr>
                <w:rFonts w:ascii="宋体" w:hAnsi="宋体" w:cs="宋体"/>
                <w:color w:val="auto"/>
                <w:kern w:val="0"/>
                <w:sz w:val="24"/>
                <w:highlight w:val="none"/>
              </w:rPr>
            </w:pPr>
            <w:r>
              <w:rPr>
                <w:rFonts w:hint="eastAsia" w:ascii="宋体" w:hAnsi="宋体" w:cs="宋体"/>
                <w:color w:val="auto"/>
                <w:kern w:val="0"/>
                <w:sz w:val="24"/>
                <w:highlight w:val="none"/>
              </w:rPr>
              <w:t>有异议的意见和说明理由：</w:t>
            </w:r>
          </w:p>
          <w:p w14:paraId="0BB502E5">
            <w:pPr>
              <w:widowControl/>
              <w:spacing w:before="100" w:beforeAutospacing="1" w:after="100" w:afterAutospacing="1" w:line="320" w:lineRule="atLeast"/>
              <w:jc w:val="left"/>
              <w:rPr>
                <w:rFonts w:ascii="宋体" w:hAnsi="宋体" w:cs="宋体"/>
                <w:color w:val="auto"/>
                <w:kern w:val="0"/>
                <w:sz w:val="24"/>
                <w:highlight w:val="none"/>
              </w:rPr>
            </w:pPr>
            <w:r>
              <w:rPr>
                <w:rFonts w:hint="eastAsia" w:ascii="宋体" w:hAnsi="宋体" w:cs="宋体"/>
                <w:color w:val="auto"/>
                <w:kern w:val="0"/>
                <w:sz w:val="24"/>
                <w:highlight w:val="none"/>
              </w:rPr>
              <w:t>签字：</w:t>
            </w:r>
          </w:p>
        </w:tc>
      </w:tr>
      <w:tr w14:paraId="6D717898">
        <w:tblPrEx>
          <w:tblCellMar>
            <w:top w:w="0" w:type="dxa"/>
            <w:left w:w="0" w:type="dxa"/>
            <w:bottom w:w="0" w:type="dxa"/>
            <w:right w:w="0" w:type="dxa"/>
          </w:tblCellMar>
        </w:tblPrEx>
        <w:trPr>
          <w:trHeight w:val="507" w:hRule="atLeast"/>
          <w:jc w:val="center"/>
        </w:trPr>
        <w:tc>
          <w:tcPr>
            <w:tcW w:w="9371" w:type="dxa"/>
            <w:gridSpan w:val="8"/>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65BB1BEC">
            <w:pPr>
              <w:widowControl/>
              <w:spacing w:before="100" w:beforeAutospacing="1" w:after="100" w:afterAutospacing="1" w:line="320" w:lineRule="atLeast"/>
              <w:jc w:val="left"/>
              <w:rPr>
                <w:rFonts w:ascii="宋体" w:hAnsi="宋体" w:cs="宋体"/>
                <w:color w:val="auto"/>
                <w:kern w:val="0"/>
                <w:sz w:val="24"/>
                <w:highlight w:val="none"/>
              </w:rPr>
            </w:pPr>
            <w:r>
              <w:rPr>
                <w:rFonts w:hint="eastAsia" w:ascii="宋体" w:hAnsi="宋体" w:cs="宋体"/>
                <w:color w:val="auto"/>
                <w:kern w:val="0"/>
                <w:sz w:val="24"/>
                <w:highlight w:val="none"/>
              </w:rPr>
              <w:t>验收小组成员签字：</w:t>
            </w:r>
          </w:p>
        </w:tc>
      </w:tr>
      <w:tr w14:paraId="0A8A7D37">
        <w:tblPrEx>
          <w:tblCellMar>
            <w:top w:w="0" w:type="dxa"/>
            <w:left w:w="0" w:type="dxa"/>
            <w:bottom w:w="0" w:type="dxa"/>
            <w:right w:w="0" w:type="dxa"/>
          </w:tblCellMar>
        </w:tblPrEx>
        <w:trPr>
          <w:trHeight w:val="736" w:hRule="atLeast"/>
          <w:jc w:val="center"/>
        </w:trPr>
        <w:tc>
          <w:tcPr>
            <w:tcW w:w="9371" w:type="dxa"/>
            <w:gridSpan w:val="8"/>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679435E7">
            <w:pPr>
              <w:widowControl/>
              <w:spacing w:before="100" w:beforeAutospacing="1" w:after="100" w:afterAutospacing="1" w:line="320" w:lineRule="atLeast"/>
              <w:jc w:val="left"/>
              <w:rPr>
                <w:rFonts w:ascii="宋体" w:hAnsi="宋体" w:cs="宋体"/>
                <w:color w:val="auto"/>
                <w:kern w:val="0"/>
                <w:sz w:val="24"/>
                <w:highlight w:val="none"/>
              </w:rPr>
            </w:pPr>
            <w:r>
              <w:rPr>
                <w:rFonts w:hint="eastAsia" w:ascii="宋体" w:hAnsi="宋体" w:cs="宋体"/>
                <w:color w:val="auto"/>
                <w:kern w:val="0"/>
                <w:sz w:val="24"/>
                <w:highlight w:val="none"/>
              </w:rPr>
              <w:t>监督人员或其他相关人员签字：</w:t>
            </w:r>
          </w:p>
          <w:p w14:paraId="7BF0390A">
            <w:pPr>
              <w:widowControl/>
              <w:spacing w:before="100" w:beforeAutospacing="1" w:after="100" w:afterAutospacing="1" w:line="320" w:lineRule="atLeast"/>
              <w:ind w:firstLine="74"/>
              <w:jc w:val="left"/>
              <w:rPr>
                <w:rFonts w:ascii="宋体" w:hAnsi="宋体" w:cs="宋体"/>
                <w:color w:val="auto"/>
                <w:kern w:val="0"/>
                <w:sz w:val="24"/>
                <w:highlight w:val="none"/>
              </w:rPr>
            </w:pPr>
            <w:r>
              <w:rPr>
                <w:rFonts w:hint="eastAsia" w:ascii="宋体" w:hAnsi="宋体" w:cs="宋体"/>
                <w:color w:val="auto"/>
                <w:kern w:val="0"/>
                <w:sz w:val="24"/>
                <w:highlight w:val="none"/>
              </w:rPr>
              <w:t>或受邀机构的意见（盖章）：</w:t>
            </w:r>
          </w:p>
        </w:tc>
      </w:tr>
      <w:tr w14:paraId="4311E684">
        <w:tblPrEx>
          <w:tblCellMar>
            <w:top w:w="0" w:type="dxa"/>
            <w:left w:w="0" w:type="dxa"/>
            <w:bottom w:w="0" w:type="dxa"/>
            <w:right w:w="0" w:type="dxa"/>
          </w:tblCellMar>
        </w:tblPrEx>
        <w:trPr>
          <w:trHeight w:val="758" w:hRule="atLeast"/>
          <w:jc w:val="center"/>
        </w:trPr>
        <w:tc>
          <w:tcPr>
            <w:tcW w:w="4152" w:type="dxa"/>
            <w:gridSpan w:val="4"/>
            <w:tcBorders>
              <w:top w:val="nil"/>
              <w:left w:val="single" w:color="auto" w:sz="8" w:space="0"/>
              <w:bottom w:val="single" w:color="auto" w:sz="8" w:space="0"/>
              <w:right w:val="nil"/>
            </w:tcBorders>
            <w:noWrap/>
            <w:tcMar>
              <w:top w:w="0" w:type="dxa"/>
              <w:left w:w="108" w:type="dxa"/>
              <w:bottom w:w="0" w:type="dxa"/>
              <w:right w:w="108" w:type="dxa"/>
            </w:tcMar>
            <w:vAlign w:val="center"/>
          </w:tcPr>
          <w:p w14:paraId="0F142D5E">
            <w:pPr>
              <w:widowControl/>
              <w:spacing w:before="100" w:beforeAutospacing="1" w:after="100" w:afterAutospacing="1" w:line="320" w:lineRule="atLeast"/>
              <w:ind w:firstLine="74"/>
              <w:jc w:val="left"/>
              <w:rPr>
                <w:rFonts w:ascii="宋体" w:hAnsi="宋体" w:cs="宋体"/>
                <w:color w:val="auto"/>
                <w:kern w:val="0"/>
                <w:sz w:val="24"/>
                <w:highlight w:val="none"/>
              </w:rPr>
            </w:pPr>
            <w:r>
              <w:rPr>
                <w:rFonts w:hint="eastAsia" w:ascii="宋体" w:hAnsi="宋体" w:cs="宋体"/>
                <w:color w:val="auto"/>
                <w:kern w:val="0"/>
                <w:sz w:val="24"/>
                <w:highlight w:val="none"/>
              </w:rPr>
              <w:t>中标或者成交供应商负责人签字或盖章：</w:t>
            </w:r>
          </w:p>
          <w:p w14:paraId="2DE44E4E">
            <w:pPr>
              <w:widowControl/>
              <w:spacing w:before="100" w:beforeAutospacing="1" w:after="100" w:afterAutospacing="1" w:line="320" w:lineRule="atLeast"/>
              <w:jc w:val="left"/>
              <w:rPr>
                <w:rFonts w:ascii="宋体" w:hAnsi="宋体" w:cs="宋体"/>
                <w:color w:val="auto"/>
                <w:kern w:val="0"/>
                <w:sz w:val="24"/>
                <w:highlight w:val="none"/>
              </w:rPr>
            </w:pPr>
            <w:r>
              <w:rPr>
                <w:rFonts w:hint="eastAsia" w:ascii="宋体" w:hAnsi="宋体" w:cs="宋体"/>
                <w:color w:val="auto"/>
                <w:kern w:val="0"/>
                <w:sz w:val="24"/>
                <w:highlight w:val="none"/>
              </w:rPr>
              <w:t>联系电话： 年 月 日</w:t>
            </w:r>
          </w:p>
        </w:tc>
        <w:tc>
          <w:tcPr>
            <w:tcW w:w="5219" w:type="dxa"/>
            <w:gridSpan w:val="4"/>
            <w:tcBorders>
              <w:top w:val="nil"/>
              <w:left w:val="nil"/>
              <w:bottom w:val="single" w:color="auto" w:sz="8" w:space="0"/>
              <w:right w:val="single" w:color="auto" w:sz="8" w:space="0"/>
            </w:tcBorders>
            <w:noWrap/>
            <w:vAlign w:val="center"/>
          </w:tcPr>
          <w:p w14:paraId="68BCBD32">
            <w:pPr>
              <w:widowControl/>
              <w:spacing w:before="100" w:beforeAutospacing="1" w:after="100" w:afterAutospacing="1" w:line="320" w:lineRule="atLeast"/>
              <w:jc w:val="left"/>
              <w:rPr>
                <w:rFonts w:ascii="宋体" w:hAnsi="宋体" w:cs="宋体"/>
                <w:color w:val="auto"/>
                <w:kern w:val="0"/>
                <w:sz w:val="24"/>
                <w:highlight w:val="none"/>
              </w:rPr>
            </w:pPr>
            <w:r>
              <w:rPr>
                <w:rFonts w:hint="eastAsia" w:ascii="宋体" w:hAnsi="宋体" w:cs="宋体"/>
                <w:color w:val="auto"/>
                <w:kern w:val="0"/>
                <w:sz w:val="24"/>
                <w:highlight w:val="none"/>
              </w:rPr>
              <w:t>采购人或受托机构的意见（盖章）：</w:t>
            </w:r>
          </w:p>
          <w:p w14:paraId="203921D4">
            <w:pPr>
              <w:widowControl/>
              <w:spacing w:before="100" w:beforeAutospacing="1" w:after="100" w:afterAutospacing="1" w:line="320" w:lineRule="atLeast"/>
              <w:jc w:val="left"/>
              <w:rPr>
                <w:rFonts w:ascii="宋体" w:hAnsi="宋体" w:cs="宋体"/>
                <w:color w:val="auto"/>
                <w:kern w:val="0"/>
                <w:sz w:val="24"/>
                <w:highlight w:val="none"/>
              </w:rPr>
            </w:pPr>
            <w:r>
              <w:rPr>
                <w:rFonts w:hint="eastAsia" w:ascii="宋体" w:hAnsi="宋体" w:cs="宋体"/>
                <w:color w:val="auto"/>
                <w:kern w:val="0"/>
                <w:sz w:val="24"/>
                <w:highlight w:val="none"/>
              </w:rPr>
              <w:t>联系电话： 年 月 日</w:t>
            </w:r>
          </w:p>
        </w:tc>
      </w:tr>
    </w:tbl>
    <w:p w14:paraId="48920C98">
      <w:pPr>
        <w:jc w:val="left"/>
        <w:rPr>
          <w:rFonts w:ascii="宋体" w:hAnsi="宋体"/>
          <w:color w:val="auto"/>
          <w:highlight w:val="none"/>
        </w:rPr>
      </w:pPr>
      <w:r>
        <w:rPr>
          <w:rFonts w:hint="eastAsia" w:ascii="宋体" w:hAnsi="宋体" w:cs="宋体"/>
          <w:color w:val="auto"/>
          <w:szCs w:val="21"/>
          <w:highlight w:val="none"/>
        </w:rPr>
        <w:br w:type="page"/>
      </w:r>
      <w:r>
        <w:rPr>
          <w:rFonts w:hint="eastAsia" w:ascii="宋体" w:hAnsi="宋体"/>
          <w:color w:val="auto"/>
          <w:highlight w:val="none"/>
        </w:rPr>
        <w:t>附件2：</w:t>
      </w:r>
    </w:p>
    <w:p w14:paraId="677A2C05">
      <w:pPr>
        <w:jc w:val="center"/>
        <w:rPr>
          <w:rFonts w:ascii="宋体" w:hAnsi="宋体"/>
          <w:color w:val="auto"/>
          <w:sz w:val="32"/>
          <w:szCs w:val="32"/>
          <w:highlight w:val="none"/>
        </w:rPr>
      </w:pPr>
      <w:r>
        <w:rPr>
          <w:rFonts w:hint="eastAsia" w:ascii="宋体" w:hAnsi="宋体"/>
          <w:color w:val="auto"/>
          <w:sz w:val="32"/>
          <w:szCs w:val="32"/>
          <w:highlight w:val="none"/>
        </w:rPr>
        <w:t>政府采购项目履约保证金退付意见书（参考）</w:t>
      </w:r>
    </w:p>
    <w:tbl>
      <w:tblPr>
        <w:tblStyle w:val="5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5"/>
        <w:gridCol w:w="2593"/>
        <w:gridCol w:w="2592"/>
        <w:gridCol w:w="3410"/>
      </w:tblGrid>
      <w:tr w14:paraId="4E46F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685" w:type="dxa"/>
            <w:vMerge w:val="restart"/>
            <w:noWrap/>
            <w:vAlign w:val="center"/>
          </w:tcPr>
          <w:p w14:paraId="0906F90B">
            <w:pPr>
              <w:jc w:val="center"/>
              <w:rPr>
                <w:color w:val="auto"/>
                <w:sz w:val="24"/>
                <w:highlight w:val="none"/>
              </w:rPr>
            </w:pPr>
            <w:r>
              <w:rPr>
                <w:rFonts w:hint="eastAsia"/>
                <w:color w:val="auto"/>
                <w:sz w:val="24"/>
                <w:highlight w:val="none"/>
              </w:rPr>
              <w:t>供应商申请</w:t>
            </w:r>
          </w:p>
        </w:tc>
        <w:tc>
          <w:tcPr>
            <w:tcW w:w="8595" w:type="dxa"/>
            <w:gridSpan w:val="3"/>
            <w:noWrap/>
          </w:tcPr>
          <w:p w14:paraId="3A80412D">
            <w:pPr>
              <w:ind w:firstLine="600"/>
              <w:rPr>
                <w:rFonts w:ascii="宋体" w:hAnsi="宋体"/>
                <w:color w:val="auto"/>
                <w:sz w:val="24"/>
                <w:highlight w:val="none"/>
              </w:rPr>
            </w:pPr>
            <w:r>
              <w:rPr>
                <w:rFonts w:hint="eastAsia" w:ascii="宋体" w:hAnsi="宋体"/>
                <w:color w:val="auto"/>
                <w:sz w:val="24"/>
                <w:highlight w:val="none"/>
              </w:rPr>
              <w:t>政府采购项目编号：</w:t>
            </w:r>
          </w:p>
        </w:tc>
      </w:tr>
      <w:tr w14:paraId="4AACD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8" w:hRule="atLeast"/>
        </w:trPr>
        <w:tc>
          <w:tcPr>
            <w:tcW w:w="685" w:type="dxa"/>
            <w:vMerge w:val="continue"/>
            <w:noWrap/>
            <w:vAlign w:val="center"/>
          </w:tcPr>
          <w:p w14:paraId="2B592725">
            <w:pPr>
              <w:jc w:val="center"/>
              <w:rPr>
                <w:color w:val="auto"/>
                <w:sz w:val="24"/>
                <w:highlight w:val="none"/>
              </w:rPr>
            </w:pPr>
          </w:p>
        </w:tc>
        <w:tc>
          <w:tcPr>
            <w:tcW w:w="8595" w:type="dxa"/>
            <w:gridSpan w:val="3"/>
            <w:noWrap/>
          </w:tcPr>
          <w:p w14:paraId="26024650">
            <w:pPr>
              <w:ind w:firstLine="480"/>
              <w:rPr>
                <w:rFonts w:ascii="宋体" w:hAnsi="宋体"/>
                <w:color w:val="auto"/>
                <w:sz w:val="24"/>
                <w:highlight w:val="none"/>
              </w:rPr>
            </w:pPr>
          </w:p>
          <w:p w14:paraId="08C52BC3">
            <w:pPr>
              <w:ind w:firstLine="480"/>
              <w:rPr>
                <w:rFonts w:ascii="宋体" w:hAnsi="宋体"/>
                <w:color w:val="auto"/>
                <w:sz w:val="24"/>
                <w:highlight w:val="none"/>
              </w:rPr>
            </w:pPr>
            <w:r>
              <w:rPr>
                <w:rFonts w:hint="eastAsia" w:ascii="宋体" w:hAnsi="宋体"/>
                <w:color w:val="auto"/>
                <w:sz w:val="24"/>
                <w:highlight w:val="none"/>
              </w:rPr>
              <w:t>项目名称：</w:t>
            </w:r>
          </w:p>
          <w:p w14:paraId="22EF546F">
            <w:pPr>
              <w:ind w:firstLine="480"/>
              <w:rPr>
                <w:rFonts w:ascii="宋体" w:hAnsi="宋体"/>
                <w:color w:val="auto"/>
                <w:sz w:val="24"/>
                <w:highlight w:val="none"/>
              </w:rPr>
            </w:pPr>
          </w:p>
          <w:p w14:paraId="4EC9AF7A">
            <w:pPr>
              <w:ind w:firstLine="480"/>
              <w:rPr>
                <w:rFonts w:ascii="宋体" w:hAnsi="宋体"/>
                <w:color w:val="auto"/>
                <w:sz w:val="24"/>
                <w:highlight w:val="none"/>
              </w:rPr>
            </w:pPr>
            <w:r>
              <w:rPr>
                <w:rFonts w:hint="eastAsia" w:ascii="宋体" w:hAnsi="宋体"/>
                <w:color w:val="auto"/>
                <w:sz w:val="24"/>
                <w:highlight w:val="none"/>
              </w:rPr>
              <w:t>该项目已于年月日验收合格并交付使用，请将履约保证金（大写）（附履约保证金收据或银行转</w:t>
            </w:r>
            <w:r>
              <w:rPr>
                <w:rFonts w:hint="eastAsia" w:ascii="宋体" w:hAnsi="宋体"/>
                <w:color w:val="auto"/>
                <w:sz w:val="24"/>
                <w:highlight w:val="none"/>
                <w:lang w:eastAsia="zh-CN"/>
              </w:rPr>
              <w:t>账</w:t>
            </w:r>
            <w:r>
              <w:rPr>
                <w:rFonts w:hint="eastAsia" w:ascii="宋体" w:hAnsi="宋体"/>
                <w:color w:val="auto"/>
                <w:sz w:val="24"/>
                <w:highlight w:val="none"/>
              </w:rPr>
              <w:t>单复印件、合同及验收合格证明）退付到以下</w:t>
            </w:r>
            <w:r>
              <w:rPr>
                <w:rFonts w:hint="eastAsia" w:ascii="宋体" w:hAnsi="宋体"/>
                <w:color w:val="auto"/>
                <w:sz w:val="24"/>
                <w:highlight w:val="none"/>
                <w:lang w:eastAsia="zh-CN"/>
              </w:rPr>
              <w:t>账</w:t>
            </w:r>
            <w:r>
              <w:rPr>
                <w:rFonts w:hint="eastAsia" w:ascii="宋体" w:hAnsi="宋体"/>
                <w:color w:val="auto"/>
                <w:sz w:val="24"/>
                <w:highlight w:val="none"/>
              </w:rPr>
              <w:t>户：</w:t>
            </w:r>
          </w:p>
          <w:p w14:paraId="116B2D1D">
            <w:pPr>
              <w:ind w:firstLine="480"/>
              <w:rPr>
                <w:rFonts w:ascii="宋体" w:hAnsi="宋体"/>
                <w:color w:val="auto"/>
                <w:sz w:val="24"/>
                <w:highlight w:val="none"/>
              </w:rPr>
            </w:pPr>
          </w:p>
          <w:p w14:paraId="31C9A935">
            <w:pPr>
              <w:ind w:firstLine="480"/>
              <w:rPr>
                <w:rFonts w:ascii="宋体" w:hAnsi="宋体"/>
                <w:color w:val="auto"/>
                <w:sz w:val="24"/>
                <w:highlight w:val="none"/>
              </w:rPr>
            </w:pPr>
            <w:r>
              <w:rPr>
                <w:rFonts w:hint="eastAsia" w:ascii="宋体" w:hAnsi="宋体"/>
                <w:color w:val="auto"/>
                <w:sz w:val="24"/>
                <w:highlight w:val="none"/>
              </w:rPr>
              <w:t>单位全称：</w:t>
            </w:r>
          </w:p>
          <w:p w14:paraId="3CEA0682">
            <w:pPr>
              <w:ind w:firstLine="480"/>
              <w:rPr>
                <w:rFonts w:ascii="宋体" w:hAnsi="宋体"/>
                <w:color w:val="auto"/>
                <w:sz w:val="24"/>
                <w:highlight w:val="none"/>
              </w:rPr>
            </w:pPr>
            <w:r>
              <w:rPr>
                <w:rFonts w:hint="eastAsia" w:ascii="宋体" w:hAnsi="宋体"/>
                <w:color w:val="auto"/>
                <w:sz w:val="24"/>
                <w:highlight w:val="none"/>
              </w:rPr>
              <w:t>开户银行：</w:t>
            </w:r>
          </w:p>
          <w:p w14:paraId="11DE63CC">
            <w:pPr>
              <w:ind w:firstLine="480"/>
              <w:rPr>
                <w:rFonts w:ascii="宋体" w:hAnsi="宋体"/>
                <w:color w:val="auto"/>
                <w:sz w:val="24"/>
                <w:highlight w:val="none"/>
              </w:rPr>
            </w:pPr>
            <w:r>
              <w:rPr>
                <w:rFonts w:hint="eastAsia" w:ascii="宋体" w:hAnsi="宋体"/>
                <w:color w:val="auto"/>
                <w:sz w:val="24"/>
                <w:highlight w:val="none"/>
              </w:rPr>
              <w:t>账号：</w:t>
            </w:r>
          </w:p>
          <w:p w14:paraId="07A0C47A">
            <w:pPr>
              <w:ind w:firstLine="5640" w:firstLineChars="2350"/>
              <w:rPr>
                <w:rFonts w:ascii="宋体" w:hAnsi="宋体"/>
                <w:color w:val="auto"/>
                <w:sz w:val="24"/>
                <w:highlight w:val="none"/>
              </w:rPr>
            </w:pPr>
            <w:r>
              <w:rPr>
                <w:rFonts w:hint="eastAsia" w:ascii="宋体" w:hAnsi="宋体"/>
                <w:color w:val="auto"/>
                <w:sz w:val="24"/>
                <w:highlight w:val="none"/>
              </w:rPr>
              <w:t>供应商签章</w:t>
            </w:r>
          </w:p>
          <w:p w14:paraId="161B8111">
            <w:pPr>
              <w:ind w:firstLine="480"/>
              <w:rPr>
                <w:rFonts w:ascii="宋体" w:hAnsi="宋体"/>
                <w:color w:val="auto"/>
                <w:sz w:val="24"/>
                <w:highlight w:val="none"/>
              </w:rPr>
            </w:pPr>
          </w:p>
          <w:p w14:paraId="29F90324">
            <w:pPr>
              <w:ind w:firstLine="480"/>
              <w:rPr>
                <w:rFonts w:ascii="宋体" w:hAnsi="宋体"/>
                <w:color w:val="auto"/>
                <w:sz w:val="24"/>
                <w:highlight w:val="none"/>
              </w:rPr>
            </w:pPr>
            <w:r>
              <w:rPr>
                <w:rFonts w:hint="eastAsia" w:ascii="宋体" w:hAnsi="宋体"/>
                <w:color w:val="auto"/>
                <w:sz w:val="24"/>
                <w:highlight w:val="none"/>
              </w:rPr>
              <w:t>联系人：             联系电话：                年    月    日</w:t>
            </w:r>
          </w:p>
        </w:tc>
      </w:tr>
      <w:tr w14:paraId="67D09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1" w:hRule="atLeast"/>
        </w:trPr>
        <w:tc>
          <w:tcPr>
            <w:tcW w:w="685" w:type="dxa"/>
            <w:noWrap/>
            <w:vAlign w:val="center"/>
          </w:tcPr>
          <w:p w14:paraId="655F8241">
            <w:pPr>
              <w:jc w:val="center"/>
              <w:rPr>
                <w:color w:val="auto"/>
                <w:sz w:val="24"/>
                <w:highlight w:val="none"/>
              </w:rPr>
            </w:pPr>
            <w:r>
              <w:rPr>
                <w:rFonts w:hint="eastAsia"/>
                <w:color w:val="auto"/>
                <w:sz w:val="24"/>
                <w:highlight w:val="none"/>
              </w:rPr>
              <w:t>采购单位同意退付金额</w:t>
            </w:r>
          </w:p>
        </w:tc>
        <w:tc>
          <w:tcPr>
            <w:tcW w:w="8595" w:type="dxa"/>
            <w:gridSpan w:val="3"/>
            <w:noWrap/>
          </w:tcPr>
          <w:p w14:paraId="5999BF66">
            <w:pPr>
              <w:ind w:firstLine="420"/>
              <w:rPr>
                <w:rFonts w:ascii="宋体" w:hAnsi="宋体"/>
                <w:color w:val="auto"/>
                <w:sz w:val="24"/>
                <w:highlight w:val="none"/>
              </w:rPr>
            </w:pPr>
          </w:p>
          <w:p w14:paraId="112F36FB">
            <w:pPr>
              <w:ind w:firstLine="420"/>
              <w:rPr>
                <w:rFonts w:ascii="宋体" w:hAnsi="宋体"/>
                <w:color w:val="auto"/>
                <w:sz w:val="24"/>
                <w:highlight w:val="none"/>
              </w:rPr>
            </w:pPr>
            <w:r>
              <w:rPr>
                <w:rFonts w:hint="eastAsia" w:ascii="宋体" w:hAnsi="宋体"/>
                <w:color w:val="auto"/>
                <w:sz w:val="24"/>
                <w:highlight w:val="none"/>
              </w:rPr>
              <w:t>验收意见：同意退付履约保证金</w:t>
            </w:r>
          </w:p>
          <w:p w14:paraId="247F7A9C">
            <w:pPr>
              <w:ind w:firstLine="420"/>
              <w:rPr>
                <w:rFonts w:ascii="宋体" w:hAnsi="宋体"/>
                <w:color w:val="auto"/>
                <w:sz w:val="24"/>
                <w:highlight w:val="none"/>
              </w:rPr>
            </w:pPr>
          </w:p>
          <w:p w14:paraId="28C5FAF6">
            <w:pPr>
              <w:ind w:firstLine="420"/>
              <w:rPr>
                <w:rFonts w:ascii="宋体" w:hAnsi="宋体"/>
                <w:color w:val="auto"/>
                <w:sz w:val="24"/>
                <w:highlight w:val="none"/>
              </w:rPr>
            </w:pPr>
            <w:r>
              <w:rPr>
                <w:rFonts w:hint="eastAsia" w:ascii="宋体" w:hAnsi="宋体"/>
                <w:color w:val="auto"/>
                <w:sz w:val="24"/>
                <w:highlight w:val="none"/>
              </w:rPr>
              <w:t>退付金额（大写）（¥元）</w:t>
            </w:r>
          </w:p>
          <w:p w14:paraId="473AC007">
            <w:pPr>
              <w:ind w:firstLine="420"/>
              <w:rPr>
                <w:rFonts w:ascii="宋体" w:hAnsi="宋体"/>
                <w:color w:val="auto"/>
                <w:sz w:val="24"/>
                <w:highlight w:val="none"/>
              </w:rPr>
            </w:pPr>
          </w:p>
          <w:p w14:paraId="3EEAEFA2">
            <w:pPr>
              <w:ind w:firstLine="420"/>
              <w:rPr>
                <w:rFonts w:ascii="宋体" w:hAnsi="宋体"/>
                <w:color w:val="auto"/>
                <w:sz w:val="24"/>
                <w:highlight w:val="none"/>
              </w:rPr>
            </w:pPr>
          </w:p>
          <w:p w14:paraId="7480D43D">
            <w:pPr>
              <w:jc w:val="right"/>
              <w:rPr>
                <w:rFonts w:hint="eastAsia" w:ascii="宋体" w:hAnsi="宋体"/>
                <w:color w:val="auto"/>
                <w:sz w:val="24"/>
                <w:highlight w:val="none"/>
              </w:rPr>
            </w:pPr>
            <w:r>
              <w:rPr>
                <w:rFonts w:hint="eastAsia" w:ascii="宋体" w:hAnsi="宋体"/>
                <w:color w:val="auto"/>
                <w:sz w:val="24"/>
                <w:highlight w:val="none"/>
              </w:rPr>
              <w:t>采购单位:   签  章</w:t>
            </w:r>
          </w:p>
          <w:p w14:paraId="0CADB295">
            <w:pPr>
              <w:jc w:val="right"/>
              <w:rPr>
                <w:rFonts w:ascii="宋体" w:hAnsi="宋体"/>
                <w:color w:val="auto"/>
                <w:sz w:val="24"/>
                <w:highlight w:val="none"/>
              </w:rPr>
            </w:pPr>
          </w:p>
          <w:p w14:paraId="5B2E2E58">
            <w:pPr>
              <w:rPr>
                <w:rFonts w:ascii="宋体" w:hAnsi="宋体"/>
                <w:color w:val="auto"/>
                <w:sz w:val="24"/>
                <w:highlight w:val="none"/>
              </w:rPr>
            </w:pPr>
            <w:r>
              <w:rPr>
                <w:rFonts w:hint="eastAsia" w:ascii="宋体" w:hAnsi="宋体"/>
                <w:color w:val="auto"/>
                <w:sz w:val="24"/>
                <w:highlight w:val="none"/>
              </w:rPr>
              <w:t>联系人：                 联系电话：                   年     月     日</w:t>
            </w:r>
          </w:p>
        </w:tc>
      </w:tr>
      <w:tr w14:paraId="3EDF6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685" w:type="dxa"/>
            <w:vMerge w:val="restart"/>
            <w:noWrap/>
            <w:vAlign w:val="center"/>
          </w:tcPr>
          <w:p w14:paraId="4A4864F8">
            <w:pPr>
              <w:jc w:val="center"/>
              <w:rPr>
                <w:color w:val="auto"/>
                <w:sz w:val="24"/>
                <w:highlight w:val="none"/>
              </w:rPr>
            </w:pPr>
            <w:r>
              <w:rPr>
                <w:rFonts w:hint="eastAsia"/>
                <w:color w:val="auto"/>
                <w:sz w:val="24"/>
                <w:highlight w:val="none"/>
              </w:rPr>
              <w:t>财务部审核意见</w:t>
            </w:r>
          </w:p>
        </w:tc>
        <w:tc>
          <w:tcPr>
            <w:tcW w:w="8595" w:type="dxa"/>
            <w:gridSpan w:val="3"/>
            <w:noWrap/>
          </w:tcPr>
          <w:p w14:paraId="623FC10E">
            <w:pPr>
              <w:ind w:firstLine="420"/>
              <w:rPr>
                <w:rFonts w:ascii="宋体" w:hAnsi="宋体"/>
                <w:color w:val="auto"/>
                <w:sz w:val="24"/>
                <w:highlight w:val="none"/>
              </w:rPr>
            </w:pPr>
            <w:r>
              <w:rPr>
                <w:rFonts w:hint="eastAsia" w:ascii="宋体" w:hAnsi="宋体"/>
                <w:color w:val="auto"/>
                <w:sz w:val="24"/>
                <w:highlight w:val="none"/>
              </w:rPr>
              <w:t>此表于年月日收到（接表人填写），送表人签字：</w:t>
            </w:r>
          </w:p>
        </w:tc>
      </w:tr>
      <w:tr w14:paraId="6BAA1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8" w:hRule="atLeast"/>
        </w:trPr>
        <w:tc>
          <w:tcPr>
            <w:tcW w:w="685" w:type="dxa"/>
            <w:vMerge w:val="continue"/>
            <w:noWrap/>
          </w:tcPr>
          <w:p w14:paraId="199222A1">
            <w:pPr>
              <w:ind w:firstLine="420"/>
              <w:rPr>
                <w:rFonts w:ascii="宋体" w:hAnsi="宋体"/>
                <w:color w:val="auto"/>
                <w:sz w:val="24"/>
                <w:highlight w:val="none"/>
              </w:rPr>
            </w:pPr>
          </w:p>
        </w:tc>
        <w:tc>
          <w:tcPr>
            <w:tcW w:w="2593" w:type="dxa"/>
            <w:noWrap/>
          </w:tcPr>
          <w:p w14:paraId="17D04E96">
            <w:pPr>
              <w:rPr>
                <w:rFonts w:ascii="宋体" w:hAnsi="宋体"/>
                <w:color w:val="auto"/>
                <w:sz w:val="24"/>
                <w:highlight w:val="none"/>
              </w:rPr>
            </w:pPr>
            <w:r>
              <w:rPr>
                <w:rFonts w:hint="eastAsia" w:ascii="宋体" w:hAnsi="宋体"/>
                <w:color w:val="auto"/>
                <w:sz w:val="24"/>
                <w:highlight w:val="none"/>
              </w:rPr>
              <w:t>经办人审核意见</w:t>
            </w:r>
          </w:p>
          <w:p w14:paraId="17769286">
            <w:pPr>
              <w:ind w:firstLine="420"/>
              <w:rPr>
                <w:rFonts w:ascii="宋体" w:hAnsi="宋体"/>
                <w:color w:val="auto"/>
                <w:sz w:val="24"/>
                <w:highlight w:val="none"/>
              </w:rPr>
            </w:pPr>
          </w:p>
          <w:p w14:paraId="4AED7883">
            <w:pPr>
              <w:ind w:firstLine="420"/>
              <w:rPr>
                <w:rFonts w:ascii="宋体" w:hAnsi="宋体"/>
                <w:color w:val="auto"/>
                <w:sz w:val="24"/>
                <w:highlight w:val="none"/>
              </w:rPr>
            </w:pPr>
          </w:p>
          <w:p w14:paraId="6D26365D">
            <w:pPr>
              <w:ind w:firstLine="420"/>
              <w:rPr>
                <w:rFonts w:ascii="宋体" w:hAnsi="宋体"/>
                <w:color w:val="auto"/>
                <w:sz w:val="24"/>
                <w:highlight w:val="none"/>
              </w:rPr>
            </w:pPr>
          </w:p>
          <w:p w14:paraId="2FEE3E4B">
            <w:pPr>
              <w:ind w:firstLine="420"/>
              <w:rPr>
                <w:rFonts w:ascii="宋体" w:hAnsi="宋体"/>
                <w:color w:val="auto"/>
                <w:sz w:val="24"/>
                <w:highlight w:val="none"/>
              </w:rPr>
            </w:pPr>
          </w:p>
          <w:p w14:paraId="31061DB0">
            <w:pPr>
              <w:ind w:firstLine="420"/>
              <w:rPr>
                <w:rFonts w:ascii="宋体" w:hAnsi="宋体"/>
                <w:color w:val="auto"/>
                <w:sz w:val="24"/>
                <w:highlight w:val="none"/>
              </w:rPr>
            </w:pPr>
            <w:r>
              <w:rPr>
                <w:rFonts w:hint="eastAsia" w:ascii="宋体" w:hAnsi="宋体"/>
                <w:color w:val="auto"/>
                <w:sz w:val="24"/>
                <w:highlight w:val="none"/>
              </w:rPr>
              <w:t xml:space="preserve"> 年    月     日</w:t>
            </w:r>
          </w:p>
        </w:tc>
        <w:tc>
          <w:tcPr>
            <w:tcW w:w="2592" w:type="dxa"/>
            <w:noWrap/>
          </w:tcPr>
          <w:p w14:paraId="7DECB509">
            <w:pPr>
              <w:rPr>
                <w:rFonts w:ascii="宋体" w:hAnsi="宋体"/>
                <w:color w:val="auto"/>
                <w:sz w:val="24"/>
                <w:highlight w:val="none"/>
              </w:rPr>
            </w:pPr>
            <w:r>
              <w:rPr>
                <w:rFonts w:hint="eastAsia" w:ascii="宋体" w:hAnsi="宋体"/>
                <w:color w:val="auto"/>
                <w:sz w:val="24"/>
                <w:highlight w:val="none"/>
              </w:rPr>
              <w:t>单位财务意见</w:t>
            </w:r>
          </w:p>
          <w:p w14:paraId="34A0DA54">
            <w:pPr>
              <w:ind w:firstLine="420"/>
              <w:rPr>
                <w:rFonts w:ascii="宋体" w:hAnsi="宋体"/>
                <w:color w:val="auto"/>
                <w:sz w:val="24"/>
                <w:highlight w:val="none"/>
              </w:rPr>
            </w:pPr>
          </w:p>
          <w:p w14:paraId="45684E1D">
            <w:pPr>
              <w:ind w:firstLine="420"/>
              <w:rPr>
                <w:rFonts w:ascii="宋体" w:hAnsi="宋体"/>
                <w:color w:val="auto"/>
                <w:sz w:val="24"/>
                <w:highlight w:val="none"/>
              </w:rPr>
            </w:pPr>
          </w:p>
          <w:p w14:paraId="0C0EA929">
            <w:pPr>
              <w:ind w:firstLine="420"/>
              <w:rPr>
                <w:rFonts w:ascii="宋体" w:hAnsi="宋体"/>
                <w:color w:val="auto"/>
                <w:sz w:val="24"/>
                <w:highlight w:val="none"/>
              </w:rPr>
            </w:pPr>
          </w:p>
          <w:p w14:paraId="463ADE3B">
            <w:pPr>
              <w:ind w:firstLine="420"/>
              <w:rPr>
                <w:rFonts w:ascii="宋体" w:hAnsi="宋体"/>
                <w:color w:val="auto"/>
                <w:sz w:val="24"/>
                <w:highlight w:val="none"/>
              </w:rPr>
            </w:pPr>
          </w:p>
          <w:p w14:paraId="1C4FC5E3">
            <w:pPr>
              <w:ind w:firstLine="420"/>
              <w:rPr>
                <w:rFonts w:ascii="宋体" w:hAnsi="宋体"/>
                <w:color w:val="auto"/>
                <w:sz w:val="24"/>
                <w:highlight w:val="none"/>
              </w:rPr>
            </w:pPr>
            <w:r>
              <w:rPr>
                <w:rFonts w:hint="eastAsia" w:ascii="宋体" w:hAnsi="宋体"/>
                <w:color w:val="auto"/>
                <w:sz w:val="24"/>
                <w:highlight w:val="none"/>
              </w:rPr>
              <w:t xml:space="preserve"> 年    月     日</w:t>
            </w:r>
          </w:p>
        </w:tc>
        <w:tc>
          <w:tcPr>
            <w:tcW w:w="3410" w:type="dxa"/>
            <w:noWrap/>
          </w:tcPr>
          <w:p w14:paraId="22B0F8D7">
            <w:pPr>
              <w:rPr>
                <w:rFonts w:ascii="宋体" w:hAnsi="宋体"/>
                <w:color w:val="auto"/>
                <w:sz w:val="24"/>
                <w:highlight w:val="none"/>
              </w:rPr>
            </w:pPr>
            <w:r>
              <w:rPr>
                <w:rFonts w:hint="eastAsia" w:ascii="宋体" w:hAnsi="宋体"/>
                <w:color w:val="auto"/>
                <w:sz w:val="24"/>
                <w:highlight w:val="none"/>
              </w:rPr>
              <w:t>单位领导意见</w:t>
            </w:r>
          </w:p>
          <w:p w14:paraId="6887C573">
            <w:pPr>
              <w:ind w:firstLine="420"/>
              <w:rPr>
                <w:rFonts w:ascii="宋体" w:hAnsi="宋体"/>
                <w:color w:val="auto"/>
                <w:sz w:val="24"/>
                <w:highlight w:val="none"/>
              </w:rPr>
            </w:pPr>
          </w:p>
          <w:p w14:paraId="2A0C782A">
            <w:pPr>
              <w:ind w:firstLine="420"/>
              <w:rPr>
                <w:rFonts w:ascii="宋体" w:hAnsi="宋体"/>
                <w:color w:val="auto"/>
                <w:sz w:val="24"/>
                <w:highlight w:val="none"/>
              </w:rPr>
            </w:pPr>
          </w:p>
          <w:p w14:paraId="42855E27">
            <w:pPr>
              <w:ind w:firstLine="420"/>
              <w:rPr>
                <w:rFonts w:ascii="宋体" w:hAnsi="宋体"/>
                <w:color w:val="auto"/>
                <w:sz w:val="24"/>
                <w:highlight w:val="none"/>
              </w:rPr>
            </w:pPr>
          </w:p>
          <w:p w14:paraId="4B171AB3">
            <w:pPr>
              <w:ind w:firstLine="420"/>
              <w:rPr>
                <w:rFonts w:ascii="宋体" w:hAnsi="宋体"/>
                <w:color w:val="auto"/>
                <w:sz w:val="24"/>
                <w:highlight w:val="none"/>
              </w:rPr>
            </w:pPr>
          </w:p>
          <w:p w14:paraId="08C164E4">
            <w:pPr>
              <w:ind w:firstLine="420"/>
              <w:rPr>
                <w:rFonts w:ascii="宋体" w:hAnsi="宋体"/>
                <w:color w:val="auto"/>
                <w:sz w:val="24"/>
                <w:highlight w:val="none"/>
              </w:rPr>
            </w:pPr>
            <w:r>
              <w:rPr>
                <w:rFonts w:hint="eastAsia" w:ascii="宋体" w:hAnsi="宋体"/>
                <w:color w:val="auto"/>
                <w:sz w:val="24"/>
                <w:highlight w:val="none"/>
              </w:rPr>
              <w:t xml:space="preserve">   年    月     日</w:t>
            </w:r>
          </w:p>
        </w:tc>
      </w:tr>
    </w:tbl>
    <w:p w14:paraId="19386EF5">
      <w:pPr>
        <w:pStyle w:val="30"/>
        <w:jc w:val="both"/>
        <w:rPr>
          <w:rFonts w:hAnsi="宋体"/>
          <w:color w:val="auto"/>
          <w:highlight w:val="none"/>
        </w:rPr>
      </w:pPr>
      <w:r>
        <w:rPr>
          <w:rFonts w:hint="eastAsia" w:hAnsi="宋体"/>
          <w:color w:val="auto"/>
          <w:highlight w:val="none"/>
        </w:rPr>
        <w:t>1.此表一式一份，供应商凭经采购单位审批的退付意见书办理履约保证金退付事宜。</w:t>
      </w:r>
    </w:p>
    <w:p w14:paraId="22AC8356">
      <w:pPr>
        <w:pStyle w:val="30"/>
        <w:jc w:val="both"/>
        <w:rPr>
          <w:rFonts w:hAnsi="宋体"/>
          <w:color w:val="auto"/>
          <w:highlight w:val="none"/>
        </w:rPr>
      </w:pPr>
      <w:r>
        <w:rPr>
          <w:rFonts w:hint="eastAsia" w:hAnsi="宋体"/>
          <w:color w:val="auto"/>
          <w:highlight w:val="none"/>
        </w:rPr>
        <w:t>2.附履约保证金凭据原件。</w:t>
      </w:r>
    </w:p>
    <w:p w14:paraId="3321063E">
      <w:pPr>
        <w:pStyle w:val="30"/>
        <w:jc w:val="both"/>
        <w:rPr>
          <w:rFonts w:hAnsi="宋体"/>
          <w:color w:val="auto"/>
          <w:highlight w:val="none"/>
        </w:rPr>
      </w:pPr>
      <w:r>
        <w:rPr>
          <w:rFonts w:hint="eastAsia" w:hAnsi="宋体"/>
          <w:color w:val="auto"/>
          <w:highlight w:val="none"/>
        </w:rPr>
        <w:t>3.附政府采购货物验收单或工程竣工验收书（须验收单位加盖公章）。</w:t>
      </w:r>
    </w:p>
    <w:p w14:paraId="6DE07C53">
      <w:pPr>
        <w:pStyle w:val="30"/>
        <w:jc w:val="both"/>
        <w:rPr>
          <w:rFonts w:hAnsi="宋体"/>
          <w:color w:val="auto"/>
          <w:highlight w:val="none"/>
        </w:rPr>
      </w:pPr>
      <w:r>
        <w:rPr>
          <w:rFonts w:hint="eastAsia" w:hAnsi="宋体"/>
          <w:color w:val="auto"/>
          <w:highlight w:val="none"/>
        </w:rPr>
        <w:t>4.附合同书原件。</w:t>
      </w:r>
    </w:p>
    <w:p w14:paraId="2AEF0A3F">
      <w:pPr>
        <w:pStyle w:val="24"/>
        <w:snapToGrid w:val="0"/>
        <w:spacing w:before="120" w:after="120"/>
        <w:rPr>
          <w:rFonts w:hAnsi="宋体"/>
          <w:color w:val="auto"/>
          <w:highlight w:val="none"/>
        </w:rPr>
      </w:pPr>
    </w:p>
    <w:p w14:paraId="62FD5A7E">
      <w:pPr>
        <w:pStyle w:val="24"/>
        <w:snapToGrid w:val="0"/>
        <w:spacing w:before="120" w:after="120"/>
        <w:rPr>
          <w:rFonts w:hAnsi="宋体"/>
          <w:color w:val="auto"/>
          <w:highlight w:val="none"/>
        </w:rPr>
      </w:pPr>
    </w:p>
    <w:p w14:paraId="2EBCE449">
      <w:pPr>
        <w:pStyle w:val="2"/>
        <w:jc w:val="center"/>
        <w:rPr>
          <w:rFonts w:hint="eastAsia" w:eastAsia="宋体"/>
          <w:color w:val="auto"/>
          <w:sz w:val="40"/>
          <w:szCs w:val="40"/>
          <w:highlight w:val="none"/>
          <w:lang w:eastAsia="zh-CN"/>
        </w:rPr>
      </w:pPr>
      <w:bookmarkStart w:id="155" w:name="_Toc330456896"/>
      <w:bookmarkStart w:id="156" w:name="_Toc15360"/>
      <w:bookmarkStart w:id="157" w:name="_Toc254970689"/>
      <w:bookmarkStart w:id="158" w:name="_Toc254970548"/>
      <w:bookmarkStart w:id="159" w:name="_Toc19686832"/>
      <w:r>
        <w:rPr>
          <w:rFonts w:hint="eastAsia"/>
          <w:color w:val="auto"/>
          <w:sz w:val="40"/>
          <w:szCs w:val="40"/>
          <w:highlight w:val="none"/>
        </w:rPr>
        <w:t xml:space="preserve">第四章  </w:t>
      </w:r>
      <w:bookmarkEnd w:id="155"/>
      <w:bookmarkEnd w:id="156"/>
      <w:bookmarkEnd w:id="157"/>
      <w:bookmarkEnd w:id="158"/>
      <w:bookmarkEnd w:id="159"/>
      <w:r>
        <w:rPr>
          <w:rFonts w:hint="eastAsia"/>
          <w:color w:val="auto"/>
          <w:sz w:val="40"/>
          <w:szCs w:val="40"/>
          <w:highlight w:val="none"/>
          <w:lang w:eastAsia="zh-CN"/>
        </w:rPr>
        <w:t>评审程序、评审方法和评审标准</w:t>
      </w:r>
    </w:p>
    <w:p w14:paraId="277860B5">
      <w:pPr>
        <w:pStyle w:val="26"/>
        <w:spacing w:line="400" w:lineRule="exact"/>
        <w:ind w:left="0" w:leftChars="0" w:firstLine="420" w:firstLineChars="200"/>
        <w:rPr>
          <w:rFonts w:hint="eastAsia" w:eastAsia="宋体"/>
          <w:color w:val="auto"/>
          <w:sz w:val="24"/>
          <w:szCs w:val="32"/>
          <w:highlight w:val="none"/>
          <w:lang w:eastAsia="zh-CN"/>
        </w:rPr>
      </w:pPr>
      <w:r>
        <w:rPr>
          <w:rFonts w:hint="eastAsia" w:hAnsi="宋体" w:cs="宋体"/>
          <w:b w:val="0"/>
          <w:bCs/>
          <w:color w:val="auto"/>
          <w:highlight w:val="none"/>
          <w:lang w:eastAsia="zh-CN"/>
        </w:rPr>
        <w:t>一、</w:t>
      </w:r>
      <w:r>
        <w:rPr>
          <w:rFonts w:hint="eastAsia" w:hAnsi="宋体" w:cs="宋体"/>
          <w:b/>
          <w:color w:val="auto"/>
          <w:sz w:val="24"/>
          <w:szCs w:val="32"/>
          <w:highlight w:val="none"/>
        </w:rPr>
        <w:t>评审程序</w:t>
      </w:r>
      <w:r>
        <w:rPr>
          <w:rFonts w:hint="eastAsia" w:hAnsi="宋体" w:cs="宋体"/>
          <w:b/>
          <w:color w:val="auto"/>
          <w:sz w:val="24"/>
          <w:szCs w:val="32"/>
          <w:highlight w:val="none"/>
          <w:lang w:eastAsia="zh-CN"/>
        </w:rPr>
        <w:t>、评审方法</w:t>
      </w:r>
    </w:p>
    <w:p w14:paraId="5B6D49EF">
      <w:pPr>
        <w:pStyle w:val="24"/>
        <w:spacing w:line="400" w:lineRule="exact"/>
        <w:ind w:firstLine="480" w:firstLineChars="200"/>
        <w:rPr>
          <w:rFonts w:hAnsi="宋体" w:cs="宋体"/>
          <w:b w:val="0"/>
          <w:color w:val="auto"/>
          <w:sz w:val="24"/>
          <w:szCs w:val="24"/>
          <w:highlight w:val="none"/>
        </w:rPr>
      </w:pPr>
      <w:r>
        <w:rPr>
          <w:rFonts w:hint="eastAsia" w:hAnsi="宋体" w:cs="宋体"/>
          <w:b w:val="0"/>
          <w:color w:val="auto"/>
          <w:sz w:val="24"/>
          <w:szCs w:val="24"/>
          <w:highlight w:val="none"/>
        </w:rPr>
        <w:t>1.确认磋商文件</w:t>
      </w:r>
    </w:p>
    <w:p w14:paraId="54C8F0F6">
      <w:pPr>
        <w:pStyle w:val="24"/>
        <w:spacing w:line="400" w:lineRule="exact"/>
        <w:ind w:firstLine="480" w:firstLineChars="200"/>
        <w:rPr>
          <w:rFonts w:hAnsi="宋体" w:cs="宋体"/>
          <w:b w:val="0"/>
          <w:color w:val="auto"/>
          <w:sz w:val="24"/>
          <w:szCs w:val="24"/>
          <w:highlight w:val="none"/>
        </w:rPr>
      </w:pPr>
      <w:r>
        <w:rPr>
          <w:rFonts w:hint="eastAsia" w:hAnsi="宋体" w:cs="宋体"/>
          <w:b w:val="0"/>
          <w:color w:val="auto"/>
          <w:sz w:val="24"/>
          <w:szCs w:val="24"/>
          <w:highlight w:val="none"/>
        </w:rPr>
        <w:t>由磋商小组确认磋商文件。</w:t>
      </w:r>
    </w:p>
    <w:p w14:paraId="10DF9E1D">
      <w:pPr>
        <w:pStyle w:val="24"/>
        <w:spacing w:line="400" w:lineRule="exact"/>
        <w:ind w:firstLine="480" w:firstLineChars="200"/>
        <w:rPr>
          <w:rFonts w:hAnsi="宋体" w:cs="宋体"/>
          <w:b w:val="0"/>
          <w:color w:val="auto"/>
          <w:sz w:val="24"/>
          <w:szCs w:val="24"/>
          <w:highlight w:val="none"/>
        </w:rPr>
      </w:pPr>
      <w:r>
        <w:rPr>
          <w:rFonts w:hint="eastAsia" w:hAnsi="宋体" w:cs="宋体"/>
          <w:b w:val="0"/>
          <w:color w:val="auto"/>
          <w:sz w:val="24"/>
          <w:szCs w:val="24"/>
          <w:highlight w:val="none"/>
        </w:rPr>
        <w:t>2.资格审查</w:t>
      </w:r>
    </w:p>
    <w:p w14:paraId="278BD9BC">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2.1响应文件开启后，磋商小组依法对供应商的资格证明文件进行审查（注：采购人代表或者采购代理机构在资格审查结束前，对供应商进行信用查询）。</w:t>
      </w:r>
    </w:p>
    <w:p w14:paraId="717FF0DB">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（1）查询渠道：广西政府采购云平台“信用中国”网站(www.creditchina.gov.cn)、中国政府采购网(www.ccgp.gov.cn)链接入口。</w:t>
      </w:r>
    </w:p>
    <w:p w14:paraId="5CC076D9">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（2）信用查询截止时间点：资格审查结束前。 </w:t>
      </w:r>
    </w:p>
    <w:p w14:paraId="3967BAB6">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（3）查询记录和证据留存方式：在查询网站中直接打印查询记录，截图另存为电子文档作为评审资料保存。</w:t>
      </w:r>
    </w:p>
    <w:p w14:paraId="45664197">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（4）信用信息使用规则：对在“信用中国”网站(www.creditchina.gov.cn) 、中国政府采 购网(www.ccgp.gov.cn)被列入失信被执行人、重大税收违法失信主体、政府采购严重违法失信行为记录名单及其他不符合《中华人民共和国政府采购法》第二十二条规定条件的供应商，资格审查不通过，不得参与政府采购活动。两个以上的自然人、法人或者其他组织组成一个联合体，以一个供应商的身份共同参加政府采购活动的，应当对所有联合体成员进行信用记录查询，联合体成员存在不良信用记录的，视同联合体存在不良信用记录。</w:t>
      </w:r>
    </w:p>
    <w:p w14:paraId="37CB29CE">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2.2 资格审查标准为本磋商文件中载明对供应商资格要求的条件。资格审查采用合格制，凡符合磋商文件规定的供应商资格要求的响应文件均通过资格审查。</w:t>
      </w:r>
    </w:p>
    <w:p w14:paraId="25BAA2BF">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2.3 供应商有下列情形之一的，资格审查不通过，其响应文件按无效响应处理：</w:t>
      </w:r>
    </w:p>
    <w:p w14:paraId="1D6580DF">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（1）不具备磋商文件中规定的资格要求的；</w:t>
      </w:r>
    </w:p>
    <w:p w14:paraId="786FC22E">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（2）响应文件未提供任一项“供应商须知前附表”资格证明文件规定的“必须提供”的文件资料的；</w:t>
      </w:r>
    </w:p>
    <w:p w14:paraId="2E22D1D8">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（3）响应文件提供的资格证明文件出现任一项不符合“供应商须知前附表”资格证明文件规定的“必须提供”的文件资料要求或者无效的。</w:t>
      </w:r>
    </w:p>
    <w:p w14:paraId="64AD9EB7">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（4）同一合同项下的不同供应商，单位负责人为同一人或者存在直接控股、管理关系的；为本项目提供过整体设计、规范编制或者项目管理、监理、检测等服务的。</w:t>
      </w:r>
    </w:p>
    <w:p w14:paraId="5492378E">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2.4 通过资格审查的合格供应商不足 3 家的，不得进入符合性审查环节，采购人或者采购代理机构应当重新开展采购活动。</w:t>
      </w:r>
    </w:p>
    <w:p w14:paraId="5F04B963">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3.符合性审查</w:t>
      </w:r>
    </w:p>
    <w:p w14:paraId="5EFCBCFA">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3.1 由磋商小组对通过资格审查的合格供应商的响应文件的响应报价、商务、技术等实质性要求进行符合性审查，以确定其是否满足磋商文件的实质性要求。</w:t>
      </w:r>
    </w:p>
    <w:p w14:paraId="1286602C">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3.2 磋商小组在对响应文件进行符合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0E502566">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3.3 磋商小组要求供应商澄清、说明或者更正响应文件应当以电子澄清函形式作出。供应商的澄清、说明或者更正应当已电子回函形式按照磋商小组的要求作出明确的澄清、说明或者更正，未按磋商小组的要求作出明确澄清、说明或者更正的供应商的响应文件将按照有利于采购人的原则由磋商小组进行判定。供应商的澄清、说明或者更正必须加盖电子公章。供应商为自然人的，必须由本人签字并附身份证。</w:t>
      </w:r>
    </w:p>
    <w:p w14:paraId="0EEA4487">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3.4 首次响应文件报价出现前后不一致的，按照下列规定修正：</w:t>
      </w:r>
    </w:p>
    <w:p w14:paraId="3BAEAD9F">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（1）响应文件中报价表内容与响应文件中相应内容不一致的，以报价表为准；</w:t>
      </w:r>
    </w:p>
    <w:p w14:paraId="3B91E15D">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（2）大写金额和小写金额不一致的，以大写金额为准；</w:t>
      </w:r>
    </w:p>
    <w:p w14:paraId="75F05162">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（3）单价金额小数点或者百分比有明显错位的，以报价表的总价为准，并修改单价；</w:t>
      </w:r>
    </w:p>
    <w:p w14:paraId="0D85E72F">
      <w:pPr>
        <w:pStyle w:val="26"/>
        <w:spacing w:line="400" w:lineRule="exact"/>
        <w:ind w:left="0" w:leftChars="0"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 xml:space="preserve">（4）总价金额与按单价汇总金额不一致的，以单价金额计算结果为准。 </w:t>
      </w:r>
    </w:p>
    <w:p w14:paraId="6A4172BF">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同时出现两种以上不一致的，按照以上（1）-（4）规定的顺序逐条进行修正。修正后的报价经供应商确认后产生约束力，供应商不确认的，其响应文件按无效响应处理。   </w:t>
      </w:r>
    </w:p>
    <w:p w14:paraId="7EFE2302">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3.5 商务、技术、报价文件在评审时，如发现下列情形之一的，将被视为响应文件无效处理：</w:t>
      </w:r>
    </w:p>
    <w:p w14:paraId="761D19B2">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（1）商务、技术评审 </w:t>
      </w:r>
    </w:p>
    <w:p w14:paraId="62507552">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1）响应文件未按磋商文件要求签署、盖章；</w:t>
      </w:r>
    </w:p>
    <w:p w14:paraId="19B32E9D">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eastAsia="zh-CN"/>
        </w:rPr>
        <w:t>法定代表人未能出具有效身份证明；</w:t>
      </w:r>
      <w:r>
        <w:rPr>
          <w:rFonts w:hint="eastAsia" w:ascii="宋体" w:hAnsi="宋体" w:cs="宋体"/>
          <w:color w:val="auto"/>
          <w:sz w:val="24"/>
          <w:highlight w:val="none"/>
        </w:rPr>
        <w:t>委托代理人未能出具有效身份证明或者出具的身份证明与授权委托书中的信息不符</w:t>
      </w:r>
      <w:r>
        <w:rPr>
          <w:rFonts w:hint="eastAsia" w:ascii="宋体" w:hAnsi="宋体" w:cs="宋体"/>
          <w:color w:val="auto"/>
          <w:sz w:val="24"/>
          <w:highlight w:val="none"/>
          <w:lang w:eastAsia="zh-CN"/>
        </w:rPr>
        <w:t>（委托代理时）</w:t>
      </w:r>
      <w:r>
        <w:rPr>
          <w:rFonts w:hint="eastAsia" w:ascii="宋体" w:hAnsi="宋体" w:cs="宋体"/>
          <w:color w:val="auto"/>
          <w:sz w:val="24"/>
          <w:highlight w:val="none"/>
        </w:rPr>
        <w:t>；</w:t>
      </w:r>
    </w:p>
    <w:p w14:paraId="0105F66A">
      <w:pPr>
        <w:pStyle w:val="26"/>
        <w:spacing w:line="400" w:lineRule="exact"/>
        <w:ind w:left="0" w:leftChars="0" w:firstLine="480" w:firstLineChars="200"/>
        <w:jc w:val="left"/>
        <w:rPr>
          <w:rFonts w:hint="eastAsia" w:ascii="宋体" w:hAnsi="宋体" w:eastAsia="宋体" w:cs="宋体"/>
          <w:color w:val="auto"/>
          <w:sz w:val="24"/>
          <w:highlight w:val="none"/>
          <w:lang w:eastAsia="zh-CN"/>
        </w:rPr>
      </w:pPr>
      <w:r>
        <w:rPr>
          <w:rFonts w:hint="eastAsia" w:ascii="宋体" w:hAnsi="宋体" w:cs="宋体"/>
          <w:color w:val="auto"/>
          <w:sz w:val="24"/>
          <w:highlight w:val="none"/>
        </w:rPr>
        <w:t>3）响应文件未提供任一项“供应商须知前附表” 商务、技术文件中 “必须提供”或者“委托时必须提供”的文件资料；响应文件提供的商务、技术文件出现任一项不符合“供应商须知前附表”商务、技术文件中 “必须提供”或者“委托时必须提供”文件资料要求的规定或者提供的商务技术文件无效</w:t>
      </w:r>
      <w:r>
        <w:rPr>
          <w:rFonts w:hint="eastAsia" w:ascii="宋体" w:hAnsi="宋体" w:cs="宋体"/>
          <w:color w:val="auto"/>
          <w:sz w:val="24"/>
          <w:highlight w:val="none"/>
          <w:lang w:eastAsia="zh-CN"/>
        </w:rPr>
        <w:t>；</w:t>
      </w:r>
    </w:p>
    <w:p w14:paraId="60484E42">
      <w:pPr>
        <w:pStyle w:val="26"/>
        <w:spacing w:line="400" w:lineRule="exact"/>
        <w:ind w:left="0" w:leftChars="0"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4）提交的磋商保证金无效的或者未按照磋商文件的规定提交磋商保证金；</w:t>
      </w:r>
    </w:p>
    <w:p w14:paraId="7F085B61">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5）</w:t>
      </w:r>
      <w:r>
        <w:rPr>
          <w:rFonts w:hint="eastAsia" w:ascii="宋体" w:hAnsi="宋体" w:cs="宋体"/>
          <w:color w:val="auto"/>
          <w:sz w:val="24"/>
          <w:highlight w:val="none"/>
        </w:rPr>
        <w:t>商务条款中标“▲”的条款发生负偏离的或者允许负偏离的条款数超过“供应商须知前附表”规定项数的或者标明实质性的要求发生负偏离；</w:t>
      </w:r>
    </w:p>
    <w:p w14:paraId="21DD6583">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6</w:t>
      </w:r>
      <w:r>
        <w:rPr>
          <w:rFonts w:hint="eastAsia" w:ascii="宋体" w:hAnsi="宋体" w:cs="宋体"/>
          <w:color w:val="auto"/>
          <w:sz w:val="24"/>
          <w:highlight w:val="none"/>
        </w:rPr>
        <w:t>）未对磋商有效期作出响应或者响应文件承诺的磋商有效期不满足磋商文件要求；</w:t>
      </w:r>
    </w:p>
    <w:p w14:paraId="008E22DA">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7</w:t>
      </w:r>
      <w:r>
        <w:rPr>
          <w:rFonts w:hint="eastAsia" w:ascii="宋体" w:hAnsi="宋体" w:cs="宋体"/>
          <w:color w:val="auto"/>
          <w:sz w:val="24"/>
          <w:highlight w:val="none"/>
        </w:rPr>
        <w:t>）响应文件的实质性内容未使用中文表述、使用计量单位不符合磋商文件要求；</w:t>
      </w:r>
    </w:p>
    <w:p w14:paraId="3C0C67E1">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8</w:t>
      </w:r>
      <w:r>
        <w:rPr>
          <w:rFonts w:hint="eastAsia" w:ascii="宋体" w:hAnsi="宋体" w:cs="宋体"/>
          <w:color w:val="auto"/>
          <w:sz w:val="24"/>
          <w:highlight w:val="none"/>
        </w:rPr>
        <w:t>）响应文件中的文件资料因填写不齐全或者内容虚假或者出现其他情形而导致被磋商小组认定无效；</w:t>
      </w:r>
    </w:p>
    <w:p w14:paraId="42CDD1BA">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9</w:t>
      </w:r>
      <w:r>
        <w:rPr>
          <w:rFonts w:hint="eastAsia" w:ascii="宋体" w:hAnsi="宋体" w:cs="宋体"/>
          <w:color w:val="auto"/>
          <w:sz w:val="24"/>
          <w:highlight w:val="none"/>
        </w:rPr>
        <w:t>）响应文件含有采购人不能接受的附加条件；</w:t>
      </w:r>
    </w:p>
    <w:p w14:paraId="685F1027">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10</w:t>
      </w:r>
      <w:r>
        <w:rPr>
          <w:rFonts w:hint="eastAsia" w:ascii="宋体" w:hAnsi="宋体" w:cs="宋体"/>
          <w:color w:val="auto"/>
          <w:sz w:val="24"/>
          <w:highlight w:val="none"/>
        </w:rPr>
        <w:t>）有下列情形之一的视为供应商相互串通竞标，响应文件将被视为无效：</w:t>
      </w:r>
    </w:p>
    <w:p w14:paraId="70442CC9">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①不同供应商的响应文件由同一单位或者个人编制；</w:t>
      </w:r>
    </w:p>
    <w:p w14:paraId="5DC69CE9">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②不同供应商委托同一单位或者个人办理竞标事宜；</w:t>
      </w:r>
    </w:p>
    <w:p w14:paraId="0252FEB8">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③不同的供应商的响应文件载明的项目管理员为同一个人；</w:t>
      </w:r>
    </w:p>
    <w:p w14:paraId="56B6B0AD">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④不同供应商的响应文件异常一致或者报价呈规律性差异；</w:t>
      </w:r>
    </w:p>
    <w:p w14:paraId="52769164">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⑤不同供应商的磋商保证金从同一单位或者个人账户转出。</w:t>
      </w:r>
    </w:p>
    <w:p w14:paraId="510F7385">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）技术需求允许负偏离的条款数超过磋商文件规定项数；</w:t>
      </w:r>
    </w:p>
    <w:p w14:paraId="29DB437D">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）虚假竞标，或者出现其他情形而导致被磋商小组认定无效；</w:t>
      </w:r>
    </w:p>
    <w:p w14:paraId="023CCC17">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）竞标技术方案不明确，磋商文件未允许但响应文件中存在一个或者一个以上备选（替代）竞标方案；</w:t>
      </w:r>
    </w:p>
    <w:p w14:paraId="24C9E1F2">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4</w:t>
      </w:r>
      <w:r>
        <w:rPr>
          <w:rFonts w:hint="eastAsia" w:ascii="宋体" w:hAnsi="宋体" w:cs="宋体"/>
          <w:color w:val="auto"/>
          <w:sz w:val="24"/>
          <w:highlight w:val="none"/>
        </w:rPr>
        <w:t>）响应文件标注的项目名称或者项目编号与磋商文件标注的项目名称或者项目编号不一致的；</w:t>
      </w:r>
    </w:p>
    <w:p w14:paraId="1C09CFF2">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5</w:t>
      </w:r>
      <w:r>
        <w:rPr>
          <w:rFonts w:hint="eastAsia" w:ascii="宋体" w:hAnsi="宋体" w:cs="宋体"/>
          <w:color w:val="auto"/>
          <w:sz w:val="24"/>
          <w:highlight w:val="none"/>
        </w:rPr>
        <w:t>）未响应磋商文件实质性要求；</w:t>
      </w:r>
    </w:p>
    <w:p w14:paraId="0444ADB0">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6</w:t>
      </w:r>
      <w:r>
        <w:rPr>
          <w:rFonts w:hint="eastAsia" w:ascii="宋体" w:hAnsi="宋体" w:cs="宋体"/>
          <w:color w:val="auto"/>
          <w:sz w:val="24"/>
          <w:highlight w:val="none"/>
        </w:rPr>
        <w:t>）法律、法规和磋商文件规定的其他无效情形。</w:t>
      </w:r>
    </w:p>
    <w:p w14:paraId="0DB975D9">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（2）报价评审</w:t>
      </w:r>
    </w:p>
    <w:p w14:paraId="17493357">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1) 响应文件未提供“供应商须知前附表” 报价文件中规定的“</w:t>
      </w:r>
      <w:r>
        <w:rPr>
          <w:rFonts w:hint="eastAsia" w:ascii="宋体" w:hAnsi="宋体" w:cs="宋体"/>
          <w:color w:val="auto"/>
          <w:sz w:val="24"/>
          <w:highlight w:val="none"/>
          <w:lang w:val="en-US" w:eastAsia="zh-CN"/>
        </w:rPr>
        <w:t>响应</w:t>
      </w:r>
      <w:r>
        <w:rPr>
          <w:rFonts w:hint="eastAsia" w:ascii="宋体" w:hAnsi="宋体" w:cs="宋体"/>
          <w:color w:val="auto"/>
          <w:sz w:val="24"/>
          <w:highlight w:val="none"/>
        </w:rPr>
        <w:t>函”和“报价表”；</w:t>
      </w:r>
    </w:p>
    <w:p w14:paraId="5DFA5451">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2）未采用人民币报价或者未按照磋商文件标明的币种报价；</w:t>
      </w:r>
    </w:p>
    <w:p w14:paraId="72EB487D">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3）供应商未就所竞标</w:t>
      </w:r>
      <w:r>
        <w:rPr>
          <w:rFonts w:hint="eastAsia" w:ascii="宋体" w:hAnsi="宋体" w:cs="宋体"/>
          <w:color w:val="auto"/>
          <w:sz w:val="24"/>
          <w:highlight w:val="none"/>
          <w:lang w:val="en-US" w:eastAsia="zh-CN"/>
        </w:rPr>
        <w:t>项目</w:t>
      </w:r>
      <w:r>
        <w:rPr>
          <w:rFonts w:hint="eastAsia" w:ascii="宋体" w:hAnsi="宋体" w:cs="宋体"/>
          <w:color w:val="auto"/>
          <w:sz w:val="24"/>
          <w:highlight w:val="none"/>
        </w:rPr>
        <w:t>进行报价或者存在漏项报价；供应商未就所竞标的内容作唯一报价；供应商未就所竞标的全部内容作唯一总价报价；供应商响应文件中存在有选择、有条件报价的（磋商文件允许有备选方案或者其他约定的除外）；</w:t>
      </w:r>
    </w:p>
    <w:p w14:paraId="3424CF05">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4）响应报价（包含首次报价、最后报价）超过所竞标</w:t>
      </w:r>
      <w:r>
        <w:rPr>
          <w:rFonts w:hint="eastAsia" w:ascii="宋体" w:hAnsi="宋体" w:cs="宋体"/>
          <w:color w:val="auto"/>
          <w:sz w:val="24"/>
          <w:highlight w:val="none"/>
          <w:lang w:val="en-US" w:eastAsia="zh-CN"/>
        </w:rPr>
        <w:t>项目</w:t>
      </w:r>
      <w:r>
        <w:rPr>
          <w:rFonts w:hint="eastAsia" w:ascii="宋体" w:hAnsi="宋体" w:cs="宋体"/>
          <w:color w:val="auto"/>
          <w:sz w:val="24"/>
          <w:highlight w:val="none"/>
        </w:rPr>
        <w:t>规定的采购</w:t>
      </w:r>
      <w:r>
        <w:rPr>
          <w:rFonts w:hint="eastAsia" w:ascii="宋体" w:hAnsi="宋体" w:cs="宋体"/>
          <w:color w:val="auto"/>
          <w:sz w:val="24"/>
          <w:highlight w:val="none"/>
          <w:lang w:eastAsia="zh-CN"/>
        </w:rPr>
        <w:t>预算价或</w:t>
      </w:r>
      <w:r>
        <w:rPr>
          <w:rFonts w:hint="eastAsia" w:ascii="宋体" w:hAnsi="宋体" w:cs="宋体"/>
          <w:color w:val="auto"/>
          <w:sz w:val="24"/>
          <w:highlight w:val="none"/>
        </w:rPr>
        <w:t>最高限价的（如本项目公布了最高限价）；响应报价（包含首次报价、最后报价）超过磋商文件分项采购预算金额或者最高限价的（如本项目公布了最高限价）；</w:t>
      </w:r>
    </w:p>
    <w:p w14:paraId="0825C9E8">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5）修正后的报价，供应商不确认的；或者经供应商确认修正后的响应报价（包含首次报价、最后报价）超过所竞标</w:t>
      </w:r>
      <w:r>
        <w:rPr>
          <w:rFonts w:hint="eastAsia" w:ascii="宋体" w:hAnsi="宋体" w:cs="宋体"/>
          <w:color w:val="auto"/>
          <w:sz w:val="24"/>
          <w:highlight w:val="none"/>
          <w:lang w:val="en-US" w:eastAsia="zh-CN"/>
        </w:rPr>
        <w:t>项目</w:t>
      </w:r>
      <w:r>
        <w:rPr>
          <w:rFonts w:hint="eastAsia" w:ascii="宋体" w:hAnsi="宋体" w:cs="宋体"/>
          <w:color w:val="auto"/>
          <w:sz w:val="24"/>
          <w:highlight w:val="none"/>
        </w:rPr>
        <w:t>规定的</w:t>
      </w:r>
      <w:r>
        <w:rPr>
          <w:rFonts w:hint="eastAsia" w:ascii="宋体" w:hAnsi="宋体" w:cs="宋体"/>
          <w:color w:val="auto"/>
          <w:sz w:val="24"/>
          <w:highlight w:val="none"/>
          <w:lang w:eastAsia="zh-CN"/>
        </w:rPr>
        <w:t>采购预算价或</w:t>
      </w:r>
      <w:r>
        <w:rPr>
          <w:rFonts w:hint="eastAsia" w:ascii="宋体" w:hAnsi="宋体" w:cs="宋体"/>
          <w:color w:val="auto"/>
          <w:sz w:val="24"/>
          <w:highlight w:val="none"/>
        </w:rPr>
        <w:t>采购最高限价（如本项目公布了最高限价）；或者经供应商确认修正后响应报价（包含首次报价、最后报价）超过磋商文件分项采购最高限价的（如本项目公布了最高限价）。</w:t>
      </w:r>
    </w:p>
    <w:p w14:paraId="2912DAF9">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6）响应文件响应的标的数量及单位与磋商文件要求实质性不一致的。</w:t>
      </w:r>
    </w:p>
    <w:p w14:paraId="67D1183D">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3.6 磋商小组对响应文件进行评审，未实质性响应磋商文件的响应文件按无效处理，磋商小组应当将资格和符合性不通过的情况告知有关供应商。磋商小组从符合磋商文件规定的相应资格条件的供应商名单中确定不少于3家的供应商参加磋商。</w:t>
      </w:r>
    </w:p>
    <w:p w14:paraId="7E082FD1">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3.7 非政府购买服务项目，通过符合性审查的合格供应商不足3家的，不得进入磋商环节， 采购人或者采购代理机构应当重新开展采购活动。政府购买服务项目，按《财政部关于政府采购 竞争性磋商采购方式管理暂行办法有关问题的补充通知》（财库〔2015〕124 号）规定，采购过程中通过符合性审查的供应商（社会资本）只有2家的，磋商采购活动可以继续进行。</w:t>
      </w:r>
    </w:p>
    <w:p w14:paraId="0DE669AE">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4.磋商程序</w:t>
      </w:r>
    </w:p>
    <w:p w14:paraId="5CE45B2D">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4.1 磋商小组按照“供应商须知前附表” 确定的顺序，与供应商分别进行磋商， 并给予所有参加磋商的供应商平等的磋商机会。符合磋商资格的供应商必须在接到磋商通知后规定时间内参加磋商，未在规定时间内参加磋商的视同放弃参加磋商权利，其响应文件按无效响应处理。</w:t>
      </w:r>
    </w:p>
    <w:p w14:paraId="5AF953EA">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4.2 在磋商过程中，磋商小组可以根据磋商文件和磋商情况实质性变动采购需求中的技术、服务要求以及合同草案条款，但不得变动磋商文件中的其他内容。实质性变动的内容，须经采购人代表确认。可能实质性变动的内容为采购需求中的技术、服务要求以及合同草案条款。</w:t>
      </w:r>
    </w:p>
    <w:p w14:paraId="1ACA6F47">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4.3 对磋商文件作出的实质性变动是磋商文件的有效组成部分，由磋商小组及时以电子澄清函形式同时通知所有参加磋商的供应商。</w:t>
      </w:r>
    </w:p>
    <w:p w14:paraId="18ADFEBA">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4.4 供应商必须按照磋商文件的变动情况和磋商小组的要求以回函的形式重新提交响应文件，并加盖电子公章。供应商为自然人的，必须由本人签字并附身份证。参加磋商的供应商未在规定时间内重新提交响应文件的，视同退出磋商。</w:t>
      </w:r>
    </w:p>
    <w:p w14:paraId="671882F1">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4.5 磋商中，磋商的任何一方不得透露与磋商有关的其他供应商的技术资料、价格和其他信息。</w:t>
      </w:r>
    </w:p>
    <w:p w14:paraId="6350AC78">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4.6 磋商小组应对磋商过程和重要磋商内容进行记录，作为评</w:t>
      </w:r>
      <w:r>
        <w:rPr>
          <w:rFonts w:hint="eastAsia" w:ascii="宋体" w:hAnsi="宋体" w:cs="宋体"/>
          <w:color w:val="auto"/>
          <w:sz w:val="24"/>
          <w:highlight w:val="none"/>
          <w:lang w:eastAsia="zh-CN"/>
        </w:rPr>
        <w:t>审</w:t>
      </w:r>
      <w:r>
        <w:rPr>
          <w:rFonts w:hint="eastAsia" w:ascii="宋体" w:hAnsi="宋体" w:cs="宋体"/>
          <w:color w:val="auto"/>
          <w:sz w:val="24"/>
          <w:highlight w:val="none"/>
        </w:rPr>
        <w:t>报告一部分，磋商小组在记录上签字确认。</w:t>
      </w:r>
    </w:p>
    <w:p w14:paraId="77CAC21F">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4.7 磋商过程中重新提交的响应文件，供应商可以在开启前补充、修改。</w:t>
      </w:r>
    </w:p>
    <w:p w14:paraId="36EAF1BE">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4.8 对磋商过程提交的响应文件进行有效性、完整性和响应程度审查，通过审查的合格供应商不足3家的，采购人或者采购代理机构应当重新开展采购活动。</w:t>
      </w:r>
    </w:p>
    <w:p w14:paraId="6BEC44C6">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5. 最后报价</w:t>
      </w:r>
    </w:p>
    <w:p w14:paraId="4DAE829C">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5.1 磋商文件能够详细列明采购标的的技术、服务要求的，磋商结束后，由磋商小组要求所有继续参加磋商的供应商在规定时间内密封提交最后报价，除本章第5.3条外，提交最后报价的供应商不得少于3家，否则必须重新采购。</w:t>
      </w:r>
    </w:p>
    <w:p w14:paraId="19A56E4C">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5.2 磋商文件不能详细列明采购标的的技术、服务要求，需经磋商由供应商提供最后解决方案的，磋商结束后，由磋商小组按照少数服从多数的原则投票推荐3家以上供应商的解决方案，并要求其在规定时间内密封提交最后报价。</w:t>
      </w:r>
    </w:p>
    <w:p w14:paraId="327F886F">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5.3 最后报价是供应商响应文件的有效组成部分。符合《政府采购竞争性磋商采购方式管理暂行办法》（财库〔2014〕214 号）第三条第四项“市场竞争不充分的科研项目，以及需要扶持的科技成果转化项目”的，提交最后报价的供应商可以为2家。</w:t>
      </w:r>
    </w:p>
    <w:p w14:paraId="67673FFA">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5.4 已经提交响应文件的供应商，在提交最后报价之前，可以根据磋商情况退出磋商，退出磋商的供应商的响应文件按无效响应处理。</w:t>
      </w:r>
    </w:p>
    <w:p w14:paraId="1CE86D4C">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5.5 供应商未在规定时间内提交最后报价的，视同退出磋商。</w:t>
      </w:r>
    </w:p>
    <w:p w14:paraId="0860BDAB">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5.6 磋商小组收齐某一分标最后报价后统一开启，磋商小组对最后报价进行有效性、完整性和响应程度的审查。</w:t>
      </w:r>
    </w:p>
    <w:p w14:paraId="2E4F1F93">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5.7 最终响应文件的报价出现前后不一致的，按照本章第3.4条的规定修正。</w:t>
      </w:r>
    </w:p>
    <w:p w14:paraId="63835CC1">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5.8 修正后的最终报价出现下列情形的，按无效响应处理：</w:t>
      </w:r>
    </w:p>
    <w:p w14:paraId="7C26B93B">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（1）供应商不确认的（全流程电子化评标采取在线确认）；</w:t>
      </w:r>
    </w:p>
    <w:p w14:paraId="02A79760">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（2）经供应商确认修正后的响应报价（包含首次报价、最后报价）超过所竞标</w:t>
      </w:r>
      <w:r>
        <w:rPr>
          <w:rFonts w:hint="eastAsia" w:ascii="宋体" w:hAnsi="宋体" w:cs="宋体"/>
          <w:color w:val="auto"/>
          <w:sz w:val="24"/>
          <w:highlight w:val="none"/>
          <w:lang w:val="en-US" w:eastAsia="zh-CN"/>
        </w:rPr>
        <w:t>项目</w:t>
      </w:r>
      <w:r>
        <w:rPr>
          <w:rFonts w:hint="eastAsia" w:ascii="宋体" w:hAnsi="宋体" w:cs="宋体"/>
          <w:color w:val="auto"/>
          <w:sz w:val="24"/>
          <w:highlight w:val="none"/>
        </w:rPr>
        <w:t>规定的采购</w:t>
      </w:r>
      <w:r>
        <w:rPr>
          <w:rFonts w:hint="eastAsia" w:ascii="宋体" w:hAnsi="宋体" w:cs="宋体"/>
          <w:color w:val="auto"/>
          <w:sz w:val="24"/>
          <w:highlight w:val="none"/>
          <w:lang w:eastAsia="zh-CN"/>
        </w:rPr>
        <w:t>预算价或</w:t>
      </w:r>
      <w:r>
        <w:rPr>
          <w:rFonts w:hint="eastAsia" w:ascii="宋体" w:hAnsi="宋体" w:cs="宋体"/>
          <w:color w:val="auto"/>
          <w:sz w:val="24"/>
          <w:highlight w:val="none"/>
        </w:rPr>
        <w:t>最高限价的（如本项目公布了最高限价）；</w:t>
      </w:r>
    </w:p>
    <w:p w14:paraId="7229FB7A">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（3）经供应商确认修正后的响应报价（包含首次报价、最后报价）超过分项采购</w:t>
      </w:r>
      <w:r>
        <w:rPr>
          <w:rFonts w:hint="eastAsia" w:ascii="宋体" w:hAnsi="宋体" w:cs="宋体"/>
          <w:color w:val="auto"/>
          <w:sz w:val="24"/>
          <w:highlight w:val="none"/>
          <w:lang w:eastAsia="zh-CN"/>
        </w:rPr>
        <w:t>预算价或</w:t>
      </w:r>
      <w:r>
        <w:rPr>
          <w:rFonts w:hint="eastAsia" w:ascii="宋体" w:hAnsi="宋体" w:cs="宋体"/>
          <w:color w:val="auto"/>
          <w:sz w:val="24"/>
          <w:highlight w:val="none"/>
        </w:rPr>
        <w:t>最高限价的（如本项目公布了最高限价）。</w:t>
      </w:r>
    </w:p>
    <w:p w14:paraId="3F3A1489">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5.9 经供应商确认修正后的最后报价作为评审及签订合同的依据。</w:t>
      </w:r>
    </w:p>
    <w:p w14:paraId="4DACE2FE">
      <w:pPr>
        <w:pStyle w:val="26"/>
        <w:spacing w:line="400" w:lineRule="exact"/>
        <w:ind w:left="0" w:leftChars="0"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5.10 异常低价响应审查</w:t>
      </w:r>
    </w:p>
    <w:p w14:paraId="252A669D">
      <w:pPr>
        <w:pStyle w:val="26"/>
        <w:spacing w:line="400" w:lineRule="exact"/>
        <w:ind w:left="0" w:leftChars="0"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eastAsia="zh-CN"/>
        </w:rPr>
        <w:t>磋商小组</w:t>
      </w:r>
      <w:r>
        <w:rPr>
          <w:rFonts w:hint="eastAsia" w:ascii="宋体" w:hAnsi="宋体" w:cs="宋体"/>
          <w:color w:val="auto"/>
          <w:sz w:val="24"/>
          <w:highlight w:val="none"/>
        </w:rPr>
        <w:t>在评审中发现下列情形之一的，应当启动异常低价响应审查程序：</w:t>
      </w:r>
    </w:p>
    <w:p w14:paraId="28786C2A">
      <w:pPr>
        <w:pStyle w:val="26"/>
        <w:spacing w:line="400" w:lineRule="exact"/>
        <w:ind w:left="0" w:leftChars="0"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①响应报价低于全部通过符合性审查供应商响应报价平均值50%的，即响应报价＜全部通过符合性审查供应商响应报价平均值×50%；</w:t>
      </w:r>
    </w:p>
    <w:p w14:paraId="7A5B92B7">
      <w:pPr>
        <w:pStyle w:val="26"/>
        <w:spacing w:line="400" w:lineRule="exact"/>
        <w:ind w:left="0" w:leftChars="0"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②响应报价低于通过符合性审查的次低报价供应商响应报价50%的，即响应报价＜通过符合性审查的次低报价供应商响应报价×50%；</w:t>
      </w:r>
    </w:p>
    <w:p w14:paraId="4DA045A6">
      <w:pPr>
        <w:pStyle w:val="26"/>
        <w:spacing w:line="400" w:lineRule="exact"/>
        <w:ind w:left="0" w:leftChars="0"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③响应报价低于采购项目最高限价45%的，即响应报价＜采购项目最高限价×45%；</w:t>
      </w:r>
    </w:p>
    <w:p w14:paraId="7822E67E">
      <w:pPr>
        <w:pStyle w:val="26"/>
        <w:spacing w:line="400" w:lineRule="exact"/>
        <w:ind w:left="0" w:leftChars="0"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④</w:t>
      </w:r>
      <w:r>
        <w:rPr>
          <w:rFonts w:hint="eastAsia" w:ascii="宋体" w:hAnsi="宋体" w:cs="宋体"/>
          <w:color w:val="auto"/>
          <w:sz w:val="24"/>
          <w:highlight w:val="none"/>
          <w:lang w:eastAsia="zh-CN"/>
        </w:rPr>
        <w:t>磋商小组</w:t>
      </w:r>
      <w:r>
        <w:rPr>
          <w:rFonts w:hint="eastAsia" w:ascii="宋体" w:hAnsi="宋体" w:cs="宋体"/>
          <w:color w:val="auto"/>
          <w:sz w:val="24"/>
          <w:highlight w:val="none"/>
        </w:rPr>
        <w:t>基于专业判断，认为供应商报价过低，有可能影响产品质量或者不能诚信履约的其他情形。</w:t>
      </w:r>
    </w:p>
    <w:p w14:paraId="173171B9">
      <w:pPr>
        <w:pStyle w:val="26"/>
        <w:spacing w:line="400" w:lineRule="exact"/>
        <w:ind w:left="0" w:leftChars="0"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eastAsia="zh-CN"/>
        </w:rPr>
        <w:t>磋商小组</w:t>
      </w:r>
      <w:r>
        <w:rPr>
          <w:rFonts w:hint="eastAsia" w:ascii="宋体" w:hAnsi="宋体" w:cs="宋体"/>
          <w:color w:val="auto"/>
          <w:sz w:val="24"/>
          <w:highlight w:val="none"/>
        </w:rPr>
        <w:t>启动异常低价响应审查后，属于前述第①项至第④项情形的，应当要求相关供应商在评审现场合理的时间内对响应价格作出解释，提供项目具体成本测算等与报价合理性相关的书面说明及必要的证明材料，包括但不限于原材料成本、人工成本、制造费用等，给予相关供应商的合理时间一般不少于30分钟。其中，属于第③项情形，供应商已随响应文件一并提交相关书面说明及必要的证明材料的，可不再重复提交。</w:t>
      </w:r>
    </w:p>
    <w:p w14:paraId="7B51096F">
      <w:pPr>
        <w:pStyle w:val="26"/>
        <w:spacing w:line="400" w:lineRule="exact"/>
        <w:ind w:left="0" w:leftChars="0"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lang w:eastAsia="zh-CN"/>
        </w:rPr>
        <w:t>磋商小组</w:t>
      </w:r>
      <w:r>
        <w:rPr>
          <w:rFonts w:hint="eastAsia" w:ascii="宋体" w:hAnsi="宋体" w:cs="宋体"/>
          <w:color w:val="auto"/>
          <w:sz w:val="24"/>
          <w:highlight w:val="none"/>
        </w:rPr>
        <w:t>依据专业经验，参考同类项目中标（成交）价格、类似产品市场价格水平、行业人工费用标准、国家有关部门指导行业协会发布的行业平均成本等情况，对报价合理性进行判断。相关供应商不能提供书面说明、证明材料，或者提供的书面说明、证明材料不能证明其报价合理性的，</w:t>
      </w:r>
      <w:r>
        <w:rPr>
          <w:rFonts w:hint="eastAsia" w:ascii="宋体" w:hAnsi="宋体" w:cs="宋体"/>
          <w:color w:val="auto"/>
          <w:sz w:val="24"/>
          <w:highlight w:val="none"/>
          <w:lang w:eastAsia="zh-CN"/>
        </w:rPr>
        <w:t>磋商小组</w:t>
      </w:r>
      <w:r>
        <w:rPr>
          <w:rFonts w:hint="eastAsia" w:ascii="宋体" w:hAnsi="宋体" w:cs="宋体"/>
          <w:color w:val="auto"/>
          <w:sz w:val="24"/>
          <w:highlight w:val="none"/>
        </w:rPr>
        <w:t>应当将其作为无效响应处理。</w:t>
      </w:r>
    </w:p>
    <w:p w14:paraId="56C84589">
      <w:pPr>
        <w:pStyle w:val="26"/>
        <w:spacing w:line="400" w:lineRule="exact"/>
        <w:ind w:left="0" w:leftChars="0"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采购人、采购代理机构应当为</w:t>
      </w:r>
      <w:r>
        <w:rPr>
          <w:rFonts w:hint="eastAsia" w:ascii="宋体" w:hAnsi="宋体" w:cs="宋体"/>
          <w:color w:val="auto"/>
          <w:sz w:val="24"/>
          <w:highlight w:val="none"/>
          <w:lang w:eastAsia="zh-CN"/>
        </w:rPr>
        <w:t>磋商小组</w:t>
      </w:r>
      <w:r>
        <w:rPr>
          <w:rFonts w:hint="eastAsia" w:ascii="宋体" w:hAnsi="宋体" w:cs="宋体"/>
          <w:color w:val="auto"/>
          <w:sz w:val="24"/>
          <w:highlight w:val="none"/>
        </w:rPr>
        <w:t>在评审现场及时获取同类项目中标（成交）价格、类似产品市场价格水平、行业人工费用标准、国家有关部门指导行业协会发布的行业平均成本等相关信息资料提供便利。</w:t>
      </w:r>
      <w:r>
        <w:rPr>
          <w:rFonts w:hint="eastAsia" w:ascii="宋体" w:hAnsi="宋体" w:cs="宋体"/>
          <w:color w:val="auto"/>
          <w:sz w:val="24"/>
          <w:highlight w:val="none"/>
          <w:lang w:eastAsia="zh-CN"/>
        </w:rPr>
        <w:t>磋商小组</w:t>
      </w:r>
      <w:r>
        <w:rPr>
          <w:rFonts w:hint="eastAsia" w:ascii="宋体" w:hAnsi="宋体" w:cs="宋体"/>
          <w:color w:val="auto"/>
          <w:sz w:val="24"/>
          <w:highlight w:val="none"/>
        </w:rPr>
        <w:t>借助互联网等渠道查询相关信息的，应当严格遵守评审工作纪律，不得实施影响评审公正的行为。</w:t>
      </w:r>
    </w:p>
    <w:p w14:paraId="785F12A4">
      <w:pPr>
        <w:pStyle w:val="26"/>
        <w:spacing w:line="400" w:lineRule="exact"/>
        <w:ind w:left="0" w:leftChars="0"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异常低价响应审查的启动原因、审查意见和审查结果应当在评审报告中记录，并随供应商提供的相关书面说明及证明材料，以及</w:t>
      </w:r>
      <w:r>
        <w:rPr>
          <w:rFonts w:hint="eastAsia" w:ascii="宋体" w:hAnsi="宋体" w:cs="宋体"/>
          <w:color w:val="auto"/>
          <w:sz w:val="24"/>
          <w:highlight w:val="none"/>
          <w:lang w:eastAsia="zh-CN"/>
        </w:rPr>
        <w:t>磋商小组</w:t>
      </w:r>
      <w:r>
        <w:rPr>
          <w:rFonts w:hint="eastAsia" w:ascii="宋体" w:hAnsi="宋体" w:cs="宋体"/>
          <w:color w:val="auto"/>
          <w:sz w:val="24"/>
          <w:highlight w:val="none"/>
        </w:rPr>
        <w:t>有关互联网浏览、查询历史一并归档。</w:t>
      </w:r>
    </w:p>
    <w:p w14:paraId="38527595">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5.11</w:t>
      </w:r>
      <w:r>
        <w:rPr>
          <w:rFonts w:hint="eastAsia" w:ascii="宋体" w:hAnsi="宋体" w:cs="宋体"/>
          <w:color w:val="auto"/>
          <w:sz w:val="24"/>
          <w:highlight w:val="none"/>
        </w:rPr>
        <w:t>供应商出现最后报价按无效响应处理或者响应文件按无效处理时，磋商小组应当告知有关供应商。</w:t>
      </w:r>
    </w:p>
    <w:p w14:paraId="23CB4C2B">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5.1</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 xml:space="preserve"> 最后报价结束后，磋商小组不得再与供应商进行任何形式的商谈。</w:t>
      </w:r>
    </w:p>
    <w:p w14:paraId="6567380B">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6.比较与评价</w:t>
      </w:r>
    </w:p>
    <w:p w14:paraId="09B8DFF2">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6.1 评审方法：综合评分法。</w:t>
      </w:r>
    </w:p>
    <w:p w14:paraId="5AF7629B">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6.2 经磋商确定最终采购需求和提交最后报价的供应商后，由磋商小组采用综合评分法对提交最后报价的供应商的响应文件和最后报价进行综合评分。</w:t>
      </w:r>
    </w:p>
    <w:p w14:paraId="3E274278">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6.3 评审时，磋商小组各成员应当独立对每个有效响应的文件进行评价、打分，然后汇总每个供应商每项评分因素的得分。</w:t>
      </w:r>
    </w:p>
    <w:p w14:paraId="7B9E152D">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（1）磋商小组按照磋商文件中规定的评审标准计算各供应商的报价得分。项目评审过程中，不得去掉最后报价中的最高报价和最低报价。</w:t>
      </w:r>
    </w:p>
    <w:p w14:paraId="1F3CFFC5">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（2）各供应商的得分为磋商小组所有成员的有效评分的算术平均数。</w:t>
      </w:r>
    </w:p>
    <w:p w14:paraId="27EF8A8E">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6.4 评审价为供应商的最后报价进行政策性扣除后的价格，评审价只是作为评审时使用。最终成交供应商的成交金额等于最后报价（如有修正，以确认修正后的最后报价为准）。</w:t>
      </w:r>
    </w:p>
    <w:p w14:paraId="319B0F29">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6.5 由磋商小组根据综合评分情况，按照评审得分由高到低顺序推荐3名以上成交候选供应商，并编写评审报告。符合本章第 5.3 条情形的，可以推荐2家成交候选供应商。</w:t>
      </w:r>
    </w:p>
    <w:p w14:paraId="77F867F5">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6.6 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6C9F1E18">
      <w:pPr>
        <w:pStyle w:val="26"/>
        <w:spacing w:line="400" w:lineRule="exact"/>
        <w:ind w:left="0" w:leftChars="0" w:firstLine="480" w:firstLineChars="200"/>
        <w:jc w:val="left"/>
        <w:rPr>
          <w:rFonts w:ascii="宋体" w:hAnsi="宋体" w:cs="宋体"/>
          <w:color w:val="auto"/>
          <w:sz w:val="24"/>
          <w:highlight w:val="none"/>
        </w:rPr>
      </w:pPr>
      <w:r>
        <w:rPr>
          <w:rFonts w:hint="eastAsia" w:ascii="宋体" w:hAnsi="宋体" w:cs="宋体"/>
          <w:color w:val="auto"/>
          <w:sz w:val="24"/>
          <w:highlight w:val="none"/>
        </w:rPr>
        <w:t>7.评分分值按“四舍五入”法保留小数点后两位。</w:t>
      </w:r>
    </w:p>
    <w:p w14:paraId="12F08520">
      <w:pPr>
        <w:rPr>
          <w:color w:val="auto"/>
          <w:highlight w:val="none"/>
        </w:rPr>
      </w:pPr>
    </w:p>
    <w:p w14:paraId="2D16088C">
      <w:pPr>
        <w:rPr>
          <w:rFonts w:hint="eastAsia" w:hAnsi="宋体"/>
          <w:b/>
          <w:color w:val="auto"/>
          <w:sz w:val="24"/>
          <w:szCs w:val="32"/>
          <w:highlight w:val="none"/>
        </w:rPr>
      </w:pPr>
      <w:r>
        <w:rPr>
          <w:rFonts w:hint="eastAsia" w:hAnsi="宋体"/>
          <w:b/>
          <w:color w:val="auto"/>
          <w:sz w:val="24"/>
          <w:szCs w:val="32"/>
          <w:highlight w:val="none"/>
          <w:lang w:val="en-US" w:eastAsia="zh-CN"/>
        </w:rPr>
        <w:br w:type="page"/>
      </w:r>
      <w:r>
        <w:rPr>
          <w:rFonts w:hint="eastAsia" w:hAnsi="宋体"/>
          <w:b/>
          <w:color w:val="auto"/>
          <w:sz w:val="24"/>
          <w:szCs w:val="32"/>
          <w:highlight w:val="none"/>
          <w:lang w:val="en-US" w:eastAsia="zh-CN"/>
        </w:rPr>
        <w:t>二、</w:t>
      </w:r>
      <w:r>
        <w:rPr>
          <w:rFonts w:hint="eastAsia" w:hAnsi="宋体"/>
          <w:b/>
          <w:color w:val="auto"/>
          <w:sz w:val="24"/>
          <w:szCs w:val="32"/>
          <w:highlight w:val="none"/>
        </w:rPr>
        <w:t>评审标准：</w:t>
      </w:r>
    </w:p>
    <w:p w14:paraId="17781BCF">
      <w:pPr>
        <w:numPr>
          <w:ilvl w:val="0"/>
          <w:numId w:val="0"/>
        </w:numPr>
        <w:ind w:leftChars="0"/>
        <w:rPr>
          <w:color w:val="auto"/>
          <w:highlight w:val="none"/>
        </w:rPr>
      </w:pPr>
    </w:p>
    <w:tbl>
      <w:tblPr>
        <w:tblStyle w:val="50"/>
        <w:tblW w:w="9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1"/>
        <w:gridCol w:w="1022"/>
        <w:gridCol w:w="810"/>
        <w:gridCol w:w="6397"/>
        <w:gridCol w:w="848"/>
      </w:tblGrid>
      <w:tr w14:paraId="084A5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73" w:type="dxa"/>
            <w:gridSpan w:val="2"/>
            <w:tcBorders>
              <w:top w:val="single" w:color="auto" w:sz="4" w:space="0"/>
              <w:left w:val="single" w:color="auto" w:sz="4" w:space="0"/>
              <w:bottom w:val="single" w:color="auto" w:sz="4" w:space="0"/>
              <w:right w:val="single" w:color="auto" w:sz="4" w:space="0"/>
            </w:tcBorders>
            <w:noWrap/>
            <w:vAlign w:val="center"/>
          </w:tcPr>
          <w:p w14:paraId="4F2631B6">
            <w:pPr>
              <w:spacing w:line="400" w:lineRule="exact"/>
              <w:jc w:val="center"/>
              <w:rPr>
                <w:rFonts w:ascii="宋体" w:hAnsi="宋体" w:cs="宋体"/>
                <w:b/>
                <w:bCs/>
                <w:color w:val="auto"/>
                <w:sz w:val="24"/>
                <w:highlight w:val="none"/>
              </w:rPr>
            </w:pPr>
            <w:r>
              <w:rPr>
                <w:rFonts w:hint="eastAsia" w:ascii="宋体" w:hAnsi="宋体" w:cs="宋体"/>
                <w:b/>
                <w:bCs/>
                <w:color w:val="auto"/>
                <w:sz w:val="24"/>
                <w:highlight w:val="none"/>
              </w:rPr>
              <w:t>序号</w:t>
            </w:r>
          </w:p>
        </w:tc>
        <w:tc>
          <w:tcPr>
            <w:tcW w:w="810" w:type="dxa"/>
            <w:tcBorders>
              <w:top w:val="single" w:color="auto" w:sz="4" w:space="0"/>
              <w:left w:val="single" w:color="auto" w:sz="4" w:space="0"/>
              <w:bottom w:val="single" w:color="auto" w:sz="4" w:space="0"/>
              <w:right w:val="single" w:color="auto" w:sz="4" w:space="0"/>
            </w:tcBorders>
            <w:noWrap/>
            <w:vAlign w:val="center"/>
          </w:tcPr>
          <w:p w14:paraId="7E4D85B4">
            <w:pPr>
              <w:spacing w:line="400" w:lineRule="exact"/>
              <w:jc w:val="center"/>
              <w:rPr>
                <w:rFonts w:ascii="宋体" w:hAnsi="宋体" w:cs="宋体"/>
                <w:b/>
                <w:bCs/>
                <w:color w:val="auto"/>
                <w:sz w:val="24"/>
                <w:highlight w:val="none"/>
              </w:rPr>
            </w:pPr>
            <w:r>
              <w:rPr>
                <w:rFonts w:hint="eastAsia" w:ascii="宋体" w:hAnsi="宋体" w:cs="宋体"/>
                <w:b/>
                <w:bCs/>
                <w:color w:val="auto"/>
                <w:sz w:val="24"/>
                <w:highlight w:val="none"/>
              </w:rPr>
              <w:t>评分因素</w:t>
            </w:r>
          </w:p>
        </w:tc>
        <w:tc>
          <w:tcPr>
            <w:tcW w:w="6397" w:type="dxa"/>
            <w:tcBorders>
              <w:top w:val="single" w:color="auto" w:sz="4" w:space="0"/>
              <w:left w:val="single" w:color="auto" w:sz="4" w:space="0"/>
              <w:bottom w:val="single" w:color="auto" w:sz="4" w:space="0"/>
              <w:right w:val="single" w:color="auto" w:sz="4" w:space="0"/>
            </w:tcBorders>
            <w:noWrap/>
            <w:vAlign w:val="center"/>
          </w:tcPr>
          <w:p w14:paraId="4BAA49A6">
            <w:pPr>
              <w:spacing w:line="400" w:lineRule="exact"/>
              <w:jc w:val="center"/>
              <w:rPr>
                <w:rFonts w:ascii="宋体" w:hAnsi="宋体" w:cs="宋体"/>
                <w:b/>
                <w:bCs/>
                <w:color w:val="auto"/>
                <w:sz w:val="24"/>
                <w:highlight w:val="none"/>
              </w:rPr>
            </w:pPr>
            <w:r>
              <w:rPr>
                <w:rFonts w:hint="eastAsia" w:ascii="宋体" w:hAnsi="宋体" w:cs="宋体"/>
                <w:b/>
                <w:bCs/>
                <w:color w:val="auto"/>
                <w:sz w:val="24"/>
                <w:highlight w:val="none"/>
              </w:rPr>
              <w:t>评分标准</w:t>
            </w:r>
          </w:p>
        </w:tc>
        <w:tc>
          <w:tcPr>
            <w:tcW w:w="848" w:type="dxa"/>
            <w:tcBorders>
              <w:top w:val="single" w:color="auto" w:sz="4" w:space="0"/>
              <w:left w:val="single" w:color="auto" w:sz="4" w:space="0"/>
              <w:bottom w:val="single" w:color="auto" w:sz="4" w:space="0"/>
              <w:right w:val="single" w:color="auto" w:sz="4" w:space="0"/>
            </w:tcBorders>
            <w:noWrap/>
            <w:vAlign w:val="center"/>
          </w:tcPr>
          <w:p w14:paraId="2170BD63">
            <w:pPr>
              <w:spacing w:line="400" w:lineRule="exact"/>
              <w:jc w:val="center"/>
              <w:rPr>
                <w:rFonts w:hint="eastAsia" w:ascii="宋体" w:hAnsi="宋体" w:eastAsia="宋体" w:cs="宋体"/>
                <w:b/>
                <w:bCs/>
                <w:color w:val="auto"/>
                <w:sz w:val="24"/>
                <w:highlight w:val="none"/>
                <w:lang w:eastAsia="zh-CN"/>
              </w:rPr>
            </w:pPr>
            <w:r>
              <w:rPr>
                <w:rFonts w:hint="eastAsia" w:ascii="宋体" w:hAnsi="宋体" w:cs="宋体"/>
                <w:b/>
                <w:bCs/>
                <w:color w:val="auto"/>
                <w:sz w:val="24"/>
                <w:highlight w:val="none"/>
                <w:lang w:eastAsia="zh-CN"/>
              </w:rPr>
              <w:t>分值</w:t>
            </w:r>
          </w:p>
        </w:tc>
      </w:tr>
      <w:tr w14:paraId="21FCB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5" w:hRule="atLeast"/>
          <w:jc w:val="center"/>
        </w:trPr>
        <w:tc>
          <w:tcPr>
            <w:tcW w:w="551" w:type="dxa"/>
            <w:tcBorders>
              <w:top w:val="single" w:color="auto" w:sz="4" w:space="0"/>
              <w:left w:val="single" w:color="auto" w:sz="4" w:space="0"/>
              <w:bottom w:val="single" w:color="auto" w:sz="4" w:space="0"/>
              <w:right w:val="single" w:color="auto" w:sz="4" w:space="0"/>
            </w:tcBorders>
            <w:noWrap/>
            <w:vAlign w:val="center"/>
          </w:tcPr>
          <w:p w14:paraId="55E0EC97">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1</w:t>
            </w:r>
          </w:p>
        </w:tc>
        <w:tc>
          <w:tcPr>
            <w:tcW w:w="1022" w:type="dxa"/>
            <w:tcBorders>
              <w:top w:val="single" w:color="auto" w:sz="4" w:space="0"/>
              <w:left w:val="single" w:color="auto" w:sz="4" w:space="0"/>
              <w:bottom w:val="single" w:color="auto" w:sz="4" w:space="0"/>
              <w:right w:val="single" w:color="auto" w:sz="4" w:space="0"/>
            </w:tcBorders>
            <w:noWrap/>
            <w:vAlign w:val="center"/>
          </w:tcPr>
          <w:p w14:paraId="79DC077C">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价格分</w:t>
            </w:r>
          </w:p>
          <w:p w14:paraId="491732B5">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0分）</w:t>
            </w:r>
          </w:p>
        </w:tc>
        <w:tc>
          <w:tcPr>
            <w:tcW w:w="810" w:type="dxa"/>
            <w:tcBorders>
              <w:top w:val="single" w:color="auto" w:sz="4" w:space="0"/>
              <w:left w:val="single" w:color="auto" w:sz="4" w:space="0"/>
              <w:bottom w:val="single" w:color="auto" w:sz="4" w:space="0"/>
              <w:right w:val="single" w:color="auto" w:sz="4" w:space="0"/>
            </w:tcBorders>
            <w:noWrap/>
            <w:vAlign w:val="center"/>
          </w:tcPr>
          <w:p w14:paraId="029D8F7B">
            <w:pPr>
              <w:spacing w:line="400" w:lineRule="exact"/>
              <w:rPr>
                <w:rFonts w:ascii="宋体" w:hAnsi="宋体" w:cs="宋体"/>
                <w:color w:val="auto"/>
                <w:sz w:val="24"/>
                <w:highlight w:val="none"/>
              </w:rPr>
            </w:pPr>
            <w:r>
              <w:rPr>
                <w:rFonts w:hint="eastAsia" w:ascii="宋体" w:hAnsi="宋体" w:cs="宋体"/>
                <w:color w:val="auto"/>
                <w:sz w:val="24"/>
                <w:highlight w:val="none"/>
              </w:rPr>
              <w:t>磋商报价</w:t>
            </w:r>
          </w:p>
        </w:tc>
        <w:tc>
          <w:tcPr>
            <w:tcW w:w="6397" w:type="dxa"/>
            <w:tcBorders>
              <w:top w:val="single" w:color="auto" w:sz="4" w:space="0"/>
              <w:left w:val="single" w:color="auto" w:sz="4" w:space="0"/>
              <w:bottom w:val="single" w:color="auto" w:sz="4" w:space="0"/>
              <w:right w:val="single" w:color="auto" w:sz="4" w:space="0"/>
            </w:tcBorders>
            <w:noWrap/>
            <w:vAlign w:val="center"/>
          </w:tcPr>
          <w:p w14:paraId="791FAF61">
            <w:pPr>
              <w:spacing w:line="400" w:lineRule="exact"/>
              <w:rPr>
                <w:rFonts w:ascii="宋体" w:hAnsi="宋体" w:cs="宋体"/>
                <w:b/>
                <w:bCs/>
                <w:color w:val="auto"/>
                <w:sz w:val="24"/>
                <w:highlight w:val="none"/>
              </w:rPr>
            </w:pPr>
            <w:r>
              <w:rPr>
                <w:rFonts w:hint="eastAsia" w:ascii="宋体" w:hAnsi="宋体" w:cs="宋体"/>
                <w:b/>
                <w:bCs/>
                <w:color w:val="auto"/>
                <w:sz w:val="24"/>
                <w:highlight w:val="none"/>
              </w:rPr>
              <w:t>（1）本项目为专门面向小</w:t>
            </w:r>
            <w:r>
              <w:rPr>
                <w:rFonts w:hint="eastAsia" w:ascii="宋体" w:hAnsi="宋体" w:cs="宋体"/>
                <w:b/>
                <w:bCs/>
                <w:color w:val="auto"/>
                <w:sz w:val="24"/>
                <w:highlight w:val="none"/>
                <w:lang w:eastAsia="zh-CN"/>
              </w:rPr>
              <w:t>微</w:t>
            </w:r>
            <w:r>
              <w:rPr>
                <w:rFonts w:hint="eastAsia" w:ascii="宋体" w:hAnsi="宋体" w:cs="宋体"/>
                <w:b/>
                <w:bCs/>
                <w:color w:val="auto"/>
                <w:sz w:val="24"/>
                <w:highlight w:val="none"/>
              </w:rPr>
              <w:t>企业采购项目，不执行价格扣除政策，评标价=</w:t>
            </w:r>
            <w:r>
              <w:rPr>
                <w:rFonts w:hint="eastAsia" w:ascii="宋体" w:hAnsi="宋体" w:cs="宋体"/>
                <w:b/>
                <w:bCs/>
                <w:color w:val="auto"/>
                <w:sz w:val="24"/>
                <w:highlight w:val="none"/>
                <w:lang w:eastAsia="zh-CN"/>
              </w:rPr>
              <w:t>最后</w:t>
            </w:r>
            <w:r>
              <w:rPr>
                <w:rFonts w:hint="eastAsia" w:ascii="宋体" w:hAnsi="宋体" w:cs="宋体"/>
                <w:b/>
                <w:bCs/>
                <w:color w:val="auto"/>
                <w:sz w:val="24"/>
                <w:highlight w:val="none"/>
              </w:rPr>
              <w:t>报价。</w:t>
            </w:r>
          </w:p>
          <w:p w14:paraId="008A51CE">
            <w:pPr>
              <w:spacing w:line="400" w:lineRule="exact"/>
              <w:rPr>
                <w:rFonts w:ascii="宋体" w:hAnsi="宋体" w:cs="宋体"/>
                <w:color w:val="auto"/>
                <w:sz w:val="24"/>
                <w:highlight w:val="none"/>
              </w:rPr>
            </w:pPr>
            <w:r>
              <w:rPr>
                <w:rFonts w:hint="eastAsia" w:ascii="宋体" w:hAnsi="宋体" w:cs="宋体"/>
                <w:color w:val="auto"/>
                <w:sz w:val="24"/>
                <w:highlight w:val="none"/>
              </w:rPr>
              <w:t>（2）以进入评</w:t>
            </w:r>
            <w:r>
              <w:rPr>
                <w:rFonts w:hint="eastAsia" w:ascii="宋体" w:hAnsi="宋体" w:cs="宋体"/>
                <w:color w:val="auto"/>
                <w:sz w:val="24"/>
                <w:highlight w:val="none"/>
                <w:lang w:eastAsia="zh-CN"/>
              </w:rPr>
              <w:t>审</w:t>
            </w:r>
            <w:r>
              <w:rPr>
                <w:rFonts w:hint="eastAsia" w:ascii="宋体" w:hAnsi="宋体" w:cs="宋体"/>
                <w:color w:val="auto"/>
                <w:sz w:val="24"/>
                <w:highlight w:val="none"/>
              </w:rPr>
              <w:t>的最低的评标价为评标基准价，即指满足磋商文件要求且价格最低的磋商报价。</w:t>
            </w:r>
          </w:p>
          <w:p w14:paraId="3B90749C">
            <w:pPr>
              <w:spacing w:line="400" w:lineRule="exact"/>
              <w:rPr>
                <w:rFonts w:ascii="宋体" w:hAnsi="宋体" w:cs="宋体"/>
                <w:color w:val="auto"/>
                <w:sz w:val="24"/>
                <w:highlight w:val="none"/>
              </w:rPr>
            </w:pPr>
            <w:r>
              <w:rPr>
                <w:rFonts w:hint="eastAsia" w:ascii="宋体" w:hAnsi="宋体" w:cs="宋体"/>
                <w:color w:val="auto"/>
                <w:sz w:val="24"/>
                <w:highlight w:val="none"/>
              </w:rPr>
              <w:t>（3）某供应商价格分=(评标基准价/评标价)×</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0分</w:t>
            </w:r>
          </w:p>
        </w:tc>
        <w:tc>
          <w:tcPr>
            <w:tcW w:w="848" w:type="dxa"/>
            <w:tcBorders>
              <w:top w:val="single" w:color="auto" w:sz="4" w:space="0"/>
              <w:left w:val="single" w:color="auto" w:sz="4" w:space="0"/>
              <w:bottom w:val="single" w:color="auto" w:sz="4" w:space="0"/>
              <w:right w:val="single" w:color="auto" w:sz="4" w:space="0"/>
            </w:tcBorders>
            <w:noWrap/>
            <w:vAlign w:val="center"/>
          </w:tcPr>
          <w:p w14:paraId="24447186">
            <w:pPr>
              <w:spacing w:line="400" w:lineRule="exact"/>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10分</w:t>
            </w:r>
          </w:p>
        </w:tc>
      </w:tr>
      <w:tr w14:paraId="0A93A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51" w:type="dxa"/>
            <w:vMerge w:val="restart"/>
            <w:tcBorders>
              <w:top w:val="single" w:color="auto" w:sz="4" w:space="0"/>
              <w:left w:val="single" w:color="auto" w:sz="4" w:space="0"/>
              <w:right w:val="single" w:color="auto" w:sz="4" w:space="0"/>
            </w:tcBorders>
            <w:noWrap/>
            <w:vAlign w:val="center"/>
          </w:tcPr>
          <w:p w14:paraId="64843A07">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2</w:t>
            </w:r>
          </w:p>
        </w:tc>
        <w:tc>
          <w:tcPr>
            <w:tcW w:w="1022" w:type="dxa"/>
            <w:vMerge w:val="restart"/>
            <w:tcBorders>
              <w:top w:val="single" w:color="auto" w:sz="4" w:space="0"/>
              <w:left w:val="single" w:color="auto" w:sz="4" w:space="0"/>
              <w:right w:val="single" w:color="auto" w:sz="4" w:space="0"/>
            </w:tcBorders>
            <w:noWrap/>
            <w:vAlign w:val="center"/>
          </w:tcPr>
          <w:p w14:paraId="2A5B8868">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技术分</w:t>
            </w:r>
          </w:p>
          <w:p w14:paraId="2185CCF7">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w:t>
            </w:r>
            <w:r>
              <w:rPr>
                <w:rFonts w:hint="eastAsia" w:ascii="宋体" w:hAnsi="宋体" w:cs="宋体"/>
                <w:color w:val="auto"/>
                <w:sz w:val="24"/>
                <w:highlight w:val="none"/>
                <w:lang w:val="en-US" w:eastAsia="zh-CN"/>
              </w:rPr>
              <w:t>72</w:t>
            </w:r>
            <w:r>
              <w:rPr>
                <w:rFonts w:hint="eastAsia" w:ascii="宋体" w:hAnsi="宋体" w:cs="宋体"/>
                <w:color w:val="auto"/>
                <w:sz w:val="24"/>
                <w:highlight w:val="none"/>
              </w:rPr>
              <w:t>分）</w:t>
            </w:r>
          </w:p>
        </w:tc>
        <w:tc>
          <w:tcPr>
            <w:tcW w:w="810" w:type="dxa"/>
            <w:tcBorders>
              <w:top w:val="single" w:color="auto" w:sz="4" w:space="0"/>
              <w:left w:val="single" w:color="auto" w:sz="4" w:space="0"/>
              <w:right w:val="single" w:color="auto" w:sz="4" w:space="0"/>
            </w:tcBorders>
            <w:noWrap/>
            <w:vAlign w:val="center"/>
          </w:tcPr>
          <w:p w14:paraId="77A8A180">
            <w:pPr>
              <w:spacing w:line="400" w:lineRule="exact"/>
              <w:rPr>
                <w:rFonts w:ascii="宋体" w:hAnsi="宋体" w:eastAsia="宋体" w:cs="宋体"/>
                <w:color w:val="auto"/>
                <w:kern w:val="2"/>
                <w:sz w:val="24"/>
                <w:szCs w:val="24"/>
                <w:highlight w:val="none"/>
                <w:lang w:val="en-US" w:eastAsia="zh-CN" w:bidi="ar-SA"/>
              </w:rPr>
            </w:pPr>
            <w:r>
              <w:rPr>
                <w:rFonts w:hint="eastAsia" w:ascii="宋体" w:hAnsi="宋体" w:cs="宋体"/>
                <w:color w:val="auto"/>
                <w:sz w:val="24"/>
                <w:highlight w:val="none"/>
                <w:lang w:val="en-US" w:eastAsia="zh-CN"/>
              </w:rPr>
              <w:t>服务</w:t>
            </w:r>
            <w:r>
              <w:rPr>
                <w:rFonts w:hint="eastAsia" w:ascii="宋体" w:hAnsi="宋体" w:cs="宋体"/>
                <w:color w:val="auto"/>
                <w:sz w:val="24"/>
                <w:highlight w:val="none"/>
              </w:rPr>
              <w:t>方案</w:t>
            </w:r>
          </w:p>
        </w:tc>
        <w:tc>
          <w:tcPr>
            <w:tcW w:w="6397" w:type="dxa"/>
            <w:tcBorders>
              <w:top w:val="single" w:color="auto" w:sz="4" w:space="0"/>
              <w:left w:val="single" w:color="auto" w:sz="4" w:space="0"/>
              <w:bottom w:val="single" w:color="auto" w:sz="4" w:space="0"/>
              <w:right w:val="single" w:color="auto" w:sz="4" w:space="0"/>
            </w:tcBorders>
            <w:noWrap/>
            <w:vAlign w:val="center"/>
          </w:tcPr>
          <w:p w14:paraId="0B01E5D9">
            <w:pPr>
              <w:spacing w:line="400" w:lineRule="exact"/>
              <w:rPr>
                <w:rFonts w:hint="eastAsia" w:ascii="宋体" w:hAnsi="宋体" w:cs="宋体"/>
                <w:color w:val="auto"/>
                <w:sz w:val="24"/>
                <w:highlight w:val="none"/>
              </w:rPr>
            </w:pPr>
            <w:r>
              <w:rPr>
                <w:rFonts w:hint="eastAsia" w:ascii="宋体" w:hAnsi="宋体" w:cs="宋体"/>
                <w:color w:val="auto"/>
                <w:sz w:val="24"/>
                <w:highlight w:val="none"/>
              </w:rPr>
              <w:t>磋商小组根据供应商响应文件提供的</w:t>
            </w:r>
            <w:r>
              <w:rPr>
                <w:rFonts w:hint="eastAsia" w:ascii="宋体" w:hAnsi="宋体" w:cs="宋体"/>
                <w:color w:val="auto"/>
                <w:sz w:val="24"/>
                <w:highlight w:val="none"/>
                <w:lang w:eastAsia="zh-CN"/>
              </w:rPr>
              <w:t>服务方案</w:t>
            </w:r>
            <w:r>
              <w:rPr>
                <w:rFonts w:hint="eastAsia" w:ascii="宋体" w:hAnsi="宋体" w:cs="宋体"/>
                <w:color w:val="auto"/>
                <w:sz w:val="24"/>
                <w:highlight w:val="none"/>
              </w:rPr>
              <w:t>进行评审，达不到一档要求的不得分。以下各档不重复计分：</w:t>
            </w:r>
          </w:p>
          <w:p w14:paraId="28A00E09">
            <w:pPr>
              <w:spacing w:line="400" w:lineRule="exac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一档（</w:t>
            </w:r>
            <w:r>
              <w:rPr>
                <w:rFonts w:hint="eastAsia" w:ascii="宋体" w:hAnsi="宋体" w:cs="宋体"/>
                <w:color w:val="auto"/>
                <w:kern w:val="2"/>
                <w:sz w:val="24"/>
                <w:szCs w:val="24"/>
                <w:highlight w:val="none"/>
                <w:lang w:val="en-US" w:eastAsia="zh-CN" w:bidi="ar-SA"/>
              </w:rPr>
              <w:t>3</w:t>
            </w:r>
            <w:r>
              <w:rPr>
                <w:rFonts w:hint="eastAsia" w:ascii="宋体" w:hAnsi="宋体" w:eastAsia="宋体" w:cs="宋体"/>
                <w:color w:val="auto"/>
                <w:kern w:val="2"/>
                <w:sz w:val="24"/>
                <w:szCs w:val="24"/>
                <w:highlight w:val="none"/>
                <w:lang w:val="en-US" w:eastAsia="zh-CN" w:bidi="ar-SA"/>
              </w:rPr>
              <w:t>分）： 供应商的服务方案有拟采取管理方式、工作计划、校园安保及学生管理措施方案、物资装备配置方案，但方案内容粗略、制定的方案与项目实际联系不紧密；</w:t>
            </w:r>
          </w:p>
          <w:p w14:paraId="5BACE7CE">
            <w:pPr>
              <w:spacing w:line="400" w:lineRule="exac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二档（</w:t>
            </w:r>
            <w:r>
              <w:rPr>
                <w:rFonts w:hint="eastAsia" w:ascii="宋体" w:hAnsi="宋体" w:cs="宋体"/>
                <w:color w:val="auto"/>
                <w:kern w:val="2"/>
                <w:sz w:val="24"/>
                <w:szCs w:val="24"/>
                <w:highlight w:val="none"/>
                <w:lang w:val="en-US" w:eastAsia="zh-CN" w:bidi="ar-SA"/>
              </w:rPr>
              <w:t>7</w:t>
            </w:r>
            <w:r>
              <w:rPr>
                <w:rFonts w:hint="eastAsia" w:ascii="宋体" w:hAnsi="宋体" w:eastAsia="宋体" w:cs="宋体"/>
                <w:color w:val="auto"/>
                <w:kern w:val="2"/>
                <w:sz w:val="24"/>
                <w:szCs w:val="24"/>
                <w:highlight w:val="none"/>
                <w:lang w:val="en-US" w:eastAsia="zh-CN" w:bidi="ar-SA"/>
              </w:rPr>
              <w:t>分）： 供应商的服务方案有具体的管理方式（制订有内部管理组织构架、管理运作机制）、工作计划、校园安保及学生管理措施方案（制订有校园公共秩序维护、安全防范、学生管理等服务措施方案）、物资装备配置方案（配备有对讲机、电筒、警棍、盾牌、钢盔等），总体管理方式、工作计划、校园安保及学生管理服务的措施方案符合项目实际需要；</w:t>
            </w:r>
          </w:p>
          <w:p w14:paraId="427FAFE7">
            <w:pPr>
              <w:spacing w:line="400" w:lineRule="exac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三档（</w:t>
            </w:r>
            <w:r>
              <w:rPr>
                <w:rFonts w:hint="eastAsia" w:ascii="宋体" w:hAnsi="宋体" w:cs="宋体"/>
                <w:color w:val="auto"/>
                <w:kern w:val="2"/>
                <w:sz w:val="24"/>
                <w:szCs w:val="24"/>
                <w:highlight w:val="none"/>
                <w:lang w:val="en-US" w:eastAsia="zh-CN" w:bidi="ar-SA"/>
              </w:rPr>
              <w:t>11</w:t>
            </w:r>
            <w:r>
              <w:rPr>
                <w:rFonts w:hint="eastAsia" w:ascii="宋体" w:hAnsi="宋体" w:eastAsia="宋体" w:cs="宋体"/>
                <w:color w:val="auto"/>
                <w:kern w:val="2"/>
                <w:sz w:val="24"/>
                <w:szCs w:val="24"/>
                <w:highlight w:val="none"/>
                <w:lang w:val="en-US" w:eastAsia="zh-CN" w:bidi="ar-SA"/>
              </w:rPr>
              <w:t>分）：供应商的服务方案有详细、具体的管理方式（包含有内部管理组织构架、管理运作机制、激励机制、监督机制、自我约束机制、信息反馈处理机制等）、工作计划（针对校园门岗值守、巡逻、交通秩序、治安防范、消防安全等制订有切实可行的工作方案）、校园安保及学生管理措施方案（包含有校园公共秩序维护、卫生管理、安全防范、重点部位及区域巡查计划、交通车辆管理、学生管理等服务措施方案）、物资装备配置方案（对讲机、电筒、警棍、盾牌、钢盔、交通工具以及通讯以及办公用品等物资配备齐全），物资装备情况清晰列明，装备设置科学合理；服务方案详细完善、内容科学合理，便于实施；</w:t>
            </w:r>
          </w:p>
          <w:p w14:paraId="49CBE392">
            <w:pPr>
              <w:spacing w:line="400" w:lineRule="exact"/>
              <w:rPr>
                <w:rFonts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四档（</w:t>
            </w:r>
            <w:r>
              <w:rPr>
                <w:rFonts w:hint="eastAsia" w:ascii="宋体" w:hAnsi="宋体" w:cs="宋体"/>
                <w:color w:val="auto"/>
                <w:kern w:val="2"/>
                <w:sz w:val="24"/>
                <w:szCs w:val="24"/>
                <w:highlight w:val="none"/>
                <w:lang w:val="en-US" w:eastAsia="zh-CN" w:bidi="ar-SA"/>
              </w:rPr>
              <w:t>15</w:t>
            </w:r>
            <w:r>
              <w:rPr>
                <w:rFonts w:hint="eastAsia" w:ascii="宋体" w:hAnsi="宋体" w:eastAsia="宋体" w:cs="宋体"/>
                <w:color w:val="auto"/>
                <w:kern w:val="2"/>
                <w:sz w:val="24"/>
                <w:szCs w:val="24"/>
                <w:highlight w:val="none"/>
                <w:lang w:val="en-US" w:eastAsia="zh-CN" w:bidi="ar-SA"/>
              </w:rPr>
              <w:t>分）：在满足三档要求的基础上，方案内容极其详尽、具有创新性与针对性，完全契合本项目采购需求；包含校园公共区域卫生巡查维护</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宿舍卫生评比具体执行方案（含检查表、奖惩机制），且有针对学生心理危机干预的具体配合措施和流程；提供智慧校园安防系统（如电子巡更系统、人脸识别门禁等）的接入或管理方案，体现管理手段的先进性；针对校园欺凌、突发公共卫生事件有专门的、可落地的处置流程；物资装备清单清晰，且包含消防巡逻车或智能化巡更设备，配置科学合理。</w:t>
            </w:r>
          </w:p>
        </w:tc>
        <w:tc>
          <w:tcPr>
            <w:tcW w:w="848" w:type="dxa"/>
            <w:tcBorders>
              <w:top w:val="single" w:color="auto" w:sz="4" w:space="0"/>
              <w:left w:val="single" w:color="auto" w:sz="4" w:space="0"/>
              <w:bottom w:val="single" w:color="auto" w:sz="4" w:space="0"/>
              <w:right w:val="single" w:color="auto" w:sz="4" w:space="0"/>
            </w:tcBorders>
            <w:noWrap/>
            <w:vAlign w:val="center"/>
          </w:tcPr>
          <w:p w14:paraId="156FDB6F">
            <w:pPr>
              <w:spacing w:line="400" w:lineRule="exact"/>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sz w:val="24"/>
                <w:highlight w:val="none"/>
                <w:lang w:val="en-US" w:eastAsia="zh-CN"/>
              </w:rPr>
              <w:t>15分</w:t>
            </w:r>
          </w:p>
        </w:tc>
      </w:tr>
      <w:tr w14:paraId="7AD8B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51" w:type="dxa"/>
            <w:vMerge w:val="continue"/>
            <w:tcBorders>
              <w:left w:val="single" w:color="auto" w:sz="4" w:space="0"/>
              <w:right w:val="single" w:color="auto" w:sz="4" w:space="0"/>
            </w:tcBorders>
            <w:noWrap/>
            <w:vAlign w:val="center"/>
          </w:tcPr>
          <w:p w14:paraId="3E0444A8">
            <w:pPr>
              <w:spacing w:line="400" w:lineRule="exact"/>
              <w:jc w:val="center"/>
              <w:rPr>
                <w:rFonts w:ascii="宋体" w:hAnsi="宋体" w:cs="宋体"/>
                <w:color w:val="auto"/>
                <w:sz w:val="24"/>
                <w:highlight w:val="none"/>
              </w:rPr>
            </w:pPr>
          </w:p>
        </w:tc>
        <w:tc>
          <w:tcPr>
            <w:tcW w:w="1022" w:type="dxa"/>
            <w:vMerge w:val="continue"/>
            <w:tcBorders>
              <w:left w:val="single" w:color="auto" w:sz="4" w:space="0"/>
              <w:right w:val="single" w:color="auto" w:sz="4" w:space="0"/>
            </w:tcBorders>
            <w:noWrap/>
            <w:vAlign w:val="center"/>
          </w:tcPr>
          <w:p w14:paraId="1AC34D0A">
            <w:pPr>
              <w:spacing w:line="400" w:lineRule="exact"/>
              <w:jc w:val="center"/>
              <w:rPr>
                <w:rFonts w:ascii="宋体" w:hAnsi="宋体" w:cs="宋体"/>
                <w:color w:val="auto"/>
                <w:sz w:val="24"/>
                <w:highlight w:val="none"/>
              </w:rPr>
            </w:pPr>
          </w:p>
        </w:tc>
        <w:tc>
          <w:tcPr>
            <w:tcW w:w="810" w:type="dxa"/>
            <w:tcBorders>
              <w:top w:val="single" w:color="auto" w:sz="4" w:space="0"/>
              <w:left w:val="single" w:color="auto" w:sz="4" w:space="0"/>
              <w:bottom w:val="single" w:color="auto" w:sz="4" w:space="0"/>
              <w:right w:val="single" w:color="auto" w:sz="4" w:space="0"/>
            </w:tcBorders>
            <w:noWrap/>
            <w:vAlign w:val="center"/>
          </w:tcPr>
          <w:p w14:paraId="6619FE6D">
            <w:pPr>
              <w:keepNext w:val="0"/>
              <w:keepLines w:val="0"/>
              <w:pageBreakBefore w:val="0"/>
              <w:widowControl w:val="0"/>
              <w:kinsoku/>
              <w:wordWrap/>
              <w:overflowPunct/>
              <w:topLinePunct w:val="0"/>
              <w:autoSpaceDE/>
              <w:autoSpaceDN/>
              <w:bidi w:val="0"/>
              <w:snapToGrid/>
              <w:spacing w:line="400" w:lineRule="exact"/>
              <w:jc w:val="center"/>
              <w:rPr>
                <w:rFonts w:ascii="宋体" w:hAnsi="宋体" w:cs="宋体"/>
                <w:b w:val="0"/>
                <w:bCs/>
                <w:color w:val="auto"/>
                <w:sz w:val="24"/>
                <w:szCs w:val="24"/>
                <w:highlight w:val="none"/>
              </w:rPr>
            </w:pPr>
            <w:r>
              <w:rPr>
                <w:rFonts w:hint="eastAsia" w:ascii="宋体" w:hAnsi="宋体" w:cs="宋体"/>
                <w:color w:val="auto"/>
                <w:sz w:val="24"/>
                <w:highlight w:val="none"/>
                <w:lang w:val="en-US" w:eastAsia="zh-CN"/>
              </w:rPr>
              <w:t>管理制度方案</w:t>
            </w:r>
          </w:p>
        </w:tc>
        <w:tc>
          <w:tcPr>
            <w:tcW w:w="6397" w:type="dxa"/>
            <w:tcBorders>
              <w:top w:val="single" w:color="auto" w:sz="4" w:space="0"/>
              <w:left w:val="single" w:color="auto" w:sz="4" w:space="0"/>
              <w:bottom w:val="single" w:color="auto" w:sz="4" w:space="0"/>
              <w:right w:val="single" w:color="auto" w:sz="4" w:space="0"/>
            </w:tcBorders>
            <w:noWrap/>
            <w:vAlign w:val="center"/>
          </w:tcPr>
          <w:p w14:paraId="5C3832F5">
            <w:pPr>
              <w:keepNext w:val="0"/>
              <w:keepLines w:val="0"/>
              <w:pageBreakBefore w:val="0"/>
              <w:widowControl w:val="0"/>
              <w:kinsoku/>
              <w:wordWrap/>
              <w:overflowPunct/>
              <w:topLinePunct w:val="0"/>
              <w:bidi w:val="0"/>
              <w:snapToGrid/>
              <w:spacing w:line="400" w:lineRule="exact"/>
              <w:jc w:val="left"/>
              <w:rPr>
                <w:rFonts w:hint="eastAsia" w:ascii="宋体" w:hAnsi="宋体" w:cs="宋体"/>
                <w:b w:val="0"/>
                <w:bCs/>
                <w:color w:val="auto"/>
                <w:sz w:val="24"/>
                <w:szCs w:val="24"/>
                <w:highlight w:val="none"/>
              </w:rPr>
            </w:pPr>
            <w:r>
              <w:rPr>
                <w:rFonts w:hint="eastAsia" w:ascii="宋体" w:hAnsi="宋体" w:cs="宋体"/>
                <w:color w:val="auto"/>
                <w:sz w:val="24"/>
                <w:highlight w:val="none"/>
              </w:rPr>
              <w:t>磋商小组根据供应商响应文件提供的</w:t>
            </w:r>
            <w:r>
              <w:rPr>
                <w:rFonts w:hint="eastAsia" w:ascii="宋体" w:hAnsi="宋体" w:cs="宋体"/>
                <w:color w:val="auto"/>
                <w:sz w:val="24"/>
                <w:highlight w:val="none"/>
                <w:lang w:val="en-US" w:eastAsia="zh-CN"/>
              </w:rPr>
              <w:t>管理制度方案</w:t>
            </w:r>
            <w:r>
              <w:rPr>
                <w:rFonts w:hint="eastAsia" w:ascii="宋体" w:hAnsi="宋体" w:cs="宋体"/>
                <w:color w:val="auto"/>
                <w:sz w:val="24"/>
                <w:highlight w:val="none"/>
              </w:rPr>
              <w:t>进行评审，达不到一档要求的不得分。以下各档不重复计分：</w:t>
            </w:r>
          </w:p>
          <w:p w14:paraId="77D08369">
            <w:pPr>
              <w:keepNext w:val="0"/>
              <w:keepLines w:val="0"/>
              <w:pageBreakBefore w:val="0"/>
              <w:widowControl w:val="0"/>
              <w:kinsoku/>
              <w:wordWrap/>
              <w:overflowPunct/>
              <w:topLinePunct w:val="0"/>
              <w:bidi w:val="0"/>
              <w:snapToGrid/>
              <w:spacing w:line="400" w:lineRule="exact"/>
              <w:jc w:val="left"/>
              <w:rPr>
                <w:rFonts w:hint="eastAsia" w:ascii="宋体" w:hAnsi="宋体" w:cs="宋体"/>
                <w:b w:val="0"/>
                <w:bCs/>
                <w:color w:val="auto"/>
                <w:sz w:val="24"/>
                <w:szCs w:val="24"/>
                <w:highlight w:val="none"/>
              </w:rPr>
            </w:pPr>
            <w:r>
              <w:rPr>
                <w:rFonts w:hint="eastAsia" w:ascii="宋体" w:hAnsi="宋体" w:cs="宋体"/>
                <w:b w:val="0"/>
                <w:bCs/>
                <w:color w:val="auto"/>
                <w:sz w:val="24"/>
                <w:szCs w:val="24"/>
                <w:highlight w:val="none"/>
              </w:rPr>
              <w:t>一档（</w:t>
            </w:r>
            <w:r>
              <w:rPr>
                <w:rFonts w:hint="eastAsia" w:ascii="宋体" w:hAnsi="宋体" w:cs="宋体"/>
                <w:b w:val="0"/>
                <w:bCs/>
                <w:color w:val="auto"/>
                <w:sz w:val="24"/>
                <w:szCs w:val="24"/>
                <w:highlight w:val="none"/>
                <w:lang w:val="en-US" w:eastAsia="zh-CN"/>
              </w:rPr>
              <w:t>3</w:t>
            </w:r>
            <w:r>
              <w:rPr>
                <w:rFonts w:hint="eastAsia" w:ascii="宋体" w:hAnsi="宋体" w:cs="宋体"/>
                <w:b w:val="0"/>
                <w:bCs/>
                <w:color w:val="auto"/>
                <w:sz w:val="24"/>
                <w:szCs w:val="24"/>
                <w:highlight w:val="none"/>
              </w:rPr>
              <w:t>分）：为本项目建立基本的规章管理制度与档案管理制度，制度框架基本完整，</w:t>
            </w:r>
            <w:r>
              <w:rPr>
                <w:rFonts w:hint="eastAsia" w:ascii="宋体" w:hAnsi="宋体" w:cs="宋体"/>
                <w:b w:val="0"/>
                <w:bCs/>
                <w:color w:val="auto"/>
                <w:sz w:val="24"/>
                <w:szCs w:val="24"/>
                <w:highlight w:val="none"/>
                <w:lang w:eastAsia="zh-CN"/>
              </w:rPr>
              <w:t>管理制度制定的内容基本满足</w:t>
            </w:r>
            <w:r>
              <w:rPr>
                <w:rFonts w:hint="eastAsia" w:ascii="宋体" w:hAnsi="宋体" w:cs="宋体"/>
                <w:b w:val="0"/>
                <w:bCs/>
                <w:color w:val="auto"/>
                <w:sz w:val="24"/>
                <w:szCs w:val="24"/>
                <w:highlight w:val="none"/>
              </w:rPr>
              <w:t>本项目实际需求；</w:t>
            </w:r>
          </w:p>
          <w:p w14:paraId="0C2C1B64">
            <w:pPr>
              <w:keepNext w:val="0"/>
              <w:keepLines w:val="0"/>
              <w:pageBreakBefore w:val="0"/>
              <w:widowControl w:val="0"/>
              <w:kinsoku/>
              <w:wordWrap/>
              <w:overflowPunct/>
              <w:topLinePunct w:val="0"/>
              <w:bidi w:val="0"/>
              <w:snapToGrid/>
              <w:spacing w:line="400" w:lineRule="exact"/>
              <w:jc w:val="left"/>
              <w:rPr>
                <w:rFonts w:hint="eastAsia" w:ascii="宋体" w:hAnsi="宋体" w:cs="宋体"/>
                <w:b w:val="0"/>
                <w:bCs/>
                <w:color w:val="auto"/>
                <w:sz w:val="24"/>
                <w:szCs w:val="24"/>
                <w:highlight w:val="none"/>
              </w:rPr>
            </w:pPr>
            <w:r>
              <w:rPr>
                <w:rFonts w:hint="eastAsia" w:ascii="宋体" w:hAnsi="宋体" w:cs="宋体"/>
                <w:b w:val="0"/>
                <w:bCs/>
                <w:color w:val="auto"/>
                <w:sz w:val="24"/>
                <w:szCs w:val="24"/>
                <w:highlight w:val="none"/>
              </w:rPr>
              <w:t>二档（</w:t>
            </w:r>
            <w:r>
              <w:rPr>
                <w:rFonts w:hint="eastAsia" w:ascii="宋体" w:hAnsi="宋体" w:cs="宋体"/>
                <w:b w:val="0"/>
                <w:bCs/>
                <w:color w:val="auto"/>
                <w:sz w:val="24"/>
                <w:szCs w:val="24"/>
                <w:highlight w:val="none"/>
                <w:lang w:val="en-US" w:eastAsia="zh-CN"/>
              </w:rPr>
              <w:t>6</w:t>
            </w:r>
            <w:r>
              <w:rPr>
                <w:rFonts w:hint="eastAsia" w:ascii="宋体" w:hAnsi="宋体" w:cs="宋体"/>
                <w:b w:val="0"/>
                <w:bCs/>
                <w:color w:val="auto"/>
                <w:sz w:val="24"/>
                <w:szCs w:val="24"/>
                <w:highlight w:val="none"/>
              </w:rPr>
              <w:t>分）：为本项目建立完善、可行的规章管理制度与档案管理制度，制度框架完整，制度条例清晰明确，其中对于档案收集、储存、使用管理条例进行单独的描述，内容基本完整；</w:t>
            </w:r>
          </w:p>
          <w:p w14:paraId="49AEC33C">
            <w:pPr>
              <w:keepNext w:val="0"/>
              <w:keepLines w:val="0"/>
              <w:pageBreakBefore w:val="0"/>
              <w:widowControl w:val="0"/>
              <w:kinsoku/>
              <w:wordWrap/>
              <w:overflowPunct/>
              <w:topLinePunct w:val="0"/>
              <w:bidi w:val="0"/>
              <w:snapToGrid/>
              <w:spacing w:line="400" w:lineRule="exact"/>
              <w:jc w:val="left"/>
              <w:rPr>
                <w:color w:val="auto"/>
                <w:highlight w:val="none"/>
              </w:rPr>
            </w:pPr>
            <w:r>
              <w:rPr>
                <w:rFonts w:hint="eastAsia" w:ascii="宋体" w:hAnsi="宋体" w:cs="宋体"/>
                <w:b w:val="0"/>
                <w:bCs/>
                <w:color w:val="auto"/>
                <w:sz w:val="24"/>
                <w:szCs w:val="24"/>
                <w:highlight w:val="none"/>
              </w:rPr>
              <w:t>三档（</w:t>
            </w:r>
            <w:r>
              <w:rPr>
                <w:rFonts w:hint="eastAsia" w:ascii="宋体" w:hAnsi="宋体" w:cs="宋体"/>
                <w:b w:val="0"/>
                <w:bCs/>
                <w:color w:val="auto"/>
                <w:sz w:val="24"/>
                <w:szCs w:val="24"/>
                <w:highlight w:val="none"/>
                <w:lang w:val="en-US" w:eastAsia="zh-CN"/>
              </w:rPr>
              <w:t>9</w:t>
            </w:r>
            <w:r>
              <w:rPr>
                <w:rFonts w:hint="eastAsia" w:ascii="宋体" w:hAnsi="宋体" w:cs="宋体"/>
                <w:b w:val="0"/>
                <w:bCs/>
                <w:color w:val="auto"/>
                <w:sz w:val="24"/>
                <w:szCs w:val="24"/>
                <w:highlight w:val="none"/>
              </w:rPr>
              <w:t>分）：为本项目建立完善、详细、可行的规章管理制度与档案管理制度，其中档案收集、储存、使用管理条例描述科学、严谨，便于实施落实；档案建立中有项目情况登记表、保安员情况登记表、巡查记录登记表、培训演练登记表、投诉与回访记录、保安执勤与交接班登记表等，各类表格登记内容设置能完整、清晰体现相应工作的情况</w:t>
            </w:r>
            <w:r>
              <w:rPr>
                <w:rFonts w:hint="eastAsia" w:ascii="宋体" w:hAnsi="宋体" w:cs="宋体"/>
                <w:b w:val="0"/>
                <w:bCs/>
                <w:color w:val="auto"/>
                <w:sz w:val="24"/>
                <w:szCs w:val="24"/>
                <w:highlight w:val="none"/>
                <w:lang w:eastAsia="zh-CN"/>
              </w:rPr>
              <w:t>。</w:t>
            </w:r>
          </w:p>
        </w:tc>
        <w:tc>
          <w:tcPr>
            <w:tcW w:w="848" w:type="dxa"/>
            <w:tcBorders>
              <w:top w:val="single" w:color="auto" w:sz="4" w:space="0"/>
              <w:left w:val="single" w:color="auto" w:sz="4" w:space="0"/>
              <w:bottom w:val="single" w:color="auto" w:sz="4" w:space="0"/>
              <w:right w:val="single" w:color="auto" w:sz="4" w:space="0"/>
            </w:tcBorders>
            <w:noWrap/>
            <w:vAlign w:val="center"/>
          </w:tcPr>
          <w:p w14:paraId="7C1D168A">
            <w:pPr>
              <w:spacing w:line="400" w:lineRule="exact"/>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9分</w:t>
            </w:r>
          </w:p>
        </w:tc>
      </w:tr>
      <w:tr w14:paraId="25C69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51" w:type="dxa"/>
            <w:vMerge w:val="continue"/>
            <w:tcBorders>
              <w:left w:val="single" w:color="auto" w:sz="4" w:space="0"/>
              <w:right w:val="single" w:color="auto" w:sz="4" w:space="0"/>
            </w:tcBorders>
            <w:noWrap/>
            <w:vAlign w:val="center"/>
          </w:tcPr>
          <w:p w14:paraId="210B2C08">
            <w:pPr>
              <w:spacing w:line="400" w:lineRule="exact"/>
              <w:jc w:val="center"/>
              <w:rPr>
                <w:rFonts w:ascii="宋体" w:hAnsi="宋体" w:cs="宋体"/>
                <w:color w:val="auto"/>
                <w:sz w:val="24"/>
                <w:highlight w:val="none"/>
              </w:rPr>
            </w:pPr>
          </w:p>
        </w:tc>
        <w:tc>
          <w:tcPr>
            <w:tcW w:w="1022" w:type="dxa"/>
            <w:vMerge w:val="continue"/>
            <w:tcBorders>
              <w:left w:val="single" w:color="auto" w:sz="4" w:space="0"/>
              <w:right w:val="single" w:color="auto" w:sz="4" w:space="0"/>
            </w:tcBorders>
            <w:noWrap/>
            <w:vAlign w:val="center"/>
          </w:tcPr>
          <w:p w14:paraId="06D8A111">
            <w:pPr>
              <w:spacing w:line="400" w:lineRule="exact"/>
              <w:jc w:val="center"/>
              <w:rPr>
                <w:rFonts w:ascii="宋体" w:hAnsi="宋体" w:cs="宋体"/>
                <w:color w:val="auto"/>
                <w:sz w:val="24"/>
                <w:highlight w:val="none"/>
              </w:rPr>
            </w:pPr>
          </w:p>
        </w:tc>
        <w:tc>
          <w:tcPr>
            <w:tcW w:w="810" w:type="dxa"/>
            <w:tcBorders>
              <w:top w:val="single" w:color="auto" w:sz="4" w:space="0"/>
              <w:left w:val="single" w:color="auto" w:sz="4" w:space="0"/>
              <w:bottom w:val="single" w:color="auto" w:sz="4" w:space="0"/>
              <w:right w:val="single" w:color="auto" w:sz="4" w:space="0"/>
            </w:tcBorders>
            <w:noWrap/>
            <w:vAlign w:val="center"/>
          </w:tcPr>
          <w:p w14:paraId="7B188E34">
            <w:pPr>
              <w:spacing w:line="400" w:lineRule="exact"/>
              <w:rPr>
                <w:rFonts w:hint="eastAsia" w:ascii="宋体" w:hAnsi="宋体" w:eastAsia="宋体" w:cs="宋体"/>
                <w:color w:val="auto"/>
                <w:sz w:val="24"/>
                <w:highlight w:val="none"/>
                <w:lang w:eastAsia="zh-CN"/>
              </w:rPr>
            </w:pPr>
            <w:r>
              <w:rPr>
                <w:rFonts w:hint="eastAsia" w:ascii="宋体" w:hAnsi="宋体" w:cs="宋体"/>
                <w:color w:val="auto"/>
                <w:sz w:val="24"/>
                <w:highlight w:val="none"/>
              </w:rPr>
              <w:t>服务质量及考核</w:t>
            </w:r>
            <w:r>
              <w:rPr>
                <w:rFonts w:hint="eastAsia" w:ascii="宋体" w:hAnsi="宋体" w:cs="宋体"/>
                <w:color w:val="auto"/>
                <w:sz w:val="24"/>
                <w:highlight w:val="none"/>
                <w:lang w:eastAsia="zh-CN"/>
              </w:rPr>
              <w:t>承诺</w:t>
            </w:r>
          </w:p>
        </w:tc>
        <w:tc>
          <w:tcPr>
            <w:tcW w:w="6397" w:type="dxa"/>
            <w:tcBorders>
              <w:top w:val="single" w:color="auto" w:sz="4" w:space="0"/>
              <w:left w:val="single" w:color="auto" w:sz="4" w:space="0"/>
              <w:bottom w:val="single" w:color="auto" w:sz="4" w:space="0"/>
              <w:right w:val="single" w:color="auto" w:sz="4" w:space="0"/>
            </w:tcBorders>
            <w:noWrap/>
            <w:vAlign w:val="center"/>
          </w:tcPr>
          <w:p w14:paraId="1A486B37">
            <w:pPr>
              <w:keepNext w:val="0"/>
              <w:keepLines w:val="0"/>
              <w:pageBreakBefore w:val="0"/>
              <w:widowControl w:val="0"/>
              <w:kinsoku/>
              <w:wordWrap/>
              <w:overflowPunct/>
              <w:topLinePunct w:val="0"/>
              <w:bidi w:val="0"/>
              <w:snapToGrid/>
              <w:spacing w:line="400" w:lineRule="exact"/>
              <w:jc w:val="left"/>
              <w:rPr>
                <w:rFonts w:hint="eastAsia" w:ascii="宋体" w:hAnsi="宋体" w:cs="宋体"/>
                <w:color w:val="auto"/>
                <w:sz w:val="24"/>
                <w:highlight w:val="none"/>
              </w:rPr>
            </w:pPr>
            <w:r>
              <w:rPr>
                <w:rFonts w:hint="eastAsia" w:ascii="宋体" w:hAnsi="宋体" w:cs="宋体"/>
                <w:color w:val="auto"/>
                <w:sz w:val="24"/>
                <w:highlight w:val="none"/>
              </w:rPr>
              <w:t>磋商小组根据供应商响应文件提供的服务质量及考核</w:t>
            </w:r>
            <w:r>
              <w:rPr>
                <w:rFonts w:hint="eastAsia" w:ascii="宋体" w:hAnsi="宋体" w:cs="宋体"/>
                <w:color w:val="auto"/>
                <w:sz w:val="24"/>
                <w:highlight w:val="none"/>
                <w:lang w:eastAsia="zh-CN"/>
              </w:rPr>
              <w:t>承诺</w:t>
            </w:r>
            <w:r>
              <w:rPr>
                <w:rFonts w:hint="eastAsia" w:ascii="宋体" w:hAnsi="宋体" w:cs="宋体"/>
                <w:color w:val="auto"/>
                <w:sz w:val="24"/>
                <w:highlight w:val="none"/>
              </w:rPr>
              <w:t>进行评审，达不到一档要求的不得分。以下各档不重复计分：</w:t>
            </w:r>
          </w:p>
          <w:p w14:paraId="6F537AD4">
            <w:pPr>
              <w:spacing w:line="400" w:lineRule="exact"/>
              <w:rPr>
                <w:rFonts w:ascii="宋体" w:hAnsi="宋体" w:cs="宋体"/>
                <w:color w:val="auto"/>
                <w:sz w:val="24"/>
                <w:highlight w:val="none"/>
              </w:rPr>
            </w:pPr>
            <w:r>
              <w:rPr>
                <w:rFonts w:hint="eastAsia" w:ascii="宋体" w:hAnsi="宋体" w:cs="宋体"/>
                <w:color w:val="auto"/>
                <w:sz w:val="24"/>
                <w:highlight w:val="none"/>
              </w:rPr>
              <w:t>一档（</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分）：</w:t>
            </w:r>
            <w:r>
              <w:rPr>
                <w:rFonts w:hint="eastAsia" w:ascii="宋体" w:hAnsi="宋体" w:cs="宋体"/>
                <w:color w:val="auto"/>
                <w:sz w:val="24"/>
                <w:highlight w:val="none"/>
                <w:lang w:eastAsia="zh-CN"/>
              </w:rPr>
              <w:t>供应商</w:t>
            </w:r>
            <w:r>
              <w:rPr>
                <w:rFonts w:hint="eastAsia" w:ascii="宋体" w:hAnsi="宋体" w:cs="宋体"/>
                <w:color w:val="auto"/>
                <w:sz w:val="24"/>
                <w:highlight w:val="none"/>
              </w:rPr>
              <w:t xml:space="preserve">的服务目标及指标完全响应项目采购需求，能按照项目考核标准的要求内容开展工作，服务质量符合采购人质量管理要求，承诺根据采购人制定的考核方案和内容接受采购人的考核； </w:t>
            </w:r>
          </w:p>
          <w:p w14:paraId="60A49360">
            <w:pPr>
              <w:spacing w:line="400" w:lineRule="exact"/>
              <w:rPr>
                <w:rFonts w:ascii="宋体" w:hAnsi="宋体" w:cs="宋体"/>
                <w:color w:val="auto"/>
                <w:sz w:val="24"/>
                <w:highlight w:val="none"/>
              </w:rPr>
            </w:pPr>
            <w:r>
              <w:rPr>
                <w:rFonts w:hint="eastAsia" w:ascii="宋体" w:hAnsi="宋体" w:cs="宋体"/>
                <w:color w:val="auto"/>
                <w:sz w:val="24"/>
                <w:highlight w:val="none"/>
              </w:rPr>
              <w:t>二档（</w:t>
            </w:r>
            <w:r>
              <w:rPr>
                <w:rFonts w:hint="eastAsia" w:ascii="宋体" w:hAnsi="宋体" w:cs="宋体"/>
                <w:color w:val="auto"/>
                <w:sz w:val="24"/>
                <w:highlight w:val="none"/>
                <w:lang w:val="en-US" w:eastAsia="zh-CN"/>
              </w:rPr>
              <w:t>6</w:t>
            </w:r>
            <w:r>
              <w:rPr>
                <w:rFonts w:hint="eastAsia" w:ascii="宋体" w:hAnsi="宋体" w:cs="宋体"/>
                <w:color w:val="auto"/>
                <w:sz w:val="24"/>
                <w:highlight w:val="none"/>
              </w:rPr>
              <w:t>分）：</w:t>
            </w:r>
            <w:r>
              <w:rPr>
                <w:rFonts w:hint="eastAsia" w:ascii="宋体" w:hAnsi="宋体" w:cs="宋体"/>
                <w:color w:val="auto"/>
                <w:sz w:val="24"/>
                <w:highlight w:val="none"/>
                <w:lang w:eastAsia="zh-CN"/>
              </w:rPr>
              <w:t>在满足上述一档的前提下，供应商根据项目采购需求的考核细则细化、优化内部考核细则，建立完善的日常工作质量检查及考核制度，有利于提高服务质量，得</w:t>
            </w:r>
            <w:r>
              <w:rPr>
                <w:rFonts w:hint="eastAsia" w:ascii="宋体" w:hAnsi="宋体" w:cs="宋体"/>
                <w:color w:val="auto"/>
                <w:sz w:val="24"/>
                <w:highlight w:val="none"/>
                <w:lang w:val="en-US" w:eastAsia="zh-CN"/>
              </w:rPr>
              <w:t>6</w:t>
            </w:r>
            <w:r>
              <w:rPr>
                <w:rFonts w:hint="eastAsia" w:ascii="宋体" w:hAnsi="宋体" w:cs="宋体"/>
                <w:color w:val="auto"/>
                <w:sz w:val="24"/>
                <w:highlight w:val="none"/>
                <w:lang w:eastAsia="zh-CN"/>
              </w:rPr>
              <w:t>分</w:t>
            </w:r>
            <w:r>
              <w:rPr>
                <w:rFonts w:hint="eastAsia" w:ascii="宋体" w:hAnsi="宋体" w:cs="宋体"/>
                <w:color w:val="auto"/>
                <w:sz w:val="24"/>
                <w:highlight w:val="none"/>
              </w:rPr>
              <w:t>；</w:t>
            </w:r>
          </w:p>
          <w:p w14:paraId="0EDFE36F">
            <w:pPr>
              <w:spacing w:line="400" w:lineRule="exact"/>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rPr>
              <w:t>三档（</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分）：</w:t>
            </w:r>
            <w:r>
              <w:rPr>
                <w:rFonts w:hint="eastAsia" w:ascii="宋体" w:hAnsi="宋体" w:cs="宋体"/>
                <w:color w:val="auto"/>
                <w:sz w:val="24"/>
                <w:highlight w:val="none"/>
                <w:lang w:eastAsia="zh-CN"/>
              </w:rPr>
              <w:t>在满足上述二档的前提下，供应商</w:t>
            </w:r>
            <w:r>
              <w:rPr>
                <w:rFonts w:hint="eastAsia" w:ascii="宋体" w:hAnsi="宋体" w:cs="宋体"/>
                <w:color w:val="auto"/>
                <w:sz w:val="24"/>
                <w:highlight w:val="none"/>
              </w:rPr>
              <w:t>制订出比项目需求的考核细则更优、更全面，且可行的考核方案，做出</w:t>
            </w:r>
            <w:r>
              <w:rPr>
                <w:rFonts w:hint="eastAsia" w:ascii="宋体" w:hAnsi="宋体" w:cs="宋体"/>
                <w:color w:val="auto"/>
                <w:sz w:val="24"/>
                <w:highlight w:val="none"/>
                <w:lang w:eastAsia="zh-CN"/>
              </w:rPr>
              <w:t>更优、更</w:t>
            </w:r>
            <w:r>
              <w:rPr>
                <w:rFonts w:hint="eastAsia" w:ascii="宋体" w:hAnsi="宋体" w:cs="宋体"/>
                <w:color w:val="auto"/>
                <w:sz w:val="24"/>
                <w:highlight w:val="none"/>
              </w:rPr>
              <w:t>明确的项目质量考核承诺。</w:t>
            </w:r>
          </w:p>
        </w:tc>
        <w:tc>
          <w:tcPr>
            <w:tcW w:w="848" w:type="dxa"/>
            <w:tcBorders>
              <w:top w:val="single" w:color="auto" w:sz="4" w:space="0"/>
              <w:left w:val="single" w:color="auto" w:sz="4" w:space="0"/>
              <w:bottom w:val="single" w:color="auto" w:sz="4" w:space="0"/>
              <w:right w:val="single" w:color="auto" w:sz="4" w:space="0"/>
            </w:tcBorders>
            <w:noWrap/>
            <w:vAlign w:val="center"/>
          </w:tcPr>
          <w:p w14:paraId="3EE38894">
            <w:pPr>
              <w:spacing w:line="400" w:lineRule="exact"/>
              <w:jc w:val="cente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9分</w:t>
            </w:r>
          </w:p>
        </w:tc>
      </w:tr>
      <w:tr w14:paraId="70ACD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51" w:type="dxa"/>
            <w:vMerge w:val="continue"/>
            <w:tcBorders>
              <w:left w:val="single" w:color="auto" w:sz="4" w:space="0"/>
              <w:right w:val="single" w:color="auto" w:sz="4" w:space="0"/>
            </w:tcBorders>
            <w:noWrap/>
            <w:vAlign w:val="center"/>
          </w:tcPr>
          <w:p w14:paraId="1C32C141">
            <w:pPr>
              <w:spacing w:line="400" w:lineRule="exact"/>
              <w:jc w:val="center"/>
              <w:rPr>
                <w:rFonts w:ascii="宋体" w:hAnsi="宋体" w:cs="宋体"/>
                <w:color w:val="auto"/>
                <w:sz w:val="24"/>
                <w:highlight w:val="none"/>
              </w:rPr>
            </w:pPr>
          </w:p>
        </w:tc>
        <w:tc>
          <w:tcPr>
            <w:tcW w:w="1022" w:type="dxa"/>
            <w:vMerge w:val="continue"/>
            <w:tcBorders>
              <w:left w:val="single" w:color="auto" w:sz="4" w:space="0"/>
              <w:right w:val="single" w:color="auto" w:sz="4" w:space="0"/>
            </w:tcBorders>
            <w:noWrap/>
            <w:vAlign w:val="center"/>
          </w:tcPr>
          <w:p w14:paraId="3F7D2138">
            <w:pPr>
              <w:spacing w:line="400" w:lineRule="exact"/>
              <w:jc w:val="center"/>
              <w:rPr>
                <w:rFonts w:ascii="宋体" w:hAnsi="宋体" w:cs="宋体"/>
                <w:color w:val="auto"/>
                <w:sz w:val="24"/>
                <w:highlight w:val="none"/>
              </w:rPr>
            </w:pPr>
          </w:p>
        </w:tc>
        <w:tc>
          <w:tcPr>
            <w:tcW w:w="810" w:type="dxa"/>
            <w:tcBorders>
              <w:top w:val="single" w:color="auto" w:sz="4" w:space="0"/>
              <w:left w:val="single" w:color="auto" w:sz="4" w:space="0"/>
              <w:bottom w:val="single" w:color="auto" w:sz="4" w:space="0"/>
              <w:right w:val="single" w:color="auto" w:sz="4" w:space="0"/>
            </w:tcBorders>
            <w:noWrap/>
            <w:vAlign w:val="center"/>
          </w:tcPr>
          <w:p w14:paraId="08635275">
            <w:pPr>
              <w:spacing w:line="400" w:lineRule="exact"/>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突发应急预案</w:t>
            </w:r>
          </w:p>
        </w:tc>
        <w:tc>
          <w:tcPr>
            <w:tcW w:w="6397" w:type="dxa"/>
            <w:tcBorders>
              <w:top w:val="single" w:color="auto" w:sz="4" w:space="0"/>
              <w:left w:val="single" w:color="auto" w:sz="4" w:space="0"/>
              <w:bottom w:val="single" w:color="auto" w:sz="4" w:space="0"/>
              <w:right w:val="single" w:color="auto" w:sz="4" w:space="0"/>
            </w:tcBorders>
            <w:noWrap/>
            <w:vAlign w:val="center"/>
          </w:tcPr>
          <w:p w14:paraId="65EE358F">
            <w:pPr>
              <w:keepNext w:val="0"/>
              <w:keepLines w:val="0"/>
              <w:pageBreakBefore w:val="0"/>
              <w:widowControl w:val="0"/>
              <w:kinsoku/>
              <w:wordWrap/>
              <w:overflowPunct/>
              <w:topLinePunct w:val="0"/>
              <w:bidi w:val="0"/>
              <w:snapToGrid/>
              <w:spacing w:line="400" w:lineRule="exact"/>
              <w:jc w:val="left"/>
              <w:rPr>
                <w:rFonts w:hint="eastAsia" w:ascii="宋体" w:hAnsi="宋体" w:eastAsia="宋体" w:cs="宋体"/>
                <w:color w:val="auto"/>
                <w:sz w:val="24"/>
                <w:highlight w:val="none"/>
              </w:rPr>
            </w:pPr>
            <w:r>
              <w:rPr>
                <w:rFonts w:hint="eastAsia" w:ascii="宋体" w:hAnsi="宋体" w:cs="宋体"/>
                <w:color w:val="auto"/>
                <w:sz w:val="24"/>
                <w:highlight w:val="none"/>
              </w:rPr>
              <w:t>磋商小组根据供应商响应文件提供的</w:t>
            </w:r>
            <w:r>
              <w:rPr>
                <w:rFonts w:hint="eastAsia" w:ascii="宋体" w:hAnsi="宋体" w:cs="宋体"/>
                <w:color w:val="auto"/>
                <w:sz w:val="24"/>
                <w:highlight w:val="none"/>
                <w:lang w:val="en-US" w:eastAsia="zh-CN"/>
              </w:rPr>
              <w:t>突发应急预案</w:t>
            </w:r>
            <w:r>
              <w:rPr>
                <w:rFonts w:hint="eastAsia" w:ascii="宋体" w:hAnsi="宋体" w:cs="宋体"/>
                <w:color w:val="auto"/>
                <w:sz w:val="24"/>
                <w:highlight w:val="none"/>
              </w:rPr>
              <w:t>进行评审，达不到一档要求的</w:t>
            </w:r>
            <w:r>
              <w:rPr>
                <w:rFonts w:hint="eastAsia" w:ascii="宋体" w:hAnsi="宋体" w:eastAsia="宋体" w:cs="宋体"/>
                <w:color w:val="auto"/>
                <w:sz w:val="24"/>
                <w:highlight w:val="none"/>
              </w:rPr>
              <w:t>不得分。以下各档不重复计分：</w:t>
            </w:r>
          </w:p>
          <w:p w14:paraId="055101A5">
            <w:pPr>
              <w:keepNext w:val="0"/>
              <w:keepLines w:val="0"/>
              <w:pageBreakBefore w:val="0"/>
              <w:widowControl w:val="0"/>
              <w:kinsoku/>
              <w:wordWrap/>
              <w:overflowPunct/>
              <w:topLinePunct w:val="0"/>
              <w:bidi w:val="0"/>
              <w:snapToGrid/>
              <w:spacing w:line="400" w:lineRule="exact"/>
              <w:jc w:val="left"/>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rPr>
              <w:t>一档（</w:t>
            </w: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rPr>
              <w:t>分）：</w:t>
            </w:r>
            <w:r>
              <w:rPr>
                <w:rFonts w:hint="eastAsia" w:ascii="宋体" w:hAnsi="宋体" w:eastAsia="宋体" w:cs="宋体"/>
                <w:color w:val="auto"/>
                <w:sz w:val="24"/>
                <w:highlight w:val="none"/>
                <w:lang w:val="zh-CN"/>
              </w:rPr>
              <w:t>突发事件应急预案能完全响应本项目</w:t>
            </w:r>
            <w:r>
              <w:rPr>
                <w:rFonts w:hint="eastAsia" w:ascii="宋体" w:hAnsi="宋体" w:eastAsia="宋体" w:cs="宋体"/>
                <w:color w:val="auto"/>
                <w:sz w:val="24"/>
                <w:highlight w:val="none"/>
                <w:lang w:val="en-US" w:eastAsia="zh-CN"/>
              </w:rPr>
              <w:t>校园范围内出现突发事件处理的要求</w:t>
            </w:r>
            <w:r>
              <w:rPr>
                <w:rFonts w:hint="eastAsia" w:ascii="宋体" w:hAnsi="宋体" w:eastAsia="宋体" w:cs="宋体"/>
                <w:color w:val="auto"/>
                <w:sz w:val="24"/>
                <w:highlight w:val="none"/>
                <w:lang w:val="zh-CN"/>
              </w:rPr>
              <w:t>前提下，</w:t>
            </w:r>
            <w:r>
              <w:rPr>
                <w:rFonts w:hint="eastAsia" w:ascii="宋体" w:hAnsi="宋体" w:eastAsia="宋体" w:cs="宋体"/>
                <w:color w:val="auto"/>
                <w:sz w:val="24"/>
                <w:highlight w:val="none"/>
                <w:lang w:val="en-US" w:eastAsia="zh-CN"/>
              </w:rPr>
              <w:t>能针对突发事件</w:t>
            </w:r>
            <w:r>
              <w:rPr>
                <w:rFonts w:hint="eastAsia" w:ascii="宋体" w:hAnsi="宋体" w:eastAsia="宋体" w:cs="宋体"/>
                <w:color w:val="auto"/>
                <w:sz w:val="24"/>
                <w:highlight w:val="none"/>
                <w:lang w:val="zh-CN"/>
              </w:rPr>
              <w:t>需求</w:t>
            </w:r>
            <w:r>
              <w:rPr>
                <w:rFonts w:hint="eastAsia" w:ascii="宋体" w:hAnsi="宋体" w:cs="宋体"/>
                <w:color w:val="auto"/>
                <w:sz w:val="24"/>
                <w:highlight w:val="none"/>
                <w:lang w:val="zh-CN"/>
              </w:rPr>
              <w:t>制定</w:t>
            </w:r>
            <w:r>
              <w:rPr>
                <w:rFonts w:hint="eastAsia" w:ascii="宋体" w:hAnsi="宋体" w:eastAsia="宋体" w:cs="宋体"/>
                <w:color w:val="auto"/>
                <w:sz w:val="24"/>
                <w:highlight w:val="none"/>
                <w:lang w:val="zh-CN"/>
              </w:rPr>
              <w:t>应急措施</w:t>
            </w:r>
            <w:r>
              <w:rPr>
                <w:rFonts w:hint="eastAsia" w:ascii="宋体" w:hAnsi="宋体" w:eastAsia="宋体" w:cs="宋体"/>
                <w:color w:val="auto"/>
                <w:sz w:val="24"/>
                <w:highlight w:val="none"/>
                <w:lang w:val="en-US" w:eastAsia="zh-CN"/>
              </w:rPr>
              <w:t>；</w:t>
            </w:r>
          </w:p>
          <w:p w14:paraId="30778F8E">
            <w:pPr>
              <w:keepNext w:val="0"/>
              <w:keepLines w:val="0"/>
              <w:pageBreakBefore w:val="0"/>
              <w:widowControl w:val="0"/>
              <w:kinsoku/>
              <w:wordWrap/>
              <w:overflowPunct/>
              <w:topLinePunct w:val="0"/>
              <w:bidi w:val="0"/>
              <w:snapToGrid/>
              <w:spacing w:line="400" w:lineRule="exact"/>
              <w:jc w:val="left"/>
              <w:rPr>
                <w:rFonts w:hint="eastAsia" w:ascii="宋体" w:hAnsi="宋体" w:eastAsia="宋体" w:cs="宋体"/>
                <w:color w:val="auto"/>
                <w:sz w:val="24"/>
                <w:highlight w:val="none"/>
                <w:lang w:val="zh-CN" w:eastAsia="zh-CN"/>
              </w:rPr>
            </w:pPr>
            <w:r>
              <w:rPr>
                <w:rFonts w:hint="eastAsia" w:ascii="宋体" w:hAnsi="宋体" w:eastAsia="宋体" w:cs="宋体"/>
                <w:color w:val="auto"/>
                <w:sz w:val="24"/>
                <w:highlight w:val="none"/>
              </w:rPr>
              <w:t>二档（</w:t>
            </w:r>
            <w:r>
              <w:rPr>
                <w:rFonts w:hint="eastAsia" w:ascii="宋体" w:hAnsi="宋体" w:cs="宋体"/>
                <w:color w:val="auto"/>
                <w:sz w:val="24"/>
                <w:highlight w:val="none"/>
                <w:lang w:val="en-US" w:eastAsia="zh-CN"/>
              </w:rPr>
              <w:t>4</w:t>
            </w:r>
            <w:r>
              <w:rPr>
                <w:rFonts w:hint="eastAsia" w:ascii="宋体" w:hAnsi="宋体" w:eastAsia="宋体" w:cs="宋体"/>
                <w:color w:val="auto"/>
                <w:sz w:val="24"/>
                <w:highlight w:val="none"/>
              </w:rPr>
              <w:t>分）：</w:t>
            </w:r>
            <w:r>
              <w:rPr>
                <w:rFonts w:hint="eastAsia" w:ascii="宋体" w:hAnsi="宋体" w:eastAsia="宋体" w:cs="宋体"/>
                <w:color w:val="auto"/>
                <w:sz w:val="24"/>
                <w:highlight w:val="none"/>
                <w:lang w:val="zh-CN"/>
              </w:rPr>
              <w:t>在</w:t>
            </w:r>
            <w:r>
              <w:rPr>
                <w:rFonts w:hint="eastAsia" w:ascii="宋体" w:hAnsi="宋体" w:eastAsia="宋体" w:cs="宋体"/>
                <w:color w:val="auto"/>
                <w:sz w:val="24"/>
                <w:highlight w:val="none"/>
                <w:lang w:val="en-US" w:eastAsia="zh-CN"/>
              </w:rPr>
              <w:t>满足</w:t>
            </w:r>
            <w:r>
              <w:rPr>
                <w:rFonts w:hint="eastAsia" w:ascii="宋体" w:hAnsi="宋体" w:cs="宋体"/>
                <w:color w:val="auto"/>
                <w:sz w:val="24"/>
                <w:highlight w:val="none"/>
                <w:lang w:eastAsia="zh-CN"/>
              </w:rPr>
              <w:t>上述</w:t>
            </w:r>
            <w:r>
              <w:rPr>
                <w:rFonts w:hint="eastAsia" w:ascii="宋体" w:hAnsi="宋体" w:eastAsia="宋体" w:cs="宋体"/>
                <w:color w:val="auto"/>
                <w:sz w:val="24"/>
                <w:highlight w:val="none"/>
                <w:lang w:val="en-US" w:eastAsia="zh-CN"/>
              </w:rPr>
              <w:t>一档</w:t>
            </w:r>
            <w:r>
              <w:rPr>
                <w:rFonts w:hint="eastAsia" w:ascii="宋体" w:hAnsi="宋体" w:eastAsia="宋体" w:cs="宋体"/>
                <w:color w:val="auto"/>
                <w:sz w:val="24"/>
                <w:highlight w:val="none"/>
                <w:lang w:val="zh-CN"/>
              </w:rPr>
              <w:t>的基础上</w:t>
            </w:r>
            <w:r>
              <w:rPr>
                <w:rFonts w:hint="eastAsia" w:ascii="宋体" w:hAnsi="宋体" w:eastAsia="宋体" w:cs="宋体"/>
                <w:color w:val="auto"/>
                <w:sz w:val="24"/>
                <w:highlight w:val="none"/>
                <w:lang w:val="en-US" w:eastAsia="zh-CN"/>
              </w:rPr>
              <w:t>，成立有专门的应急部门，应急人员配备到位、责任明确；应急物资配备齐全；制订有完善的处置流程图，能较快速地启动应急处理措施；</w:t>
            </w:r>
          </w:p>
          <w:p w14:paraId="6E93394D">
            <w:pPr>
              <w:keepNext w:val="0"/>
              <w:keepLines w:val="0"/>
              <w:pageBreakBefore w:val="0"/>
              <w:widowControl w:val="0"/>
              <w:kinsoku/>
              <w:wordWrap/>
              <w:overflowPunct/>
              <w:topLinePunct w:val="0"/>
              <w:bidi w:val="0"/>
              <w:snapToGrid/>
              <w:spacing w:line="400" w:lineRule="exact"/>
              <w:jc w:val="left"/>
              <w:rPr>
                <w:rFonts w:hint="eastAsia" w:ascii="宋体" w:hAnsi="宋体" w:cs="宋体"/>
                <w:b/>
                <w:bCs/>
                <w:color w:val="auto"/>
                <w:sz w:val="24"/>
                <w:highlight w:val="none"/>
              </w:rPr>
            </w:pPr>
            <w:r>
              <w:rPr>
                <w:rFonts w:hint="eastAsia" w:ascii="宋体" w:hAnsi="宋体" w:eastAsia="宋体" w:cs="宋体"/>
                <w:color w:val="auto"/>
                <w:sz w:val="24"/>
                <w:highlight w:val="none"/>
                <w:lang w:val="en-US" w:eastAsia="zh-CN"/>
              </w:rPr>
              <w:t>三档（</w:t>
            </w:r>
            <w:r>
              <w:rPr>
                <w:rFonts w:hint="eastAsia" w:ascii="宋体" w:hAnsi="宋体" w:cs="宋体"/>
                <w:color w:val="auto"/>
                <w:sz w:val="24"/>
                <w:highlight w:val="none"/>
                <w:lang w:val="en-US" w:eastAsia="zh-CN"/>
              </w:rPr>
              <w:t>6</w:t>
            </w:r>
            <w:r>
              <w:rPr>
                <w:rFonts w:hint="eastAsia" w:ascii="宋体" w:hAnsi="宋体" w:eastAsia="宋体" w:cs="宋体"/>
                <w:color w:val="auto"/>
                <w:sz w:val="24"/>
                <w:highlight w:val="none"/>
                <w:lang w:val="en-US" w:eastAsia="zh-CN"/>
              </w:rPr>
              <w:t>分）：</w:t>
            </w:r>
            <w:r>
              <w:rPr>
                <w:rFonts w:hint="eastAsia" w:ascii="宋体" w:hAnsi="宋体" w:eastAsia="宋体" w:cs="宋体"/>
                <w:color w:val="auto"/>
                <w:sz w:val="24"/>
                <w:highlight w:val="none"/>
                <w:lang w:val="zh-CN" w:eastAsia="zh-CN"/>
              </w:rPr>
              <w:t>在</w:t>
            </w:r>
            <w:r>
              <w:rPr>
                <w:rFonts w:hint="eastAsia" w:ascii="宋体" w:hAnsi="宋体" w:eastAsia="宋体" w:cs="宋体"/>
                <w:color w:val="auto"/>
                <w:sz w:val="24"/>
                <w:highlight w:val="none"/>
                <w:lang w:val="en-US" w:eastAsia="zh-CN"/>
              </w:rPr>
              <w:t>满足</w:t>
            </w:r>
            <w:r>
              <w:rPr>
                <w:rFonts w:hint="eastAsia" w:ascii="宋体" w:hAnsi="宋体" w:cs="宋体"/>
                <w:color w:val="auto"/>
                <w:sz w:val="24"/>
                <w:highlight w:val="none"/>
                <w:lang w:eastAsia="zh-CN"/>
              </w:rPr>
              <w:t>上述</w:t>
            </w:r>
            <w:r>
              <w:rPr>
                <w:rFonts w:hint="eastAsia" w:ascii="宋体" w:hAnsi="宋体" w:eastAsia="宋体" w:cs="宋体"/>
                <w:color w:val="auto"/>
                <w:sz w:val="24"/>
                <w:highlight w:val="none"/>
                <w:lang w:val="en-US" w:eastAsia="zh-CN"/>
              </w:rPr>
              <w:t>二档</w:t>
            </w:r>
            <w:r>
              <w:rPr>
                <w:rFonts w:hint="eastAsia" w:ascii="宋体" w:hAnsi="宋体" w:eastAsia="宋体" w:cs="宋体"/>
                <w:color w:val="auto"/>
                <w:sz w:val="24"/>
                <w:highlight w:val="none"/>
                <w:lang w:val="zh-CN" w:eastAsia="zh-CN"/>
              </w:rPr>
              <w:t>的基础上</w:t>
            </w:r>
            <w:r>
              <w:rPr>
                <w:rFonts w:hint="eastAsia" w:ascii="宋体" w:hAnsi="宋体" w:eastAsia="宋体" w:cs="宋体"/>
                <w:color w:val="auto"/>
                <w:sz w:val="24"/>
                <w:highlight w:val="none"/>
                <w:lang w:val="en-US" w:eastAsia="zh-CN"/>
              </w:rPr>
              <w:t>，针对各类突发事件（包括但不限于出现防火、防盗、防枪、防暴、防毒、防破坏等）制订</w:t>
            </w:r>
            <w:r>
              <w:rPr>
                <w:rFonts w:hint="default" w:ascii="宋体" w:hAnsi="宋体" w:eastAsia="宋体" w:cs="宋体"/>
                <w:color w:val="auto"/>
                <w:sz w:val="24"/>
                <w:highlight w:val="none"/>
                <w:lang w:val="zh-CN" w:eastAsia="zh-CN"/>
              </w:rPr>
              <w:t>合理、</w:t>
            </w:r>
            <w:r>
              <w:rPr>
                <w:rFonts w:hint="eastAsia" w:ascii="宋体" w:hAnsi="宋体" w:eastAsia="宋体" w:cs="宋体"/>
                <w:color w:val="auto"/>
                <w:sz w:val="24"/>
                <w:highlight w:val="none"/>
                <w:lang w:val="en-US" w:eastAsia="zh-CN"/>
              </w:rPr>
              <w:t>有预见性、</w:t>
            </w:r>
            <w:r>
              <w:rPr>
                <w:rFonts w:hint="default" w:ascii="宋体" w:hAnsi="宋体" w:eastAsia="宋体" w:cs="宋体"/>
                <w:color w:val="auto"/>
                <w:sz w:val="24"/>
                <w:highlight w:val="none"/>
                <w:lang w:val="zh-CN" w:eastAsia="zh-CN"/>
              </w:rPr>
              <w:t>有针对性</w:t>
            </w:r>
            <w:r>
              <w:rPr>
                <w:rFonts w:hint="eastAsia" w:ascii="宋体" w:hAnsi="宋体" w:eastAsia="宋体" w:cs="宋体"/>
                <w:color w:val="auto"/>
                <w:sz w:val="24"/>
                <w:highlight w:val="none"/>
                <w:lang w:val="en-US" w:eastAsia="zh-CN"/>
              </w:rPr>
              <w:t>的</w:t>
            </w:r>
            <w:r>
              <w:rPr>
                <w:rFonts w:hint="default" w:ascii="宋体" w:hAnsi="宋体" w:eastAsia="宋体" w:cs="宋体"/>
                <w:color w:val="auto"/>
                <w:sz w:val="24"/>
                <w:highlight w:val="none"/>
                <w:lang w:val="zh-CN" w:eastAsia="zh-CN"/>
              </w:rPr>
              <w:t>处置</w:t>
            </w:r>
            <w:r>
              <w:rPr>
                <w:rFonts w:hint="eastAsia" w:ascii="宋体" w:hAnsi="宋体" w:eastAsia="宋体" w:cs="宋体"/>
                <w:color w:val="auto"/>
                <w:sz w:val="24"/>
                <w:highlight w:val="none"/>
                <w:lang w:val="en-US" w:eastAsia="zh-CN"/>
              </w:rPr>
              <w:t>措施；制订有针对不同突发事件的</w:t>
            </w:r>
            <w:r>
              <w:rPr>
                <w:rFonts w:hint="default" w:ascii="宋体" w:hAnsi="宋体" w:eastAsia="宋体" w:cs="宋体"/>
                <w:color w:val="auto"/>
                <w:sz w:val="24"/>
                <w:highlight w:val="none"/>
                <w:lang w:val="zh-CN" w:eastAsia="zh-CN"/>
              </w:rPr>
              <w:t>应急演练</w:t>
            </w:r>
            <w:r>
              <w:rPr>
                <w:rFonts w:hint="eastAsia" w:ascii="宋体" w:hAnsi="宋体" w:eastAsia="宋体" w:cs="宋体"/>
                <w:color w:val="auto"/>
                <w:sz w:val="24"/>
                <w:highlight w:val="none"/>
                <w:lang w:val="zh-CN" w:eastAsia="zh-CN"/>
              </w:rPr>
              <w:t>计划及</w:t>
            </w:r>
            <w:r>
              <w:rPr>
                <w:rFonts w:hint="default" w:ascii="宋体" w:hAnsi="宋体" w:eastAsia="宋体" w:cs="宋体"/>
                <w:color w:val="auto"/>
                <w:sz w:val="24"/>
                <w:highlight w:val="none"/>
                <w:lang w:val="zh-CN" w:eastAsia="zh-CN"/>
              </w:rPr>
              <w:t>应急演练</w:t>
            </w:r>
            <w:r>
              <w:rPr>
                <w:rFonts w:hint="eastAsia" w:ascii="宋体" w:hAnsi="宋体" w:eastAsia="宋体" w:cs="宋体"/>
                <w:color w:val="auto"/>
                <w:sz w:val="24"/>
                <w:highlight w:val="none"/>
                <w:lang w:val="zh-CN" w:eastAsia="zh-CN"/>
              </w:rPr>
              <w:t>方案</w:t>
            </w:r>
            <w:r>
              <w:rPr>
                <w:rFonts w:hint="default" w:ascii="宋体" w:hAnsi="宋体" w:eastAsia="宋体" w:cs="宋体"/>
                <w:color w:val="auto"/>
                <w:sz w:val="24"/>
                <w:highlight w:val="none"/>
                <w:lang w:val="zh-CN" w:eastAsia="zh-CN"/>
              </w:rPr>
              <w:t>，</w:t>
            </w:r>
            <w:r>
              <w:rPr>
                <w:rFonts w:hint="eastAsia" w:ascii="宋体" w:hAnsi="宋体" w:eastAsia="宋体" w:cs="宋体"/>
                <w:color w:val="auto"/>
                <w:sz w:val="24"/>
                <w:highlight w:val="none"/>
                <w:lang w:val="zh-CN" w:eastAsia="zh-CN"/>
              </w:rPr>
              <w:t>提高服务人员快速处置应急能力</w:t>
            </w:r>
            <w:r>
              <w:rPr>
                <w:rFonts w:hint="default" w:ascii="宋体" w:hAnsi="宋体" w:eastAsia="宋体" w:cs="宋体"/>
                <w:color w:val="auto"/>
                <w:sz w:val="24"/>
                <w:highlight w:val="none"/>
                <w:lang w:val="zh-CN" w:eastAsia="zh-CN"/>
              </w:rPr>
              <w:t>。</w:t>
            </w:r>
          </w:p>
        </w:tc>
        <w:tc>
          <w:tcPr>
            <w:tcW w:w="848" w:type="dxa"/>
            <w:tcBorders>
              <w:top w:val="single" w:color="auto" w:sz="4" w:space="0"/>
              <w:left w:val="single" w:color="auto" w:sz="4" w:space="0"/>
              <w:bottom w:val="single" w:color="auto" w:sz="4" w:space="0"/>
              <w:right w:val="single" w:color="auto" w:sz="4" w:space="0"/>
            </w:tcBorders>
            <w:noWrap/>
            <w:vAlign w:val="center"/>
          </w:tcPr>
          <w:p w14:paraId="4727F571">
            <w:pPr>
              <w:spacing w:line="400" w:lineRule="exact"/>
              <w:jc w:val="center"/>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6分</w:t>
            </w:r>
          </w:p>
        </w:tc>
      </w:tr>
      <w:tr w14:paraId="54989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551" w:type="dxa"/>
            <w:vMerge w:val="continue"/>
            <w:tcBorders>
              <w:left w:val="single" w:color="auto" w:sz="4" w:space="0"/>
              <w:right w:val="single" w:color="auto" w:sz="4" w:space="0"/>
            </w:tcBorders>
            <w:noWrap/>
            <w:vAlign w:val="center"/>
          </w:tcPr>
          <w:p w14:paraId="462AA3F8">
            <w:pPr>
              <w:spacing w:line="400" w:lineRule="exact"/>
              <w:jc w:val="center"/>
              <w:rPr>
                <w:rFonts w:ascii="宋体" w:hAnsi="宋体" w:cs="宋体"/>
                <w:color w:val="auto"/>
                <w:sz w:val="24"/>
                <w:highlight w:val="none"/>
              </w:rPr>
            </w:pPr>
          </w:p>
        </w:tc>
        <w:tc>
          <w:tcPr>
            <w:tcW w:w="1022" w:type="dxa"/>
            <w:vMerge w:val="continue"/>
            <w:tcBorders>
              <w:left w:val="single" w:color="auto" w:sz="4" w:space="0"/>
              <w:right w:val="single" w:color="auto" w:sz="4" w:space="0"/>
            </w:tcBorders>
            <w:noWrap/>
            <w:vAlign w:val="center"/>
          </w:tcPr>
          <w:p w14:paraId="48924D59">
            <w:pPr>
              <w:spacing w:line="400" w:lineRule="exact"/>
              <w:jc w:val="center"/>
              <w:rPr>
                <w:rFonts w:ascii="宋体" w:hAnsi="宋体" w:cs="宋体"/>
                <w:color w:val="auto"/>
                <w:sz w:val="24"/>
                <w:highlight w:val="none"/>
              </w:rPr>
            </w:pPr>
          </w:p>
        </w:tc>
        <w:tc>
          <w:tcPr>
            <w:tcW w:w="810" w:type="dxa"/>
            <w:tcBorders>
              <w:top w:val="single" w:color="auto" w:sz="4" w:space="0"/>
              <w:left w:val="single" w:color="auto" w:sz="4" w:space="0"/>
              <w:bottom w:val="single" w:color="auto" w:sz="4" w:space="0"/>
              <w:right w:val="single" w:color="auto" w:sz="4" w:space="0"/>
            </w:tcBorders>
            <w:noWrap/>
            <w:vAlign w:val="center"/>
          </w:tcPr>
          <w:p w14:paraId="51566C0E">
            <w:pPr>
              <w:keepNext w:val="0"/>
              <w:keepLines w:val="0"/>
              <w:pageBreakBefore w:val="0"/>
              <w:widowControl w:val="0"/>
              <w:kinsoku/>
              <w:wordWrap/>
              <w:overflowPunct/>
              <w:topLinePunct w:val="0"/>
              <w:autoSpaceDE/>
              <w:autoSpaceDN/>
              <w:bidi w:val="0"/>
              <w:snapToGrid/>
              <w:spacing w:line="400" w:lineRule="exact"/>
              <w:jc w:val="center"/>
              <w:rPr>
                <w:rFonts w:hint="eastAsia" w:ascii="宋体" w:hAnsi="宋体" w:eastAsia="宋体"/>
                <w:b w:val="0"/>
                <w:bCs/>
                <w:color w:val="auto"/>
                <w:sz w:val="24"/>
                <w:szCs w:val="24"/>
                <w:highlight w:val="none"/>
                <w:lang w:eastAsia="zh-CN"/>
              </w:rPr>
            </w:pPr>
            <w:r>
              <w:rPr>
                <w:rFonts w:hint="eastAsia" w:ascii="宋体" w:hAnsi="宋体" w:cs="宋体"/>
                <w:b w:val="0"/>
                <w:bCs/>
                <w:color w:val="auto"/>
                <w:sz w:val="24"/>
                <w:szCs w:val="24"/>
                <w:highlight w:val="none"/>
                <w:lang w:val="en-US" w:eastAsia="zh-CN"/>
              </w:rPr>
              <w:t>服务人员素质</w:t>
            </w:r>
          </w:p>
        </w:tc>
        <w:tc>
          <w:tcPr>
            <w:tcW w:w="6397" w:type="dxa"/>
            <w:tcBorders>
              <w:top w:val="single" w:color="auto" w:sz="4" w:space="0"/>
              <w:left w:val="single" w:color="auto" w:sz="4" w:space="0"/>
              <w:bottom w:val="single" w:color="auto" w:sz="4" w:space="0"/>
              <w:right w:val="single" w:color="auto" w:sz="4" w:space="0"/>
            </w:tcBorders>
            <w:noWrap/>
            <w:vAlign w:val="center"/>
          </w:tcPr>
          <w:p w14:paraId="651DA082">
            <w:pPr>
              <w:spacing w:line="416" w:lineRule="exact"/>
              <w:ind w:firstLine="480" w:firstLineChars="200"/>
              <w:rPr>
                <w:rFonts w:hint="eastAsia" w:ascii="宋体" w:hAnsi="宋体" w:eastAsia="宋体" w:cs="Times New Roman"/>
                <w:color w:val="auto"/>
                <w:sz w:val="24"/>
                <w:szCs w:val="24"/>
                <w:highlight w:val="none"/>
                <w:lang w:eastAsia="zh-CN"/>
              </w:rPr>
            </w:pPr>
            <w:r>
              <w:rPr>
                <w:rFonts w:hint="eastAsia" w:ascii="宋体" w:hAnsi="宋体" w:eastAsia="宋体" w:cs="Times New Roman"/>
                <w:color w:val="auto"/>
                <w:sz w:val="24"/>
                <w:szCs w:val="24"/>
                <w:highlight w:val="none"/>
                <w:lang w:eastAsia="zh-CN"/>
              </w:rPr>
              <w:t>供应商拟投入本项目的服务人员在满足《第二章  采购需求》中“</w:t>
            </w:r>
            <w:r>
              <w:rPr>
                <w:rFonts w:hint="eastAsia" w:ascii="宋体" w:hAnsi="宋体" w:cs="仿宋"/>
                <w:b/>
                <w:color w:val="auto"/>
                <w:kern w:val="0"/>
                <w:sz w:val="24"/>
                <w:szCs w:val="24"/>
                <w:highlight w:val="none"/>
              </w:rPr>
              <w:t>人员素质要求</w:t>
            </w:r>
            <w:r>
              <w:rPr>
                <w:rFonts w:hint="eastAsia" w:ascii="宋体" w:hAnsi="宋体" w:eastAsia="宋体" w:cs="Times New Roman"/>
                <w:color w:val="auto"/>
                <w:sz w:val="24"/>
                <w:szCs w:val="24"/>
                <w:highlight w:val="none"/>
                <w:lang w:eastAsia="zh-CN"/>
              </w:rPr>
              <w:t>”的前提下，对下列指标进行考核评分：</w:t>
            </w:r>
          </w:p>
          <w:p w14:paraId="3965B550">
            <w:pPr>
              <w:spacing w:line="416"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1</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拟投入本项目的</w:t>
            </w:r>
            <w:r>
              <w:rPr>
                <w:rFonts w:hint="eastAsia" w:ascii="宋体" w:hAnsi="宋体" w:eastAsia="宋体" w:cs="Times New Roman"/>
                <w:color w:val="auto"/>
                <w:sz w:val="24"/>
                <w:szCs w:val="24"/>
                <w:highlight w:val="none"/>
                <w:lang w:eastAsia="zh-CN"/>
              </w:rPr>
              <w:t>教官中（</w:t>
            </w:r>
            <w:r>
              <w:rPr>
                <w:rFonts w:hint="eastAsia" w:ascii="宋体" w:hAnsi="宋体" w:cs="Times New Roman"/>
                <w:color w:val="auto"/>
                <w:sz w:val="24"/>
                <w:szCs w:val="24"/>
                <w:highlight w:val="none"/>
                <w:lang w:val="en-US" w:eastAsia="zh-CN"/>
              </w:rPr>
              <w:t>含</w:t>
            </w:r>
            <w:r>
              <w:rPr>
                <w:rFonts w:hint="eastAsia" w:ascii="宋体" w:hAnsi="宋体" w:eastAsia="宋体" w:cs="Times New Roman"/>
                <w:color w:val="auto"/>
                <w:sz w:val="24"/>
                <w:szCs w:val="24"/>
                <w:highlight w:val="none"/>
                <w:lang w:eastAsia="zh-CN"/>
              </w:rPr>
              <w:t>教官队长）</w:t>
            </w:r>
            <w:r>
              <w:rPr>
                <w:rFonts w:hint="eastAsia" w:ascii="宋体" w:hAnsi="宋体" w:eastAsia="宋体" w:cs="Times New Roman"/>
                <w:color w:val="auto"/>
                <w:sz w:val="24"/>
                <w:szCs w:val="24"/>
                <w:highlight w:val="none"/>
              </w:rPr>
              <w:t>为退伍军人或警校毕业生同时持有保安</w:t>
            </w:r>
            <w:r>
              <w:rPr>
                <w:rFonts w:hint="eastAsia" w:ascii="宋体" w:hAnsi="宋体" w:eastAsia="宋体" w:cs="Times New Roman"/>
                <w:color w:val="auto"/>
                <w:sz w:val="24"/>
                <w:szCs w:val="24"/>
                <w:highlight w:val="none"/>
                <w:lang w:eastAsia="zh-CN"/>
              </w:rPr>
              <w:t>员</w:t>
            </w:r>
            <w:r>
              <w:rPr>
                <w:rFonts w:hint="eastAsia" w:ascii="宋体" w:hAnsi="宋体" w:eastAsia="宋体" w:cs="Times New Roman"/>
                <w:color w:val="auto"/>
                <w:sz w:val="24"/>
                <w:szCs w:val="24"/>
                <w:highlight w:val="none"/>
              </w:rPr>
              <w:t>证的，每人得1分，满分</w:t>
            </w:r>
            <w:r>
              <w:rPr>
                <w:rFonts w:hint="eastAsia" w:ascii="宋体" w:hAnsi="宋体" w:cs="Times New Roman"/>
                <w:color w:val="auto"/>
                <w:sz w:val="24"/>
                <w:szCs w:val="24"/>
                <w:highlight w:val="none"/>
                <w:lang w:val="en-US" w:eastAsia="zh-CN"/>
              </w:rPr>
              <w:t>19</w:t>
            </w:r>
            <w:r>
              <w:rPr>
                <w:rFonts w:hint="eastAsia" w:ascii="宋体" w:hAnsi="宋体" w:eastAsia="宋体" w:cs="Times New Roman"/>
                <w:color w:val="auto"/>
                <w:sz w:val="24"/>
                <w:szCs w:val="24"/>
                <w:highlight w:val="none"/>
              </w:rPr>
              <w:t>分。</w:t>
            </w:r>
          </w:p>
          <w:p w14:paraId="73D6D9D4">
            <w:pPr>
              <w:spacing w:line="416"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2</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拟投入本项目的</w:t>
            </w:r>
            <w:r>
              <w:rPr>
                <w:rFonts w:hint="eastAsia" w:ascii="宋体" w:hAnsi="宋体" w:eastAsia="宋体" w:cs="Times New Roman"/>
                <w:color w:val="auto"/>
                <w:sz w:val="24"/>
                <w:szCs w:val="24"/>
                <w:highlight w:val="none"/>
                <w:lang w:eastAsia="zh-CN"/>
              </w:rPr>
              <w:t>教官</w:t>
            </w:r>
            <w:r>
              <w:rPr>
                <w:rFonts w:hint="eastAsia" w:ascii="宋体" w:hAnsi="宋体" w:eastAsia="宋体" w:cs="Times New Roman"/>
                <w:color w:val="auto"/>
                <w:sz w:val="24"/>
                <w:szCs w:val="24"/>
                <w:highlight w:val="none"/>
              </w:rPr>
              <w:t>中持有</w:t>
            </w:r>
            <w:r>
              <w:rPr>
                <w:rFonts w:hint="eastAsia" w:ascii="宋体" w:hAnsi="宋体" w:cs="Times New Roman"/>
                <w:color w:val="auto"/>
                <w:sz w:val="24"/>
                <w:szCs w:val="24"/>
                <w:highlight w:val="none"/>
                <w:lang w:eastAsia="zh-CN"/>
              </w:rPr>
              <w:t>中国红十字会</w:t>
            </w:r>
            <w:r>
              <w:rPr>
                <w:rFonts w:hint="eastAsia" w:ascii="宋体" w:hAnsi="宋体" w:eastAsia="宋体" w:cs="Times New Roman"/>
                <w:color w:val="auto"/>
                <w:sz w:val="24"/>
                <w:szCs w:val="24"/>
                <w:highlight w:val="none"/>
              </w:rPr>
              <w:t>颁发《红十字救护员证》或应急管理部门（或人社部门）颁发的《应急救援员职业资格证书》</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每人得2分，满分8分。</w:t>
            </w:r>
          </w:p>
          <w:p w14:paraId="4BB91EEE">
            <w:pPr>
              <w:spacing w:line="416"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3</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拟投入本项目的</w:t>
            </w:r>
            <w:r>
              <w:rPr>
                <w:rFonts w:hint="eastAsia" w:ascii="宋体" w:hAnsi="宋体" w:eastAsia="宋体" w:cs="Times New Roman"/>
                <w:color w:val="auto"/>
                <w:sz w:val="24"/>
                <w:szCs w:val="24"/>
                <w:highlight w:val="none"/>
                <w:lang w:eastAsia="zh-CN"/>
              </w:rPr>
              <w:t>教官</w:t>
            </w:r>
            <w:r>
              <w:rPr>
                <w:rFonts w:hint="eastAsia" w:ascii="宋体" w:hAnsi="宋体" w:eastAsia="宋体" w:cs="Times New Roman"/>
                <w:color w:val="auto"/>
                <w:sz w:val="24"/>
                <w:szCs w:val="24"/>
                <w:highlight w:val="none"/>
              </w:rPr>
              <w:t>中持有心理危机干预师证书，每人得2分，满分6分。</w:t>
            </w:r>
          </w:p>
          <w:p w14:paraId="0A7BC411">
            <w:pPr>
              <w:pStyle w:val="24"/>
              <w:snapToGrid/>
              <w:spacing w:before="0" w:after="0" w:line="400" w:lineRule="exact"/>
              <w:ind w:firstLine="0" w:firstLineChars="0"/>
              <w:outlineLvl w:val="9"/>
              <w:rPr>
                <w:rFonts w:hint="eastAsia"/>
                <w:color w:val="auto"/>
                <w:sz w:val="24"/>
                <w:szCs w:val="24"/>
                <w:highlight w:val="none"/>
                <w:lang w:eastAsia="zh-CN"/>
              </w:rPr>
            </w:pPr>
            <w:r>
              <w:rPr>
                <w:rFonts w:hint="eastAsia" w:hAnsi="宋体" w:cs="Courier New"/>
                <w:b/>
                <w:bCs w:val="0"/>
                <w:color w:val="auto"/>
                <w:kern w:val="2"/>
                <w:sz w:val="24"/>
                <w:szCs w:val="24"/>
                <w:highlight w:val="none"/>
                <w:lang w:eastAsia="zh-CN"/>
              </w:rPr>
              <w:t>注</w:t>
            </w:r>
            <w:r>
              <w:rPr>
                <w:rFonts w:hint="eastAsia" w:hAnsi="宋体" w:cs="Courier New"/>
                <w:b/>
                <w:bCs w:val="0"/>
                <w:color w:val="auto"/>
                <w:kern w:val="2"/>
                <w:sz w:val="24"/>
                <w:szCs w:val="24"/>
                <w:highlight w:val="none"/>
              </w:rPr>
              <w:t>：</w:t>
            </w:r>
            <w:r>
              <w:rPr>
                <w:rFonts w:hint="eastAsia" w:hAnsi="宋体" w:cs="Courier New"/>
                <w:b/>
                <w:bCs w:val="0"/>
                <w:color w:val="auto"/>
                <w:kern w:val="2"/>
                <w:sz w:val="24"/>
                <w:szCs w:val="24"/>
                <w:highlight w:val="none"/>
                <w:lang w:eastAsia="zh-CN"/>
              </w:rPr>
              <w:t>供应商</w:t>
            </w:r>
            <w:r>
              <w:rPr>
                <w:rFonts w:hint="eastAsia" w:ascii="宋体" w:hAnsi="宋体" w:eastAsia="宋体" w:cs="Times New Roman"/>
                <w:color w:val="auto"/>
                <w:sz w:val="24"/>
                <w:szCs w:val="24"/>
                <w:highlight w:val="none"/>
                <w:lang w:eastAsia="zh-CN"/>
              </w:rPr>
              <w:t>拟投入本项目的服务人员不满足《第二章  采购需求》中“</w:t>
            </w:r>
            <w:r>
              <w:rPr>
                <w:rFonts w:hint="eastAsia" w:ascii="宋体" w:hAnsi="宋体" w:cs="仿宋"/>
                <w:b/>
                <w:color w:val="auto"/>
                <w:kern w:val="0"/>
                <w:sz w:val="24"/>
                <w:szCs w:val="24"/>
                <w:highlight w:val="none"/>
              </w:rPr>
              <w:t>人员素质要求</w:t>
            </w:r>
            <w:r>
              <w:rPr>
                <w:rFonts w:hint="eastAsia" w:ascii="宋体" w:hAnsi="宋体" w:eastAsia="宋体" w:cs="Times New Roman"/>
                <w:color w:val="auto"/>
                <w:sz w:val="24"/>
                <w:szCs w:val="24"/>
                <w:highlight w:val="none"/>
                <w:lang w:eastAsia="zh-CN"/>
              </w:rPr>
              <w:t>”的，得</w:t>
            </w:r>
            <w:r>
              <w:rPr>
                <w:rFonts w:hint="eastAsia" w:ascii="宋体" w:hAnsi="宋体" w:eastAsia="宋体" w:cs="Times New Roman"/>
                <w:color w:val="auto"/>
                <w:sz w:val="24"/>
                <w:szCs w:val="24"/>
                <w:highlight w:val="none"/>
                <w:lang w:val="en-US" w:eastAsia="zh-CN"/>
              </w:rPr>
              <w:t>0</w:t>
            </w:r>
            <w:r>
              <w:rPr>
                <w:rFonts w:hint="eastAsia" w:ascii="宋体" w:hAnsi="宋体" w:eastAsia="宋体" w:cs="Times New Roman"/>
                <w:color w:val="auto"/>
                <w:sz w:val="24"/>
                <w:szCs w:val="24"/>
                <w:highlight w:val="none"/>
                <w:lang w:eastAsia="zh-CN"/>
              </w:rPr>
              <w:t>分。</w:t>
            </w:r>
            <w:r>
              <w:rPr>
                <w:rFonts w:hint="eastAsia" w:hAnsi="宋体" w:cs="Courier New"/>
                <w:b/>
                <w:bCs w:val="0"/>
                <w:color w:val="auto"/>
                <w:kern w:val="2"/>
                <w:sz w:val="24"/>
                <w:szCs w:val="24"/>
                <w:highlight w:val="none"/>
              </w:rPr>
              <w:t>响应文件中提供人员</w:t>
            </w:r>
            <w:r>
              <w:rPr>
                <w:rFonts w:hint="eastAsia" w:hAnsi="宋体" w:cs="Courier New"/>
                <w:b/>
                <w:bCs w:val="0"/>
                <w:color w:val="auto"/>
                <w:kern w:val="2"/>
                <w:sz w:val="24"/>
                <w:szCs w:val="24"/>
                <w:highlight w:val="none"/>
                <w:lang w:eastAsia="zh-CN"/>
              </w:rPr>
              <w:t>有效</w:t>
            </w:r>
            <w:r>
              <w:rPr>
                <w:rFonts w:hint="eastAsia" w:hAnsi="宋体" w:cs="Courier New"/>
                <w:b/>
                <w:bCs w:val="0"/>
                <w:color w:val="auto"/>
                <w:kern w:val="2"/>
                <w:sz w:val="24"/>
                <w:szCs w:val="24"/>
                <w:highlight w:val="none"/>
              </w:rPr>
              <w:t>的</w:t>
            </w:r>
            <w:r>
              <w:rPr>
                <w:rFonts w:hint="eastAsia" w:hAnsi="宋体" w:cs="Courier New"/>
                <w:b/>
                <w:bCs w:val="0"/>
                <w:color w:val="auto"/>
                <w:kern w:val="2"/>
                <w:sz w:val="24"/>
                <w:szCs w:val="24"/>
                <w:highlight w:val="none"/>
                <w:lang w:eastAsia="zh-CN"/>
              </w:rPr>
              <w:t>相关证书（证件）、</w:t>
            </w:r>
            <w:r>
              <w:rPr>
                <w:rFonts w:hint="eastAsia" w:ascii="宋体" w:hAnsi="宋体" w:eastAsia="宋体" w:cs="Times New Roman"/>
                <w:color w:val="auto"/>
                <w:sz w:val="24"/>
                <w:szCs w:val="24"/>
                <w:highlight w:val="none"/>
              </w:rPr>
              <w:t>退伍军人</w:t>
            </w:r>
            <w:r>
              <w:rPr>
                <w:rFonts w:hint="eastAsia" w:hAnsi="宋体" w:cs="Times New Roman"/>
                <w:color w:val="auto"/>
                <w:sz w:val="24"/>
                <w:szCs w:val="24"/>
                <w:highlight w:val="none"/>
                <w:lang w:eastAsia="zh-CN"/>
              </w:rPr>
              <w:t>相关证</w:t>
            </w:r>
            <w:r>
              <w:rPr>
                <w:rFonts w:hint="eastAsia" w:hAnsi="宋体" w:cs="Times New Roman"/>
                <w:color w:val="auto"/>
                <w:sz w:val="24"/>
                <w:szCs w:val="24"/>
                <w:highlight w:val="none"/>
                <w:lang w:val="en-US" w:eastAsia="zh-CN"/>
              </w:rPr>
              <w:t>明</w:t>
            </w:r>
            <w:r>
              <w:rPr>
                <w:rFonts w:hint="eastAsia" w:hAnsi="宋体" w:cs="Times New Roman"/>
                <w:color w:val="auto"/>
                <w:sz w:val="24"/>
                <w:szCs w:val="24"/>
                <w:highlight w:val="none"/>
                <w:lang w:eastAsia="zh-CN"/>
              </w:rPr>
              <w:t>或</w:t>
            </w:r>
            <w:r>
              <w:rPr>
                <w:rFonts w:hint="eastAsia" w:hAnsi="宋体" w:cs="Courier New"/>
                <w:b/>
                <w:bCs w:val="0"/>
                <w:color w:val="auto"/>
                <w:kern w:val="2"/>
                <w:sz w:val="24"/>
                <w:szCs w:val="24"/>
                <w:highlight w:val="none"/>
                <w:lang w:eastAsia="zh-CN"/>
              </w:rPr>
              <w:t>学历、供应商与拟投入服务人员签订的劳动合同等</w:t>
            </w:r>
            <w:r>
              <w:rPr>
                <w:rFonts w:hint="eastAsia" w:ascii="宋体" w:hAnsi="宋体" w:eastAsia="宋体" w:cs="Courier New"/>
                <w:b/>
                <w:bCs w:val="0"/>
                <w:color w:val="auto"/>
                <w:kern w:val="2"/>
                <w:sz w:val="24"/>
                <w:szCs w:val="24"/>
                <w:highlight w:val="none"/>
                <w:lang w:eastAsia="zh-CN"/>
              </w:rPr>
              <w:t>材料复印件，否则不计分。</w:t>
            </w:r>
          </w:p>
        </w:tc>
        <w:tc>
          <w:tcPr>
            <w:tcW w:w="848" w:type="dxa"/>
            <w:tcBorders>
              <w:top w:val="single" w:color="auto" w:sz="4" w:space="0"/>
              <w:left w:val="single" w:color="auto" w:sz="4" w:space="0"/>
              <w:bottom w:val="single" w:color="auto" w:sz="4" w:space="0"/>
              <w:right w:val="single" w:color="auto" w:sz="4" w:space="0"/>
            </w:tcBorders>
            <w:noWrap/>
            <w:vAlign w:val="center"/>
          </w:tcPr>
          <w:p w14:paraId="3870B48F">
            <w:pPr>
              <w:spacing w:line="400" w:lineRule="exact"/>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33分</w:t>
            </w:r>
          </w:p>
        </w:tc>
      </w:tr>
      <w:tr w14:paraId="5321E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5" w:hRule="atLeast"/>
          <w:jc w:val="center"/>
        </w:trPr>
        <w:tc>
          <w:tcPr>
            <w:tcW w:w="551" w:type="dxa"/>
            <w:vMerge w:val="restart"/>
            <w:tcBorders>
              <w:top w:val="single" w:color="auto" w:sz="4" w:space="0"/>
              <w:left w:val="single" w:color="auto" w:sz="4" w:space="0"/>
              <w:right w:val="single" w:color="auto" w:sz="4" w:space="0"/>
            </w:tcBorders>
            <w:noWrap/>
            <w:vAlign w:val="center"/>
          </w:tcPr>
          <w:p w14:paraId="3686DB22">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3</w:t>
            </w:r>
          </w:p>
        </w:tc>
        <w:tc>
          <w:tcPr>
            <w:tcW w:w="1022" w:type="dxa"/>
            <w:vMerge w:val="restart"/>
            <w:tcBorders>
              <w:top w:val="single" w:color="auto" w:sz="4" w:space="0"/>
              <w:left w:val="single" w:color="auto" w:sz="4" w:space="0"/>
              <w:right w:val="single" w:color="auto" w:sz="4" w:space="0"/>
            </w:tcBorders>
            <w:noWrap/>
            <w:vAlign w:val="center"/>
          </w:tcPr>
          <w:p w14:paraId="206A71D0">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商务分</w:t>
            </w:r>
          </w:p>
          <w:p w14:paraId="10CEA692">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w:t>
            </w:r>
            <w:r>
              <w:rPr>
                <w:rFonts w:hint="eastAsia" w:ascii="宋体" w:hAnsi="宋体" w:cs="宋体"/>
                <w:color w:val="auto"/>
                <w:sz w:val="24"/>
                <w:highlight w:val="none"/>
                <w:lang w:val="en-US" w:eastAsia="zh-CN"/>
              </w:rPr>
              <w:t>18</w:t>
            </w:r>
            <w:r>
              <w:rPr>
                <w:rFonts w:hint="eastAsia" w:ascii="宋体" w:hAnsi="宋体" w:cs="宋体"/>
                <w:color w:val="auto"/>
                <w:sz w:val="24"/>
                <w:highlight w:val="none"/>
              </w:rPr>
              <w:t>分）</w:t>
            </w:r>
          </w:p>
        </w:tc>
        <w:tc>
          <w:tcPr>
            <w:tcW w:w="810" w:type="dxa"/>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14:paraId="3EE10CF7">
            <w:pPr>
              <w:spacing w:line="400" w:lineRule="exact"/>
              <w:jc w:val="center"/>
              <w:rPr>
                <w:rFonts w:hint="eastAsia" w:ascii="宋体" w:hAnsi="宋体" w:cs="宋体"/>
                <w:color w:val="auto"/>
                <w:sz w:val="24"/>
                <w:highlight w:val="none"/>
              </w:rPr>
            </w:pPr>
            <w:r>
              <w:rPr>
                <w:rFonts w:hint="eastAsia" w:ascii="宋体" w:hAnsi="宋体" w:cs="宋体"/>
                <w:color w:val="auto"/>
                <w:sz w:val="24"/>
                <w:highlight w:val="none"/>
              </w:rPr>
              <w:t>业绩</w:t>
            </w:r>
          </w:p>
        </w:tc>
        <w:tc>
          <w:tcPr>
            <w:tcW w:w="6397" w:type="dxa"/>
            <w:tcBorders>
              <w:top w:val="single" w:color="auto" w:sz="4" w:space="0"/>
              <w:left w:val="single" w:color="auto" w:sz="4" w:space="0"/>
              <w:bottom w:val="single" w:color="auto" w:sz="4" w:space="0"/>
              <w:right w:val="single" w:color="auto" w:sz="4" w:space="0"/>
            </w:tcBorders>
            <w:noWrap/>
            <w:vAlign w:val="center"/>
          </w:tcPr>
          <w:p w14:paraId="699D8FB0">
            <w:pPr>
              <w:spacing w:line="400" w:lineRule="exact"/>
              <w:jc w:val="left"/>
              <w:rPr>
                <w:rFonts w:hint="default" w:ascii="宋体" w:hAnsi="宋体" w:cs="宋体"/>
                <w:color w:val="auto"/>
                <w:sz w:val="24"/>
                <w:highlight w:val="none"/>
                <w:lang w:val="en-US"/>
              </w:rPr>
            </w:pPr>
            <w:r>
              <w:rPr>
                <w:rFonts w:hint="eastAsia" w:ascii="宋体" w:hAnsi="宋体" w:cs="宋体"/>
                <w:color w:val="auto"/>
                <w:sz w:val="24"/>
                <w:highlight w:val="none"/>
              </w:rPr>
              <w:t>供应商自202</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年以来承接过类似项</w:t>
            </w:r>
            <w:r>
              <w:rPr>
                <w:rFonts w:hint="eastAsia" w:ascii="宋体" w:hAnsi="宋体" w:cs="宋体"/>
                <w:color w:val="auto"/>
                <w:sz w:val="24"/>
                <w:szCs w:val="24"/>
                <w:highlight w:val="none"/>
              </w:rPr>
              <w:t>目业绩</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类似项目业绩</w:t>
            </w:r>
            <w:r>
              <w:rPr>
                <w:rFonts w:hint="eastAsia" w:ascii="宋体" w:hAnsi="宋体" w:cs="宋体"/>
                <w:color w:val="auto"/>
                <w:sz w:val="24"/>
                <w:szCs w:val="24"/>
                <w:highlight w:val="none"/>
                <w:lang w:eastAsia="zh-CN"/>
              </w:rPr>
              <w:t>指：保安服务或安保服务</w:t>
            </w:r>
            <w:r>
              <w:rPr>
                <w:rFonts w:hint="eastAsia" w:ascii="宋体" w:hAnsi="宋体" w:cs="宋体"/>
                <w:color w:val="auto"/>
                <w:sz w:val="24"/>
                <w:szCs w:val="24"/>
                <w:highlight w:val="none"/>
              </w:rPr>
              <w:t>业绩</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每项</w:t>
            </w:r>
            <w:r>
              <w:rPr>
                <w:rFonts w:hint="eastAsia" w:ascii="宋体" w:hAnsi="宋体" w:cs="宋体"/>
                <w:color w:val="auto"/>
                <w:sz w:val="24"/>
                <w:szCs w:val="24"/>
                <w:highlight w:val="none"/>
                <w:lang w:eastAsia="zh-CN"/>
              </w:rPr>
              <w:t>业绩</w:t>
            </w:r>
            <w:r>
              <w:rPr>
                <w:rFonts w:hint="eastAsia" w:ascii="宋体" w:hAnsi="宋体" w:cs="宋体"/>
                <w:color w:val="auto"/>
                <w:sz w:val="24"/>
                <w:szCs w:val="24"/>
                <w:highlight w:val="none"/>
              </w:rPr>
              <w:t>得</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分</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满分</w:t>
            </w:r>
            <w:r>
              <w:rPr>
                <w:rFonts w:hint="eastAsia" w:ascii="宋体" w:hAnsi="宋体" w:cs="宋体"/>
                <w:color w:val="auto"/>
                <w:sz w:val="24"/>
                <w:szCs w:val="24"/>
                <w:highlight w:val="none"/>
                <w:lang w:val="en-US" w:eastAsia="zh-CN"/>
              </w:rPr>
              <w:t>10</w:t>
            </w:r>
            <w:r>
              <w:rPr>
                <w:rFonts w:hint="eastAsia" w:ascii="宋体" w:hAnsi="宋体" w:cs="宋体"/>
                <w:color w:val="auto"/>
                <w:sz w:val="24"/>
                <w:szCs w:val="24"/>
                <w:highlight w:val="none"/>
              </w:rPr>
              <w:t>分</w:t>
            </w:r>
            <w:r>
              <w:rPr>
                <w:rFonts w:hint="eastAsia" w:ascii="宋体" w:hAnsi="宋体" w:cs="宋体"/>
                <w:color w:val="auto"/>
                <w:sz w:val="24"/>
                <w:szCs w:val="24"/>
                <w:highlight w:val="none"/>
                <w:lang w:eastAsia="zh-CN"/>
              </w:rPr>
              <w:t>。</w:t>
            </w:r>
            <w:r>
              <w:rPr>
                <w:rFonts w:hint="eastAsia" w:ascii="宋体" w:hAnsi="宋体" w:cs="宋体"/>
                <w:b w:val="0"/>
                <w:bCs w:val="0"/>
                <w:color w:val="auto"/>
                <w:sz w:val="24"/>
                <w:szCs w:val="24"/>
                <w:highlight w:val="none"/>
              </w:rPr>
              <w:t>[需在响应文件中</w:t>
            </w:r>
            <w:r>
              <w:rPr>
                <w:rFonts w:hint="eastAsia" w:ascii="宋体" w:hAnsi="宋体" w:cs="宋体"/>
                <w:b w:val="0"/>
                <w:bCs w:val="0"/>
                <w:color w:val="auto"/>
                <w:sz w:val="24"/>
                <w:szCs w:val="24"/>
                <w:highlight w:val="none"/>
                <w:lang w:val="en-US" w:eastAsia="zh-CN"/>
              </w:rPr>
              <w:t>提供</w:t>
            </w:r>
            <w:r>
              <w:rPr>
                <w:rFonts w:hint="eastAsia" w:ascii="宋体" w:hAnsi="宋体" w:cs="宋体"/>
                <w:b w:val="0"/>
                <w:bCs w:val="0"/>
                <w:color w:val="auto"/>
                <w:sz w:val="24"/>
                <w:szCs w:val="24"/>
                <w:highlight w:val="none"/>
              </w:rPr>
              <w:t>合同复印件</w:t>
            </w:r>
            <w:r>
              <w:rPr>
                <w:rFonts w:hint="eastAsia" w:ascii="宋体" w:hAnsi="宋体" w:eastAsia="宋体" w:cs="宋体"/>
                <w:b w:val="0"/>
                <w:bCs w:val="0"/>
                <w:color w:val="auto"/>
                <w:sz w:val="24"/>
                <w:szCs w:val="24"/>
                <w:highlight w:val="none"/>
                <w:lang w:eastAsia="zh-CN"/>
              </w:rPr>
              <w:t>（</w:t>
            </w:r>
            <w:r>
              <w:rPr>
                <w:rFonts w:hint="eastAsia" w:ascii="宋体" w:hAnsi="宋体" w:cs="宋体"/>
                <w:b w:val="0"/>
                <w:bCs w:val="0"/>
                <w:color w:val="auto"/>
                <w:sz w:val="24"/>
                <w:szCs w:val="24"/>
                <w:highlight w:val="none"/>
                <w:lang w:eastAsia="zh-CN"/>
              </w:rPr>
              <w:t>合同能清晰反映</w:t>
            </w:r>
            <w:r>
              <w:rPr>
                <w:rFonts w:hint="eastAsia" w:ascii="宋体" w:hAnsi="宋体" w:eastAsia="宋体" w:cs="宋体"/>
                <w:b w:val="0"/>
                <w:bCs w:val="0"/>
                <w:color w:val="auto"/>
                <w:sz w:val="24"/>
                <w:szCs w:val="24"/>
                <w:highlight w:val="none"/>
              </w:rPr>
              <w:t>合同首页、主要内容页、</w:t>
            </w:r>
            <w:r>
              <w:rPr>
                <w:rFonts w:hint="eastAsia" w:ascii="宋体" w:hAnsi="宋体" w:eastAsia="宋体" w:cs="宋体"/>
                <w:b w:val="0"/>
                <w:bCs w:val="0"/>
                <w:color w:val="auto"/>
                <w:sz w:val="24"/>
                <w:szCs w:val="24"/>
                <w:highlight w:val="none"/>
                <w:lang w:eastAsia="zh-CN"/>
              </w:rPr>
              <w:t>合同</w:t>
            </w:r>
            <w:r>
              <w:rPr>
                <w:rFonts w:hint="eastAsia" w:ascii="宋体" w:hAnsi="宋体" w:eastAsia="宋体" w:cs="宋体"/>
                <w:b w:val="0"/>
                <w:bCs w:val="0"/>
                <w:color w:val="auto"/>
                <w:sz w:val="24"/>
                <w:szCs w:val="24"/>
                <w:highlight w:val="none"/>
              </w:rPr>
              <w:t>盖章页</w:t>
            </w:r>
            <w:r>
              <w:rPr>
                <w:rFonts w:hint="eastAsia" w:ascii="宋体" w:hAnsi="宋体" w:eastAsia="宋体" w:cs="宋体"/>
                <w:b w:val="0"/>
                <w:bCs w:val="0"/>
                <w:color w:val="auto"/>
                <w:kern w:val="2"/>
                <w:sz w:val="24"/>
                <w:szCs w:val="24"/>
                <w:highlight w:val="none"/>
              </w:rPr>
              <w:t>，否则不予计分</w:t>
            </w:r>
            <w:r>
              <w:rPr>
                <w:rFonts w:hint="eastAsia" w:ascii="宋体" w:hAnsi="宋体" w:eastAsia="宋体" w:cs="宋体"/>
                <w:b w:val="0"/>
                <w:bCs w:val="0"/>
                <w:color w:val="auto"/>
                <w:kern w:val="2"/>
                <w:sz w:val="24"/>
                <w:szCs w:val="24"/>
                <w:highlight w:val="none"/>
                <w:lang w:eastAsia="zh-CN"/>
              </w:rPr>
              <w:t>。</w:t>
            </w:r>
            <w:r>
              <w:rPr>
                <w:rFonts w:hint="eastAsia" w:ascii="宋体" w:hAnsi="宋体" w:eastAsia="宋体" w:cs="宋体"/>
                <w:b w:val="0"/>
                <w:bCs w:val="0"/>
                <w:color w:val="auto"/>
                <w:sz w:val="24"/>
                <w:szCs w:val="24"/>
                <w:highlight w:val="none"/>
                <w:lang w:val="zh-CN"/>
              </w:rPr>
              <w:t>同一个项目签订多份合同的只能计算一次，不重复计分</w:t>
            </w:r>
            <w:r>
              <w:rPr>
                <w:rFonts w:hint="eastAsia" w:ascii="宋体" w:hAnsi="宋体" w:eastAsia="宋体" w:cs="宋体"/>
                <w:b w:val="0"/>
                <w:bCs w:val="0"/>
                <w:color w:val="auto"/>
                <w:kern w:val="2"/>
                <w:sz w:val="24"/>
                <w:szCs w:val="24"/>
                <w:highlight w:val="none"/>
                <w:lang w:eastAsia="zh-CN"/>
              </w:rPr>
              <w:t>）</w:t>
            </w:r>
            <w:r>
              <w:rPr>
                <w:rFonts w:hint="eastAsia" w:ascii="宋体" w:hAnsi="宋体" w:eastAsia="宋体" w:cs="宋体"/>
                <w:b w:val="0"/>
                <w:bCs w:val="0"/>
                <w:color w:val="auto"/>
                <w:kern w:val="2"/>
                <w:sz w:val="24"/>
                <w:szCs w:val="24"/>
                <w:highlight w:val="none"/>
                <w:lang w:val="en-US" w:eastAsia="zh-CN"/>
              </w:rPr>
              <w:t>]</w:t>
            </w:r>
          </w:p>
        </w:tc>
        <w:tc>
          <w:tcPr>
            <w:tcW w:w="848" w:type="dxa"/>
            <w:tcBorders>
              <w:top w:val="single" w:color="auto" w:sz="4" w:space="0"/>
              <w:left w:val="single" w:color="auto" w:sz="4" w:space="0"/>
              <w:bottom w:val="single" w:color="auto" w:sz="4" w:space="0"/>
              <w:right w:val="single" w:color="auto" w:sz="4" w:space="0"/>
            </w:tcBorders>
            <w:noWrap/>
            <w:vAlign w:val="center"/>
          </w:tcPr>
          <w:p w14:paraId="113EF197">
            <w:pPr>
              <w:spacing w:line="400" w:lineRule="exact"/>
              <w:jc w:val="cente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10分</w:t>
            </w:r>
          </w:p>
        </w:tc>
      </w:tr>
      <w:tr w14:paraId="7B0F2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5" w:hRule="atLeast"/>
          <w:jc w:val="center"/>
        </w:trPr>
        <w:tc>
          <w:tcPr>
            <w:tcW w:w="551" w:type="dxa"/>
            <w:vMerge w:val="continue"/>
            <w:tcBorders>
              <w:left w:val="single" w:color="auto" w:sz="4" w:space="0"/>
              <w:right w:val="single" w:color="auto" w:sz="4" w:space="0"/>
            </w:tcBorders>
            <w:noWrap/>
            <w:vAlign w:val="center"/>
          </w:tcPr>
          <w:p w14:paraId="75E6CEC1">
            <w:pPr>
              <w:spacing w:line="400" w:lineRule="exact"/>
              <w:jc w:val="center"/>
              <w:rPr>
                <w:rFonts w:hint="eastAsia" w:ascii="宋体" w:hAnsi="宋体" w:cs="宋体"/>
                <w:color w:val="auto"/>
                <w:sz w:val="24"/>
                <w:highlight w:val="none"/>
              </w:rPr>
            </w:pPr>
          </w:p>
        </w:tc>
        <w:tc>
          <w:tcPr>
            <w:tcW w:w="1022" w:type="dxa"/>
            <w:vMerge w:val="continue"/>
            <w:tcBorders>
              <w:left w:val="single" w:color="auto" w:sz="4" w:space="0"/>
              <w:right w:val="single" w:color="auto" w:sz="4" w:space="0"/>
            </w:tcBorders>
            <w:noWrap/>
            <w:vAlign w:val="center"/>
          </w:tcPr>
          <w:p w14:paraId="78653E21">
            <w:pPr>
              <w:spacing w:line="400" w:lineRule="exact"/>
              <w:jc w:val="center"/>
              <w:rPr>
                <w:rFonts w:hint="eastAsia" w:ascii="宋体" w:hAnsi="宋体" w:cs="宋体"/>
                <w:color w:val="auto"/>
                <w:sz w:val="24"/>
                <w:highlight w:val="none"/>
              </w:rPr>
            </w:pPr>
          </w:p>
        </w:tc>
        <w:tc>
          <w:tcPr>
            <w:tcW w:w="810" w:type="dxa"/>
            <w:tcBorders>
              <w:top w:val="single" w:color="auto" w:sz="4" w:space="0"/>
              <w:left w:val="single" w:color="auto" w:sz="4" w:space="0"/>
              <w:right w:val="single" w:color="auto" w:sz="4" w:space="0"/>
            </w:tcBorders>
            <w:noWrap/>
            <w:tcMar>
              <w:top w:w="0" w:type="dxa"/>
              <w:left w:w="57" w:type="dxa"/>
              <w:bottom w:w="0" w:type="dxa"/>
              <w:right w:w="57" w:type="dxa"/>
            </w:tcMar>
            <w:vAlign w:val="center"/>
          </w:tcPr>
          <w:p w14:paraId="4AF4AE42">
            <w:pPr>
              <w:spacing w:line="400" w:lineRule="exact"/>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信誉</w:t>
            </w:r>
          </w:p>
        </w:tc>
        <w:tc>
          <w:tcPr>
            <w:tcW w:w="6397" w:type="dxa"/>
            <w:tcBorders>
              <w:top w:val="single" w:color="auto" w:sz="4" w:space="0"/>
              <w:left w:val="single" w:color="auto" w:sz="4" w:space="0"/>
              <w:right w:val="single" w:color="auto" w:sz="4" w:space="0"/>
            </w:tcBorders>
            <w:noWrap/>
            <w:vAlign w:val="center"/>
          </w:tcPr>
          <w:p w14:paraId="2455266F">
            <w:pPr>
              <w:spacing w:line="400" w:lineRule="exact"/>
              <w:jc w:val="left"/>
              <w:rPr>
                <w:rFonts w:hint="eastAsia" w:ascii="宋体" w:hAnsi="宋体" w:cs="宋体"/>
                <w:color w:val="auto"/>
                <w:sz w:val="24"/>
                <w:highlight w:val="none"/>
                <w:lang w:eastAsia="zh-CN"/>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1</w:t>
            </w:r>
            <w:r>
              <w:rPr>
                <w:rFonts w:hint="eastAsia" w:ascii="宋体" w:hAnsi="宋体" w:cs="宋体"/>
                <w:color w:val="auto"/>
                <w:sz w:val="24"/>
                <w:highlight w:val="none"/>
                <w:lang w:eastAsia="zh-CN"/>
              </w:rPr>
              <w:t>）</w:t>
            </w:r>
            <w:r>
              <w:rPr>
                <w:rFonts w:hint="eastAsia" w:ascii="宋体" w:hAnsi="宋体" w:cs="宋体"/>
                <w:color w:val="auto"/>
                <w:sz w:val="24"/>
                <w:highlight w:val="none"/>
              </w:rPr>
              <w:t>供应商</w:t>
            </w:r>
            <w:r>
              <w:rPr>
                <w:rFonts w:hint="eastAsia" w:ascii="宋体" w:hAnsi="宋体" w:cs="宋体"/>
                <w:color w:val="auto"/>
                <w:sz w:val="24"/>
                <w:highlight w:val="none"/>
                <w:lang w:eastAsia="zh-CN"/>
              </w:rPr>
              <w:t>具有有效期内的ISO9001质量管理体系认证、GB/T 31950企业诚信管理体系认证证书、ISO45001职业健康安全管理体系认证（需在响应文件中提供证书扫描件，证书在“全国认证认可信息公共服务平台”上可查</w:t>
            </w:r>
            <w:r>
              <w:rPr>
                <w:rFonts w:hint="eastAsia" w:ascii="宋体" w:hAnsi="宋体" w:eastAsia="宋体" w:cs="宋体"/>
                <w:b w:val="0"/>
                <w:bCs w:val="0"/>
                <w:color w:val="auto"/>
                <w:kern w:val="2"/>
                <w:sz w:val="24"/>
                <w:szCs w:val="24"/>
                <w:highlight w:val="none"/>
              </w:rPr>
              <w:t>，否则不予计分</w:t>
            </w:r>
            <w:r>
              <w:rPr>
                <w:rFonts w:hint="eastAsia" w:ascii="宋体" w:hAnsi="宋体" w:cs="宋体"/>
                <w:color w:val="auto"/>
                <w:sz w:val="24"/>
                <w:highlight w:val="none"/>
                <w:lang w:eastAsia="zh-CN"/>
              </w:rPr>
              <w:t>），每提供一项证书得1分，满分得3分。</w:t>
            </w:r>
          </w:p>
          <w:p w14:paraId="304A5E62">
            <w:pPr>
              <w:spacing w:line="400" w:lineRule="exact"/>
              <w:jc w:val="left"/>
              <w:rPr>
                <w:rFonts w:hint="eastAsia" w:ascii="宋体" w:hAnsi="宋体" w:cs="宋体"/>
                <w:color w:val="auto"/>
                <w:sz w:val="24"/>
                <w:highlight w:val="none"/>
                <w:lang w:val="en-US" w:eastAsia="zh-CN"/>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2</w:t>
            </w:r>
            <w:r>
              <w:rPr>
                <w:rFonts w:hint="eastAsia" w:ascii="宋体" w:hAnsi="宋体" w:cs="宋体"/>
                <w:color w:val="auto"/>
                <w:sz w:val="24"/>
                <w:highlight w:val="none"/>
                <w:lang w:eastAsia="zh-CN"/>
              </w:rPr>
              <w:t>）供应商自202</w:t>
            </w:r>
            <w:r>
              <w:rPr>
                <w:rFonts w:hint="eastAsia" w:ascii="宋体" w:hAnsi="宋体" w:cs="宋体"/>
                <w:color w:val="auto"/>
                <w:sz w:val="24"/>
                <w:highlight w:val="none"/>
                <w:lang w:val="en-US" w:eastAsia="zh-CN"/>
              </w:rPr>
              <w:t>3</w:t>
            </w:r>
            <w:r>
              <w:rPr>
                <w:rFonts w:hint="eastAsia" w:ascii="宋体" w:hAnsi="宋体" w:cs="宋体"/>
                <w:color w:val="auto"/>
                <w:sz w:val="24"/>
                <w:highlight w:val="none"/>
                <w:lang w:eastAsia="zh-CN"/>
              </w:rPr>
              <w:t>年1月1日（</w:t>
            </w:r>
            <w:r>
              <w:rPr>
                <w:rFonts w:hint="eastAsia" w:ascii="宋体" w:hAnsi="宋体" w:cs="宋体"/>
                <w:color w:val="auto"/>
                <w:sz w:val="24"/>
                <w:highlight w:val="none"/>
                <w:lang w:val="en-US" w:eastAsia="zh-CN"/>
              </w:rPr>
              <w:t>以业主单位评价证明出具时间为准）</w:t>
            </w:r>
            <w:r>
              <w:rPr>
                <w:rFonts w:hint="eastAsia" w:ascii="宋体" w:hAnsi="宋体" w:cs="宋体"/>
                <w:color w:val="auto"/>
                <w:sz w:val="24"/>
                <w:highlight w:val="none"/>
                <w:lang w:eastAsia="zh-CN"/>
              </w:rPr>
              <w:t>以来</w:t>
            </w:r>
            <w:r>
              <w:rPr>
                <w:rFonts w:hint="eastAsia" w:ascii="宋体" w:hAnsi="宋体" w:cs="宋体"/>
                <w:color w:val="auto"/>
                <w:sz w:val="24"/>
                <w:highlight w:val="none"/>
                <w:lang w:val="en-US" w:eastAsia="zh-CN"/>
              </w:rPr>
              <w:t>在承接的</w:t>
            </w:r>
            <w:r>
              <w:rPr>
                <w:rFonts w:hint="eastAsia" w:ascii="宋体" w:hAnsi="宋体" w:cs="宋体"/>
                <w:color w:val="auto"/>
                <w:sz w:val="24"/>
                <w:highlight w:val="none"/>
                <w:lang w:eastAsia="zh-CN"/>
              </w:rPr>
              <w:t>保安服务类项目中，获得业主单位出具的满意度评价证明，且评价结论明确为“优秀”或“满意”的，每提供一份得</w:t>
            </w:r>
            <w:r>
              <w:rPr>
                <w:rFonts w:hint="eastAsia" w:ascii="宋体" w:hAnsi="宋体" w:cs="宋体"/>
                <w:color w:val="auto"/>
                <w:sz w:val="24"/>
                <w:highlight w:val="none"/>
                <w:lang w:val="en-US" w:eastAsia="zh-CN"/>
              </w:rPr>
              <w:t>2.5</w:t>
            </w:r>
            <w:r>
              <w:rPr>
                <w:rFonts w:hint="eastAsia" w:ascii="宋体" w:hAnsi="宋体" w:cs="宋体"/>
                <w:color w:val="auto"/>
                <w:sz w:val="24"/>
                <w:highlight w:val="none"/>
                <w:lang w:eastAsia="zh-CN"/>
              </w:rPr>
              <w:t>分，最高得</w:t>
            </w:r>
            <w:r>
              <w:rPr>
                <w:rFonts w:hint="eastAsia" w:ascii="宋体" w:hAnsi="宋体" w:cs="宋体"/>
                <w:color w:val="auto"/>
                <w:sz w:val="24"/>
                <w:highlight w:val="none"/>
                <w:lang w:val="en-US" w:eastAsia="zh-CN"/>
              </w:rPr>
              <w:t>5</w:t>
            </w:r>
            <w:r>
              <w:rPr>
                <w:rFonts w:hint="eastAsia" w:ascii="宋体" w:hAnsi="宋体" w:cs="宋体"/>
                <w:color w:val="auto"/>
                <w:sz w:val="24"/>
                <w:highlight w:val="none"/>
                <w:lang w:eastAsia="zh-CN"/>
              </w:rPr>
              <w:t>分</w:t>
            </w:r>
            <w:r>
              <w:rPr>
                <w:rFonts w:hint="eastAsia" w:ascii="宋体" w:hAnsi="宋体" w:cs="宋体"/>
                <w:color w:val="auto"/>
                <w:sz w:val="24"/>
                <w:highlight w:val="none"/>
                <w:lang w:val="en-US" w:eastAsia="zh-CN"/>
              </w:rPr>
              <w:t>。</w:t>
            </w:r>
          </w:p>
          <w:p w14:paraId="592EAA3B">
            <w:pPr>
              <w:spacing w:line="400" w:lineRule="exact"/>
              <w:jc w:val="left"/>
              <w:rPr>
                <w:rFonts w:hint="default" w:ascii="宋体" w:hAnsi="宋体" w:cs="宋体"/>
                <w:color w:val="auto"/>
                <w:sz w:val="24"/>
                <w:highlight w:val="none"/>
                <w:lang w:val="en-US" w:eastAsia="zh-CN"/>
              </w:rPr>
            </w:pPr>
            <w:r>
              <w:rPr>
                <w:rFonts w:hint="eastAsia" w:ascii="宋体" w:hAnsi="宋体" w:cs="宋体"/>
                <w:b w:val="0"/>
                <w:bCs w:val="0"/>
                <w:color w:val="auto"/>
                <w:sz w:val="24"/>
                <w:szCs w:val="24"/>
                <w:highlight w:val="none"/>
                <w:lang w:val="en-US" w:eastAsia="zh-CN"/>
              </w:rPr>
              <w:t>注：</w:t>
            </w:r>
            <w:r>
              <w:rPr>
                <w:rFonts w:hint="eastAsia" w:ascii="宋体" w:hAnsi="宋体" w:cs="宋体"/>
                <w:color w:val="auto"/>
                <w:sz w:val="24"/>
                <w:highlight w:val="none"/>
                <w:lang w:val="en-US" w:eastAsia="zh-CN"/>
              </w:rPr>
              <w:t>须提供加盖业主单位公章的满意度评价相关证明（证明须能清晰反映为保安服务项目、评价结论等内容），评价结论须明确为“优秀”“满意”或同等正面表述；同一业主单位出具的多份证明不重复计分。</w:t>
            </w:r>
          </w:p>
        </w:tc>
        <w:tc>
          <w:tcPr>
            <w:tcW w:w="848" w:type="dxa"/>
            <w:tcBorders>
              <w:top w:val="single" w:color="auto" w:sz="4" w:space="0"/>
              <w:left w:val="single" w:color="auto" w:sz="4" w:space="0"/>
              <w:bottom w:val="single" w:color="auto" w:sz="4" w:space="0"/>
              <w:right w:val="single" w:color="auto" w:sz="4" w:space="0"/>
            </w:tcBorders>
            <w:noWrap/>
            <w:vAlign w:val="center"/>
          </w:tcPr>
          <w:p w14:paraId="5F6F61CE">
            <w:pPr>
              <w:spacing w:line="400" w:lineRule="exact"/>
              <w:jc w:val="center"/>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8分</w:t>
            </w:r>
          </w:p>
        </w:tc>
      </w:tr>
      <w:tr w14:paraId="73EC0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28" w:type="dxa"/>
            <w:gridSpan w:val="5"/>
            <w:tcBorders>
              <w:top w:val="single" w:color="auto" w:sz="4" w:space="0"/>
              <w:left w:val="single" w:color="auto" w:sz="4" w:space="0"/>
              <w:bottom w:val="single" w:color="auto" w:sz="4" w:space="0"/>
              <w:right w:val="single" w:color="auto" w:sz="4" w:space="0"/>
            </w:tcBorders>
            <w:noWrap/>
            <w:vAlign w:val="center"/>
          </w:tcPr>
          <w:p w14:paraId="574339DC">
            <w:pPr>
              <w:spacing w:line="400" w:lineRule="exact"/>
              <w:rPr>
                <w:rFonts w:ascii="宋体" w:hAnsi="宋体" w:cs="宋体"/>
                <w:color w:val="auto"/>
                <w:sz w:val="24"/>
                <w:highlight w:val="none"/>
              </w:rPr>
            </w:pPr>
            <w:r>
              <w:rPr>
                <w:rFonts w:hint="eastAsia" w:ascii="宋体" w:hAnsi="宋体" w:cs="宋体"/>
                <w:color w:val="auto"/>
                <w:sz w:val="24"/>
                <w:highlight w:val="none"/>
              </w:rPr>
              <w:t>总分：1+2+3</w:t>
            </w:r>
          </w:p>
        </w:tc>
      </w:tr>
    </w:tbl>
    <w:p w14:paraId="77DD5D98">
      <w:pPr>
        <w:pStyle w:val="24"/>
        <w:spacing w:line="360" w:lineRule="auto"/>
        <w:rPr>
          <w:rFonts w:hAnsi="宋体"/>
          <w:bCs/>
          <w:color w:val="auto"/>
          <w:highlight w:val="none"/>
        </w:rPr>
      </w:pPr>
    </w:p>
    <w:p w14:paraId="29A39CB7">
      <w:pPr>
        <w:pStyle w:val="24"/>
        <w:spacing w:line="360" w:lineRule="auto"/>
        <w:rPr>
          <w:rFonts w:hAnsi="宋体" w:cs="宋体"/>
          <w:color w:val="auto"/>
          <w:sz w:val="24"/>
          <w:szCs w:val="24"/>
          <w:highlight w:val="none"/>
        </w:rPr>
      </w:pPr>
      <w:r>
        <w:rPr>
          <w:rFonts w:hint="eastAsia" w:hAnsi="宋体"/>
          <w:bCs/>
          <w:color w:val="auto"/>
          <w:highlight w:val="none"/>
        </w:rPr>
        <w:t>四、</w:t>
      </w:r>
      <w:bookmarkStart w:id="160" w:name="_Toc19686833"/>
      <w:r>
        <w:rPr>
          <w:rFonts w:hint="eastAsia" w:hAnsi="宋体" w:cs="宋体"/>
          <w:bCs/>
          <w:color w:val="auto"/>
          <w:sz w:val="24"/>
          <w:szCs w:val="24"/>
          <w:highlight w:val="none"/>
        </w:rPr>
        <w:t>成交候选供应商推荐原则</w:t>
      </w:r>
    </w:p>
    <w:p w14:paraId="3E42B1B4">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1.</w:t>
      </w:r>
      <w:r>
        <w:rPr>
          <w:rFonts w:hint="eastAsia" w:ascii="宋体" w:hAnsi="宋体" w:cs="宋体"/>
          <w:color w:val="auto"/>
          <w:sz w:val="24"/>
          <w:highlight w:val="none"/>
        </w:rPr>
        <w:t>磋商小组会将根据得分由高到低排列次序（总得分相同时，依次按磋商报价低优先、技术分高优先、商务分高优先的顺序排列）并推荐三名成交候选供应商。采购单位应当确定磋商小组推荐排名第一的成交候选人为成交供应商。排名第一</w:t>
      </w:r>
      <w:r>
        <w:rPr>
          <w:rFonts w:hint="eastAsia" w:ascii="宋体" w:hAnsi="宋体" w:cs="宋体"/>
          <w:color w:val="auto"/>
          <w:sz w:val="24"/>
          <w:highlight w:val="none"/>
        </w:rPr>
        <w:t>的成交候选人放弃成交、因不可抗力提出不能履行合同的，采购单位可以确定排名第二的成交候选人为成交供应商。排名第二的成交候选人因前款规定的同样原因不能签订合同的，采购单位可以确定排名第三的成交候选人为成交供应商，也可以重新组织采购活动。</w:t>
      </w:r>
    </w:p>
    <w:p w14:paraId="68E4526D">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磋商小组认为供应商的最终报价明显低于其他通过符合性审查供应商的最终报价，有可能影响服务质量或者不能诚信履约的，应当要求其在评标现场合理的时间内提供书面说明，必要时提交相关证明材料；供应商不能证明其报价合理性的，磋商小组应当将其作为无效响应处理。</w:t>
      </w:r>
    </w:p>
    <w:p w14:paraId="26EC65B6">
      <w:pPr>
        <w:pStyle w:val="2"/>
        <w:spacing w:line="480" w:lineRule="auto"/>
        <w:jc w:val="center"/>
        <w:rPr>
          <w:rFonts w:ascii="宋体" w:hAnsi="宋体"/>
          <w:color w:val="auto"/>
          <w:highlight w:val="none"/>
        </w:rPr>
      </w:pPr>
      <w:bookmarkStart w:id="161" w:name="_Toc20756"/>
      <w:r>
        <w:rPr>
          <w:rFonts w:hint="eastAsia"/>
          <w:color w:val="auto"/>
          <w:sz w:val="40"/>
          <w:szCs w:val="40"/>
          <w:highlight w:val="none"/>
        </w:rPr>
        <w:t>第五章  拟签订的合同文本</w:t>
      </w:r>
      <w:bookmarkEnd w:id="160"/>
      <w:bookmarkEnd w:id="161"/>
    </w:p>
    <w:p w14:paraId="7F9481AC">
      <w:pPr>
        <w:spacing w:line="360" w:lineRule="auto"/>
        <w:jc w:val="center"/>
        <w:rPr>
          <w:rFonts w:hint="eastAsia" w:ascii="宋体"/>
          <w:b/>
          <w:bCs/>
          <w:color w:val="auto"/>
          <w:sz w:val="36"/>
          <w:highlight w:val="none"/>
          <w:u w:val="single"/>
          <w:lang w:val="en-US" w:eastAsia="zh-CN"/>
        </w:rPr>
      </w:pPr>
    </w:p>
    <w:p w14:paraId="58D3A2E0">
      <w:pPr>
        <w:spacing w:line="360" w:lineRule="auto"/>
        <w:jc w:val="center"/>
        <w:rPr>
          <w:rFonts w:hint="eastAsia" w:ascii="宋体"/>
          <w:b/>
          <w:bCs/>
          <w:color w:val="auto"/>
          <w:sz w:val="36"/>
          <w:highlight w:val="none"/>
          <w:u w:val="single"/>
          <w:lang w:val="en-US" w:eastAsia="zh-CN"/>
        </w:rPr>
      </w:pPr>
    </w:p>
    <w:p w14:paraId="16F01777">
      <w:pPr>
        <w:spacing w:line="360" w:lineRule="auto"/>
        <w:jc w:val="center"/>
        <w:rPr>
          <w:rFonts w:hint="eastAsia" w:ascii="宋体"/>
          <w:b/>
          <w:bCs/>
          <w:color w:val="auto"/>
          <w:sz w:val="36"/>
          <w:highlight w:val="none"/>
          <w:u w:val="single"/>
          <w:lang w:val="en-US" w:eastAsia="zh-CN"/>
        </w:rPr>
      </w:pPr>
    </w:p>
    <w:p w14:paraId="2BFBBBA1">
      <w:pPr>
        <w:spacing w:line="360" w:lineRule="auto"/>
        <w:jc w:val="center"/>
        <w:rPr>
          <w:rFonts w:ascii="宋体"/>
          <w:b/>
          <w:bCs/>
          <w:color w:val="auto"/>
          <w:sz w:val="36"/>
          <w:highlight w:val="none"/>
        </w:rPr>
      </w:pPr>
      <w:r>
        <w:rPr>
          <w:rFonts w:hint="eastAsia" w:ascii="宋体"/>
          <w:b/>
          <w:bCs/>
          <w:color w:val="auto"/>
          <w:sz w:val="36"/>
          <w:highlight w:val="none"/>
          <w:u w:val="single"/>
          <w:lang w:val="en-US" w:eastAsia="zh-CN"/>
        </w:rPr>
        <w:t>2026年校园安全保卫及学生管理服务采购</w:t>
      </w:r>
      <w:r>
        <w:rPr>
          <w:rFonts w:hint="eastAsia" w:ascii="宋体"/>
          <w:b/>
          <w:bCs/>
          <w:color w:val="auto"/>
          <w:sz w:val="36"/>
          <w:highlight w:val="none"/>
        </w:rPr>
        <w:t>合同</w:t>
      </w:r>
    </w:p>
    <w:p w14:paraId="18D894C3">
      <w:pPr>
        <w:spacing w:line="360" w:lineRule="auto"/>
        <w:jc w:val="center"/>
        <w:rPr>
          <w:rFonts w:ascii="宋体"/>
          <w:b/>
          <w:bCs/>
          <w:color w:val="auto"/>
          <w:sz w:val="36"/>
          <w:highlight w:val="none"/>
        </w:rPr>
      </w:pPr>
    </w:p>
    <w:p w14:paraId="3C8EE32E">
      <w:pPr>
        <w:spacing w:line="360" w:lineRule="auto"/>
        <w:ind w:firstLine="3507" w:firstLineChars="794"/>
        <w:rPr>
          <w:rFonts w:ascii="宋体"/>
          <w:b/>
          <w:bCs/>
          <w:color w:val="auto"/>
          <w:sz w:val="44"/>
          <w:highlight w:val="none"/>
        </w:rPr>
      </w:pPr>
    </w:p>
    <w:p w14:paraId="319E806D">
      <w:pPr>
        <w:spacing w:line="360" w:lineRule="auto"/>
        <w:ind w:firstLine="3188" w:firstLineChars="794"/>
        <w:rPr>
          <w:rFonts w:ascii="宋体"/>
          <w:b/>
          <w:bCs/>
          <w:color w:val="auto"/>
          <w:sz w:val="40"/>
          <w:highlight w:val="none"/>
        </w:rPr>
      </w:pPr>
    </w:p>
    <w:p w14:paraId="3328F418">
      <w:pPr>
        <w:ind w:firstLine="1773" w:firstLineChars="552"/>
        <w:rPr>
          <w:rFonts w:hint="default" w:ascii="宋体" w:hAnsi="宋体" w:eastAsia="宋体"/>
          <w:b/>
          <w:color w:val="auto"/>
          <w:sz w:val="32"/>
          <w:szCs w:val="36"/>
          <w:highlight w:val="none"/>
          <w:lang w:val="en-US" w:eastAsia="zh-CN"/>
        </w:rPr>
      </w:pPr>
      <w:r>
        <w:rPr>
          <w:rFonts w:hint="eastAsia" w:ascii="宋体" w:hAnsi="宋体"/>
          <w:b/>
          <w:color w:val="auto"/>
          <w:sz w:val="32"/>
          <w:szCs w:val="36"/>
          <w:highlight w:val="none"/>
          <w:lang w:eastAsia="zh-CN"/>
        </w:rPr>
        <w:t>合同</w:t>
      </w:r>
      <w:r>
        <w:rPr>
          <w:rFonts w:hint="eastAsia" w:ascii="宋体" w:hAnsi="宋体"/>
          <w:b/>
          <w:color w:val="auto"/>
          <w:sz w:val="32"/>
          <w:szCs w:val="36"/>
          <w:highlight w:val="none"/>
        </w:rPr>
        <w:t>编号：</w:t>
      </w:r>
    </w:p>
    <w:p w14:paraId="3D080EDD">
      <w:pPr>
        <w:ind w:firstLine="1308" w:firstLineChars="545"/>
        <w:rPr>
          <w:rFonts w:ascii="宋体" w:hAnsi="宋体" w:cs="宋体"/>
          <w:color w:val="auto"/>
          <w:sz w:val="24"/>
          <w:highlight w:val="none"/>
        </w:rPr>
      </w:pPr>
    </w:p>
    <w:p w14:paraId="14FB1169">
      <w:pPr>
        <w:ind w:firstLine="1995" w:firstLineChars="552"/>
        <w:rPr>
          <w:rFonts w:ascii="宋体" w:hAnsi="宋体"/>
          <w:b/>
          <w:color w:val="auto"/>
          <w:sz w:val="36"/>
          <w:szCs w:val="36"/>
          <w:highlight w:val="none"/>
          <w:u w:val="single"/>
        </w:rPr>
      </w:pPr>
    </w:p>
    <w:p w14:paraId="3E459F67">
      <w:pPr>
        <w:ind w:firstLine="1995" w:firstLineChars="552"/>
        <w:rPr>
          <w:rFonts w:hint="eastAsia" w:ascii="宋体" w:hAnsi="宋体"/>
          <w:b/>
          <w:color w:val="auto"/>
          <w:sz w:val="36"/>
          <w:szCs w:val="36"/>
          <w:highlight w:val="none"/>
          <w:u w:val="single"/>
        </w:rPr>
      </w:pPr>
    </w:p>
    <w:p w14:paraId="1448C101">
      <w:pPr>
        <w:pStyle w:val="7"/>
        <w:rPr>
          <w:rFonts w:hint="eastAsia"/>
          <w:color w:val="auto"/>
          <w:highlight w:val="none"/>
        </w:rPr>
      </w:pPr>
    </w:p>
    <w:p w14:paraId="2F4F20C3">
      <w:pPr>
        <w:pStyle w:val="7"/>
        <w:rPr>
          <w:color w:val="auto"/>
          <w:highlight w:val="none"/>
        </w:rPr>
      </w:pPr>
    </w:p>
    <w:p w14:paraId="4B31DADF">
      <w:pPr>
        <w:tabs>
          <w:tab w:val="left" w:pos="7200"/>
        </w:tabs>
        <w:spacing w:line="360" w:lineRule="auto"/>
        <w:ind w:firstLine="1446" w:firstLineChars="400"/>
        <w:rPr>
          <w:rFonts w:ascii="宋体" w:hAnsi="宋体"/>
          <w:b/>
          <w:color w:val="auto"/>
          <w:sz w:val="36"/>
          <w:szCs w:val="36"/>
          <w:highlight w:val="none"/>
          <w:u w:val="single"/>
        </w:rPr>
      </w:pPr>
      <w:r>
        <w:rPr>
          <w:rFonts w:hint="eastAsia" w:ascii="宋体" w:hAnsi="宋体"/>
          <w:b/>
          <w:color w:val="auto"/>
          <w:sz w:val="36"/>
          <w:szCs w:val="36"/>
          <w:highlight w:val="none"/>
          <w:lang w:eastAsia="zh-CN"/>
        </w:rPr>
        <w:t>甲方（</w:t>
      </w:r>
      <w:r>
        <w:rPr>
          <w:rFonts w:hint="eastAsia" w:ascii="宋体" w:hAnsi="宋体"/>
          <w:b/>
          <w:color w:val="auto"/>
          <w:sz w:val="36"/>
          <w:szCs w:val="36"/>
          <w:highlight w:val="none"/>
        </w:rPr>
        <w:t>采购人</w:t>
      </w:r>
      <w:r>
        <w:rPr>
          <w:rFonts w:hint="eastAsia" w:ascii="宋体" w:hAnsi="宋体"/>
          <w:b/>
          <w:color w:val="auto"/>
          <w:sz w:val="36"/>
          <w:szCs w:val="36"/>
          <w:highlight w:val="none"/>
          <w:lang w:eastAsia="zh-CN"/>
        </w:rPr>
        <w:t>）</w:t>
      </w:r>
      <w:r>
        <w:rPr>
          <w:rFonts w:hint="eastAsia" w:ascii="宋体" w:hAnsi="宋体"/>
          <w:b/>
          <w:color w:val="auto"/>
          <w:sz w:val="36"/>
          <w:szCs w:val="36"/>
          <w:highlight w:val="none"/>
        </w:rPr>
        <w:t>：</w:t>
      </w:r>
      <w:r>
        <w:rPr>
          <w:rFonts w:hint="eastAsia" w:ascii="宋体" w:hAnsi="宋体"/>
          <w:b/>
          <w:color w:val="auto"/>
          <w:sz w:val="36"/>
          <w:szCs w:val="36"/>
          <w:highlight w:val="none"/>
          <w:u w:val="single"/>
        </w:rPr>
        <w:t>广西广播电视学校</w:t>
      </w:r>
    </w:p>
    <w:p w14:paraId="4CF7D990">
      <w:pPr>
        <w:tabs>
          <w:tab w:val="left" w:pos="7380"/>
        </w:tabs>
        <w:spacing w:line="360" w:lineRule="auto"/>
        <w:ind w:left="0" w:leftChars="0" w:firstLine="1446" w:firstLineChars="400"/>
        <w:jc w:val="both"/>
        <w:rPr>
          <w:rFonts w:hint="default" w:ascii="宋体" w:eastAsia="宋体"/>
          <w:b/>
          <w:bCs/>
          <w:color w:val="auto"/>
          <w:sz w:val="44"/>
          <w:highlight w:val="none"/>
          <w:u w:val="single"/>
          <w:lang w:val="en-US" w:eastAsia="zh-CN"/>
        </w:rPr>
      </w:pPr>
      <w:r>
        <w:rPr>
          <w:rFonts w:hint="eastAsia" w:ascii="宋体" w:hAnsi="宋体"/>
          <w:b/>
          <w:color w:val="auto"/>
          <w:sz w:val="36"/>
          <w:szCs w:val="36"/>
          <w:highlight w:val="none"/>
          <w:lang w:eastAsia="zh-CN"/>
        </w:rPr>
        <w:t>乙方（</w:t>
      </w:r>
      <w:r>
        <w:rPr>
          <w:rFonts w:hint="eastAsia" w:ascii="宋体" w:hAnsi="宋体"/>
          <w:b/>
          <w:color w:val="auto"/>
          <w:sz w:val="36"/>
          <w:szCs w:val="36"/>
          <w:highlight w:val="none"/>
        </w:rPr>
        <w:t>成交供应商</w:t>
      </w:r>
      <w:r>
        <w:rPr>
          <w:rFonts w:hint="eastAsia" w:ascii="宋体" w:hAnsi="宋体"/>
          <w:b/>
          <w:color w:val="auto"/>
          <w:sz w:val="36"/>
          <w:szCs w:val="36"/>
          <w:highlight w:val="none"/>
          <w:lang w:eastAsia="zh-CN"/>
        </w:rPr>
        <w:t>）</w:t>
      </w:r>
      <w:r>
        <w:rPr>
          <w:rFonts w:hint="eastAsia" w:ascii="宋体" w:hAnsi="宋体"/>
          <w:b/>
          <w:color w:val="auto"/>
          <w:sz w:val="36"/>
          <w:szCs w:val="36"/>
          <w:highlight w:val="none"/>
        </w:rPr>
        <w:t>：</w:t>
      </w:r>
      <w:r>
        <w:rPr>
          <w:rFonts w:hint="eastAsia" w:ascii="宋体" w:hAnsi="宋体"/>
          <w:b/>
          <w:color w:val="auto"/>
          <w:sz w:val="36"/>
          <w:szCs w:val="36"/>
          <w:highlight w:val="none"/>
          <w:u w:val="single"/>
          <w:lang w:val="en-US" w:eastAsia="zh-CN"/>
        </w:rPr>
        <w:t xml:space="preserve">            </w:t>
      </w:r>
    </w:p>
    <w:p w14:paraId="24BE07CA">
      <w:pPr>
        <w:tabs>
          <w:tab w:val="left" w:pos="7380"/>
        </w:tabs>
        <w:spacing w:line="360" w:lineRule="auto"/>
        <w:rPr>
          <w:rFonts w:ascii="宋体"/>
          <w:b/>
          <w:bCs/>
          <w:color w:val="auto"/>
          <w:sz w:val="44"/>
          <w:highlight w:val="none"/>
        </w:rPr>
      </w:pPr>
    </w:p>
    <w:p w14:paraId="6D591BC1">
      <w:pPr>
        <w:tabs>
          <w:tab w:val="left" w:pos="7380"/>
        </w:tabs>
        <w:spacing w:line="360" w:lineRule="auto"/>
        <w:rPr>
          <w:rFonts w:ascii="宋体"/>
          <w:b/>
          <w:bCs/>
          <w:color w:val="auto"/>
          <w:sz w:val="44"/>
          <w:highlight w:val="none"/>
        </w:rPr>
      </w:pPr>
    </w:p>
    <w:p w14:paraId="56277198">
      <w:pPr>
        <w:tabs>
          <w:tab w:val="left" w:pos="7380"/>
        </w:tabs>
        <w:spacing w:line="360" w:lineRule="auto"/>
        <w:rPr>
          <w:rFonts w:ascii="宋体"/>
          <w:b/>
          <w:bCs/>
          <w:color w:val="auto"/>
          <w:sz w:val="44"/>
          <w:highlight w:val="none"/>
        </w:rPr>
      </w:pPr>
    </w:p>
    <w:p w14:paraId="006FA9E7">
      <w:pPr>
        <w:tabs>
          <w:tab w:val="left" w:pos="7380"/>
        </w:tabs>
        <w:spacing w:line="360" w:lineRule="auto"/>
        <w:ind w:firstLine="3373" w:firstLineChars="1400"/>
        <w:rPr>
          <w:rFonts w:hint="eastAsia" w:ascii="宋体" w:hAnsi="宋体" w:eastAsia="宋体" w:cs="宋体"/>
          <w:b/>
          <w:bCs/>
          <w:color w:val="auto"/>
          <w:sz w:val="24"/>
          <w:szCs w:val="24"/>
          <w:highlight w:val="none"/>
          <w:lang w:val="zh-CN"/>
        </w:rPr>
      </w:pPr>
      <w:r>
        <w:rPr>
          <w:rFonts w:hint="eastAsia" w:ascii="宋体" w:hAnsi="宋体" w:eastAsia="宋体" w:cs="宋体"/>
          <w:b/>
          <w:bCs/>
          <w:color w:val="auto"/>
          <w:sz w:val="24"/>
          <w:szCs w:val="24"/>
          <w:highlight w:val="none"/>
          <w:lang w:val="zh-CN"/>
        </w:rPr>
        <w:t>签订时间：</w:t>
      </w:r>
      <w:r>
        <w:rPr>
          <w:rFonts w:hint="eastAsia" w:ascii="宋体" w:hAnsi="宋体" w:eastAsia="宋体" w:cs="宋体"/>
          <w:b/>
          <w:bCs/>
          <w:color w:val="auto"/>
          <w:sz w:val="24"/>
          <w:szCs w:val="24"/>
          <w:highlight w:val="none"/>
          <w:u w:val="single"/>
          <w:lang w:val="zh-CN"/>
        </w:rPr>
        <w:t xml:space="preserve">     </w:t>
      </w:r>
      <w:r>
        <w:rPr>
          <w:rFonts w:hint="eastAsia" w:ascii="宋体" w:hAnsi="宋体" w:eastAsia="宋体" w:cs="宋体"/>
          <w:b/>
          <w:bCs/>
          <w:color w:val="auto"/>
          <w:sz w:val="24"/>
          <w:szCs w:val="24"/>
          <w:highlight w:val="none"/>
          <w:lang w:val="zh-CN"/>
        </w:rPr>
        <w:t>年</w:t>
      </w:r>
      <w:r>
        <w:rPr>
          <w:rFonts w:hint="eastAsia" w:ascii="宋体" w:hAnsi="宋体" w:eastAsia="宋体" w:cs="宋体"/>
          <w:b/>
          <w:bCs/>
          <w:color w:val="auto"/>
          <w:sz w:val="24"/>
          <w:szCs w:val="24"/>
          <w:highlight w:val="none"/>
          <w:u w:val="single"/>
          <w:lang w:val="zh-CN"/>
        </w:rPr>
        <w:t xml:space="preserve">    </w:t>
      </w:r>
      <w:r>
        <w:rPr>
          <w:rFonts w:hint="eastAsia" w:ascii="宋体" w:hAnsi="宋体" w:eastAsia="宋体" w:cs="宋体"/>
          <w:b/>
          <w:bCs/>
          <w:color w:val="auto"/>
          <w:sz w:val="24"/>
          <w:szCs w:val="24"/>
          <w:highlight w:val="none"/>
          <w:lang w:val="zh-CN"/>
        </w:rPr>
        <w:t>月</w:t>
      </w:r>
      <w:r>
        <w:rPr>
          <w:rFonts w:hint="eastAsia" w:ascii="宋体" w:hAnsi="宋体" w:eastAsia="宋体" w:cs="宋体"/>
          <w:b/>
          <w:bCs/>
          <w:color w:val="auto"/>
          <w:sz w:val="24"/>
          <w:szCs w:val="24"/>
          <w:highlight w:val="none"/>
          <w:u w:val="single"/>
          <w:lang w:val="zh-CN"/>
        </w:rPr>
        <w:t xml:space="preserve">    </w:t>
      </w:r>
      <w:r>
        <w:rPr>
          <w:rFonts w:hint="eastAsia" w:ascii="宋体" w:hAnsi="宋体" w:eastAsia="宋体" w:cs="宋体"/>
          <w:b/>
          <w:bCs/>
          <w:color w:val="auto"/>
          <w:sz w:val="24"/>
          <w:szCs w:val="24"/>
          <w:highlight w:val="none"/>
          <w:lang w:val="zh-CN"/>
        </w:rPr>
        <w:t>日</w:t>
      </w:r>
    </w:p>
    <w:p w14:paraId="52DFD769">
      <w:pPr>
        <w:snapToGrid w:val="0"/>
        <w:spacing w:line="360" w:lineRule="auto"/>
        <w:jc w:val="center"/>
        <w:rPr>
          <w:rFonts w:hint="eastAsia" w:ascii="宋体" w:hAnsi="宋体" w:eastAsia="宋体" w:cs="宋体"/>
          <w:b/>
          <w:color w:val="auto"/>
          <w:sz w:val="30"/>
          <w:szCs w:val="30"/>
          <w:highlight w:val="none"/>
        </w:rPr>
      </w:pPr>
      <w:r>
        <w:rPr>
          <w:rFonts w:hint="eastAsia" w:ascii="宋体" w:hAnsi="宋体" w:eastAsia="宋体" w:cs="宋体"/>
          <w:b/>
          <w:bCs/>
          <w:color w:val="auto"/>
          <w:sz w:val="24"/>
          <w:szCs w:val="24"/>
          <w:highlight w:val="none"/>
        </w:rPr>
        <w:br w:type="page"/>
      </w:r>
      <w:r>
        <w:rPr>
          <w:rFonts w:hint="eastAsia" w:ascii="宋体" w:hAnsi="宋体" w:eastAsia="宋体" w:cs="宋体"/>
          <w:b/>
          <w:color w:val="auto"/>
          <w:sz w:val="30"/>
          <w:szCs w:val="30"/>
          <w:highlight w:val="none"/>
        </w:rPr>
        <w:t>合同目录</w:t>
      </w:r>
    </w:p>
    <w:p w14:paraId="10781534">
      <w:pPr>
        <w:snapToGrid w:val="0"/>
        <w:spacing w:line="360" w:lineRule="auto"/>
        <w:jc w:val="center"/>
        <w:rPr>
          <w:rFonts w:ascii="宋体"/>
          <w:b/>
          <w:bCs/>
          <w:color w:val="auto"/>
          <w:sz w:val="44"/>
          <w:highlight w:val="none"/>
        </w:rPr>
      </w:pPr>
    </w:p>
    <w:p w14:paraId="1369ABB9">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一、</w:t>
      </w:r>
      <w:r>
        <w:rPr>
          <w:rFonts w:hint="eastAsia" w:ascii="宋体" w:hAnsi="宋体" w:eastAsia="宋体" w:cs="宋体"/>
          <w:color w:val="auto"/>
          <w:sz w:val="24"/>
          <w:highlight w:val="none"/>
        </w:rPr>
        <w:t>第一部分 合同书</w:t>
      </w:r>
      <w:r>
        <w:rPr>
          <w:rFonts w:hint="eastAsia" w:ascii="宋体" w:hAnsi="宋体" w:eastAsia="宋体" w:cs="宋体"/>
          <w:color w:val="auto"/>
          <w:kern w:val="0"/>
          <w:sz w:val="24"/>
          <w:highlight w:val="none"/>
        </w:rPr>
        <w:t>……………………………………………………………（页码）</w:t>
      </w:r>
    </w:p>
    <w:p w14:paraId="23871BC6">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二、第二部分 合同一般条款……………………………………………………（页码）</w:t>
      </w:r>
    </w:p>
    <w:p w14:paraId="309A456E">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三、第三部分 合同专用条款……………………………………………………（页码）</w:t>
      </w:r>
    </w:p>
    <w:p w14:paraId="1B71BAB4">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四、</w:t>
      </w:r>
      <w:r>
        <w:rPr>
          <w:rFonts w:hint="eastAsia" w:ascii="宋体" w:hAnsi="宋体" w:eastAsia="宋体" w:cs="宋体"/>
          <w:color w:val="auto"/>
          <w:sz w:val="24"/>
          <w:highlight w:val="none"/>
        </w:rPr>
        <w:t>第四部分 合同附件</w:t>
      </w:r>
      <w:r>
        <w:rPr>
          <w:rFonts w:hint="eastAsia" w:ascii="宋体" w:hAnsi="宋体" w:eastAsia="宋体" w:cs="宋体"/>
          <w:color w:val="auto"/>
          <w:kern w:val="0"/>
          <w:sz w:val="24"/>
          <w:highlight w:val="none"/>
        </w:rPr>
        <w:t>…………………………………………………………（页码）</w:t>
      </w:r>
    </w:p>
    <w:p w14:paraId="7B4CEFA0">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4.1成交通知书 …………………………………………………………………（页码）</w:t>
      </w:r>
    </w:p>
    <w:p w14:paraId="332EECE8">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4.2采购需求</w:t>
      </w:r>
      <w:r>
        <w:rPr>
          <w:rFonts w:hint="eastAsia" w:ascii="宋体" w:hAnsi="宋体" w:eastAsia="宋体" w:cs="宋体"/>
          <w:color w:val="auto"/>
          <w:kern w:val="0"/>
          <w:sz w:val="24"/>
          <w:highlight w:val="none"/>
          <w:lang w:val="en-US" w:eastAsia="zh-CN"/>
        </w:rPr>
        <w:t xml:space="preserve"> </w:t>
      </w:r>
      <w:r>
        <w:rPr>
          <w:rFonts w:hint="eastAsia" w:ascii="宋体" w:hAnsi="宋体" w:eastAsia="宋体" w:cs="宋体"/>
          <w:color w:val="auto"/>
          <w:kern w:val="0"/>
          <w:sz w:val="24"/>
          <w:highlight w:val="none"/>
        </w:rPr>
        <w:t>……………………………………………………………………（页码）</w:t>
      </w:r>
    </w:p>
    <w:p w14:paraId="7430EFA8">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4.3</w:t>
      </w:r>
      <w:r>
        <w:rPr>
          <w:rFonts w:hint="eastAsia" w:ascii="宋体" w:hAnsi="宋体" w:cs="宋体"/>
          <w:color w:val="auto"/>
          <w:kern w:val="0"/>
          <w:sz w:val="24"/>
          <w:highlight w:val="none"/>
          <w:lang w:eastAsia="zh-CN"/>
        </w:rPr>
        <w:t>磋商</w:t>
      </w:r>
      <w:r>
        <w:rPr>
          <w:rFonts w:hint="eastAsia" w:ascii="宋体" w:hAnsi="宋体" w:eastAsia="宋体" w:cs="宋体"/>
          <w:color w:val="auto"/>
          <w:kern w:val="0"/>
          <w:sz w:val="24"/>
          <w:highlight w:val="none"/>
        </w:rPr>
        <w:t>文件的更改通知（如有） ……………………………………………（页码）</w:t>
      </w:r>
    </w:p>
    <w:p w14:paraId="4EE2BD22">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4.4响应函 ………………………………………………………………………（页码）</w:t>
      </w:r>
    </w:p>
    <w:p w14:paraId="456CBC38">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4.5报价表 ………………………………………………………………………（页码）</w:t>
      </w:r>
    </w:p>
    <w:p w14:paraId="140BA050">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4.6响应技术资料表 ……………………………………………………………（页码）</w:t>
      </w:r>
    </w:p>
    <w:p w14:paraId="0F51AAC1">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4.7商务条款偏离表 ……………………………………………………………（页码）</w:t>
      </w:r>
    </w:p>
    <w:p w14:paraId="51C5B7AE">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4.8成交供应商澄清函（如有） ………………………………………………（页码）</w:t>
      </w:r>
    </w:p>
    <w:p w14:paraId="23E9D6DD">
      <w:pPr>
        <w:snapToGrid w:val="0"/>
        <w:spacing w:line="360" w:lineRule="auto"/>
        <w:rPr>
          <w:rFonts w:ascii="仿宋_GB2312" w:hAnsi="仿宋" w:eastAsia="仿宋_GB2312" w:cs="仿宋_GB2312"/>
          <w:color w:val="auto"/>
          <w:kern w:val="0"/>
          <w:sz w:val="24"/>
          <w:highlight w:val="none"/>
        </w:rPr>
      </w:pPr>
      <w:r>
        <w:rPr>
          <w:rFonts w:hint="eastAsia" w:ascii="宋体" w:hAnsi="宋体" w:eastAsia="宋体" w:cs="宋体"/>
          <w:color w:val="auto"/>
          <w:kern w:val="0"/>
          <w:sz w:val="24"/>
          <w:highlight w:val="none"/>
        </w:rPr>
        <w:t>4.9其他与本合同相关的资料（如有） ………………………………………（页码）</w:t>
      </w:r>
    </w:p>
    <w:p w14:paraId="1F96104D">
      <w:pPr>
        <w:snapToGrid w:val="0"/>
        <w:spacing w:line="360" w:lineRule="auto"/>
        <w:rPr>
          <w:rFonts w:ascii="仿宋_GB2312" w:hAnsi="仿宋" w:eastAsia="仿宋_GB2312" w:cs="仿宋_GB2312"/>
          <w:color w:val="auto"/>
          <w:kern w:val="0"/>
          <w:sz w:val="24"/>
          <w:highlight w:val="none"/>
        </w:rPr>
      </w:pPr>
    </w:p>
    <w:p w14:paraId="59832CFE">
      <w:pPr>
        <w:widowControl/>
        <w:jc w:val="left"/>
        <w:rPr>
          <w:rFonts w:ascii="仿宋_GB2312" w:eastAsia="仿宋_GB2312"/>
          <w:color w:val="auto"/>
          <w:kern w:val="0"/>
          <w:sz w:val="32"/>
          <w:szCs w:val="20"/>
          <w:highlight w:val="none"/>
        </w:rPr>
        <w:sectPr>
          <w:pgSz w:w="11906" w:h="16838"/>
          <w:pgMar w:top="1417" w:right="1417" w:bottom="1417" w:left="1417" w:header="720" w:footer="720" w:gutter="0"/>
          <w:cols w:space="720" w:num="1"/>
          <w:docGrid w:type="lines" w:linePitch="331" w:charSpace="0"/>
        </w:sectPr>
      </w:pPr>
    </w:p>
    <w:p w14:paraId="671C4A6B">
      <w:pPr>
        <w:autoSpaceDE w:val="0"/>
        <w:autoSpaceDN w:val="0"/>
        <w:adjustRightInd w:val="0"/>
        <w:snapToGrid w:val="0"/>
        <w:spacing w:after="120" w:line="360" w:lineRule="auto"/>
        <w:ind w:left="-2" w:leftChars="0" w:firstLine="0" w:firstLineChars="0"/>
        <w:jc w:val="center"/>
        <w:outlineLvl w:val="1"/>
        <w:rPr>
          <w:rFonts w:hint="eastAsia" w:ascii="宋体" w:hAnsi="宋体" w:eastAsia="宋体" w:cs="宋体"/>
          <w:b/>
          <w:color w:val="auto"/>
          <w:sz w:val="28"/>
          <w:szCs w:val="28"/>
          <w:highlight w:val="none"/>
        </w:rPr>
      </w:pPr>
      <w:bookmarkStart w:id="162" w:name="_Toc80205944"/>
      <w:bookmarkStart w:id="163" w:name="_Toc102743907"/>
      <w:r>
        <w:rPr>
          <w:rFonts w:hint="eastAsia" w:ascii="宋体" w:hAnsi="宋体" w:eastAsia="宋体" w:cs="宋体"/>
          <w:b/>
          <w:color w:val="auto"/>
          <w:sz w:val="28"/>
          <w:szCs w:val="28"/>
          <w:highlight w:val="none"/>
        </w:rPr>
        <w:t>第一部分 合同书</w:t>
      </w:r>
      <w:bookmarkEnd w:id="162"/>
      <w:bookmarkEnd w:id="163"/>
    </w:p>
    <w:p w14:paraId="10BB11DC">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lang w:val="zh-CN"/>
        </w:rPr>
        <w:t xml:space="preserve">     </w:t>
      </w:r>
      <w:r>
        <w:rPr>
          <w:rFonts w:hint="eastAsia" w:ascii="宋体" w:hAnsi="宋体" w:eastAsia="宋体" w:cs="宋体"/>
          <w:color w:val="auto"/>
          <w:sz w:val="24"/>
          <w:szCs w:val="24"/>
          <w:highlight w:val="none"/>
          <w:lang w:val="zh-CN"/>
        </w:rPr>
        <w:t>年</w:t>
      </w:r>
      <w:r>
        <w:rPr>
          <w:rFonts w:hint="eastAsia" w:ascii="宋体" w:hAnsi="宋体" w:eastAsia="宋体" w:cs="宋体"/>
          <w:color w:val="auto"/>
          <w:sz w:val="24"/>
          <w:szCs w:val="24"/>
          <w:highlight w:val="none"/>
          <w:u w:val="single"/>
          <w:lang w:val="zh-CN"/>
        </w:rPr>
        <w:t xml:space="preserve">    </w:t>
      </w:r>
      <w:r>
        <w:rPr>
          <w:rFonts w:hint="eastAsia" w:ascii="宋体" w:hAnsi="宋体" w:eastAsia="宋体" w:cs="宋体"/>
          <w:color w:val="auto"/>
          <w:sz w:val="24"/>
          <w:szCs w:val="24"/>
          <w:highlight w:val="none"/>
          <w:lang w:val="zh-CN"/>
        </w:rPr>
        <w:t>月</w:t>
      </w:r>
      <w:r>
        <w:rPr>
          <w:rFonts w:hint="eastAsia" w:ascii="宋体" w:hAnsi="宋体" w:eastAsia="宋体" w:cs="宋体"/>
          <w:color w:val="auto"/>
          <w:sz w:val="24"/>
          <w:szCs w:val="24"/>
          <w:highlight w:val="none"/>
          <w:u w:val="single"/>
          <w:lang w:val="zh-CN"/>
        </w:rPr>
        <w:t xml:space="preserve">    </w:t>
      </w:r>
      <w:r>
        <w:rPr>
          <w:rFonts w:hint="eastAsia" w:ascii="宋体" w:hAnsi="宋体" w:eastAsia="宋体" w:cs="宋体"/>
          <w:color w:val="auto"/>
          <w:sz w:val="24"/>
          <w:szCs w:val="24"/>
          <w:highlight w:val="none"/>
          <w:lang w:val="zh-CN"/>
        </w:rPr>
        <w:t>日</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广西广播电视学校 </w:t>
      </w:r>
      <w:r>
        <w:rPr>
          <w:rFonts w:hint="eastAsia" w:ascii="宋体" w:hAnsi="宋体" w:eastAsia="宋体" w:cs="宋体"/>
          <w:color w:val="auto"/>
          <w:sz w:val="24"/>
          <w:szCs w:val="24"/>
          <w:highlight w:val="none"/>
          <w:u w:val="single"/>
          <w:lang w:val="zh-CN"/>
        </w:rPr>
        <w:t>(以下简称：甲方)</w:t>
      </w:r>
      <w:r>
        <w:rPr>
          <w:rFonts w:hint="eastAsia" w:ascii="宋体" w:hAnsi="宋体" w:eastAsia="宋体" w:cs="宋体"/>
          <w:color w:val="auto"/>
          <w:sz w:val="24"/>
          <w:szCs w:val="24"/>
          <w:highlight w:val="none"/>
        </w:rPr>
        <w:t>以</w:t>
      </w:r>
      <w:r>
        <w:rPr>
          <w:rFonts w:hint="eastAsia" w:ascii="宋体" w:hAnsi="宋体" w:eastAsia="宋体" w:cs="宋体"/>
          <w:color w:val="auto"/>
          <w:sz w:val="24"/>
          <w:szCs w:val="24"/>
          <w:highlight w:val="none"/>
          <w:u w:val="single"/>
        </w:rPr>
        <w:t xml:space="preserve"> 竞争性磋商方式  </w:t>
      </w:r>
      <w:r>
        <w:rPr>
          <w:rFonts w:hint="eastAsia" w:ascii="宋体" w:hAnsi="宋体" w:eastAsia="宋体" w:cs="宋体"/>
          <w:color w:val="auto"/>
          <w:sz w:val="24"/>
          <w:szCs w:val="24"/>
          <w:highlight w:val="none"/>
        </w:rPr>
        <w:t>对</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2026年校园安全保卫及学生管理服务采购</w:t>
      </w:r>
      <w:r>
        <w:rPr>
          <w:rFonts w:hint="eastAsia" w:ascii="宋体" w:hAnsi="宋体" w:eastAsia="宋体" w:cs="宋体"/>
          <w:color w:val="auto"/>
          <w:sz w:val="24"/>
          <w:szCs w:val="24"/>
          <w:highlight w:val="none"/>
          <w:u w:val="single"/>
          <w:lang w:val="en-US" w:eastAsia="zh-CN"/>
        </w:rPr>
        <w:t>（项目名称）</w:t>
      </w:r>
      <w:r>
        <w:rPr>
          <w:rFonts w:hint="eastAsia" w:ascii="宋体" w:hAnsi="宋体" w:eastAsia="宋体" w:cs="宋体"/>
          <w:color w:val="auto"/>
          <w:sz w:val="24"/>
          <w:szCs w:val="24"/>
          <w:highlight w:val="none"/>
        </w:rPr>
        <w:t>进行了采购。经</w:t>
      </w:r>
      <w:r>
        <w:rPr>
          <w:rFonts w:hint="eastAsia" w:ascii="宋体" w:hAnsi="宋体" w:cs="宋体"/>
          <w:color w:val="auto"/>
          <w:sz w:val="24"/>
          <w:szCs w:val="24"/>
          <w:highlight w:val="none"/>
          <w:u w:val="single"/>
          <w:lang w:eastAsia="zh-CN"/>
        </w:rPr>
        <w:t>磋商小组</w:t>
      </w:r>
      <w:r>
        <w:rPr>
          <w:rFonts w:hint="eastAsia" w:ascii="宋体" w:hAnsi="宋体" w:eastAsia="宋体" w:cs="宋体"/>
          <w:color w:val="auto"/>
          <w:sz w:val="24"/>
          <w:szCs w:val="24"/>
          <w:highlight w:val="none"/>
        </w:rPr>
        <w:t>评定，</w:t>
      </w:r>
      <w:r>
        <w:rPr>
          <w:rFonts w:hint="eastAsia" w:ascii="宋体" w:hAnsi="宋体" w:eastAsia="宋体" w:cs="宋体"/>
          <w:color w:val="auto"/>
          <w:sz w:val="24"/>
          <w:szCs w:val="24"/>
          <w:highlight w:val="none"/>
          <w:u w:val="single"/>
        </w:rPr>
        <w:t xml:space="preserve">   （供应商名称）</w:t>
      </w:r>
      <w:r>
        <w:rPr>
          <w:rFonts w:hint="eastAsia" w:ascii="宋体" w:hAnsi="宋体" w:eastAsia="宋体" w:cs="宋体"/>
          <w:color w:val="auto"/>
          <w:sz w:val="24"/>
          <w:szCs w:val="24"/>
          <w:highlight w:val="none"/>
          <w:lang w:val="zh-CN"/>
        </w:rPr>
        <w:t>(以下简称：乙方)</w:t>
      </w:r>
      <w:r>
        <w:rPr>
          <w:rFonts w:hint="eastAsia" w:ascii="宋体" w:hAnsi="宋体" w:eastAsia="宋体" w:cs="宋体"/>
          <w:color w:val="auto"/>
          <w:sz w:val="24"/>
          <w:szCs w:val="24"/>
          <w:highlight w:val="none"/>
        </w:rPr>
        <w:t>为该项目成交供应商。现于成交通知书发出之日起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 xml:space="preserve">5 </w:t>
      </w:r>
      <w:r>
        <w:rPr>
          <w:rFonts w:hint="eastAsia" w:ascii="宋体" w:hAnsi="宋体" w:eastAsia="宋体" w:cs="宋体"/>
          <w:color w:val="auto"/>
          <w:sz w:val="24"/>
          <w:szCs w:val="24"/>
          <w:highlight w:val="none"/>
        </w:rPr>
        <w:t>日内，按照</w:t>
      </w:r>
      <w:r>
        <w:rPr>
          <w:rFonts w:hint="eastAsia" w:ascii="宋体" w:hAnsi="宋体" w:eastAsia="宋体" w:cs="宋体"/>
          <w:color w:val="auto"/>
          <w:sz w:val="24"/>
          <w:szCs w:val="24"/>
          <w:highlight w:val="none"/>
          <w:lang w:eastAsia="zh-CN"/>
        </w:rPr>
        <w:t>磋商</w:t>
      </w:r>
      <w:r>
        <w:rPr>
          <w:rFonts w:hint="eastAsia" w:ascii="宋体" w:hAnsi="宋体" w:eastAsia="宋体" w:cs="宋体"/>
          <w:color w:val="auto"/>
          <w:sz w:val="24"/>
          <w:szCs w:val="24"/>
          <w:highlight w:val="none"/>
        </w:rPr>
        <w:t>文件确定的事项签订本合同。</w:t>
      </w:r>
    </w:p>
    <w:p w14:paraId="3766C27E">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t>根据《中华人民共和国民法典》等相关法律法规之规定，按照平等、自愿、公平和诚实信用的原则，经</w:t>
      </w:r>
      <w:r>
        <w:rPr>
          <w:rFonts w:hint="eastAsia" w:ascii="宋体" w:hAnsi="宋体" w:eastAsia="宋体" w:cs="宋体"/>
          <w:color w:val="auto"/>
          <w:sz w:val="24"/>
          <w:szCs w:val="24"/>
          <w:highlight w:val="none"/>
          <w:u w:val="single"/>
        </w:rPr>
        <w:t xml:space="preserve"> 广西广播电视学校</w:t>
      </w:r>
      <w:r>
        <w:rPr>
          <w:rFonts w:hint="eastAsia" w:ascii="宋体" w:hAnsi="宋体" w:eastAsia="宋体" w:cs="宋体"/>
          <w:color w:val="auto"/>
          <w:sz w:val="24"/>
          <w:szCs w:val="24"/>
          <w:highlight w:val="none"/>
          <w:lang w:val="zh-CN"/>
        </w:rPr>
        <w:t>和</w:t>
      </w:r>
      <w:r>
        <w:rPr>
          <w:rFonts w:hint="eastAsia" w:ascii="宋体" w:hAnsi="宋体" w:eastAsia="宋体" w:cs="宋体"/>
          <w:color w:val="auto"/>
          <w:sz w:val="24"/>
          <w:szCs w:val="24"/>
          <w:highlight w:val="none"/>
          <w:u w:val="single"/>
        </w:rPr>
        <w:t xml:space="preserve">   （供应商名称）   </w:t>
      </w:r>
      <w:r>
        <w:rPr>
          <w:rFonts w:hint="eastAsia" w:ascii="宋体" w:hAnsi="宋体" w:eastAsia="宋体" w:cs="宋体"/>
          <w:color w:val="auto"/>
          <w:sz w:val="24"/>
          <w:szCs w:val="24"/>
          <w:highlight w:val="none"/>
          <w:lang w:val="zh-CN"/>
        </w:rPr>
        <w:t>协商一致，约定以下合同</w:t>
      </w:r>
      <w:r>
        <w:rPr>
          <w:rFonts w:hint="eastAsia" w:ascii="宋体" w:hAnsi="宋体" w:eastAsia="宋体" w:cs="宋体"/>
          <w:color w:val="auto"/>
          <w:sz w:val="24"/>
          <w:szCs w:val="24"/>
          <w:highlight w:val="none"/>
        </w:rPr>
        <w:t>条款，以兹共同遵守、全面履行。</w:t>
      </w:r>
    </w:p>
    <w:p w14:paraId="70C8A8EF">
      <w:pPr>
        <w:spacing w:line="360" w:lineRule="auto"/>
        <w:ind w:firstLine="482" w:firstLineChars="200"/>
        <w:rPr>
          <w:rFonts w:hint="eastAsia" w:ascii="宋体" w:hAnsi="宋体" w:eastAsia="宋体" w:cs="宋体"/>
          <w:b/>
          <w:color w:val="auto"/>
          <w:sz w:val="24"/>
          <w:szCs w:val="24"/>
          <w:highlight w:val="none"/>
        </w:rPr>
      </w:pPr>
      <w:bookmarkStart w:id="164" w:name="_Toc24059"/>
      <w:bookmarkStart w:id="165" w:name="_Toc3029"/>
      <w:bookmarkStart w:id="166" w:name="_Toc2232"/>
      <w:r>
        <w:rPr>
          <w:rFonts w:hint="eastAsia" w:ascii="宋体" w:hAnsi="宋体" w:eastAsia="宋体" w:cs="宋体"/>
          <w:b/>
          <w:color w:val="auto"/>
          <w:sz w:val="24"/>
          <w:szCs w:val="24"/>
          <w:highlight w:val="none"/>
        </w:rPr>
        <w:t>1.1 合同组成部分</w:t>
      </w:r>
      <w:bookmarkEnd w:id="164"/>
      <w:bookmarkEnd w:id="165"/>
      <w:bookmarkEnd w:id="166"/>
    </w:p>
    <w:p w14:paraId="46CD2362">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下列文件为本合同的组成部分，并构成一个整体，需综合解释、相互补充。如果下列文件内容出现不一致的情形，在保证按照</w:t>
      </w:r>
      <w:r>
        <w:rPr>
          <w:rFonts w:hint="eastAsia" w:ascii="宋体" w:hAnsi="宋体" w:eastAsia="宋体" w:cs="宋体"/>
          <w:color w:val="auto"/>
          <w:sz w:val="24"/>
          <w:szCs w:val="24"/>
          <w:highlight w:val="none"/>
          <w:lang w:eastAsia="zh-CN"/>
        </w:rPr>
        <w:t>磋商</w:t>
      </w:r>
      <w:r>
        <w:rPr>
          <w:rFonts w:hint="eastAsia" w:ascii="宋体" w:hAnsi="宋体" w:eastAsia="宋体" w:cs="宋体"/>
          <w:color w:val="auto"/>
          <w:sz w:val="24"/>
          <w:szCs w:val="24"/>
          <w:highlight w:val="none"/>
        </w:rPr>
        <w:t>文件确定的事项的前提下，组成本合同的多个文件的优先适用顺序如下：</w:t>
      </w:r>
    </w:p>
    <w:p w14:paraId="5C01ED83">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 本合同及其补充合同、变更协议；</w:t>
      </w:r>
    </w:p>
    <w:p w14:paraId="6E57AB5A">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1.1.2 成交通知书；</w:t>
      </w:r>
    </w:p>
    <w:p w14:paraId="1B040ED6">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1.1.3 </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文件及“报价</w:t>
      </w:r>
      <w:r>
        <w:rPr>
          <w:rFonts w:hint="eastAsia" w:ascii="宋体" w:hAnsi="宋体" w:cs="宋体"/>
          <w:color w:val="auto"/>
          <w:sz w:val="24"/>
          <w:szCs w:val="24"/>
          <w:highlight w:val="none"/>
          <w:lang w:eastAsia="zh-CN"/>
        </w:rPr>
        <w:t>表</w:t>
      </w:r>
      <w:r>
        <w:rPr>
          <w:rFonts w:hint="eastAsia" w:ascii="宋体" w:hAnsi="宋体" w:eastAsia="宋体" w:cs="宋体"/>
          <w:color w:val="auto"/>
          <w:sz w:val="24"/>
          <w:szCs w:val="24"/>
          <w:highlight w:val="none"/>
        </w:rPr>
        <w:t>”（含澄清或者说明文件）；</w:t>
      </w:r>
    </w:p>
    <w:p w14:paraId="12DFBE94">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1.1.4 </w:t>
      </w:r>
      <w:r>
        <w:rPr>
          <w:rFonts w:hint="eastAsia" w:ascii="宋体" w:hAnsi="宋体" w:eastAsia="宋体" w:cs="宋体"/>
          <w:color w:val="auto"/>
          <w:sz w:val="24"/>
          <w:szCs w:val="24"/>
          <w:highlight w:val="none"/>
          <w:lang w:eastAsia="zh-CN"/>
        </w:rPr>
        <w:t>磋商</w:t>
      </w:r>
      <w:r>
        <w:rPr>
          <w:rFonts w:hint="eastAsia" w:ascii="宋体" w:hAnsi="宋体" w:eastAsia="宋体" w:cs="宋体"/>
          <w:color w:val="auto"/>
          <w:sz w:val="24"/>
          <w:szCs w:val="24"/>
          <w:highlight w:val="none"/>
        </w:rPr>
        <w:t>文件（含澄清或者修改文件）；</w:t>
      </w:r>
    </w:p>
    <w:p w14:paraId="306BAD99">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1.1.5 其他相关</w:t>
      </w:r>
      <w:r>
        <w:rPr>
          <w:rFonts w:hint="eastAsia" w:ascii="宋体" w:hAnsi="宋体" w:cs="宋体"/>
          <w:color w:val="auto"/>
          <w:sz w:val="24"/>
          <w:szCs w:val="24"/>
          <w:highlight w:val="none"/>
          <w:lang w:eastAsia="zh-CN"/>
        </w:rPr>
        <w:t>磋商</w:t>
      </w:r>
      <w:r>
        <w:rPr>
          <w:rFonts w:hint="eastAsia" w:ascii="宋体" w:hAnsi="宋体" w:eastAsia="宋体" w:cs="宋体"/>
          <w:color w:val="auto"/>
          <w:sz w:val="24"/>
          <w:szCs w:val="24"/>
          <w:highlight w:val="none"/>
        </w:rPr>
        <w:t>文件。</w:t>
      </w:r>
    </w:p>
    <w:p w14:paraId="6CA1E13B">
      <w:pPr>
        <w:spacing w:line="360" w:lineRule="auto"/>
        <w:ind w:firstLine="482" w:firstLineChars="200"/>
        <w:rPr>
          <w:rFonts w:hint="eastAsia" w:ascii="宋体" w:hAnsi="宋体" w:eastAsia="宋体" w:cs="宋体"/>
          <w:b/>
          <w:color w:val="auto"/>
          <w:sz w:val="24"/>
          <w:szCs w:val="24"/>
          <w:highlight w:val="none"/>
        </w:rPr>
      </w:pPr>
      <w:bookmarkStart w:id="167" w:name="_Toc21295"/>
      <w:bookmarkStart w:id="168" w:name="_Toc27126"/>
      <w:bookmarkStart w:id="169" w:name="_Toc24300"/>
      <w:r>
        <w:rPr>
          <w:rFonts w:hint="eastAsia" w:ascii="宋体" w:hAnsi="宋体" w:eastAsia="宋体" w:cs="宋体"/>
          <w:b/>
          <w:color w:val="auto"/>
          <w:sz w:val="24"/>
          <w:szCs w:val="24"/>
          <w:highlight w:val="none"/>
        </w:rPr>
        <w:t>1.2 标的物</w:t>
      </w:r>
      <w:bookmarkEnd w:id="167"/>
      <w:bookmarkEnd w:id="168"/>
      <w:bookmarkEnd w:id="169"/>
    </w:p>
    <w:p w14:paraId="2EC72EF3">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1.2.1 标的物1信息</w:t>
      </w:r>
    </w:p>
    <w:p w14:paraId="01AE30BB">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1.2.1.1名称：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B4074DA">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1.2.1.2数量：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35ABA88">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1.2.1.3</w:t>
      </w:r>
      <w:r>
        <w:rPr>
          <w:rFonts w:hint="eastAsia" w:ascii="宋体" w:hAnsi="宋体" w:eastAsia="宋体" w:cs="宋体"/>
          <w:color w:val="auto"/>
          <w:sz w:val="24"/>
          <w:szCs w:val="24"/>
          <w:highlight w:val="none"/>
          <w:lang w:eastAsia="zh-CN"/>
        </w:rPr>
        <w:t>服务内容及要求</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3D6F205">
      <w:pPr>
        <w:spacing w:line="360" w:lineRule="auto"/>
        <w:ind w:firstLine="482" w:firstLineChars="200"/>
        <w:rPr>
          <w:rFonts w:hint="eastAsia" w:ascii="宋体" w:hAnsi="宋体" w:eastAsia="宋体" w:cs="宋体"/>
          <w:b/>
          <w:color w:val="auto"/>
          <w:sz w:val="24"/>
          <w:szCs w:val="24"/>
          <w:highlight w:val="none"/>
        </w:rPr>
      </w:pPr>
      <w:bookmarkStart w:id="170" w:name="_Toc23292"/>
      <w:bookmarkStart w:id="171" w:name="_Toc21551"/>
      <w:bookmarkStart w:id="172" w:name="_Toc21631"/>
      <w:r>
        <w:rPr>
          <w:rFonts w:hint="eastAsia" w:ascii="宋体" w:hAnsi="宋体" w:eastAsia="宋体" w:cs="宋体"/>
          <w:b/>
          <w:color w:val="auto"/>
          <w:sz w:val="24"/>
          <w:szCs w:val="24"/>
          <w:highlight w:val="none"/>
        </w:rPr>
        <w:t>1.3 价款</w:t>
      </w:r>
      <w:bookmarkEnd w:id="170"/>
      <w:bookmarkEnd w:id="171"/>
      <w:bookmarkEnd w:id="172"/>
    </w:p>
    <w:p w14:paraId="201B8E35">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本合同总价为：人民币</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元人民币，含税）。</w:t>
      </w:r>
    </w:p>
    <w:p w14:paraId="12A0A3CC">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分项价格：</w:t>
      </w:r>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3402"/>
        <w:gridCol w:w="2552"/>
      </w:tblGrid>
      <w:tr w14:paraId="24694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tcBorders>
              <w:top w:val="single" w:color="auto" w:sz="4" w:space="0"/>
              <w:left w:val="single" w:color="auto" w:sz="4" w:space="0"/>
              <w:bottom w:val="single" w:color="auto" w:sz="4" w:space="0"/>
              <w:right w:val="single" w:color="auto" w:sz="4" w:space="0"/>
            </w:tcBorders>
            <w:noWrap w:val="0"/>
            <w:vAlign w:val="center"/>
          </w:tcPr>
          <w:p w14:paraId="65DE2756">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3402" w:type="dxa"/>
            <w:tcBorders>
              <w:top w:val="single" w:color="auto" w:sz="4" w:space="0"/>
              <w:left w:val="single" w:color="auto" w:sz="4" w:space="0"/>
              <w:bottom w:val="single" w:color="auto" w:sz="4" w:space="0"/>
              <w:right w:val="single" w:color="auto" w:sz="4" w:space="0"/>
            </w:tcBorders>
            <w:noWrap w:val="0"/>
            <w:vAlign w:val="center"/>
          </w:tcPr>
          <w:p w14:paraId="42D3DADC">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分项名称</w:t>
            </w:r>
          </w:p>
        </w:tc>
        <w:tc>
          <w:tcPr>
            <w:tcW w:w="2552" w:type="dxa"/>
            <w:tcBorders>
              <w:top w:val="single" w:color="auto" w:sz="4" w:space="0"/>
              <w:left w:val="single" w:color="auto" w:sz="4" w:space="0"/>
              <w:bottom w:val="single" w:color="auto" w:sz="4" w:space="0"/>
              <w:right w:val="single" w:color="auto" w:sz="4" w:space="0"/>
            </w:tcBorders>
            <w:noWrap w:val="0"/>
            <w:vAlign w:val="center"/>
          </w:tcPr>
          <w:p w14:paraId="2F382370">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分项价格</w:t>
            </w:r>
          </w:p>
        </w:tc>
      </w:tr>
      <w:tr w14:paraId="6EA35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tcBorders>
              <w:top w:val="single" w:color="auto" w:sz="4" w:space="0"/>
              <w:left w:val="single" w:color="auto" w:sz="4" w:space="0"/>
              <w:bottom w:val="single" w:color="auto" w:sz="4" w:space="0"/>
              <w:right w:val="single" w:color="auto" w:sz="4" w:space="0"/>
            </w:tcBorders>
            <w:noWrap w:val="0"/>
            <w:vAlign w:val="center"/>
          </w:tcPr>
          <w:p w14:paraId="2C05C422">
            <w:pPr>
              <w:spacing w:line="360" w:lineRule="auto"/>
              <w:ind w:firstLine="480" w:firstLineChars="200"/>
              <w:rPr>
                <w:rFonts w:hint="eastAsia" w:ascii="宋体" w:hAnsi="宋体" w:eastAsia="宋体" w:cs="宋体"/>
                <w:color w:val="auto"/>
                <w:sz w:val="24"/>
                <w:szCs w:val="24"/>
                <w:highlight w:val="none"/>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14:paraId="4F6885F4">
            <w:pPr>
              <w:spacing w:line="360" w:lineRule="auto"/>
              <w:ind w:firstLine="480" w:firstLineChars="200"/>
              <w:rPr>
                <w:rFonts w:hint="eastAsia" w:ascii="宋体" w:hAnsi="宋体" w:eastAsia="宋体" w:cs="宋体"/>
                <w:color w:val="auto"/>
                <w:sz w:val="24"/>
                <w:szCs w:val="24"/>
                <w:highlight w:val="none"/>
              </w:rPr>
            </w:pPr>
          </w:p>
        </w:tc>
        <w:tc>
          <w:tcPr>
            <w:tcW w:w="2552" w:type="dxa"/>
            <w:tcBorders>
              <w:top w:val="single" w:color="auto" w:sz="4" w:space="0"/>
              <w:left w:val="single" w:color="auto" w:sz="4" w:space="0"/>
              <w:bottom w:val="single" w:color="auto" w:sz="4" w:space="0"/>
              <w:right w:val="single" w:color="auto" w:sz="4" w:space="0"/>
            </w:tcBorders>
            <w:noWrap w:val="0"/>
            <w:vAlign w:val="center"/>
          </w:tcPr>
          <w:p w14:paraId="61C145E3">
            <w:pPr>
              <w:spacing w:line="360" w:lineRule="auto"/>
              <w:ind w:firstLine="480" w:firstLineChars="200"/>
              <w:rPr>
                <w:rFonts w:hint="eastAsia" w:ascii="宋体" w:hAnsi="宋体" w:eastAsia="宋体" w:cs="宋体"/>
                <w:color w:val="auto"/>
                <w:sz w:val="24"/>
                <w:szCs w:val="24"/>
                <w:highlight w:val="none"/>
              </w:rPr>
            </w:pPr>
          </w:p>
        </w:tc>
      </w:tr>
      <w:tr w14:paraId="3B24B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tcBorders>
              <w:top w:val="single" w:color="auto" w:sz="4" w:space="0"/>
              <w:left w:val="single" w:color="auto" w:sz="4" w:space="0"/>
              <w:bottom w:val="single" w:color="auto" w:sz="4" w:space="0"/>
              <w:right w:val="single" w:color="auto" w:sz="4" w:space="0"/>
            </w:tcBorders>
            <w:noWrap w:val="0"/>
            <w:vAlign w:val="center"/>
          </w:tcPr>
          <w:p w14:paraId="0757C2B3">
            <w:pPr>
              <w:spacing w:line="360" w:lineRule="auto"/>
              <w:ind w:firstLine="480" w:firstLineChars="200"/>
              <w:rPr>
                <w:rFonts w:hint="eastAsia" w:ascii="宋体" w:hAnsi="宋体" w:eastAsia="宋体" w:cs="宋体"/>
                <w:color w:val="auto"/>
                <w:sz w:val="24"/>
                <w:szCs w:val="24"/>
                <w:highlight w:val="none"/>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14:paraId="607638E6">
            <w:pPr>
              <w:spacing w:line="360" w:lineRule="auto"/>
              <w:ind w:firstLine="480" w:firstLineChars="200"/>
              <w:rPr>
                <w:rFonts w:hint="eastAsia" w:ascii="宋体" w:hAnsi="宋体" w:eastAsia="宋体" w:cs="宋体"/>
                <w:color w:val="auto"/>
                <w:sz w:val="24"/>
                <w:szCs w:val="24"/>
                <w:highlight w:val="none"/>
              </w:rPr>
            </w:pPr>
          </w:p>
        </w:tc>
        <w:tc>
          <w:tcPr>
            <w:tcW w:w="2552" w:type="dxa"/>
            <w:tcBorders>
              <w:top w:val="single" w:color="auto" w:sz="4" w:space="0"/>
              <w:left w:val="single" w:color="auto" w:sz="4" w:space="0"/>
              <w:bottom w:val="single" w:color="auto" w:sz="4" w:space="0"/>
              <w:right w:val="single" w:color="auto" w:sz="4" w:space="0"/>
            </w:tcBorders>
            <w:noWrap w:val="0"/>
            <w:vAlign w:val="center"/>
          </w:tcPr>
          <w:p w14:paraId="2FCECC8E">
            <w:pPr>
              <w:spacing w:line="360" w:lineRule="auto"/>
              <w:ind w:firstLine="480" w:firstLineChars="200"/>
              <w:rPr>
                <w:rFonts w:hint="eastAsia" w:ascii="宋体" w:hAnsi="宋体" w:eastAsia="宋体" w:cs="宋体"/>
                <w:color w:val="auto"/>
                <w:sz w:val="24"/>
                <w:szCs w:val="24"/>
                <w:highlight w:val="none"/>
              </w:rPr>
            </w:pPr>
          </w:p>
        </w:tc>
      </w:tr>
      <w:tr w14:paraId="542E8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tcBorders>
              <w:top w:val="single" w:color="auto" w:sz="4" w:space="0"/>
              <w:left w:val="single" w:color="auto" w:sz="4" w:space="0"/>
              <w:bottom w:val="single" w:color="auto" w:sz="4" w:space="0"/>
              <w:right w:val="single" w:color="auto" w:sz="4" w:space="0"/>
            </w:tcBorders>
            <w:noWrap w:val="0"/>
            <w:vAlign w:val="center"/>
          </w:tcPr>
          <w:p w14:paraId="2488A273">
            <w:pPr>
              <w:spacing w:line="360" w:lineRule="auto"/>
              <w:ind w:firstLine="480" w:firstLineChars="200"/>
              <w:rPr>
                <w:rFonts w:hint="eastAsia" w:ascii="宋体" w:hAnsi="宋体" w:eastAsia="宋体" w:cs="宋体"/>
                <w:color w:val="auto"/>
                <w:sz w:val="24"/>
                <w:szCs w:val="24"/>
                <w:highlight w:val="none"/>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14:paraId="78D1EA59">
            <w:pPr>
              <w:spacing w:line="360" w:lineRule="auto"/>
              <w:ind w:firstLine="480" w:firstLineChars="200"/>
              <w:rPr>
                <w:rFonts w:hint="eastAsia" w:ascii="宋体" w:hAnsi="宋体" w:eastAsia="宋体" w:cs="宋体"/>
                <w:color w:val="auto"/>
                <w:sz w:val="24"/>
                <w:szCs w:val="24"/>
                <w:highlight w:val="none"/>
              </w:rPr>
            </w:pPr>
          </w:p>
        </w:tc>
        <w:tc>
          <w:tcPr>
            <w:tcW w:w="2552" w:type="dxa"/>
            <w:tcBorders>
              <w:top w:val="single" w:color="auto" w:sz="4" w:space="0"/>
              <w:left w:val="single" w:color="auto" w:sz="4" w:space="0"/>
              <w:bottom w:val="single" w:color="auto" w:sz="4" w:space="0"/>
              <w:right w:val="single" w:color="auto" w:sz="4" w:space="0"/>
            </w:tcBorders>
            <w:noWrap w:val="0"/>
            <w:vAlign w:val="center"/>
          </w:tcPr>
          <w:p w14:paraId="6062991E">
            <w:pPr>
              <w:spacing w:line="360" w:lineRule="auto"/>
              <w:ind w:firstLine="480" w:firstLineChars="200"/>
              <w:rPr>
                <w:rFonts w:hint="eastAsia" w:ascii="宋体" w:hAnsi="宋体" w:eastAsia="宋体" w:cs="宋体"/>
                <w:color w:val="auto"/>
                <w:sz w:val="24"/>
                <w:szCs w:val="24"/>
                <w:highlight w:val="none"/>
              </w:rPr>
            </w:pPr>
          </w:p>
        </w:tc>
      </w:tr>
      <w:tr w14:paraId="735FB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03" w:type="dxa"/>
            <w:gridSpan w:val="2"/>
            <w:tcBorders>
              <w:top w:val="single" w:color="auto" w:sz="4" w:space="0"/>
              <w:left w:val="single" w:color="auto" w:sz="4" w:space="0"/>
              <w:bottom w:val="single" w:color="auto" w:sz="4" w:space="0"/>
              <w:right w:val="single" w:color="auto" w:sz="4" w:space="0"/>
            </w:tcBorders>
            <w:noWrap w:val="0"/>
            <w:vAlign w:val="center"/>
          </w:tcPr>
          <w:p w14:paraId="3963DEFB">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2552" w:type="dxa"/>
            <w:tcBorders>
              <w:top w:val="single" w:color="auto" w:sz="4" w:space="0"/>
              <w:left w:val="single" w:color="auto" w:sz="4" w:space="0"/>
              <w:bottom w:val="single" w:color="auto" w:sz="4" w:space="0"/>
              <w:right w:val="single" w:color="auto" w:sz="4" w:space="0"/>
            </w:tcBorders>
            <w:noWrap w:val="0"/>
            <w:vAlign w:val="center"/>
          </w:tcPr>
          <w:p w14:paraId="79FEE68F">
            <w:pPr>
              <w:spacing w:line="360" w:lineRule="auto"/>
              <w:ind w:firstLine="480" w:firstLineChars="200"/>
              <w:rPr>
                <w:rFonts w:hint="eastAsia" w:ascii="宋体" w:hAnsi="宋体" w:eastAsia="宋体" w:cs="宋体"/>
                <w:color w:val="auto"/>
                <w:sz w:val="24"/>
                <w:szCs w:val="24"/>
                <w:highlight w:val="none"/>
              </w:rPr>
            </w:pPr>
          </w:p>
        </w:tc>
      </w:tr>
    </w:tbl>
    <w:p w14:paraId="094E0A4E">
      <w:pPr>
        <w:spacing w:line="360" w:lineRule="auto"/>
        <w:ind w:firstLine="482" w:firstLineChars="200"/>
        <w:rPr>
          <w:rFonts w:hint="eastAsia" w:ascii="宋体" w:hAnsi="宋体" w:eastAsia="宋体" w:cs="宋体"/>
          <w:b/>
          <w:color w:val="auto"/>
          <w:sz w:val="24"/>
          <w:szCs w:val="24"/>
          <w:highlight w:val="none"/>
        </w:rPr>
      </w:pPr>
      <w:bookmarkStart w:id="173" w:name="_Toc1814"/>
      <w:bookmarkStart w:id="174" w:name="_Toc22618"/>
      <w:bookmarkStart w:id="175" w:name="_Toc10340"/>
    </w:p>
    <w:p w14:paraId="2159E5CE">
      <w:pPr>
        <w:spacing w:line="360" w:lineRule="auto"/>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1.4 付款方式和发票开具方式</w:t>
      </w:r>
      <w:bookmarkEnd w:id="173"/>
      <w:bookmarkEnd w:id="174"/>
      <w:bookmarkEnd w:id="175"/>
    </w:p>
    <w:p w14:paraId="23328518">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1.4.1 付款方式：</w:t>
      </w:r>
      <w:r>
        <w:rPr>
          <w:rFonts w:hint="eastAsia" w:ascii="宋体" w:hAnsi="宋体" w:eastAsia="宋体" w:cs="宋体"/>
          <w:color w:val="auto"/>
          <w:sz w:val="24"/>
          <w:szCs w:val="24"/>
          <w:highlight w:val="none"/>
          <w:u w:val="single"/>
        </w:rPr>
        <w:t>本项目无预付款，按月支付合同款。</w:t>
      </w:r>
      <w:r>
        <w:rPr>
          <w:rFonts w:hint="eastAsia" w:ascii="宋体" w:hAnsi="宋体" w:cs="宋体"/>
          <w:color w:val="auto"/>
          <w:sz w:val="24"/>
          <w:szCs w:val="24"/>
          <w:highlight w:val="none"/>
          <w:u w:val="single"/>
          <w:lang w:eastAsia="zh-CN"/>
        </w:rPr>
        <w:t>甲方</w:t>
      </w:r>
      <w:r>
        <w:rPr>
          <w:rFonts w:hint="eastAsia" w:ascii="宋体" w:hAnsi="宋体" w:eastAsia="宋体" w:cs="宋体"/>
          <w:color w:val="auto"/>
          <w:sz w:val="24"/>
          <w:szCs w:val="24"/>
          <w:highlight w:val="none"/>
          <w:u w:val="single"/>
        </w:rPr>
        <w:t>根据</w:t>
      </w:r>
      <w:r>
        <w:rPr>
          <w:rFonts w:hint="eastAsia" w:ascii="宋体" w:hAnsi="宋体" w:cs="宋体"/>
          <w:color w:val="auto"/>
          <w:sz w:val="24"/>
          <w:szCs w:val="24"/>
          <w:highlight w:val="none"/>
          <w:u w:val="single"/>
          <w:lang w:eastAsia="zh-CN"/>
        </w:rPr>
        <w:t>磋商文件</w:t>
      </w:r>
      <w:r>
        <w:rPr>
          <w:rFonts w:hint="eastAsia" w:ascii="宋体" w:hAnsi="宋体" w:eastAsia="宋体" w:cs="宋体"/>
          <w:color w:val="auto"/>
          <w:sz w:val="24"/>
          <w:szCs w:val="24"/>
          <w:highlight w:val="none"/>
          <w:u w:val="single"/>
        </w:rPr>
        <w:t>附件一《广西广播电视学校驻校教官处罚规定》的要求对</w:t>
      </w:r>
      <w:r>
        <w:rPr>
          <w:rFonts w:hint="eastAsia" w:ascii="宋体" w:hAnsi="宋体" w:cs="宋体"/>
          <w:color w:val="auto"/>
          <w:sz w:val="24"/>
          <w:szCs w:val="24"/>
          <w:highlight w:val="none"/>
          <w:u w:val="single"/>
          <w:lang w:eastAsia="zh-CN"/>
        </w:rPr>
        <w:t>乙方</w:t>
      </w:r>
      <w:r>
        <w:rPr>
          <w:rFonts w:hint="eastAsia" w:ascii="宋体" w:hAnsi="宋体" w:eastAsia="宋体" w:cs="宋体"/>
          <w:color w:val="auto"/>
          <w:sz w:val="24"/>
          <w:szCs w:val="24"/>
          <w:highlight w:val="none"/>
          <w:u w:val="single"/>
        </w:rPr>
        <w:t>采取不定期考核，如经考核存在</w:t>
      </w:r>
      <w:r>
        <w:rPr>
          <w:rFonts w:hint="eastAsia" w:ascii="宋体" w:hAnsi="宋体" w:cs="宋体"/>
          <w:color w:val="auto"/>
          <w:sz w:val="24"/>
          <w:szCs w:val="24"/>
          <w:highlight w:val="none"/>
          <w:u w:val="single"/>
          <w:lang w:eastAsia="zh-CN"/>
        </w:rPr>
        <w:t>扣款</w:t>
      </w:r>
      <w:r>
        <w:rPr>
          <w:rFonts w:hint="eastAsia" w:ascii="宋体" w:hAnsi="宋体" w:eastAsia="宋体" w:cs="宋体"/>
          <w:color w:val="auto"/>
          <w:sz w:val="24"/>
          <w:szCs w:val="24"/>
          <w:highlight w:val="none"/>
          <w:u w:val="single"/>
        </w:rPr>
        <w:t>情形的，该月实际支付的合同款＝当月应支付合同款－</w:t>
      </w:r>
      <w:r>
        <w:rPr>
          <w:rFonts w:hint="eastAsia" w:ascii="宋体" w:hAnsi="宋体" w:cs="宋体"/>
          <w:color w:val="auto"/>
          <w:sz w:val="24"/>
          <w:szCs w:val="24"/>
          <w:highlight w:val="none"/>
          <w:u w:val="single"/>
          <w:lang w:eastAsia="zh-CN"/>
        </w:rPr>
        <w:t>扣款</w:t>
      </w:r>
      <w:r>
        <w:rPr>
          <w:rFonts w:hint="eastAsia" w:ascii="宋体" w:hAnsi="宋体" w:eastAsia="宋体" w:cs="宋体"/>
          <w:color w:val="auto"/>
          <w:sz w:val="24"/>
          <w:szCs w:val="24"/>
          <w:highlight w:val="none"/>
          <w:u w:val="single"/>
        </w:rPr>
        <w:t>金额。</w:t>
      </w:r>
      <w:r>
        <w:rPr>
          <w:rFonts w:hint="eastAsia" w:ascii="宋体" w:hAnsi="宋体" w:cs="宋体"/>
          <w:color w:val="auto"/>
          <w:sz w:val="24"/>
          <w:szCs w:val="24"/>
          <w:highlight w:val="none"/>
          <w:u w:val="single"/>
          <w:lang w:eastAsia="zh-CN"/>
        </w:rPr>
        <w:t>甲方</w:t>
      </w:r>
      <w:r>
        <w:rPr>
          <w:rFonts w:hint="eastAsia" w:ascii="宋体" w:hAnsi="宋体" w:eastAsia="宋体" w:cs="宋体"/>
          <w:color w:val="auto"/>
          <w:sz w:val="24"/>
          <w:szCs w:val="24"/>
          <w:highlight w:val="none"/>
          <w:u w:val="single"/>
        </w:rPr>
        <w:t>自收到发票后十个工作日内向</w:t>
      </w:r>
      <w:r>
        <w:rPr>
          <w:rFonts w:hint="eastAsia" w:ascii="宋体" w:hAnsi="宋体" w:cs="宋体"/>
          <w:color w:val="auto"/>
          <w:sz w:val="24"/>
          <w:szCs w:val="24"/>
          <w:highlight w:val="none"/>
          <w:u w:val="single"/>
          <w:lang w:eastAsia="zh-CN"/>
        </w:rPr>
        <w:t>乙方</w:t>
      </w:r>
      <w:r>
        <w:rPr>
          <w:rFonts w:hint="eastAsia" w:ascii="宋体" w:hAnsi="宋体" w:eastAsia="宋体" w:cs="宋体"/>
          <w:color w:val="auto"/>
          <w:sz w:val="24"/>
          <w:szCs w:val="24"/>
          <w:highlight w:val="none"/>
          <w:u w:val="single"/>
        </w:rPr>
        <w:t>支付相应月度的合同款。</w:t>
      </w:r>
    </w:p>
    <w:p w14:paraId="69BFBFC5">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 发票开具方式：</w:t>
      </w:r>
      <w:r>
        <w:rPr>
          <w:rFonts w:hint="eastAsia" w:ascii="宋体" w:hAnsi="宋体" w:cs="宋体"/>
          <w:color w:val="auto"/>
          <w:sz w:val="24"/>
          <w:szCs w:val="24"/>
          <w:highlight w:val="none"/>
          <w:u w:val="single"/>
          <w:lang w:eastAsia="zh-CN"/>
        </w:rPr>
        <w:t>乙方</w:t>
      </w:r>
      <w:r>
        <w:rPr>
          <w:rFonts w:hint="eastAsia" w:ascii="宋体" w:hAnsi="宋体" w:eastAsia="宋体" w:cs="宋体"/>
          <w:color w:val="auto"/>
          <w:sz w:val="24"/>
          <w:szCs w:val="24"/>
          <w:highlight w:val="none"/>
          <w:u w:val="single"/>
        </w:rPr>
        <w:t>与</w:t>
      </w:r>
      <w:r>
        <w:rPr>
          <w:rFonts w:hint="eastAsia" w:ascii="宋体" w:hAnsi="宋体" w:cs="宋体"/>
          <w:color w:val="auto"/>
          <w:sz w:val="24"/>
          <w:szCs w:val="24"/>
          <w:highlight w:val="none"/>
          <w:u w:val="single"/>
          <w:lang w:eastAsia="zh-CN"/>
        </w:rPr>
        <w:t>甲方</w:t>
      </w:r>
      <w:r>
        <w:rPr>
          <w:rFonts w:hint="eastAsia" w:ascii="宋体" w:hAnsi="宋体" w:eastAsia="宋体" w:cs="宋体"/>
          <w:color w:val="auto"/>
          <w:sz w:val="24"/>
          <w:szCs w:val="24"/>
          <w:highlight w:val="none"/>
          <w:u w:val="single"/>
        </w:rPr>
        <w:t>共同确认当月考核情况、确认当月实际支付的合同款后，</w:t>
      </w:r>
      <w:r>
        <w:rPr>
          <w:rFonts w:hint="eastAsia" w:ascii="宋体" w:hAnsi="宋体" w:cs="宋体"/>
          <w:color w:val="auto"/>
          <w:sz w:val="24"/>
          <w:szCs w:val="24"/>
          <w:highlight w:val="none"/>
          <w:u w:val="single"/>
          <w:lang w:eastAsia="zh-CN"/>
        </w:rPr>
        <w:t>乙方</w:t>
      </w:r>
      <w:r>
        <w:rPr>
          <w:rFonts w:hint="eastAsia" w:ascii="宋体" w:hAnsi="宋体" w:eastAsia="宋体" w:cs="宋体"/>
          <w:color w:val="auto"/>
          <w:sz w:val="24"/>
          <w:szCs w:val="24"/>
          <w:highlight w:val="none"/>
          <w:u w:val="single"/>
        </w:rPr>
        <w:t>应先向</w:t>
      </w:r>
      <w:r>
        <w:rPr>
          <w:rFonts w:hint="eastAsia" w:ascii="宋体" w:hAnsi="宋体" w:cs="宋体"/>
          <w:color w:val="auto"/>
          <w:sz w:val="24"/>
          <w:szCs w:val="24"/>
          <w:highlight w:val="none"/>
          <w:u w:val="single"/>
          <w:lang w:eastAsia="zh-CN"/>
        </w:rPr>
        <w:t>甲方</w:t>
      </w:r>
      <w:r>
        <w:rPr>
          <w:rFonts w:hint="eastAsia" w:ascii="宋体" w:hAnsi="宋体" w:eastAsia="宋体" w:cs="宋体"/>
          <w:color w:val="auto"/>
          <w:sz w:val="24"/>
          <w:szCs w:val="24"/>
          <w:highlight w:val="none"/>
          <w:u w:val="single"/>
        </w:rPr>
        <w:t>开具相应金额的发票，</w:t>
      </w:r>
      <w:r>
        <w:rPr>
          <w:rFonts w:hint="eastAsia" w:ascii="宋体" w:hAnsi="宋体" w:cs="宋体"/>
          <w:color w:val="auto"/>
          <w:sz w:val="24"/>
          <w:szCs w:val="24"/>
          <w:highlight w:val="none"/>
          <w:u w:val="single"/>
          <w:lang w:eastAsia="zh-CN"/>
        </w:rPr>
        <w:t>甲方</w:t>
      </w:r>
      <w:r>
        <w:rPr>
          <w:rFonts w:hint="eastAsia" w:ascii="宋体" w:hAnsi="宋体" w:eastAsia="宋体" w:cs="宋体"/>
          <w:color w:val="auto"/>
          <w:sz w:val="24"/>
          <w:szCs w:val="24"/>
          <w:highlight w:val="none"/>
          <w:u w:val="single"/>
        </w:rPr>
        <w:t>自收到发票后十个工作日内向</w:t>
      </w:r>
      <w:r>
        <w:rPr>
          <w:rFonts w:hint="eastAsia" w:ascii="宋体" w:hAnsi="宋体" w:cs="宋体"/>
          <w:color w:val="auto"/>
          <w:sz w:val="24"/>
          <w:szCs w:val="24"/>
          <w:highlight w:val="none"/>
          <w:u w:val="single"/>
          <w:lang w:eastAsia="zh-CN"/>
        </w:rPr>
        <w:t>乙方</w:t>
      </w:r>
      <w:r>
        <w:rPr>
          <w:rFonts w:hint="eastAsia" w:ascii="宋体" w:hAnsi="宋体" w:eastAsia="宋体" w:cs="宋体"/>
          <w:color w:val="auto"/>
          <w:sz w:val="24"/>
          <w:szCs w:val="24"/>
          <w:highlight w:val="none"/>
          <w:u w:val="single"/>
        </w:rPr>
        <w:t>支付相应月度的合同款。如成交人不能向</w:t>
      </w:r>
      <w:r>
        <w:rPr>
          <w:rFonts w:hint="eastAsia" w:ascii="宋体" w:hAnsi="宋体" w:cs="宋体"/>
          <w:color w:val="auto"/>
          <w:sz w:val="24"/>
          <w:szCs w:val="24"/>
          <w:highlight w:val="none"/>
          <w:u w:val="single"/>
          <w:lang w:eastAsia="zh-CN"/>
        </w:rPr>
        <w:t>甲方</w:t>
      </w:r>
      <w:r>
        <w:rPr>
          <w:rFonts w:hint="eastAsia" w:ascii="宋体" w:hAnsi="宋体" w:eastAsia="宋体" w:cs="宋体"/>
          <w:color w:val="auto"/>
          <w:sz w:val="24"/>
          <w:szCs w:val="24"/>
          <w:highlight w:val="none"/>
          <w:u w:val="single"/>
        </w:rPr>
        <w:t>开具相应金额的发票，否则</w:t>
      </w:r>
      <w:r>
        <w:rPr>
          <w:rFonts w:hint="eastAsia" w:ascii="宋体" w:hAnsi="宋体" w:cs="宋体"/>
          <w:color w:val="auto"/>
          <w:sz w:val="24"/>
          <w:szCs w:val="24"/>
          <w:highlight w:val="none"/>
          <w:u w:val="single"/>
          <w:lang w:eastAsia="zh-CN"/>
        </w:rPr>
        <w:t>甲方</w:t>
      </w:r>
      <w:r>
        <w:rPr>
          <w:rFonts w:hint="eastAsia" w:ascii="宋体" w:hAnsi="宋体" w:eastAsia="宋体" w:cs="宋体"/>
          <w:color w:val="auto"/>
          <w:sz w:val="24"/>
          <w:szCs w:val="24"/>
          <w:highlight w:val="none"/>
          <w:u w:val="single"/>
        </w:rPr>
        <w:t>有权顺延付款。</w:t>
      </w:r>
    </w:p>
    <w:p w14:paraId="0BA92E36">
      <w:pPr>
        <w:spacing w:line="360" w:lineRule="auto"/>
        <w:ind w:firstLine="482" w:firstLineChars="200"/>
        <w:rPr>
          <w:rFonts w:hint="eastAsia" w:ascii="宋体" w:hAnsi="宋体" w:eastAsia="宋体" w:cs="宋体"/>
          <w:b/>
          <w:color w:val="auto"/>
          <w:sz w:val="24"/>
          <w:szCs w:val="24"/>
          <w:highlight w:val="none"/>
        </w:rPr>
      </w:pPr>
      <w:bookmarkStart w:id="176" w:name="_Toc19304"/>
      <w:bookmarkStart w:id="177" w:name="_Toc2846"/>
      <w:bookmarkStart w:id="178" w:name="_Toc32071"/>
      <w:r>
        <w:rPr>
          <w:rFonts w:hint="eastAsia" w:ascii="宋体" w:hAnsi="宋体" w:eastAsia="宋体" w:cs="宋体"/>
          <w:b/>
          <w:color w:val="auto"/>
          <w:sz w:val="24"/>
          <w:szCs w:val="24"/>
          <w:highlight w:val="none"/>
        </w:rPr>
        <w:t>1.5 服务期限、</w:t>
      </w:r>
      <w:r>
        <w:rPr>
          <w:rFonts w:hint="eastAsia" w:ascii="宋体" w:hAnsi="宋体" w:cs="宋体"/>
          <w:b/>
          <w:color w:val="auto"/>
          <w:sz w:val="24"/>
          <w:szCs w:val="24"/>
          <w:highlight w:val="none"/>
          <w:lang w:eastAsia="zh-CN"/>
        </w:rPr>
        <w:t>服务</w:t>
      </w:r>
      <w:r>
        <w:rPr>
          <w:rFonts w:hint="eastAsia" w:ascii="宋体" w:hAnsi="宋体" w:eastAsia="宋体" w:cs="宋体"/>
          <w:b/>
          <w:color w:val="auto"/>
          <w:sz w:val="24"/>
          <w:szCs w:val="24"/>
          <w:highlight w:val="none"/>
        </w:rPr>
        <w:t>地点和方式</w:t>
      </w:r>
      <w:bookmarkEnd w:id="176"/>
      <w:bookmarkEnd w:id="177"/>
      <w:bookmarkEnd w:id="178"/>
    </w:p>
    <w:p w14:paraId="72A05698">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1.5.1 服务期限：</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none"/>
        </w:rPr>
        <w:t>；</w:t>
      </w:r>
    </w:p>
    <w:p w14:paraId="23D3F5A8">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1.5.2 服务地点：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A7B101B">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1.5.3 交付方式：</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lang w:val="en-US" w:eastAsia="zh-CN"/>
        </w:rPr>
        <w:t>。</w:t>
      </w:r>
    </w:p>
    <w:p w14:paraId="5D837212">
      <w:pPr>
        <w:spacing w:line="360" w:lineRule="auto"/>
        <w:ind w:firstLine="482" w:firstLineChars="200"/>
        <w:rPr>
          <w:rFonts w:hint="eastAsia" w:ascii="宋体" w:hAnsi="宋体" w:eastAsia="宋体" w:cs="宋体"/>
          <w:b/>
          <w:color w:val="auto"/>
          <w:sz w:val="24"/>
          <w:szCs w:val="24"/>
          <w:highlight w:val="none"/>
        </w:rPr>
      </w:pPr>
      <w:bookmarkStart w:id="179" w:name="_Toc27250"/>
      <w:bookmarkStart w:id="180" w:name="_Toc21423"/>
      <w:bookmarkStart w:id="181" w:name="_Toc19554"/>
      <w:r>
        <w:rPr>
          <w:rFonts w:hint="eastAsia" w:ascii="宋体" w:hAnsi="宋体" w:eastAsia="宋体" w:cs="宋体"/>
          <w:b/>
          <w:color w:val="auto"/>
          <w:sz w:val="24"/>
          <w:szCs w:val="24"/>
          <w:highlight w:val="none"/>
        </w:rPr>
        <w:t>1.6 违约责任</w:t>
      </w:r>
      <w:bookmarkEnd w:id="179"/>
      <w:bookmarkEnd w:id="180"/>
      <w:bookmarkEnd w:id="181"/>
    </w:p>
    <w:p w14:paraId="2E31DAAE">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1.6.1 除不可抗力外，如果乙方没有按照本合同约定的期限、地点和方式</w:t>
      </w:r>
      <w:r>
        <w:rPr>
          <w:rFonts w:hint="eastAsia" w:ascii="宋体" w:hAnsi="宋体" w:cs="宋体"/>
          <w:color w:val="auto"/>
          <w:sz w:val="24"/>
          <w:szCs w:val="24"/>
          <w:highlight w:val="none"/>
          <w:lang w:eastAsia="zh-CN"/>
        </w:rPr>
        <w:t>提供</w:t>
      </w:r>
      <w:r>
        <w:rPr>
          <w:rFonts w:hint="eastAsia" w:ascii="宋体" w:hAnsi="宋体" w:eastAsia="宋体" w:cs="宋体"/>
          <w:color w:val="auto"/>
          <w:sz w:val="24"/>
          <w:szCs w:val="24"/>
          <w:highlight w:val="none"/>
          <w:lang w:eastAsia="zh-CN"/>
        </w:rPr>
        <w:t>合格的服务</w:t>
      </w:r>
      <w:r>
        <w:rPr>
          <w:rFonts w:hint="eastAsia" w:ascii="宋体" w:hAnsi="宋体" w:eastAsia="宋体" w:cs="宋体"/>
          <w:color w:val="auto"/>
          <w:sz w:val="24"/>
          <w:szCs w:val="24"/>
          <w:highlight w:val="none"/>
        </w:rPr>
        <w:t>，甲方可要求乙方支付违约金，违约金按应交付而未交付</w:t>
      </w:r>
      <w:r>
        <w:rPr>
          <w:rFonts w:hint="eastAsia" w:ascii="宋体" w:hAnsi="宋体" w:eastAsia="宋体" w:cs="宋体"/>
          <w:color w:val="auto"/>
          <w:sz w:val="24"/>
          <w:szCs w:val="24"/>
          <w:highlight w:val="none"/>
          <w:lang w:eastAsia="zh-CN"/>
        </w:rPr>
        <w:t>对应服务项目</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合格</w:t>
      </w:r>
      <w:r>
        <w:rPr>
          <w:rFonts w:hint="eastAsia" w:ascii="宋体" w:hAnsi="宋体" w:eastAsia="宋体" w:cs="宋体"/>
          <w:color w:val="auto"/>
          <w:sz w:val="24"/>
          <w:szCs w:val="24"/>
          <w:highlight w:val="none"/>
        </w:rPr>
        <w:t>价格的</w:t>
      </w:r>
      <w:r>
        <w:rPr>
          <w:rFonts w:hint="eastAsia" w:ascii="宋体" w:hAnsi="宋体" w:eastAsia="宋体" w:cs="宋体"/>
          <w:color w:val="auto"/>
          <w:sz w:val="24"/>
          <w:szCs w:val="24"/>
          <w:highlight w:val="none"/>
          <w:u w:val="single"/>
        </w:rPr>
        <w:t>万分之五</w:t>
      </w:r>
      <w:r>
        <w:rPr>
          <w:rFonts w:hint="eastAsia" w:ascii="宋体" w:hAnsi="宋体" w:eastAsia="宋体" w:cs="宋体"/>
          <w:color w:val="auto"/>
          <w:sz w:val="24"/>
          <w:szCs w:val="24"/>
          <w:highlight w:val="none"/>
        </w:rPr>
        <w:t>（根据项目实际填写，一般为万分之五）计算，最高限额为本合同总价的</w:t>
      </w:r>
      <w:r>
        <w:rPr>
          <w:rFonts w:hint="eastAsia" w:ascii="宋体" w:hAnsi="宋体" w:eastAsia="宋体" w:cs="宋体"/>
          <w:color w:val="auto"/>
          <w:sz w:val="24"/>
          <w:szCs w:val="24"/>
          <w:highlight w:val="none"/>
          <w:u w:val="single"/>
        </w:rPr>
        <w:t xml:space="preserve">  20</w:t>
      </w:r>
      <w:r>
        <w:rPr>
          <w:rFonts w:hint="eastAsia" w:ascii="宋体" w:hAnsi="宋体" w:eastAsia="宋体" w:cs="宋体"/>
          <w:color w:val="auto"/>
          <w:sz w:val="24"/>
          <w:szCs w:val="24"/>
          <w:highlight w:val="none"/>
        </w:rPr>
        <w:t>%；</w:t>
      </w:r>
    </w:p>
    <w:p w14:paraId="7888F085">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1.6.2 除不可抗力外，如果甲方没有按照本合同约定的付款方式付款，乙方可要求甲方支付违约金，违约金按每迟延付款一日的应付而未付款的</w:t>
      </w:r>
      <w:r>
        <w:rPr>
          <w:rFonts w:hint="eastAsia" w:ascii="宋体" w:hAnsi="宋体" w:eastAsia="宋体" w:cs="宋体"/>
          <w:color w:val="auto"/>
          <w:sz w:val="24"/>
          <w:szCs w:val="24"/>
          <w:highlight w:val="none"/>
          <w:u w:val="single"/>
        </w:rPr>
        <w:t>万分之五</w:t>
      </w:r>
      <w:r>
        <w:rPr>
          <w:rFonts w:hint="eastAsia" w:ascii="宋体" w:hAnsi="宋体" w:eastAsia="宋体" w:cs="宋体"/>
          <w:color w:val="auto"/>
          <w:sz w:val="24"/>
          <w:szCs w:val="24"/>
          <w:highlight w:val="none"/>
        </w:rPr>
        <w:t>计算，最高限额为欠付金额的</w:t>
      </w:r>
      <w:r>
        <w:rPr>
          <w:rFonts w:hint="eastAsia" w:ascii="宋体" w:hAnsi="宋体" w:eastAsia="宋体" w:cs="宋体"/>
          <w:color w:val="auto"/>
          <w:sz w:val="24"/>
          <w:szCs w:val="24"/>
          <w:highlight w:val="none"/>
          <w:u w:val="single"/>
        </w:rPr>
        <w:t xml:space="preserve">  20  </w:t>
      </w:r>
      <w:r>
        <w:rPr>
          <w:rFonts w:hint="eastAsia" w:ascii="宋体" w:hAnsi="宋体" w:eastAsia="宋体" w:cs="宋体"/>
          <w:color w:val="auto"/>
          <w:sz w:val="24"/>
          <w:szCs w:val="24"/>
          <w:highlight w:val="none"/>
        </w:rPr>
        <w:t>%；迟延付款的违约金计算数额达到前述最高限额之日起，乙方有权在要求甲方支付违约金的同时，书面通知甲方解除本合同；</w:t>
      </w:r>
    </w:p>
    <w:p w14:paraId="2FA9858C">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1.6.3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46EE82B">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 xml:space="preserve">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3B295C1">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 xml:space="preserve"> 除前述约定</w:t>
      </w:r>
      <w:r>
        <w:rPr>
          <w:rFonts w:hint="eastAsia" w:ascii="宋体" w:hAnsi="宋体" w:eastAsia="宋体" w:cs="宋体"/>
          <w:color w:val="auto"/>
          <w:sz w:val="24"/>
          <w:szCs w:val="24"/>
          <w:highlight w:val="none"/>
          <w:lang w:eastAsia="zh-CN"/>
        </w:rPr>
        <w:t>及</w:t>
      </w:r>
      <w:r>
        <w:rPr>
          <w:rFonts w:hint="eastAsia" w:ascii="宋体" w:hAnsi="宋体" w:eastAsia="宋体" w:cs="宋体"/>
          <w:color w:val="auto"/>
          <w:sz w:val="24"/>
          <w:szCs w:val="24"/>
          <w:highlight w:val="none"/>
        </w:rPr>
        <w:t>不可抗力外，任何一方未能履行本合同约定的义务，对方当事人均有权要求继续履行、采取补救措施或者赔偿损失等，且对方当事人行使的任何权利救济方式均不视为其放弃了其他法定或者约定的权利救济方式；</w:t>
      </w:r>
      <w:r>
        <w:rPr>
          <w:rFonts w:hint="eastAsia" w:ascii="宋体" w:hAnsi="宋体" w:cs="宋体"/>
          <w:color w:val="auto"/>
          <w:sz w:val="24"/>
          <w:szCs w:val="24"/>
          <w:highlight w:val="none"/>
          <w:lang w:val="en-US" w:eastAsia="zh-CN"/>
        </w:rPr>
        <w:t>前述损失包括但不限于诉讼费、律师费、保全费、保全保险费、差旅费、鉴定费、公证费等。</w:t>
      </w:r>
    </w:p>
    <w:p w14:paraId="69647117">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 xml:space="preserve"> 如果出现政府采购监督管理部门在处理投诉事项期间，书面通知甲方暂停采购活动的情形，或者询问或质疑事项可能影响中标结果的，导致甲方中止履行合同的情形，均不视为甲方违约。</w:t>
      </w:r>
    </w:p>
    <w:p w14:paraId="5C5EAD43">
      <w:pPr>
        <w:pStyle w:val="30"/>
        <w:spacing w:line="360" w:lineRule="auto"/>
        <w:rPr>
          <w:rFonts w:hAnsi="宋体"/>
          <w:color w:val="auto"/>
          <w:sz w:val="24"/>
          <w:szCs w:val="24"/>
          <w:highlight w:val="none"/>
        </w:rPr>
      </w:pPr>
      <w:r>
        <w:rPr>
          <w:rFonts w:hAnsi="宋体"/>
          <w:color w:val="auto"/>
          <w:sz w:val="24"/>
          <w:szCs w:val="24"/>
          <w:highlight w:val="none"/>
        </w:rPr>
        <w:t xml:space="preserve"> </w:t>
      </w:r>
      <w:r>
        <w:rPr>
          <w:rFonts w:hint="eastAsia" w:hAnsi="宋体"/>
          <w:color w:val="auto"/>
          <w:sz w:val="24"/>
          <w:szCs w:val="24"/>
          <w:highlight w:val="none"/>
          <w:lang w:val="en-US" w:eastAsia="zh-CN"/>
        </w:rPr>
        <w:t xml:space="preserve">   </w:t>
      </w:r>
      <w:r>
        <w:rPr>
          <w:rFonts w:hAnsi="宋体"/>
          <w:color w:val="auto"/>
          <w:sz w:val="24"/>
          <w:szCs w:val="24"/>
          <w:highlight w:val="none"/>
        </w:rPr>
        <w:t>1.6.</w:t>
      </w:r>
      <w:r>
        <w:rPr>
          <w:rFonts w:hint="eastAsia" w:hAnsi="宋体"/>
          <w:color w:val="auto"/>
          <w:sz w:val="24"/>
          <w:szCs w:val="24"/>
          <w:highlight w:val="none"/>
          <w:lang w:val="en-US" w:eastAsia="zh-CN"/>
        </w:rPr>
        <w:t>7</w:t>
      </w:r>
      <w:r>
        <w:rPr>
          <w:rFonts w:hAnsi="宋体"/>
          <w:color w:val="auto"/>
          <w:sz w:val="24"/>
          <w:szCs w:val="24"/>
          <w:highlight w:val="none"/>
        </w:rPr>
        <w:t xml:space="preserve"> </w:t>
      </w:r>
      <w:r>
        <w:rPr>
          <w:rFonts w:hint="eastAsia" w:hAnsi="宋体"/>
          <w:color w:val="auto"/>
          <w:sz w:val="24"/>
          <w:szCs w:val="24"/>
          <w:highlight w:val="none"/>
        </w:rPr>
        <w:t>乙方</w:t>
      </w:r>
      <w:r>
        <w:rPr>
          <w:rFonts w:hint="eastAsia" w:hAnsi="宋体"/>
          <w:color w:val="auto"/>
          <w:sz w:val="24"/>
          <w:szCs w:val="24"/>
          <w:highlight w:val="none"/>
          <w:lang w:eastAsia="zh-CN"/>
        </w:rPr>
        <w:t>提供的服务</w:t>
      </w:r>
      <w:r>
        <w:rPr>
          <w:rFonts w:hint="eastAsia" w:hAnsi="宋体"/>
          <w:color w:val="auto"/>
          <w:sz w:val="24"/>
          <w:szCs w:val="24"/>
          <w:highlight w:val="none"/>
        </w:rPr>
        <w:t>不符合</w:t>
      </w:r>
      <w:r>
        <w:rPr>
          <w:rFonts w:hAnsi="宋体"/>
          <w:color w:val="auto"/>
          <w:sz w:val="24"/>
          <w:szCs w:val="24"/>
          <w:highlight w:val="none"/>
        </w:rPr>
        <w:t>合同</w:t>
      </w:r>
      <w:r>
        <w:rPr>
          <w:rFonts w:hint="eastAsia" w:hAnsi="宋体"/>
          <w:color w:val="auto"/>
          <w:sz w:val="24"/>
          <w:szCs w:val="24"/>
          <w:highlight w:val="none"/>
        </w:rPr>
        <w:t>约定</w:t>
      </w:r>
      <w:r>
        <w:rPr>
          <w:rFonts w:hAnsi="宋体"/>
          <w:color w:val="auto"/>
          <w:sz w:val="24"/>
          <w:szCs w:val="24"/>
          <w:highlight w:val="none"/>
        </w:rPr>
        <w:t>或未通过</w:t>
      </w:r>
      <w:r>
        <w:rPr>
          <w:rFonts w:hint="eastAsia" w:hAnsi="宋体"/>
          <w:color w:val="auto"/>
          <w:sz w:val="24"/>
          <w:szCs w:val="24"/>
          <w:highlight w:val="none"/>
          <w:lang w:eastAsia="zh-CN"/>
        </w:rPr>
        <w:t>考核</w:t>
      </w:r>
      <w:r>
        <w:rPr>
          <w:rFonts w:hAnsi="宋体"/>
          <w:color w:val="auto"/>
          <w:sz w:val="24"/>
          <w:szCs w:val="24"/>
          <w:highlight w:val="none"/>
        </w:rPr>
        <w:t>的，</w:t>
      </w:r>
      <w:r>
        <w:rPr>
          <w:rFonts w:hint="eastAsia" w:hAnsi="宋体"/>
          <w:color w:val="auto"/>
          <w:sz w:val="24"/>
          <w:szCs w:val="24"/>
          <w:highlight w:val="none"/>
        </w:rPr>
        <w:t>甲方有权要求</w:t>
      </w:r>
      <w:r>
        <w:rPr>
          <w:rFonts w:hAnsi="宋体"/>
          <w:color w:val="auto"/>
          <w:sz w:val="24"/>
          <w:szCs w:val="24"/>
          <w:highlight w:val="none"/>
        </w:rPr>
        <w:t>乙</w:t>
      </w:r>
      <w:r>
        <w:rPr>
          <w:rFonts w:hint="eastAsia" w:hAnsi="宋体"/>
          <w:color w:val="auto"/>
          <w:sz w:val="24"/>
          <w:szCs w:val="24"/>
          <w:highlight w:val="none"/>
        </w:rPr>
        <w:t>方限期整改，</w:t>
      </w:r>
      <w:r>
        <w:rPr>
          <w:rFonts w:hAnsi="宋体"/>
          <w:color w:val="auto"/>
          <w:sz w:val="24"/>
          <w:szCs w:val="24"/>
          <w:highlight w:val="none"/>
        </w:rPr>
        <w:t>经整改后仍</w:t>
      </w:r>
      <w:r>
        <w:rPr>
          <w:rFonts w:hint="eastAsia" w:hAnsi="宋体"/>
          <w:color w:val="auto"/>
          <w:sz w:val="24"/>
          <w:szCs w:val="24"/>
          <w:highlight w:val="none"/>
        </w:rPr>
        <w:t>未通过</w:t>
      </w:r>
      <w:r>
        <w:rPr>
          <w:rFonts w:hint="eastAsia" w:hAnsi="宋体"/>
          <w:color w:val="auto"/>
          <w:sz w:val="24"/>
          <w:szCs w:val="24"/>
          <w:highlight w:val="none"/>
          <w:lang w:eastAsia="zh-CN"/>
        </w:rPr>
        <w:t>考核</w:t>
      </w:r>
      <w:r>
        <w:rPr>
          <w:rFonts w:hint="eastAsia" w:hAnsi="宋体"/>
          <w:color w:val="auto"/>
          <w:sz w:val="24"/>
          <w:szCs w:val="24"/>
          <w:highlight w:val="none"/>
        </w:rPr>
        <w:t>的，甲方有权书面通知乙方解除本合同</w:t>
      </w:r>
      <w:r>
        <w:rPr>
          <w:rFonts w:hAnsi="宋体"/>
          <w:color w:val="auto"/>
          <w:sz w:val="24"/>
          <w:szCs w:val="24"/>
          <w:highlight w:val="none"/>
        </w:rPr>
        <w:t>，</w:t>
      </w:r>
      <w:r>
        <w:rPr>
          <w:rFonts w:hint="eastAsia" w:hAnsi="宋体" w:cs="宋体"/>
          <w:color w:val="auto"/>
          <w:sz w:val="24"/>
          <w:szCs w:val="24"/>
          <w:highlight w:val="none"/>
        </w:rPr>
        <w:t>乙方应退回全部已收取的合同价款并按合同总金额的【</w:t>
      </w:r>
      <w:r>
        <w:rPr>
          <w:rFonts w:hint="eastAsia" w:hAnsi="宋体" w:cs="宋体"/>
          <w:color w:val="auto"/>
          <w:sz w:val="24"/>
          <w:szCs w:val="24"/>
          <w:highlight w:val="none"/>
          <w:lang w:val="en-US" w:eastAsia="zh-CN"/>
        </w:rPr>
        <w:t>20</w:t>
      </w:r>
      <w:r>
        <w:rPr>
          <w:rFonts w:hint="eastAsia" w:hAnsi="宋体" w:cs="宋体"/>
          <w:color w:val="auto"/>
          <w:sz w:val="24"/>
          <w:szCs w:val="24"/>
          <w:highlight w:val="none"/>
        </w:rPr>
        <w:t>%】向甲方支付违约金。</w:t>
      </w:r>
    </w:p>
    <w:p w14:paraId="1004E54B">
      <w:pPr>
        <w:pStyle w:val="30"/>
        <w:spacing w:line="360" w:lineRule="auto"/>
        <w:ind w:firstLine="480" w:firstLineChars="200"/>
        <w:rPr>
          <w:rFonts w:hAnsi="宋体"/>
          <w:color w:val="auto"/>
          <w:sz w:val="24"/>
          <w:szCs w:val="24"/>
          <w:highlight w:val="none"/>
        </w:rPr>
      </w:pPr>
      <w:r>
        <w:rPr>
          <w:rFonts w:hint="eastAsia" w:hAnsi="宋体"/>
          <w:color w:val="auto"/>
          <w:sz w:val="24"/>
          <w:szCs w:val="24"/>
          <w:highlight w:val="none"/>
        </w:rPr>
        <w:t>1.</w:t>
      </w:r>
      <w:r>
        <w:rPr>
          <w:rFonts w:hAnsi="宋体"/>
          <w:color w:val="auto"/>
          <w:sz w:val="24"/>
          <w:szCs w:val="24"/>
          <w:highlight w:val="none"/>
        </w:rPr>
        <w:t>6.</w:t>
      </w:r>
      <w:r>
        <w:rPr>
          <w:rFonts w:hint="eastAsia" w:hAnsi="宋体"/>
          <w:color w:val="auto"/>
          <w:sz w:val="24"/>
          <w:szCs w:val="24"/>
          <w:highlight w:val="none"/>
          <w:lang w:val="en-US" w:eastAsia="zh-CN"/>
        </w:rPr>
        <w:t>8</w:t>
      </w:r>
      <w:r>
        <w:rPr>
          <w:rFonts w:hAnsi="宋体"/>
          <w:color w:val="auto"/>
          <w:sz w:val="24"/>
          <w:szCs w:val="24"/>
          <w:highlight w:val="none"/>
        </w:rPr>
        <w:t xml:space="preserve"> </w:t>
      </w:r>
      <w:r>
        <w:rPr>
          <w:rFonts w:hint="eastAsia" w:hAnsi="宋体" w:cs="宋体"/>
          <w:color w:val="auto"/>
          <w:sz w:val="24"/>
          <w:szCs w:val="24"/>
          <w:highlight w:val="none"/>
        </w:rPr>
        <w:t>本合同中约定乙方应承担的赔偿金、违约金等款项，甲方可从应付款项中直接扣除，不足部分甲方有权继续追索。</w:t>
      </w:r>
    </w:p>
    <w:p w14:paraId="4B6F06EA">
      <w:pPr>
        <w:spacing w:line="360" w:lineRule="auto"/>
        <w:rPr>
          <w:rFonts w:hint="eastAsia" w:ascii="宋体" w:hAnsi="宋体"/>
          <w:color w:val="auto"/>
          <w:sz w:val="24"/>
          <w:highlight w:val="none"/>
        </w:rPr>
      </w:pPr>
      <w:r>
        <w:rPr>
          <w:rFonts w:hint="eastAsia" w:ascii="宋体" w:hAnsi="宋体"/>
          <w:color w:val="auto"/>
          <w:sz w:val="24"/>
          <w:highlight w:val="none"/>
        </w:rPr>
        <w:t xml:space="preserve"> </w:t>
      </w:r>
      <w:r>
        <w:rPr>
          <w:rFonts w:ascii="宋体" w:hAnsi="宋体"/>
          <w:color w:val="auto"/>
          <w:sz w:val="24"/>
          <w:highlight w:val="none"/>
        </w:rPr>
        <w:t xml:space="preserve">   1.6.</w:t>
      </w:r>
      <w:r>
        <w:rPr>
          <w:rFonts w:hint="eastAsia" w:ascii="宋体" w:hAnsi="宋体"/>
          <w:color w:val="auto"/>
          <w:sz w:val="24"/>
          <w:highlight w:val="none"/>
          <w:lang w:val="en-US" w:eastAsia="zh-CN"/>
        </w:rPr>
        <w:t>9</w:t>
      </w:r>
      <w:r>
        <w:rPr>
          <w:rFonts w:ascii="宋体" w:hAnsi="宋体"/>
          <w:color w:val="auto"/>
          <w:sz w:val="24"/>
          <w:highlight w:val="none"/>
        </w:rPr>
        <w:t xml:space="preserve"> </w:t>
      </w:r>
      <w:r>
        <w:rPr>
          <w:rFonts w:hint="eastAsia" w:ascii="宋体" w:hAnsi="宋体" w:cs="宋体"/>
          <w:color w:val="auto"/>
          <w:sz w:val="24"/>
          <w:highlight w:val="none"/>
        </w:rPr>
        <w:t>违约方除应承担相应的违约责任外，还应向守约方赔偿守约方为处理该争议支出的包括但不限于赔偿金、和解金、行政罚金、律师费、诉讼费、财产保全费、财产保全保险费、执行费用以及必要的差旅费等费用。</w:t>
      </w:r>
    </w:p>
    <w:p w14:paraId="28AE22B2">
      <w:pPr>
        <w:pStyle w:val="30"/>
        <w:rPr>
          <w:rFonts w:hint="eastAsia"/>
          <w:color w:val="auto"/>
          <w:highlight w:val="none"/>
        </w:rPr>
      </w:pPr>
    </w:p>
    <w:p w14:paraId="383F8CA0">
      <w:pPr>
        <w:spacing w:line="360" w:lineRule="auto"/>
        <w:ind w:firstLine="482" w:firstLineChars="200"/>
        <w:rPr>
          <w:rFonts w:hint="eastAsia" w:ascii="宋体" w:hAnsi="宋体" w:eastAsia="宋体" w:cs="宋体"/>
          <w:b/>
          <w:color w:val="auto"/>
          <w:sz w:val="24"/>
          <w:szCs w:val="24"/>
          <w:highlight w:val="none"/>
        </w:rPr>
      </w:pPr>
      <w:bookmarkStart w:id="182" w:name="_Toc28375"/>
      <w:bookmarkStart w:id="183" w:name="_Toc15583"/>
      <w:bookmarkStart w:id="184" w:name="_Toc16021"/>
      <w:r>
        <w:rPr>
          <w:rFonts w:hint="eastAsia" w:ascii="宋体" w:hAnsi="宋体" w:eastAsia="宋体" w:cs="宋体"/>
          <w:b/>
          <w:color w:val="auto"/>
          <w:sz w:val="24"/>
          <w:szCs w:val="24"/>
          <w:highlight w:val="none"/>
        </w:rPr>
        <w:t>1.7 合同争议的解决</w:t>
      </w:r>
      <w:bookmarkEnd w:id="182"/>
      <w:bookmarkEnd w:id="183"/>
      <w:bookmarkEnd w:id="184"/>
    </w:p>
    <w:p w14:paraId="668CC593">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本合同履行过程中发生的任何争议，双方当事人均可通过和解或者调解解决；不愿和解、调解或者和解、调解不成的，可以选择下列第</w:t>
      </w:r>
      <w:r>
        <w:rPr>
          <w:rFonts w:hint="eastAsia" w:ascii="宋体" w:hAnsi="宋体" w:eastAsia="宋体" w:cs="宋体"/>
          <w:color w:val="auto"/>
          <w:sz w:val="24"/>
          <w:szCs w:val="24"/>
          <w:highlight w:val="none"/>
          <w:u w:val="single"/>
        </w:rPr>
        <w:t xml:space="preserve">1.7.2 </w:t>
      </w:r>
      <w:r>
        <w:rPr>
          <w:rFonts w:hint="eastAsia" w:ascii="宋体" w:hAnsi="宋体" w:eastAsia="宋体" w:cs="宋体"/>
          <w:color w:val="auto"/>
          <w:sz w:val="24"/>
          <w:szCs w:val="24"/>
          <w:highlight w:val="none"/>
        </w:rPr>
        <w:t>种方式解决：</w:t>
      </w:r>
    </w:p>
    <w:p w14:paraId="0147D765">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1.7.1 将争议提交</w:t>
      </w:r>
      <w:r>
        <w:rPr>
          <w:rFonts w:hint="eastAsia" w:ascii="宋体" w:hAnsi="宋体" w:eastAsia="宋体" w:cs="宋体"/>
          <w:color w:val="auto"/>
          <w:sz w:val="24"/>
          <w:szCs w:val="24"/>
          <w:highlight w:val="none"/>
          <w:u w:val="single"/>
        </w:rPr>
        <w:t>南宁</w:t>
      </w:r>
      <w:r>
        <w:rPr>
          <w:rFonts w:hint="eastAsia" w:ascii="宋体" w:hAnsi="宋体" w:eastAsia="宋体" w:cs="宋体"/>
          <w:color w:val="auto"/>
          <w:sz w:val="24"/>
          <w:szCs w:val="24"/>
          <w:highlight w:val="none"/>
        </w:rPr>
        <w:t>仲裁委员会依申请仲裁时其现行有效的仲裁规则裁决；</w:t>
      </w:r>
    </w:p>
    <w:p w14:paraId="0B76C7FA">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1.7.2 向</w:t>
      </w:r>
      <w:r>
        <w:rPr>
          <w:rFonts w:hint="eastAsia" w:ascii="宋体" w:hAnsi="宋体" w:eastAsia="宋体" w:cs="宋体"/>
          <w:color w:val="auto"/>
          <w:sz w:val="24"/>
          <w:szCs w:val="24"/>
          <w:highlight w:val="none"/>
          <w:u w:val="single"/>
        </w:rPr>
        <w:t>甲方所在地</w:t>
      </w:r>
      <w:r>
        <w:rPr>
          <w:rFonts w:hint="eastAsia" w:ascii="宋体" w:hAnsi="宋体" w:eastAsia="宋体" w:cs="宋体"/>
          <w:color w:val="auto"/>
          <w:sz w:val="24"/>
          <w:szCs w:val="24"/>
          <w:highlight w:val="none"/>
          <w:u w:val="single"/>
          <w:lang w:eastAsia="zh-CN"/>
        </w:rPr>
        <w:t>有管辖权的</w:t>
      </w:r>
      <w:r>
        <w:rPr>
          <w:rFonts w:hint="eastAsia" w:ascii="宋体" w:hAnsi="宋体" w:eastAsia="宋体" w:cs="宋体"/>
          <w:color w:val="auto"/>
          <w:sz w:val="24"/>
          <w:szCs w:val="24"/>
          <w:highlight w:val="none"/>
        </w:rPr>
        <w:t>人民法院起诉。</w:t>
      </w:r>
    </w:p>
    <w:p w14:paraId="784C417D">
      <w:pPr>
        <w:spacing w:line="360" w:lineRule="auto"/>
        <w:ind w:firstLine="482" w:firstLineChars="200"/>
        <w:rPr>
          <w:rFonts w:hint="eastAsia" w:ascii="宋体" w:hAnsi="宋体" w:eastAsia="宋体" w:cs="宋体"/>
          <w:b/>
          <w:color w:val="auto"/>
          <w:sz w:val="24"/>
          <w:szCs w:val="24"/>
          <w:highlight w:val="none"/>
        </w:rPr>
      </w:pPr>
      <w:bookmarkStart w:id="185" w:name="_Toc7245"/>
      <w:bookmarkStart w:id="186" w:name="_Toc11173"/>
      <w:bookmarkStart w:id="187" w:name="_Toc15322"/>
      <w:r>
        <w:rPr>
          <w:rFonts w:hint="eastAsia" w:ascii="宋体" w:hAnsi="宋体" w:eastAsia="宋体" w:cs="宋体"/>
          <w:b/>
          <w:color w:val="auto"/>
          <w:sz w:val="24"/>
          <w:szCs w:val="24"/>
          <w:highlight w:val="none"/>
        </w:rPr>
        <w:t>1.8 合同生效</w:t>
      </w:r>
      <w:bookmarkEnd w:id="185"/>
      <w:bookmarkEnd w:id="186"/>
      <w:bookmarkEnd w:id="187"/>
    </w:p>
    <w:p w14:paraId="6C0AC6D7">
      <w:pPr>
        <w:spacing w:line="360" w:lineRule="auto"/>
        <w:ind w:firstLine="480" w:firstLineChars="2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本合同自双方当事人加盖有效公章时生效。</w:t>
      </w:r>
    </w:p>
    <w:p w14:paraId="569BD734">
      <w:pPr>
        <w:spacing w:line="360" w:lineRule="auto"/>
        <w:ind w:firstLine="200"/>
        <w:rPr>
          <w:rFonts w:hint="eastAsia" w:ascii="宋体" w:hAnsi="宋体" w:eastAsia="宋体" w:cs="宋体"/>
          <w:color w:val="auto"/>
          <w:sz w:val="24"/>
          <w:szCs w:val="24"/>
          <w:highlight w:val="none"/>
          <w:lang w:val="zh-CN"/>
        </w:rPr>
      </w:pPr>
    </w:p>
    <w:p w14:paraId="68428504">
      <w:pPr>
        <w:spacing w:line="360" w:lineRule="auto"/>
        <w:ind w:firstLine="200"/>
        <w:rPr>
          <w:rFonts w:hint="eastAsia" w:ascii="宋体" w:hAnsi="宋体" w:eastAsia="宋体" w:cs="宋体"/>
          <w:color w:val="auto"/>
          <w:sz w:val="24"/>
          <w:szCs w:val="24"/>
          <w:highlight w:val="none"/>
          <w:lang w:val="zh-CN"/>
        </w:rPr>
      </w:pPr>
    </w:p>
    <w:p w14:paraId="7CB9F469">
      <w:pPr>
        <w:spacing w:line="360" w:lineRule="auto"/>
        <w:ind w:firstLine="200"/>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甲方：                                   乙方：</w:t>
      </w:r>
    </w:p>
    <w:p w14:paraId="1F899A80">
      <w:pPr>
        <w:spacing w:line="360" w:lineRule="auto"/>
        <w:ind w:firstLine="200"/>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统一社会信用代码：                       统一社会信用代码或身份证号码：</w:t>
      </w:r>
    </w:p>
    <w:p w14:paraId="3E08986C">
      <w:pPr>
        <w:spacing w:line="360" w:lineRule="auto"/>
        <w:ind w:firstLine="200"/>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住所：                                   住所：</w:t>
      </w:r>
    </w:p>
    <w:p w14:paraId="3B5E2CC1">
      <w:pPr>
        <w:spacing w:line="360" w:lineRule="auto"/>
        <w:ind w:firstLine="200"/>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法定代表人或                             法定代表人</w:t>
      </w:r>
    </w:p>
    <w:p w14:paraId="26128F05">
      <w:pPr>
        <w:spacing w:line="360" w:lineRule="auto"/>
        <w:ind w:firstLine="200"/>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授权代表（签字或盖章）：                 或授权代表（签字或盖章）</w:t>
      </w:r>
      <w:r>
        <w:rPr>
          <w:rFonts w:hint="eastAsia" w:ascii="宋体" w:hAnsi="宋体" w:cs="宋体"/>
          <w:color w:val="auto"/>
          <w:sz w:val="24"/>
          <w:szCs w:val="24"/>
          <w:highlight w:val="none"/>
          <w:lang w:val="zh-CN"/>
        </w:rPr>
        <w:t>：</w:t>
      </w:r>
      <w:r>
        <w:rPr>
          <w:rFonts w:hint="eastAsia" w:ascii="宋体" w:hAnsi="宋体" w:eastAsia="宋体" w:cs="宋体"/>
          <w:color w:val="auto"/>
          <w:sz w:val="24"/>
          <w:szCs w:val="24"/>
          <w:highlight w:val="none"/>
          <w:lang w:val="zh-CN"/>
        </w:rPr>
        <w:t xml:space="preserve"> </w:t>
      </w:r>
    </w:p>
    <w:p w14:paraId="0F92B58B">
      <w:pPr>
        <w:spacing w:line="360" w:lineRule="auto"/>
        <w:ind w:firstLine="200"/>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联系人：                                 联系人：</w:t>
      </w:r>
    </w:p>
    <w:p w14:paraId="082618C9">
      <w:pPr>
        <w:spacing w:line="360" w:lineRule="auto"/>
        <w:ind w:firstLine="200"/>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约定送达地址：                           约定送达地址：</w:t>
      </w:r>
    </w:p>
    <w:p w14:paraId="174E92F6">
      <w:pPr>
        <w:spacing w:line="360" w:lineRule="auto"/>
        <w:ind w:firstLine="200"/>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邮政编码：                               邮政编码：</w:t>
      </w:r>
    </w:p>
    <w:p w14:paraId="2AE798CE">
      <w:pPr>
        <w:spacing w:line="360" w:lineRule="auto"/>
        <w:ind w:firstLine="200"/>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电话</w:t>
      </w:r>
      <w:r>
        <w:rPr>
          <w:rFonts w:hint="eastAsia" w:ascii="宋体" w:hAnsi="宋体" w:cs="宋体"/>
          <w:color w:val="auto"/>
          <w:sz w:val="24"/>
          <w:szCs w:val="24"/>
          <w:highlight w:val="none"/>
          <w:lang w:val="zh-CN"/>
        </w:rPr>
        <w:t>：</w:t>
      </w:r>
      <w:r>
        <w:rPr>
          <w:rFonts w:hint="eastAsia" w:ascii="宋体" w:hAnsi="宋体" w:eastAsia="宋体" w:cs="宋体"/>
          <w:color w:val="auto"/>
          <w:sz w:val="24"/>
          <w:szCs w:val="24"/>
          <w:highlight w:val="none"/>
          <w:lang w:val="zh-CN"/>
        </w:rPr>
        <w:t xml:space="preserve">                                    电话</w:t>
      </w:r>
      <w:r>
        <w:rPr>
          <w:rFonts w:hint="eastAsia" w:ascii="宋体" w:hAnsi="宋体" w:cs="宋体"/>
          <w:color w:val="auto"/>
          <w:sz w:val="24"/>
          <w:szCs w:val="24"/>
          <w:highlight w:val="none"/>
          <w:lang w:val="zh-CN"/>
        </w:rPr>
        <w:t>：</w:t>
      </w:r>
      <w:r>
        <w:rPr>
          <w:rFonts w:hint="eastAsia" w:ascii="宋体" w:hAnsi="宋体" w:eastAsia="宋体" w:cs="宋体"/>
          <w:color w:val="auto"/>
          <w:sz w:val="24"/>
          <w:szCs w:val="24"/>
          <w:highlight w:val="none"/>
          <w:lang w:val="zh-CN"/>
        </w:rPr>
        <w:t xml:space="preserve"> </w:t>
      </w:r>
    </w:p>
    <w:p w14:paraId="18DAEAE2">
      <w:pPr>
        <w:spacing w:line="360" w:lineRule="auto"/>
        <w:ind w:firstLine="200"/>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传真</w:t>
      </w:r>
      <w:r>
        <w:rPr>
          <w:rFonts w:hint="eastAsia" w:ascii="宋体" w:hAnsi="宋体" w:cs="宋体"/>
          <w:color w:val="auto"/>
          <w:sz w:val="24"/>
          <w:szCs w:val="24"/>
          <w:highlight w:val="none"/>
          <w:lang w:val="zh-CN"/>
        </w:rPr>
        <w:t>：</w:t>
      </w:r>
      <w:r>
        <w:rPr>
          <w:rFonts w:hint="eastAsia" w:ascii="宋体" w:hAnsi="宋体" w:eastAsia="宋体" w:cs="宋体"/>
          <w:color w:val="auto"/>
          <w:sz w:val="24"/>
          <w:szCs w:val="24"/>
          <w:highlight w:val="none"/>
          <w:lang w:val="zh-CN"/>
        </w:rPr>
        <w:t xml:space="preserve">                                    传真</w:t>
      </w:r>
      <w:r>
        <w:rPr>
          <w:rFonts w:hint="eastAsia" w:ascii="宋体" w:hAnsi="宋体" w:cs="宋体"/>
          <w:color w:val="auto"/>
          <w:sz w:val="24"/>
          <w:szCs w:val="24"/>
          <w:highlight w:val="none"/>
          <w:lang w:val="zh-CN"/>
        </w:rPr>
        <w:t>：</w:t>
      </w:r>
    </w:p>
    <w:p w14:paraId="321FB8BD">
      <w:pPr>
        <w:spacing w:line="360" w:lineRule="auto"/>
        <w:ind w:firstLine="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t>电子邮箱：                               电子邮箱：</w:t>
      </w:r>
    </w:p>
    <w:p w14:paraId="19EA123F">
      <w:pPr>
        <w:spacing w:line="360" w:lineRule="auto"/>
        <w:ind w:firstLine="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开户银行：                               开户银行： </w:t>
      </w:r>
    </w:p>
    <w:p w14:paraId="2A8A3DB9">
      <w:pPr>
        <w:spacing w:line="360" w:lineRule="auto"/>
        <w:ind w:firstLine="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开户名称：                               开户名称： </w:t>
      </w:r>
    </w:p>
    <w:p w14:paraId="5961C878">
      <w:pPr>
        <w:spacing w:line="360" w:lineRule="auto"/>
        <w:ind w:firstLine="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开户账号：</w:t>
      </w:r>
      <w:r>
        <w:rPr>
          <w:rFonts w:hint="eastAsia" w:ascii="宋体" w:hAnsi="宋体" w:eastAsia="宋体" w:cs="宋体"/>
          <w:color w:val="auto"/>
          <w:sz w:val="24"/>
          <w:szCs w:val="24"/>
          <w:highlight w:val="none"/>
          <w:lang w:val="zh-CN"/>
        </w:rPr>
        <w:t xml:space="preserve">                               </w:t>
      </w:r>
      <w:r>
        <w:rPr>
          <w:rFonts w:hint="eastAsia" w:ascii="宋体" w:hAnsi="宋体" w:eastAsia="宋体" w:cs="宋体"/>
          <w:color w:val="auto"/>
          <w:sz w:val="24"/>
          <w:szCs w:val="24"/>
          <w:highlight w:val="none"/>
        </w:rPr>
        <w:t>开户账号：</w:t>
      </w:r>
    </w:p>
    <w:p w14:paraId="254DDED6">
      <w:pPr>
        <w:autoSpaceDE w:val="0"/>
        <w:autoSpaceDN w:val="0"/>
        <w:adjustRightInd w:val="0"/>
        <w:snapToGrid w:val="0"/>
        <w:spacing w:after="120" w:line="360" w:lineRule="auto"/>
        <w:jc w:val="center"/>
        <w:outlineLvl w:val="1"/>
        <w:rPr>
          <w:rFonts w:hint="eastAsia" w:ascii="宋体" w:hAnsi="宋体" w:eastAsia="宋体" w:cs="宋体"/>
          <w:b/>
          <w:color w:val="auto"/>
          <w:sz w:val="28"/>
          <w:szCs w:val="28"/>
          <w:highlight w:val="none"/>
        </w:rPr>
      </w:pPr>
      <w:bookmarkStart w:id="188" w:name="_Toc80205945"/>
      <w:bookmarkStart w:id="189" w:name="_Toc331685783"/>
      <w:bookmarkStart w:id="190" w:name="_Toc102743908"/>
    </w:p>
    <w:p w14:paraId="5ACA8F62">
      <w:pPr>
        <w:autoSpaceDE w:val="0"/>
        <w:autoSpaceDN w:val="0"/>
        <w:adjustRightInd w:val="0"/>
        <w:snapToGrid w:val="0"/>
        <w:spacing w:after="120" w:line="360" w:lineRule="auto"/>
        <w:jc w:val="center"/>
        <w:outlineLvl w:val="1"/>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第二部分 合同一般条款</w:t>
      </w:r>
      <w:bookmarkEnd w:id="188"/>
      <w:bookmarkEnd w:id="189"/>
      <w:bookmarkEnd w:id="190"/>
    </w:p>
    <w:p w14:paraId="313D2260">
      <w:pPr>
        <w:spacing w:line="360" w:lineRule="auto"/>
        <w:ind w:firstLine="482" w:firstLineChars="200"/>
        <w:rPr>
          <w:rFonts w:hint="eastAsia" w:ascii="宋体" w:hAnsi="宋体" w:eastAsia="宋体" w:cs="宋体"/>
          <w:b/>
          <w:color w:val="auto"/>
          <w:sz w:val="24"/>
          <w:szCs w:val="24"/>
          <w:highlight w:val="none"/>
        </w:rPr>
      </w:pPr>
      <w:bookmarkStart w:id="191" w:name="_Toc279701240"/>
      <w:bookmarkStart w:id="192" w:name="_Ref467379205"/>
      <w:bookmarkStart w:id="193" w:name="_Toc19614"/>
      <w:bookmarkStart w:id="194" w:name="_Ref467379094"/>
      <w:bookmarkStart w:id="195" w:name="_Ref467379214"/>
      <w:bookmarkStart w:id="196" w:name="_Ref467378499"/>
      <w:bookmarkStart w:id="197" w:name="_Toc16917"/>
      <w:bookmarkStart w:id="198" w:name="_Ref467379101"/>
      <w:bookmarkStart w:id="199" w:name="_Toc28763"/>
      <w:bookmarkStart w:id="200" w:name="_Toc487900349"/>
      <w:bookmarkStart w:id="201" w:name="_Toc259093669"/>
      <w:bookmarkStart w:id="202" w:name="_Ref467378463"/>
      <w:bookmarkStart w:id="203" w:name="_Ref467379109"/>
      <w:bookmarkStart w:id="204" w:name="_Ref467379225"/>
      <w:bookmarkStart w:id="205" w:name="_Ref467378404"/>
      <w:bookmarkStart w:id="206" w:name="_Ref467379195"/>
      <w:r>
        <w:rPr>
          <w:rFonts w:hint="eastAsia" w:ascii="宋体" w:hAnsi="宋体" w:eastAsia="宋体" w:cs="宋体"/>
          <w:b/>
          <w:color w:val="auto"/>
          <w:sz w:val="24"/>
          <w:szCs w:val="24"/>
          <w:highlight w:val="none"/>
        </w:rPr>
        <w:t>2.1 定义</w:t>
      </w:r>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14:paraId="22823CF2">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本合同中的下列词语应按以下内容进行解释：</w:t>
      </w:r>
    </w:p>
    <w:p w14:paraId="106E4FB5">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2.1.1 “合同”系指采购人和中标人签订的载明双方当事人所达成的协议，并包括所有的附件、附录和构成合同的其他文件。</w:t>
      </w:r>
    </w:p>
    <w:p w14:paraId="4F2D842E">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2.1.2 “合同价”系指根据合同约定，中标人在完全履行合同义务后，采购人应支付给中标人的价格。</w:t>
      </w:r>
    </w:p>
    <w:p w14:paraId="7B737904">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2.1.3 “标的物”系指中标人根据合同约定应向采购人交付的服务，包括但不限于</w:t>
      </w:r>
      <w:r>
        <w:rPr>
          <w:rFonts w:hint="eastAsia" w:ascii="宋体" w:hAnsi="宋体" w:cs="仿宋"/>
          <w:color w:val="auto"/>
          <w:sz w:val="24"/>
          <w:szCs w:val="24"/>
          <w:highlight w:val="none"/>
        </w:rPr>
        <w:t>校园及周边的安全保卫管理、</w:t>
      </w:r>
      <w:r>
        <w:rPr>
          <w:rFonts w:hint="eastAsia" w:ascii="宋体" w:hAnsi="宋体" w:cs="仿宋"/>
          <w:color w:val="auto"/>
          <w:sz w:val="24"/>
          <w:szCs w:val="24"/>
          <w:highlight w:val="none"/>
          <w:lang w:val="en-US" w:eastAsia="zh-CN"/>
        </w:rPr>
        <w:t>学生实习管理（包括</w:t>
      </w:r>
      <w:r>
        <w:rPr>
          <w:rFonts w:hint="eastAsia" w:ascii="宋体" w:hAnsi="宋体" w:cs="仿宋"/>
          <w:color w:val="auto"/>
          <w:sz w:val="24"/>
          <w:szCs w:val="24"/>
          <w:highlight w:val="none"/>
        </w:rPr>
        <w:t>学生宿舍区管理、学生管理服务</w:t>
      </w:r>
      <w:r>
        <w:rPr>
          <w:rFonts w:hint="eastAsia" w:ascii="宋体" w:hAnsi="宋体" w:cs="仿宋"/>
          <w:color w:val="auto"/>
          <w:sz w:val="24"/>
          <w:szCs w:val="24"/>
          <w:highlight w:val="none"/>
          <w:lang w:val="en-US" w:eastAsia="zh-CN"/>
        </w:rPr>
        <w:t>、</w:t>
      </w:r>
      <w:r>
        <w:rPr>
          <w:rFonts w:hint="eastAsia" w:ascii="宋体" w:hAnsi="宋体" w:cs="仿宋"/>
          <w:color w:val="auto"/>
          <w:sz w:val="24"/>
          <w:szCs w:val="24"/>
          <w:highlight w:val="none"/>
        </w:rPr>
        <w:t>各种学生集会组织及纪律管理</w:t>
      </w:r>
      <w:r>
        <w:rPr>
          <w:rFonts w:hint="eastAsia" w:ascii="宋体" w:hAnsi="宋体" w:cs="仿宋"/>
          <w:color w:val="auto"/>
          <w:sz w:val="24"/>
          <w:szCs w:val="24"/>
          <w:highlight w:val="none"/>
          <w:lang w:eastAsia="zh-CN"/>
        </w:rPr>
        <w:t>、</w:t>
      </w:r>
      <w:r>
        <w:rPr>
          <w:rFonts w:hint="eastAsia" w:ascii="宋体" w:hAnsi="宋体" w:cs="仿宋"/>
          <w:color w:val="auto"/>
          <w:sz w:val="24"/>
          <w:szCs w:val="24"/>
          <w:highlight w:val="none"/>
          <w:lang w:val="en-US" w:eastAsia="zh-CN"/>
        </w:rPr>
        <w:t>卫生管理</w:t>
      </w:r>
      <w:r>
        <w:rPr>
          <w:rFonts w:hint="eastAsia" w:ascii="宋体" w:hAnsi="宋体" w:eastAsia="宋体" w:cs="宋体"/>
          <w:color w:val="auto"/>
          <w:sz w:val="24"/>
          <w:szCs w:val="24"/>
          <w:highlight w:val="none"/>
        </w:rPr>
        <w:t>等</w:t>
      </w:r>
      <w:r>
        <w:rPr>
          <w:rFonts w:hint="eastAsia" w:ascii="宋体" w:hAnsi="宋体" w:cs="仿宋"/>
          <w:color w:val="auto"/>
          <w:sz w:val="24"/>
          <w:szCs w:val="24"/>
          <w:highlight w:val="none"/>
          <w:lang w:val="en-US" w:eastAsia="zh-CN"/>
        </w:rPr>
        <w:t>）</w:t>
      </w:r>
      <w:r>
        <w:rPr>
          <w:rFonts w:hint="eastAsia" w:ascii="宋体" w:hAnsi="宋体" w:eastAsia="宋体" w:cs="宋体"/>
          <w:color w:val="auto"/>
          <w:sz w:val="24"/>
          <w:szCs w:val="24"/>
          <w:highlight w:val="none"/>
        </w:rPr>
        <w:t>，并</w:t>
      </w:r>
      <w:r>
        <w:rPr>
          <w:rFonts w:hint="eastAsia" w:ascii="宋体" w:hAnsi="宋体" w:eastAsia="宋体" w:cs="宋体"/>
          <w:color w:val="auto"/>
          <w:sz w:val="24"/>
          <w:szCs w:val="24"/>
          <w:highlight w:val="none"/>
        </w:rPr>
        <w:t>包括</w:t>
      </w:r>
      <w:r>
        <w:rPr>
          <w:rFonts w:hint="eastAsia" w:ascii="宋体" w:hAnsi="宋体" w:cs="宋体"/>
          <w:color w:val="auto"/>
          <w:sz w:val="24"/>
          <w:szCs w:val="24"/>
          <w:highlight w:val="none"/>
          <w:lang w:eastAsia="zh-CN"/>
        </w:rPr>
        <w:t>服务期限内的相关记录</w:t>
      </w:r>
      <w:r>
        <w:rPr>
          <w:rFonts w:hint="eastAsia" w:ascii="宋体" w:hAnsi="宋体" w:eastAsia="宋体" w:cs="宋体"/>
          <w:color w:val="auto"/>
          <w:sz w:val="24"/>
          <w:szCs w:val="24"/>
          <w:highlight w:val="none"/>
        </w:rPr>
        <w:t>文件等其他相关资料。</w:t>
      </w:r>
    </w:p>
    <w:p w14:paraId="3F2A9A52">
      <w:pPr>
        <w:spacing w:line="360" w:lineRule="auto"/>
        <w:ind w:firstLine="480" w:firstLineChars="200"/>
        <w:rPr>
          <w:rFonts w:hint="eastAsia" w:ascii="宋体" w:hAnsi="宋体" w:eastAsia="宋体" w:cs="宋体"/>
          <w:color w:val="auto"/>
          <w:sz w:val="24"/>
          <w:szCs w:val="24"/>
          <w:highlight w:val="none"/>
        </w:rPr>
      </w:pPr>
      <w:bookmarkStart w:id="207" w:name="_Ref467378840"/>
      <w:r>
        <w:rPr>
          <w:rFonts w:hint="eastAsia" w:ascii="宋体" w:hAnsi="宋体" w:eastAsia="宋体" w:cs="宋体"/>
          <w:color w:val="auto"/>
          <w:sz w:val="24"/>
          <w:szCs w:val="24"/>
          <w:highlight w:val="none"/>
        </w:rPr>
        <w:t>2.1.4 “甲方”系指与中标人签署合同的采购人</w:t>
      </w:r>
      <w:bookmarkEnd w:id="207"/>
      <w:r>
        <w:rPr>
          <w:rFonts w:hint="eastAsia" w:ascii="宋体" w:hAnsi="宋体" w:eastAsia="宋体" w:cs="宋体"/>
          <w:color w:val="auto"/>
          <w:sz w:val="24"/>
          <w:szCs w:val="24"/>
          <w:highlight w:val="none"/>
        </w:rPr>
        <w:t>；采购人委托采购机构代表其与乙方签订合同的，采购人的授权委托书作为合同附件。</w:t>
      </w:r>
    </w:p>
    <w:p w14:paraId="42C58E16">
      <w:pPr>
        <w:spacing w:line="360" w:lineRule="auto"/>
        <w:ind w:firstLine="480" w:firstLineChars="200"/>
        <w:rPr>
          <w:rFonts w:hint="eastAsia" w:ascii="宋体" w:hAnsi="宋体" w:eastAsia="宋体" w:cs="宋体"/>
          <w:color w:val="auto"/>
          <w:sz w:val="24"/>
          <w:szCs w:val="24"/>
          <w:highlight w:val="none"/>
        </w:rPr>
      </w:pPr>
      <w:bookmarkStart w:id="208" w:name="_Ref467379400"/>
      <w:r>
        <w:rPr>
          <w:rFonts w:hint="eastAsia" w:ascii="宋体" w:hAnsi="宋体" w:eastAsia="宋体" w:cs="宋体"/>
          <w:color w:val="auto"/>
          <w:sz w:val="24"/>
          <w:szCs w:val="24"/>
          <w:highlight w:val="none"/>
        </w:rPr>
        <w:t>2.1.5 “乙方”系指根据合同约定交付标的物的</w:t>
      </w:r>
      <w:bookmarkEnd w:id="208"/>
      <w:r>
        <w:rPr>
          <w:rFonts w:hint="eastAsia" w:ascii="宋体" w:hAnsi="宋体" w:cs="宋体"/>
          <w:color w:val="auto"/>
          <w:sz w:val="24"/>
          <w:szCs w:val="24"/>
          <w:highlight w:val="none"/>
          <w:lang w:eastAsia="zh-CN"/>
        </w:rPr>
        <w:t>成交</w:t>
      </w:r>
      <w:r>
        <w:rPr>
          <w:rFonts w:hint="eastAsia" w:ascii="宋体" w:hAnsi="宋体" w:eastAsia="宋体" w:cs="宋体"/>
          <w:color w:val="auto"/>
          <w:sz w:val="24"/>
          <w:szCs w:val="24"/>
          <w:highlight w:val="none"/>
        </w:rPr>
        <w:t>人；两个以上的自然人、法人或者其他组织组成一个联合体，以一个供应商的身份共同参加采购的，联合体各方均应为乙方或者与乙方相同地位的合同当事人，并就合同约定的事项对甲方承担连带责任。</w:t>
      </w:r>
    </w:p>
    <w:p w14:paraId="3179DA46">
      <w:pPr>
        <w:spacing w:line="360" w:lineRule="auto"/>
        <w:ind w:firstLine="480" w:firstLineChars="200"/>
        <w:rPr>
          <w:rFonts w:hint="eastAsia" w:ascii="宋体" w:hAnsi="宋体" w:eastAsia="宋体" w:cs="宋体"/>
          <w:color w:val="auto"/>
          <w:sz w:val="24"/>
          <w:szCs w:val="24"/>
          <w:highlight w:val="none"/>
        </w:rPr>
      </w:pPr>
      <w:bookmarkStart w:id="209" w:name="_Ref467379436"/>
      <w:r>
        <w:rPr>
          <w:rFonts w:hint="eastAsia" w:ascii="宋体" w:hAnsi="宋体" w:eastAsia="宋体" w:cs="宋体"/>
          <w:color w:val="auto"/>
          <w:sz w:val="24"/>
          <w:szCs w:val="24"/>
          <w:highlight w:val="none"/>
        </w:rPr>
        <w:t>2.1.6 “现场”系指合同约定标的物将要运至或者实施或者安装的地点。</w:t>
      </w:r>
      <w:bookmarkEnd w:id="209"/>
    </w:p>
    <w:p w14:paraId="139B87C6">
      <w:pPr>
        <w:spacing w:line="360" w:lineRule="auto"/>
        <w:ind w:firstLine="482" w:firstLineChars="200"/>
        <w:rPr>
          <w:rFonts w:hint="eastAsia" w:ascii="宋体" w:hAnsi="宋体" w:eastAsia="宋体" w:cs="宋体"/>
          <w:b/>
          <w:color w:val="auto"/>
          <w:sz w:val="24"/>
          <w:szCs w:val="24"/>
          <w:highlight w:val="none"/>
        </w:rPr>
      </w:pPr>
      <w:bookmarkStart w:id="210" w:name="_Toc259093670"/>
      <w:bookmarkStart w:id="211" w:name="_Toc27635"/>
      <w:bookmarkStart w:id="212" w:name="_Toc32504"/>
      <w:bookmarkStart w:id="213" w:name="_Toc279701241"/>
      <w:bookmarkStart w:id="214" w:name="_Toc487900350"/>
      <w:bookmarkStart w:id="215" w:name="_Toc13336"/>
      <w:r>
        <w:rPr>
          <w:rFonts w:hint="eastAsia" w:ascii="宋体" w:hAnsi="宋体" w:eastAsia="宋体" w:cs="宋体"/>
          <w:b/>
          <w:color w:val="auto"/>
          <w:sz w:val="24"/>
          <w:szCs w:val="24"/>
          <w:highlight w:val="none"/>
        </w:rPr>
        <w:t>2.2 技术规范</w:t>
      </w:r>
      <w:bookmarkEnd w:id="210"/>
      <w:bookmarkEnd w:id="211"/>
      <w:bookmarkEnd w:id="212"/>
      <w:bookmarkEnd w:id="213"/>
      <w:bookmarkEnd w:id="214"/>
      <w:bookmarkEnd w:id="215"/>
    </w:p>
    <w:p w14:paraId="52FA3C3F">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标的物所应遵守的技术规范应与</w:t>
      </w:r>
      <w:r>
        <w:rPr>
          <w:rFonts w:hint="eastAsia" w:ascii="宋体" w:hAnsi="宋体" w:eastAsia="宋体" w:cs="宋体"/>
          <w:color w:val="auto"/>
          <w:sz w:val="24"/>
          <w:szCs w:val="24"/>
          <w:highlight w:val="none"/>
          <w:lang w:eastAsia="zh-CN"/>
        </w:rPr>
        <w:t>磋商</w:t>
      </w:r>
      <w:r>
        <w:rPr>
          <w:rFonts w:hint="eastAsia" w:ascii="宋体" w:hAnsi="宋体" w:eastAsia="宋体" w:cs="宋体"/>
          <w:color w:val="auto"/>
          <w:sz w:val="24"/>
          <w:szCs w:val="24"/>
          <w:highlight w:val="none"/>
        </w:rPr>
        <w:t>文件规定的技术规范和技术规范附件(如果有的话)及其技术规范偏差表(如果被甲方接受的话)相一致；如果</w:t>
      </w:r>
      <w:r>
        <w:rPr>
          <w:rFonts w:hint="eastAsia" w:ascii="宋体" w:hAnsi="宋体" w:eastAsia="宋体" w:cs="宋体"/>
          <w:color w:val="auto"/>
          <w:sz w:val="24"/>
          <w:szCs w:val="24"/>
          <w:highlight w:val="none"/>
          <w:lang w:eastAsia="zh-CN"/>
        </w:rPr>
        <w:t>磋商</w:t>
      </w:r>
      <w:r>
        <w:rPr>
          <w:rFonts w:hint="eastAsia" w:ascii="宋体" w:hAnsi="宋体" w:eastAsia="宋体" w:cs="宋体"/>
          <w:color w:val="auto"/>
          <w:sz w:val="24"/>
          <w:szCs w:val="24"/>
          <w:highlight w:val="none"/>
        </w:rPr>
        <w:t>文件中没有技术规范的相应说明，应以国家有关部门最新颁布的相应标准和规范为准。</w:t>
      </w:r>
    </w:p>
    <w:p w14:paraId="14C721D3">
      <w:pPr>
        <w:spacing w:line="360" w:lineRule="auto"/>
        <w:ind w:firstLine="482" w:firstLineChars="200"/>
        <w:rPr>
          <w:rFonts w:hint="eastAsia" w:ascii="宋体" w:hAnsi="宋体" w:eastAsia="宋体" w:cs="宋体"/>
          <w:b/>
          <w:color w:val="auto"/>
          <w:sz w:val="24"/>
          <w:szCs w:val="24"/>
          <w:highlight w:val="none"/>
        </w:rPr>
      </w:pPr>
      <w:bookmarkStart w:id="216" w:name="_Toc9829"/>
      <w:bookmarkStart w:id="217" w:name="_Toc27853"/>
      <w:bookmarkStart w:id="218" w:name="_Toc31634"/>
      <w:bookmarkStart w:id="219" w:name="_Toc259093671"/>
      <w:bookmarkStart w:id="220" w:name="_Toc279701242"/>
      <w:bookmarkStart w:id="221" w:name="_Toc487900351"/>
      <w:r>
        <w:rPr>
          <w:rFonts w:hint="eastAsia" w:ascii="宋体" w:hAnsi="宋体" w:eastAsia="宋体" w:cs="宋体"/>
          <w:b/>
          <w:color w:val="auto"/>
          <w:sz w:val="24"/>
          <w:szCs w:val="24"/>
          <w:highlight w:val="none"/>
        </w:rPr>
        <w:t>2.3 知识产权</w:t>
      </w:r>
      <w:bookmarkEnd w:id="216"/>
      <w:bookmarkEnd w:id="217"/>
      <w:bookmarkEnd w:id="218"/>
      <w:bookmarkEnd w:id="219"/>
      <w:bookmarkEnd w:id="220"/>
      <w:bookmarkEnd w:id="221"/>
    </w:p>
    <w:p w14:paraId="0CE7EDDC">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2.3.1 乙方应保证</w:t>
      </w:r>
      <w:r>
        <w:rPr>
          <w:rFonts w:hint="eastAsia" w:ascii="宋体" w:hAnsi="宋体" w:cs="宋体"/>
          <w:color w:val="auto"/>
          <w:sz w:val="24"/>
          <w:szCs w:val="24"/>
          <w:highlight w:val="none"/>
          <w:lang w:eastAsia="zh-CN"/>
        </w:rPr>
        <w:t>提供服务期间所使用的文件、信息平台</w:t>
      </w:r>
      <w:r>
        <w:rPr>
          <w:rFonts w:hint="eastAsia" w:ascii="宋体" w:hAnsi="宋体" w:eastAsia="宋体" w:cs="宋体"/>
          <w:color w:val="auto"/>
          <w:sz w:val="24"/>
          <w:szCs w:val="24"/>
          <w:highlight w:val="none"/>
        </w:rPr>
        <w:t>或其任何</w:t>
      </w:r>
      <w:r>
        <w:rPr>
          <w:rFonts w:hint="eastAsia" w:ascii="宋体" w:hAnsi="宋体" w:cs="宋体"/>
          <w:color w:val="auto"/>
          <w:sz w:val="24"/>
          <w:szCs w:val="24"/>
          <w:highlight w:val="none"/>
          <w:lang w:eastAsia="zh-CN"/>
        </w:rPr>
        <w:t>情况下</w:t>
      </w:r>
      <w:r>
        <w:rPr>
          <w:rFonts w:hint="eastAsia" w:ascii="宋体" w:hAnsi="宋体" w:eastAsia="宋体" w:cs="宋体"/>
          <w:color w:val="auto"/>
          <w:sz w:val="24"/>
          <w:szCs w:val="24"/>
          <w:highlight w:val="none"/>
        </w:rPr>
        <w:t>不受任何第三方提出的侵犯其著作权、商标权、专利权等知识产权方面的起诉；如果任何第三方提出侵权指控，乙方须与该第三方交涉并承担由此发生的一切责任、费用和赔偿</w:t>
      </w:r>
      <w:r>
        <w:rPr>
          <w:rFonts w:hint="eastAsia" w:ascii="宋体" w:hAnsi="宋体" w:eastAsia="宋体" w:cs="宋体"/>
          <w:color w:val="auto"/>
          <w:sz w:val="24"/>
          <w:szCs w:val="24"/>
          <w:highlight w:val="none"/>
          <w:lang w:eastAsia="zh-CN"/>
        </w:rPr>
        <w:t>。</w:t>
      </w:r>
    </w:p>
    <w:p w14:paraId="11189B55">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2.3.2具有知识产权的计算机软件等标的物的知识产权归属，详见</w:t>
      </w:r>
      <w:r>
        <w:rPr>
          <w:rFonts w:hint="eastAsia" w:ascii="宋体" w:hAnsi="宋体" w:eastAsia="宋体" w:cs="宋体"/>
          <w:b/>
          <w:iCs/>
          <w:color w:val="auto"/>
          <w:sz w:val="24"/>
          <w:szCs w:val="24"/>
          <w:highlight w:val="none"/>
          <w:u w:val="single"/>
        </w:rPr>
        <w:t>合同专用条款</w:t>
      </w:r>
      <w:r>
        <w:rPr>
          <w:rFonts w:hint="eastAsia" w:ascii="宋体" w:hAnsi="宋体" w:eastAsia="宋体" w:cs="宋体"/>
          <w:color w:val="auto"/>
          <w:sz w:val="24"/>
          <w:szCs w:val="24"/>
          <w:highlight w:val="none"/>
        </w:rPr>
        <w:t>。</w:t>
      </w:r>
    </w:p>
    <w:p w14:paraId="767FB017">
      <w:pPr>
        <w:spacing w:line="360" w:lineRule="auto"/>
        <w:ind w:firstLine="482" w:firstLineChars="200"/>
        <w:rPr>
          <w:rFonts w:hint="eastAsia" w:ascii="宋体" w:hAnsi="宋体" w:eastAsia="宋体" w:cs="宋体"/>
          <w:b/>
          <w:color w:val="auto"/>
          <w:sz w:val="24"/>
          <w:szCs w:val="24"/>
          <w:highlight w:val="none"/>
        </w:rPr>
      </w:pPr>
      <w:bookmarkStart w:id="222" w:name="_Ref467379542"/>
      <w:bookmarkStart w:id="223" w:name="_Ref467379536"/>
      <w:bookmarkStart w:id="224" w:name="_Toc487900354"/>
      <w:bookmarkStart w:id="225" w:name="_Ref467378541"/>
      <w:bookmarkStart w:id="226" w:name="_Ref467379527"/>
      <w:bookmarkStart w:id="227" w:name="_Ref467378591"/>
      <w:bookmarkStart w:id="228" w:name="_Toc259093674"/>
      <w:bookmarkStart w:id="229" w:name="_Toc279701245"/>
      <w:bookmarkStart w:id="230" w:name="_Toc19074"/>
      <w:bookmarkStart w:id="231" w:name="_Toc26182"/>
      <w:bookmarkStart w:id="232" w:name="_Toc30272"/>
      <w:r>
        <w:rPr>
          <w:rFonts w:hint="eastAsia" w:ascii="宋体" w:hAnsi="宋体" w:eastAsia="宋体" w:cs="宋体"/>
          <w:b/>
          <w:color w:val="auto"/>
          <w:sz w:val="24"/>
          <w:szCs w:val="24"/>
          <w:highlight w:val="none"/>
        </w:rPr>
        <w:t>2.</w:t>
      </w:r>
      <w:bookmarkEnd w:id="222"/>
      <w:bookmarkEnd w:id="223"/>
      <w:bookmarkEnd w:id="224"/>
      <w:bookmarkEnd w:id="225"/>
      <w:bookmarkEnd w:id="226"/>
      <w:bookmarkEnd w:id="227"/>
      <w:bookmarkEnd w:id="228"/>
      <w:bookmarkEnd w:id="229"/>
      <w:r>
        <w:rPr>
          <w:rFonts w:hint="eastAsia" w:ascii="宋体" w:hAnsi="宋体" w:cs="宋体"/>
          <w:b/>
          <w:color w:val="auto"/>
          <w:sz w:val="24"/>
          <w:szCs w:val="24"/>
          <w:highlight w:val="none"/>
          <w:lang w:val="en-US" w:eastAsia="zh-CN"/>
        </w:rPr>
        <w:t>4</w:t>
      </w:r>
      <w:r>
        <w:rPr>
          <w:rFonts w:hint="eastAsia" w:ascii="宋体" w:hAnsi="宋体" w:eastAsia="宋体" w:cs="宋体"/>
          <w:b/>
          <w:color w:val="auto"/>
          <w:sz w:val="24"/>
          <w:szCs w:val="24"/>
          <w:highlight w:val="none"/>
        </w:rPr>
        <w:t xml:space="preserve"> 履约检查和问题反馈</w:t>
      </w:r>
      <w:bookmarkEnd w:id="230"/>
      <w:bookmarkEnd w:id="231"/>
      <w:bookmarkEnd w:id="232"/>
    </w:p>
    <w:p w14:paraId="2A837B23">
      <w:pPr>
        <w:spacing w:line="360" w:lineRule="auto"/>
        <w:ind w:firstLine="480" w:firstLineChars="200"/>
        <w:rPr>
          <w:rFonts w:hint="eastAsia" w:ascii="宋体" w:hAnsi="宋体" w:eastAsia="宋体" w:cs="宋体"/>
          <w:color w:val="auto"/>
          <w:sz w:val="24"/>
          <w:szCs w:val="24"/>
          <w:highlight w:val="none"/>
          <w:lang w:eastAsia="zh-CN"/>
        </w:rPr>
      </w:pPr>
      <w:bookmarkStart w:id="233" w:name="_Ref467379657"/>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.1</w:t>
      </w:r>
      <w:bookmarkEnd w:id="233"/>
      <w:bookmarkStart w:id="234" w:name="_Toc186431854"/>
      <w:bookmarkStart w:id="235" w:name="_Ref467379793"/>
      <w:bookmarkStart w:id="236" w:name="_Toc259093676"/>
      <w:bookmarkStart w:id="237" w:name="_Toc279701247"/>
      <w:bookmarkStart w:id="238" w:name="_Ref467379807"/>
      <w:bookmarkStart w:id="239" w:name="_Toc487900357"/>
      <w:r>
        <w:rPr>
          <w:rFonts w:hint="eastAsia" w:ascii="宋体" w:hAnsi="宋体" w:eastAsia="宋体" w:cs="宋体"/>
          <w:color w:val="auto"/>
          <w:sz w:val="24"/>
          <w:szCs w:val="24"/>
          <w:highlight w:val="none"/>
        </w:rPr>
        <w:t>甲方有权在其认为必要时，对乙方是否能够按照合同约定</w:t>
      </w:r>
      <w:r>
        <w:rPr>
          <w:rFonts w:hint="eastAsia" w:ascii="宋体" w:hAnsi="宋体" w:cs="宋体"/>
          <w:color w:val="auto"/>
          <w:sz w:val="24"/>
          <w:szCs w:val="24"/>
          <w:highlight w:val="none"/>
          <w:lang w:eastAsia="zh-CN"/>
        </w:rPr>
        <w:t>提供服务</w:t>
      </w:r>
      <w:r>
        <w:rPr>
          <w:rFonts w:hint="eastAsia" w:ascii="宋体" w:hAnsi="宋体" w:eastAsia="宋体" w:cs="宋体"/>
          <w:color w:val="auto"/>
          <w:sz w:val="24"/>
          <w:szCs w:val="24"/>
          <w:highlight w:val="none"/>
        </w:rPr>
        <w:t>进行履约检查，以确保乙方所</w:t>
      </w:r>
      <w:r>
        <w:rPr>
          <w:rFonts w:hint="eastAsia" w:ascii="宋体" w:hAnsi="宋体" w:cs="宋体"/>
          <w:color w:val="auto"/>
          <w:sz w:val="24"/>
          <w:szCs w:val="24"/>
          <w:highlight w:val="none"/>
          <w:lang w:eastAsia="zh-CN"/>
        </w:rPr>
        <w:t>提供的服务</w:t>
      </w:r>
      <w:r>
        <w:rPr>
          <w:rFonts w:hint="eastAsia" w:ascii="宋体" w:hAnsi="宋体" w:eastAsia="宋体" w:cs="宋体"/>
          <w:color w:val="auto"/>
          <w:sz w:val="24"/>
          <w:szCs w:val="24"/>
          <w:highlight w:val="none"/>
        </w:rPr>
        <w:t>能够依约满足甲方之项目需求，但不得因履约检查妨碍乙方的正常工作，乙方应予积极配合</w:t>
      </w:r>
      <w:r>
        <w:rPr>
          <w:rFonts w:hint="eastAsia" w:ascii="宋体" w:hAnsi="宋体" w:eastAsia="宋体" w:cs="宋体"/>
          <w:color w:val="auto"/>
          <w:sz w:val="24"/>
          <w:szCs w:val="24"/>
          <w:highlight w:val="none"/>
          <w:lang w:eastAsia="zh-CN"/>
        </w:rPr>
        <w:t>。</w:t>
      </w:r>
    </w:p>
    <w:p w14:paraId="6D9A536B">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.2 合同履行期间，甲方有权将履行过程中出现的问题反馈给乙方，双方当事人应以书面形式约定需要完善和改进的内容</w:t>
      </w:r>
      <w:bookmarkEnd w:id="234"/>
      <w:bookmarkStart w:id="240" w:name="_Toc186431855"/>
      <w:r>
        <w:rPr>
          <w:rFonts w:hint="eastAsia" w:ascii="宋体" w:hAnsi="宋体" w:eastAsia="宋体" w:cs="宋体"/>
          <w:color w:val="auto"/>
          <w:sz w:val="24"/>
          <w:szCs w:val="24"/>
          <w:highlight w:val="none"/>
        </w:rPr>
        <w:t>。</w:t>
      </w:r>
    </w:p>
    <w:bookmarkEnd w:id="240"/>
    <w:p w14:paraId="50BA21B9">
      <w:pPr>
        <w:spacing w:line="360" w:lineRule="auto"/>
        <w:ind w:firstLine="482" w:firstLineChars="200"/>
        <w:rPr>
          <w:rFonts w:hint="eastAsia" w:ascii="宋体" w:hAnsi="宋体" w:eastAsia="宋体" w:cs="宋体"/>
          <w:b/>
          <w:color w:val="auto"/>
          <w:sz w:val="24"/>
          <w:szCs w:val="24"/>
          <w:highlight w:val="none"/>
        </w:rPr>
      </w:pPr>
      <w:bookmarkStart w:id="241" w:name="_Toc19219"/>
      <w:bookmarkStart w:id="242" w:name="_Toc28451"/>
      <w:bookmarkStart w:id="243" w:name="_Toc7836"/>
      <w:r>
        <w:rPr>
          <w:rFonts w:hint="eastAsia" w:ascii="宋体" w:hAnsi="宋体" w:eastAsia="宋体" w:cs="宋体"/>
          <w:b/>
          <w:color w:val="auto"/>
          <w:sz w:val="24"/>
          <w:szCs w:val="24"/>
          <w:highlight w:val="none"/>
        </w:rPr>
        <w:t>2.</w:t>
      </w:r>
      <w:r>
        <w:rPr>
          <w:rFonts w:hint="eastAsia" w:ascii="宋体" w:hAnsi="宋体" w:cs="宋体"/>
          <w:b/>
          <w:color w:val="auto"/>
          <w:sz w:val="24"/>
          <w:szCs w:val="24"/>
          <w:highlight w:val="none"/>
          <w:lang w:val="en-US" w:eastAsia="zh-CN"/>
        </w:rPr>
        <w:t>5</w:t>
      </w:r>
      <w:r>
        <w:rPr>
          <w:rFonts w:hint="eastAsia" w:ascii="宋体" w:hAnsi="宋体" w:eastAsia="宋体" w:cs="宋体"/>
          <w:b/>
          <w:color w:val="auto"/>
          <w:sz w:val="24"/>
          <w:szCs w:val="24"/>
          <w:highlight w:val="none"/>
        </w:rPr>
        <w:t xml:space="preserve"> 结算方式和付款条件</w:t>
      </w:r>
      <w:bookmarkEnd w:id="235"/>
      <w:bookmarkEnd w:id="236"/>
      <w:bookmarkEnd w:id="237"/>
      <w:bookmarkEnd w:id="238"/>
      <w:bookmarkEnd w:id="239"/>
      <w:bookmarkEnd w:id="241"/>
      <w:bookmarkEnd w:id="242"/>
      <w:bookmarkEnd w:id="243"/>
    </w:p>
    <w:p w14:paraId="6D92E11A">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详见</w:t>
      </w:r>
      <w:r>
        <w:rPr>
          <w:rFonts w:hint="eastAsia" w:ascii="宋体" w:hAnsi="宋体" w:eastAsia="宋体" w:cs="宋体"/>
          <w:b/>
          <w:iCs/>
          <w:color w:val="auto"/>
          <w:sz w:val="24"/>
          <w:szCs w:val="24"/>
          <w:highlight w:val="none"/>
          <w:u w:val="single"/>
        </w:rPr>
        <w:t>合同专用条款</w:t>
      </w:r>
      <w:r>
        <w:rPr>
          <w:rFonts w:hint="eastAsia" w:ascii="宋体" w:hAnsi="宋体" w:eastAsia="宋体" w:cs="宋体"/>
          <w:color w:val="auto"/>
          <w:sz w:val="24"/>
          <w:szCs w:val="24"/>
          <w:highlight w:val="none"/>
        </w:rPr>
        <w:t>。</w:t>
      </w:r>
    </w:p>
    <w:p w14:paraId="4E116970">
      <w:pPr>
        <w:spacing w:line="360" w:lineRule="auto"/>
        <w:ind w:firstLine="482" w:firstLineChars="200"/>
        <w:rPr>
          <w:rFonts w:hint="eastAsia" w:ascii="宋体" w:hAnsi="宋体" w:eastAsia="宋体" w:cs="宋体"/>
          <w:b/>
          <w:color w:val="auto"/>
          <w:sz w:val="24"/>
          <w:szCs w:val="24"/>
          <w:highlight w:val="none"/>
        </w:rPr>
      </w:pPr>
      <w:bookmarkStart w:id="244" w:name="_Toc279701248"/>
      <w:bookmarkStart w:id="245" w:name="_Toc259093677"/>
      <w:bookmarkStart w:id="246" w:name="_Toc487900358"/>
      <w:bookmarkStart w:id="247" w:name="_Ref467379923"/>
      <w:bookmarkStart w:id="248" w:name="_Ref467379852"/>
      <w:bookmarkStart w:id="249" w:name="_Ref467379863"/>
      <w:bookmarkStart w:id="250" w:name="_Toc16110"/>
      <w:bookmarkStart w:id="251" w:name="_Toc3225"/>
      <w:bookmarkStart w:id="252" w:name="_Toc774"/>
      <w:r>
        <w:rPr>
          <w:rFonts w:hint="eastAsia" w:ascii="宋体" w:hAnsi="宋体" w:eastAsia="宋体" w:cs="宋体"/>
          <w:b/>
          <w:color w:val="auto"/>
          <w:sz w:val="24"/>
          <w:szCs w:val="24"/>
          <w:highlight w:val="none"/>
        </w:rPr>
        <w:t>2.</w:t>
      </w:r>
      <w:r>
        <w:rPr>
          <w:rFonts w:hint="eastAsia" w:ascii="宋体" w:hAnsi="宋体" w:cs="宋体"/>
          <w:b/>
          <w:color w:val="auto"/>
          <w:sz w:val="24"/>
          <w:szCs w:val="24"/>
          <w:highlight w:val="none"/>
          <w:lang w:val="en-US" w:eastAsia="zh-CN"/>
        </w:rPr>
        <w:t>6</w:t>
      </w:r>
      <w:r>
        <w:rPr>
          <w:rFonts w:hint="eastAsia" w:ascii="宋体" w:hAnsi="宋体" w:eastAsia="宋体" w:cs="宋体"/>
          <w:b/>
          <w:color w:val="auto"/>
          <w:sz w:val="24"/>
          <w:szCs w:val="24"/>
          <w:highlight w:val="none"/>
        </w:rPr>
        <w:t xml:space="preserve"> 技术资料</w:t>
      </w:r>
      <w:bookmarkEnd w:id="244"/>
      <w:bookmarkEnd w:id="245"/>
      <w:bookmarkEnd w:id="246"/>
      <w:bookmarkEnd w:id="247"/>
      <w:bookmarkEnd w:id="248"/>
      <w:bookmarkEnd w:id="249"/>
      <w:r>
        <w:rPr>
          <w:rFonts w:hint="eastAsia" w:ascii="宋体" w:hAnsi="宋体" w:eastAsia="宋体" w:cs="宋体"/>
          <w:b/>
          <w:color w:val="auto"/>
          <w:sz w:val="24"/>
          <w:szCs w:val="24"/>
          <w:highlight w:val="none"/>
        </w:rPr>
        <w:t>和保密义务</w:t>
      </w:r>
      <w:bookmarkEnd w:id="250"/>
      <w:bookmarkEnd w:id="251"/>
      <w:bookmarkEnd w:id="252"/>
    </w:p>
    <w:p w14:paraId="6FD1A5F9">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.1 乙方有权依据合同约定和项目需要，向甲方了解有关情况，调阅有关资料等，甲方应予积极配合</w:t>
      </w:r>
      <w:r>
        <w:rPr>
          <w:rFonts w:hint="eastAsia" w:ascii="宋体" w:hAnsi="宋体" w:eastAsia="宋体" w:cs="宋体"/>
          <w:color w:val="auto"/>
          <w:sz w:val="24"/>
          <w:szCs w:val="24"/>
          <w:highlight w:val="none"/>
          <w:lang w:eastAsia="zh-CN"/>
        </w:rPr>
        <w:t>。</w:t>
      </w:r>
    </w:p>
    <w:p w14:paraId="08844CC5">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.2 乙方有义务妥善保管和保护由甲方提供的前款信息和资料等</w:t>
      </w:r>
      <w:r>
        <w:rPr>
          <w:rFonts w:hint="eastAsia" w:ascii="宋体" w:hAnsi="宋体" w:eastAsia="宋体" w:cs="宋体"/>
          <w:color w:val="auto"/>
          <w:sz w:val="24"/>
          <w:szCs w:val="24"/>
          <w:highlight w:val="none"/>
          <w:lang w:eastAsia="zh-CN"/>
        </w:rPr>
        <w:t>。</w:t>
      </w:r>
    </w:p>
    <w:p w14:paraId="0DDE3737">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及方式防止任何第三方接触到对方当事人的上述保密信息和资料。</w:t>
      </w:r>
    </w:p>
    <w:p w14:paraId="1DA6CB74">
      <w:pPr>
        <w:spacing w:line="360" w:lineRule="auto"/>
        <w:ind w:firstLine="482" w:firstLineChars="200"/>
        <w:rPr>
          <w:rFonts w:hint="eastAsia" w:ascii="宋体" w:hAnsi="宋体" w:eastAsia="宋体" w:cs="宋体"/>
          <w:b/>
          <w:color w:val="auto"/>
          <w:sz w:val="24"/>
          <w:szCs w:val="24"/>
          <w:highlight w:val="none"/>
        </w:rPr>
      </w:pPr>
      <w:bookmarkStart w:id="253" w:name="_Toc7860"/>
      <w:r>
        <w:rPr>
          <w:rFonts w:hint="eastAsia" w:ascii="宋体" w:hAnsi="宋体" w:eastAsia="宋体" w:cs="宋体"/>
          <w:b/>
          <w:color w:val="auto"/>
          <w:sz w:val="24"/>
          <w:szCs w:val="24"/>
          <w:highlight w:val="none"/>
        </w:rPr>
        <w:t>2.</w:t>
      </w:r>
      <w:r>
        <w:rPr>
          <w:rFonts w:hint="eastAsia" w:ascii="宋体" w:hAnsi="宋体" w:cs="宋体"/>
          <w:b/>
          <w:color w:val="auto"/>
          <w:sz w:val="24"/>
          <w:szCs w:val="24"/>
          <w:highlight w:val="none"/>
          <w:lang w:val="en-US" w:eastAsia="zh-CN"/>
        </w:rPr>
        <w:t>7</w:t>
      </w:r>
      <w:r>
        <w:rPr>
          <w:rFonts w:hint="eastAsia" w:ascii="宋体" w:hAnsi="宋体" w:eastAsia="宋体" w:cs="宋体"/>
          <w:b/>
          <w:color w:val="auto"/>
          <w:sz w:val="24"/>
          <w:szCs w:val="24"/>
          <w:highlight w:val="none"/>
        </w:rPr>
        <w:t xml:space="preserve"> 质量保证</w:t>
      </w:r>
      <w:bookmarkEnd w:id="253"/>
    </w:p>
    <w:p w14:paraId="1FFC2A45">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.1 乙方应建立和完善履行合同的内部质量保证体系，并提供相关内部规章制度给甲方，以便甲方进行监督检查</w:t>
      </w:r>
      <w:r>
        <w:rPr>
          <w:rFonts w:hint="eastAsia" w:ascii="宋体" w:hAnsi="宋体" w:eastAsia="宋体" w:cs="宋体"/>
          <w:color w:val="auto"/>
          <w:sz w:val="24"/>
          <w:szCs w:val="24"/>
          <w:highlight w:val="none"/>
          <w:lang w:eastAsia="zh-CN"/>
        </w:rPr>
        <w:t>。</w:t>
      </w:r>
    </w:p>
    <w:p w14:paraId="5A44415C">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.2 乙方应保证履行合同的人员数量和素质、软件和硬件设备的配置、场地和设施等满足</w:t>
      </w:r>
      <w:r>
        <w:rPr>
          <w:rFonts w:hint="eastAsia" w:ascii="宋体" w:hAnsi="宋体" w:cs="宋体"/>
          <w:color w:val="auto"/>
          <w:sz w:val="24"/>
          <w:szCs w:val="24"/>
          <w:highlight w:val="none"/>
          <w:lang w:eastAsia="zh-CN"/>
        </w:rPr>
        <w:t>其响应文件的承诺及能</w:t>
      </w:r>
      <w:r>
        <w:rPr>
          <w:rFonts w:hint="eastAsia" w:ascii="宋体" w:hAnsi="宋体" w:eastAsia="宋体" w:cs="宋体"/>
          <w:color w:val="auto"/>
          <w:sz w:val="24"/>
          <w:szCs w:val="24"/>
          <w:highlight w:val="none"/>
        </w:rPr>
        <w:t>全面履行合同的要求，并应接受甲方的监督检查。</w:t>
      </w:r>
    </w:p>
    <w:p w14:paraId="226576AB">
      <w:pPr>
        <w:spacing w:line="360" w:lineRule="auto"/>
        <w:ind w:firstLine="480"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.3乙方应确保项目技术人员的数量和</w:t>
      </w:r>
      <w:r>
        <w:rPr>
          <w:rFonts w:hint="eastAsia" w:ascii="宋体" w:hAnsi="宋体" w:eastAsia="宋体" w:cs="宋体"/>
          <w:color w:val="auto"/>
          <w:sz w:val="24"/>
          <w:szCs w:val="24"/>
          <w:highlight w:val="none"/>
          <w:lang w:eastAsia="zh-CN"/>
        </w:rPr>
        <w:t>资质、业务</w:t>
      </w:r>
      <w:r>
        <w:rPr>
          <w:rFonts w:hint="eastAsia" w:ascii="宋体" w:hAnsi="宋体" w:eastAsia="宋体" w:cs="宋体"/>
          <w:color w:val="auto"/>
          <w:sz w:val="24"/>
          <w:szCs w:val="24"/>
          <w:highlight w:val="none"/>
        </w:rPr>
        <w:t>水平与</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文件一致。未经甲方书面同意，乙方不得擅自更换</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文件中注明的项目负责人</w:t>
      </w:r>
      <w:r>
        <w:rPr>
          <w:rFonts w:hint="eastAsia" w:ascii="宋体" w:hAnsi="宋体" w:eastAsia="宋体" w:cs="宋体"/>
          <w:color w:val="auto"/>
          <w:sz w:val="24"/>
          <w:szCs w:val="24"/>
          <w:highlight w:val="none"/>
          <w:lang w:eastAsia="zh-CN"/>
        </w:rPr>
        <w:t>及相关</w:t>
      </w:r>
      <w:r>
        <w:rPr>
          <w:rFonts w:hint="eastAsia" w:ascii="宋体" w:hAnsi="宋体" w:cs="宋体"/>
          <w:color w:val="auto"/>
          <w:sz w:val="24"/>
          <w:szCs w:val="24"/>
          <w:highlight w:val="none"/>
          <w:lang w:eastAsia="zh-CN"/>
        </w:rPr>
        <w:t>服务</w:t>
      </w:r>
      <w:r>
        <w:rPr>
          <w:rFonts w:hint="eastAsia" w:ascii="宋体" w:hAnsi="宋体" w:eastAsia="宋体" w:cs="宋体"/>
          <w:color w:val="auto"/>
          <w:sz w:val="24"/>
          <w:szCs w:val="24"/>
          <w:highlight w:val="none"/>
          <w:lang w:eastAsia="zh-CN"/>
        </w:rPr>
        <w:t>人员</w:t>
      </w:r>
      <w:r>
        <w:rPr>
          <w:rFonts w:hint="eastAsia" w:ascii="宋体" w:hAnsi="宋体" w:eastAsia="宋体" w:cs="宋体"/>
          <w:color w:val="auto"/>
          <w:sz w:val="24"/>
          <w:szCs w:val="24"/>
          <w:highlight w:val="none"/>
        </w:rPr>
        <w:t>。否则</w:t>
      </w:r>
      <w:r>
        <w:rPr>
          <w:rFonts w:hint="eastAsia" w:ascii="宋体" w:hAnsi="宋体" w:eastAsia="宋体" w:cs="宋体"/>
          <w:color w:val="auto"/>
          <w:kern w:val="0"/>
          <w:sz w:val="24"/>
          <w:szCs w:val="24"/>
          <w:highlight w:val="none"/>
        </w:rPr>
        <w:t>甲方有权放弃或终止合同。</w:t>
      </w:r>
    </w:p>
    <w:p w14:paraId="64DD5349">
      <w:pPr>
        <w:spacing w:line="360" w:lineRule="auto"/>
        <w:ind w:firstLine="482" w:firstLineChars="200"/>
        <w:rPr>
          <w:rFonts w:hint="eastAsia" w:ascii="宋体" w:hAnsi="宋体" w:eastAsia="宋体" w:cs="宋体"/>
          <w:b/>
          <w:color w:val="auto"/>
          <w:sz w:val="24"/>
          <w:szCs w:val="24"/>
          <w:highlight w:val="none"/>
        </w:rPr>
      </w:pPr>
      <w:bookmarkStart w:id="254" w:name="_Toc7502"/>
      <w:bookmarkStart w:id="255" w:name="_Toc259093683"/>
      <w:bookmarkStart w:id="256" w:name="_Toc279701254"/>
      <w:bookmarkStart w:id="257" w:name="_Ref467378121"/>
      <w:bookmarkStart w:id="258" w:name="_Toc487900364"/>
      <w:r>
        <w:rPr>
          <w:rFonts w:hint="eastAsia" w:ascii="宋体" w:hAnsi="宋体" w:eastAsia="宋体" w:cs="宋体"/>
          <w:b/>
          <w:color w:val="auto"/>
          <w:sz w:val="24"/>
          <w:szCs w:val="24"/>
          <w:highlight w:val="none"/>
        </w:rPr>
        <w:t>2.</w:t>
      </w:r>
      <w:r>
        <w:rPr>
          <w:rFonts w:hint="eastAsia" w:ascii="宋体" w:hAnsi="宋体" w:cs="宋体"/>
          <w:b/>
          <w:color w:val="auto"/>
          <w:sz w:val="24"/>
          <w:szCs w:val="24"/>
          <w:highlight w:val="none"/>
          <w:lang w:val="en-US" w:eastAsia="zh-CN"/>
        </w:rPr>
        <w:t>8</w:t>
      </w:r>
      <w:r>
        <w:rPr>
          <w:rFonts w:hint="eastAsia" w:ascii="宋体" w:hAnsi="宋体" w:eastAsia="宋体" w:cs="宋体"/>
          <w:b/>
          <w:color w:val="auto"/>
          <w:sz w:val="24"/>
          <w:szCs w:val="24"/>
          <w:highlight w:val="none"/>
        </w:rPr>
        <w:t xml:space="preserve"> 合同变更</w:t>
      </w:r>
      <w:bookmarkEnd w:id="254"/>
    </w:p>
    <w:p w14:paraId="136A30A0">
      <w:pPr>
        <w:spacing w:line="360" w:lineRule="auto"/>
        <w:ind w:firstLine="480" w:firstLineChars="200"/>
        <w:rPr>
          <w:rFonts w:hint="eastAsia" w:ascii="宋体" w:hAnsi="宋体" w:eastAsia="宋体" w:cs="宋体"/>
          <w:color w:val="auto"/>
          <w:sz w:val="24"/>
          <w:szCs w:val="24"/>
          <w:highlight w:val="none"/>
          <w:lang w:eastAsia="zh-CN"/>
        </w:rPr>
      </w:pPr>
      <w:bookmarkStart w:id="259" w:name="_Toc279701259"/>
      <w:bookmarkStart w:id="260" w:name="_Toc487900369"/>
      <w:bookmarkStart w:id="261" w:name="_Toc259093688"/>
      <w:bookmarkStart w:id="262" w:name="_Toc10366"/>
      <w:bookmarkStart w:id="263" w:name="_Toc15237"/>
      <w:bookmarkStart w:id="264" w:name="_Toc22955"/>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rPr>
        <w:t>.1 双方当事人协商一致，可以签订书面补充合同的形式变更合同，但不得违背</w:t>
      </w:r>
      <w:r>
        <w:rPr>
          <w:rFonts w:hint="eastAsia" w:ascii="宋体" w:hAnsi="宋体" w:eastAsia="宋体" w:cs="宋体"/>
          <w:color w:val="auto"/>
          <w:sz w:val="24"/>
          <w:szCs w:val="24"/>
          <w:highlight w:val="none"/>
          <w:lang w:eastAsia="zh-CN"/>
        </w:rPr>
        <w:t>磋商</w:t>
      </w:r>
      <w:r>
        <w:rPr>
          <w:rFonts w:hint="eastAsia" w:ascii="宋体" w:hAnsi="宋体" w:eastAsia="宋体" w:cs="宋体"/>
          <w:color w:val="auto"/>
          <w:sz w:val="24"/>
          <w:szCs w:val="24"/>
          <w:highlight w:val="none"/>
        </w:rPr>
        <w:t>文件确定的事项。如果追加与合同标的相同的标的物的，需经采购监督管理部门同意，且所有补充合同的采购金额不得超过原合同价的10%</w:t>
      </w:r>
      <w:r>
        <w:rPr>
          <w:rFonts w:hint="eastAsia" w:ascii="宋体" w:hAnsi="宋体" w:eastAsia="宋体" w:cs="宋体"/>
          <w:color w:val="auto"/>
          <w:sz w:val="24"/>
          <w:szCs w:val="24"/>
          <w:highlight w:val="none"/>
          <w:lang w:eastAsia="zh-CN"/>
        </w:rPr>
        <w:t>。</w:t>
      </w:r>
    </w:p>
    <w:p w14:paraId="1DF4500D">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rPr>
        <w:t>1.2 合同继续履行将损害国家利益和社会公共利益的，双方当事人应当以书面形式变更合同。有过错的一方应当承担赔偿责任，双方当事人都有过错的，各自承担相应的责任。</w:t>
      </w:r>
    </w:p>
    <w:p w14:paraId="3A0A5881">
      <w:pPr>
        <w:spacing w:line="360" w:lineRule="auto"/>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w:t>
      </w:r>
      <w:r>
        <w:rPr>
          <w:rFonts w:hint="eastAsia" w:ascii="宋体" w:hAnsi="宋体" w:cs="宋体"/>
          <w:b/>
          <w:color w:val="auto"/>
          <w:sz w:val="24"/>
          <w:szCs w:val="24"/>
          <w:highlight w:val="none"/>
          <w:lang w:val="en-US" w:eastAsia="zh-CN"/>
        </w:rPr>
        <w:t>9</w:t>
      </w:r>
      <w:r>
        <w:rPr>
          <w:rFonts w:hint="eastAsia" w:ascii="宋体" w:hAnsi="宋体" w:eastAsia="宋体" w:cs="宋体"/>
          <w:b/>
          <w:color w:val="auto"/>
          <w:sz w:val="24"/>
          <w:szCs w:val="24"/>
          <w:highlight w:val="none"/>
        </w:rPr>
        <w:t xml:space="preserve"> 合同转让</w:t>
      </w:r>
      <w:bookmarkEnd w:id="259"/>
      <w:bookmarkEnd w:id="260"/>
      <w:bookmarkEnd w:id="261"/>
      <w:r>
        <w:rPr>
          <w:rFonts w:hint="eastAsia" w:ascii="宋体" w:hAnsi="宋体" w:eastAsia="宋体" w:cs="宋体"/>
          <w:b/>
          <w:color w:val="auto"/>
          <w:sz w:val="24"/>
          <w:szCs w:val="24"/>
          <w:highlight w:val="none"/>
        </w:rPr>
        <w:t>和分包</w:t>
      </w:r>
      <w:bookmarkEnd w:id="262"/>
      <w:bookmarkEnd w:id="263"/>
      <w:bookmarkEnd w:id="264"/>
    </w:p>
    <w:p w14:paraId="1C6E44F4">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的权利义务依法不得转让，但经甲方书面同意，乙方可以依法采取分包方式履行合同，即：依法可以将合同项下的部分非主体、非关键性工作分包给他人完成，接受分包的供应商应当具备相应的资格条件，并不得再次分包，且乙方应就分包项目向甲方负责，并与分包供应商就分包项目向甲方承担连带责任。</w:t>
      </w:r>
    </w:p>
    <w:p w14:paraId="66863D94">
      <w:pPr>
        <w:spacing w:line="360" w:lineRule="auto"/>
        <w:ind w:firstLine="482" w:firstLineChars="200"/>
        <w:rPr>
          <w:rFonts w:hint="eastAsia" w:ascii="宋体" w:hAnsi="宋体" w:eastAsia="宋体" w:cs="宋体"/>
          <w:b/>
          <w:color w:val="auto"/>
          <w:sz w:val="24"/>
          <w:szCs w:val="24"/>
          <w:highlight w:val="none"/>
        </w:rPr>
      </w:pPr>
      <w:bookmarkStart w:id="265" w:name="_Toc14066"/>
      <w:bookmarkStart w:id="266" w:name="_Toc13566"/>
      <w:bookmarkStart w:id="267" w:name="_Toc16508"/>
      <w:r>
        <w:rPr>
          <w:rFonts w:hint="eastAsia" w:ascii="宋体" w:hAnsi="宋体" w:eastAsia="宋体" w:cs="宋体"/>
          <w:b/>
          <w:color w:val="auto"/>
          <w:sz w:val="24"/>
          <w:szCs w:val="24"/>
          <w:highlight w:val="none"/>
        </w:rPr>
        <w:t>2.1</w:t>
      </w:r>
      <w:r>
        <w:rPr>
          <w:rFonts w:hint="eastAsia" w:ascii="宋体" w:hAnsi="宋体" w:cs="宋体"/>
          <w:b/>
          <w:color w:val="auto"/>
          <w:sz w:val="24"/>
          <w:szCs w:val="24"/>
          <w:highlight w:val="none"/>
          <w:lang w:val="en-US" w:eastAsia="zh-CN"/>
        </w:rPr>
        <w:t>0</w:t>
      </w:r>
      <w:r>
        <w:rPr>
          <w:rFonts w:hint="eastAsia" w:ascii="宋体" w:hAnsi="宋体" w:eastAsia="宋体" w:cs="宋体"/>
          <w:b/>
          <w:color w:val="auto"/>
          <w:sz w:val="24"/>
          <w:szCs w:val="24"/>
          <w:highlight w:val="none"/>
        </w:rPr>
        <w:t xml:space="preserve"> 不可抗力</w:t>
      </w:r>
      <w:bookmarkEnd w:id="265"/>
      <w:bookmarkEnd w:id="266"/>
      <w:bookmarkEnd w:id="267"/>
    </w:p>
    <w:p w14:paraId="66B58E97">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w:t>
      </w:r>
      <w:r>
        <w:rPr>
          <w:rFonts w:hint="eastAsia" w:ascii="宋体" w:hAnsi="宋体" w:cs="宋体"/>
          <w:color w:val="auto"/>
          <w:sz w:val="24"/>
          <w:szCs w:val="24"/>
          <w:highlight w:val="none"/>
          <w:lang w:val="en-US" w:eastAsia="zh-CN"/>
        </w:rPr>
        <w:t>0</w:t>
      </w:r>
      <w:r>
        <w:rPr>
          <w:rFonts w:hint="eastAsia" w:ascii="宋体" w:hAnsi="宋体" w:eastAsia="宋体" w:cs="宋体"/>
          <w:color w:val="auto"/>
          <w:sz w:val="24"/>
          <w:szCs w:val="24"/>
          <w:highlight w:val="none"/>
        </w:rPr>
        <w:t>.1如果任何一方遭遇法律规定的不可抗力，致使合同履行受阻时，履行合同的期限应予延长，延长的期限应相当于不可抗力所影响的时间；</w:t>
      </w:r>
    </w:p>
    <w:p w14:paraId="52988746">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w:t>
      </w:r>
      <w:r>
        <w:rPr>
          <w:rFonts w:hint="eastAsia" w:ascii="宋体" w:hAnsi="宋体" w:cs="宋体"/>
          <w:color w:val="auto"/>
          <w:sz w:val="24"/>
          <w:szCs w:val="24"/>
          <w:highlight w:val="none"/>
          <w:lang w:val="en-US" w:eastAsia="zh-CN"/>
        </w:rPr>
        <w:t>0</w:t>
      </w:r>
      <w:r>
        <w:rPr>
          <w:rFonts w:hint="eastAsia" w:ascii="宋体" w:hAnsi="宋体" w:eastAsia="宋体" w:cs="宋体"/>
          <w:color w:val="auto"/>
          <w:sz w:val="24"/>
          <w:szCs w:val="24"/>
          <w:highlight w:val="none"/>
        </w:rPr>
        <w:t>.2受不可抗力影响的一方在不可抗力发生后，应在</w:t>
      </w:r>
      <w:r>
        <w:rPr>
          <w:rFonts w:hint="eastAsia" w:ascii="宋体" w:hAnsi="宋体" w:eastAsia="宋体" w:cs="宋体"/>
          <w:b/>
          <w:iCs/>
          <w:color w:val="auto"/>
          <w:sz w:val="24"/>
          <w:szCs w:val="24"/>
          <w:highlight w:val="none"/>
          <w:u w:val="single"/>
        </w:rPr>
        <w:t>合同专用条款</w:t>
      </w:r>
      <w:r>
        <w:rPr>
          <w:rFonts w:hint="eastAsia" w:ascii="宋体" w:hAnsi="宋体" w:eastAsia="宋体" w:cs="宋体"/>
          <w:color w:val="auto"/>
          <w:sz w:val="24"/>
          <w:szCs w:val="24"/>
          <w:highlight w:val="none"/>
        </w:rPr>
        <w:t>约定时间内以书面形式通知对方当事人，并在</w:t>
      </w:r>
      <w:r>
        <w:rPr>
          <w:rFonts w:hint="eastAsia" w:ascii="宋体" w:hAnsi="宋体" w:eastAsia="宋体" w:cs="宋体"/>
          <w:b/>
          <w:iCs/>
          <w:color w:val="auto"/>
          <w:sz w:val="24"/>
          <w:szCs w:val="24"/>
          <w:highlight w:val="none"/>
          <w:u w:val="single"/>
        </w:rPr>
        <w:t>合同专用条款</w:t>
      </w:r>
      <w:r>
        <w:rPr>
          <w:rFonts w:hint="eastAsia" w:ascii="宋体" w:hAnsi="宋体" w:eastAsia="宋体" w:cs="宋体"/>
          <w:color w:val="auto"/>
          <w:sz w:val="24"/>
          <w:szCs w:val="24"/>
          <w:highlight w:val="none"/>
        </w:rPr>
        <w:t>约定时间内，将有关部门出具的证明文件送达对方当事人。</w:t>
      </w:r>
    </w:p>
    <w:p w14:paraId="270E0CD3">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w:t>
      </w:r>
      <w:r>
        <w:rPr>
          <w:rFonts w:hint="eastAsia" w:ascii="宋体" w:hAnsi="宋体" w:cs="宋体"/>
          <w:color w:val="auto"/>
          <w:sz w:val="24"/>
          <w:szCs w:val="24"/>
          <w:highlight w:val="none"/>
          <w:lang w:val="en-US" w:eastAsia="zh-CN"/>
        </w:rPr>
        <w:t>0</w:t>
      </w:r>
      <w:r>
        <w:rPr>
          <w:rFonts w:hint="eastAsia" w:ascii="宋体" w:hAnsi="宋体" w:eastAsia="宋体" w:cs="宋体"/>
          <w:color w:val="auto"/>
          <w:sz w:val="24"/>
          <w:szCs w:val="24"/>
          <w:highlight w:val="none"/>
        </w:rPr>
        <w:t>.3 因不可抗力致使不能实现合同目的的，当事人可以解除合同；</w:t>
      </w:r>
    </w:p>
    <w:p w14:paraId="0312384D">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w:t>
      </w:r>
      <w:r>
        <w:rPr>
          <w:rFonts w:hint="eastAsia" w:ascii="宋体" w:hAnsi="宋体" w:cs="宋体"/>
          <w:color w:val="auto"/>
          <w:sz w:val="24"/>
          <w:szCs w:val="24"/>
          <w:highlight w:val="none"/>
          <w:lang w:val="en-US" w:eastAsia="zh-CN"/>
        </w:rPr>
        <w:t>0</w:t>
      </w:r>
      <w:r>
        <w:rPr>
          <w:rFonts w:hint="eastAsia" w:ascii="宋体" w:hAnsi="宋体" w:eastAsia="宋体" w:cs="宋体"/>
          <w:color w:val="auto"/>
          <w:sz w:val="24"/>
          <w:szCs w:val="24"/>
          <w:highlight w:val="none"/>
        </w:rPr>
        <w:t>.4 因不可抗力致使合同有变更必要的，双方当事人应在</w:t>
      </w:r>
      <w:r>
        <w:rPr>
          <w:rFonts w:hint="eastAsia" w:ascii="宋体" w:hAnsi="宋体" w:eastAsia="宋体" w:cs="宋体"/>
          <w:b/>
          <w:iCs/>
          <w:color w:val="auto"/>
          <w:sz w:val="24"/>
          <w:szCs w:val="24"/>
          <w:highlight w:val="none"/>
          <w:u w:val="single"/>
        </w:rPr>
        <w:t>合同专用条款</w:t>
      </w:r>
      <w:r>
        <w:rPr>
          <w:rFonts w:hint="eastAsia" w:ascii="宋体" w:hAnsi="宋体" w:eastAsia="宋体" w:cs="宋体"/>
          <w:color w:val="auto"/>
          <w:sz w:val="24"/>
          <w:szCs w:val="24"/>
          <w:highlight w:val="none"/>
        </w:rPr>
        <w:t>约定时间内以书面形式变更合同；</w:t>
      </w:r>
    </w:p>
    <w:p w14:paraId="1A12DB40">
      <w:pPr>
        <w:spacing w:line="360" w:lineRule="auto"/>
        <w:ind w:firstLine="482" w:firstLineChars="200"/>
        <w:rPr>
          <w:rFonts w:hint="eastAsia" w:ascii="宋体" w:hAnsi="宋体" w:eastAsia="宋体" w:cs="宋体"/>
          <w:b/>
          <w:color w:val="auto"/>
          <w:sz w:val="24"/>
          <w:szCs w:val="24"/>
          <w:highlight w:val="none"/>
        </w:rPr>
      </w:pPr>
      <w:bookmarkStart w:id="268" w:name="_Toc689"/>
      <w:bookmarkStart w:id="269" w:name="_Toc6969"/>
      <w:bookmarkStart w:id="270" w:name="_Toc487900365"/>
      <w:bookmarkStart w:id="271" w:name="_Toc279701255"/>
      <w:bookmarkStart w:id="272" w:name="_Toc259093684"/>
      <w:bookmarkStart w:id="273" w:name="_Toc30676"/>
      <w:r>
        <w:rPr>
          <w:rFonts w:hint="eastAsia" w:ascii="宋体" w:hAnsi="宋体" w:eastAsia="宋体" w:cs="宋体"/>
          <w:b/>
          <w:color w:val="auto"/>
          <w:sz w:val="24"/>
          <w:szCs w:val="24"/>
          <w:highlight w:val="none"/>
        </w:rPr>
        <w:t>2.1</w:t>
      </w:r>
      <w:r>
        <w:rPr>
          <w:rFonts w:hint="eastAsia" w:ascii="宋体" w:hAnsi="宋体" w:cs="宋体"/>
          <w:b/>
          <w:color w:val="auto"/>
          <w:sz w:val="24"/>
          <w:szCs w:val="24"/>
          <w:highlight w:val="none"/>
          <w:lang w:val="en-US" w:eastAsia="zh-CN"/>
        </w:rPr>
        <w:t>1</w:t>
      </w:r>
      <w:r>
        <w:rPr>
          <w:rFonts w:hint="eastAsia" w:ascii="宋体" w:hAnsi="宋体" w:eastAsia="宋体" w:cs="宋体"/>
          <w:b/>
          <w:color w:val="auto"/>
          <w:sz w:val="24"/>
          <w:szCs w:val="24"/>
          <w:highlight w:val="none"/>
        </w:rPr>
        <w:t xml:space="preserve"> 税费</w:t>
      </w:r>
      <w:bookmarkEnd w:id="268"/>
      <w:bookmarkEnd w:id="269"/>
      <w:bookmarkEnd w:id="270"/>
      <w:bookmarkEnd w:id="271"/>
      <w:bookmarkEnd w:id="272"/>
      <w:bookmarkEnd w:id="273"/>
    </w:p>
    <w:p w14:paraId="29314303">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与合同有关的一切税费，均按照中华人民共和国法律的相关规定执行。</w:t>
      </w:r>
    </w:p>
    <w:p w14:paraId="2AE6C075">
      <w:pPr>
        <w:spacing w:line="360" w:lineRule="auto"/>
        <w:ind w:firstLine="482" w:firstLineChars="200"/>
        <w:rPr>
          <w:rFonts w:hint="eastAsia" w:ascii="宋体" w:hAnsi="宋体" w:eastAsia="宋体" w:cs="宋体"/>
          <w:b/>
          <w:color w:val="auto"/>
          <w:sz w:val="24"/>
          <w:szCs w:val="24"/>
          <w:highlight w:val="none"/>
        </w:rPr>
      </w:pPr>
      <w:bookmarkStart w:id="274" w:name="_Toc259093687"/>
      <w:bookmarkStart w:id="275" w:name="_Toc16959"/>
      <w:bookmarkStart w:id="276" w:name="_Toc8298"/>
      <w:bookmarkStart w:id="277" w:name="_Toc279701258"/>
      <w:bookmarkStart w:id="278" w:name="_Toc487900368"/>
      <w:bookmarkStart w:id="279" w:name="_Toc7102"/>
      <w:r>
        <w:rPr>
          <w:rFonts w:hint="eastAsia" w:ascii="宋体" w:hAnsi="宋体" w:eastAsia="宋体" w:cs="宋体"/>
          <w:b/>
          <w:color w:val="auto"/>
          <w:sz w:val="24"/>
          <w:szCs w:val="24"/>
          <w:highlight w:val="none"/>
        </w:rPr>
        <w:t>2.1</w:t>
      </w:r>
      <w:r>
        <w:rPr>
          <w:rFonts w:hint="eastAsia" w:ascii="宋体" w:hAnsi="宋体" w:cs="宋体"/>
          <w:b/>
          <w:color w:val="auto"/>
          <w:sz w:val="24"/>
          <w:szCs w:val="24"/>
          <w:highlight w:val="none"/>
          <w:lang w:val="en-US" w:eastAsia="zh-CN"/>
        </w:rPr>
        <w:t>2</w:t>
      </w:r>
      <w:r>
        <w:rPr>
          <w:rFonts w:hint="eastAsia" w:ascii="宋体" w:hAnsi="宋体" w:eastAsia="宋体" w:cs="宋体"/>
          <w:b/>
          <w:color w:val="auto"/>
          <w:sz w:val="24"/>
          <w:szCs w:val="24"/>
          <w:highlight w:val="none"/>
        </w:rPr>
        <w:t xml:space="preserve"> 乙方破产</w:t>
      </w:r>
      <w:bookmarkEnd w:id="274"/>
      <w:bookmarkEnd w:id="275"/>
      <w:bookmarkEnd w:id="276"/>
      <w:bookmarkEnd w:id="277"/>
      <w:bookmarkEnd w:id="278"/>
      <w:bookmarkEnd w:id="279"/>
    </w:p>
    <w:p w14:paraId="24ECE286">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405334D5">
      <w:pPr>
        <w:spacing w:line="360" w:lineRule="auto"/>
        <w:ind w:firstLine="482" w:firstLineChars="200"/>
        <w:rPr>
          <w:rFonts w:hint="eastAsia" w:ascii="宋体" w:hAnsi="宋体" w:eastAsia="宋体" w:cs="宋体"/>
          <w:b/>
          <w:color w:val="auto"/>
          <w:sz w:val="24"/>
          <w:szCs w:val="24"/>
          <w:highlight w:val="none"/>
        </w:rPr>
      </w:pPr>
      <w:bookmarkStart w:id="280" w:name="_Toc15387"/>
      <w:bookmarkStart w:id="281" w:name="_Toc6134"/>
      <w:bookmarkStart w:id="282" w:name="_Toc29333"/>
      <w:r>
        <w:rPr>
          <w:rFonts w:hint="eastAsia" w:ascii="宋体" w:hAnsi="宋体" w:eastAsia="宋体" w:cs="宋体"/>
          <w:b/>
          <w:color w:val="auto"/>
          <w:sz w:val="24"/>
          <w:szCs w:val="24"/>
          <w:highlight w:val="none"/>
        </w:rPr>
        <w:t>2.1</w:t>
      </w:r>
      <w:r>
        <w:rPr>
          <w:rFonts w:hint="eastAsia" w:ascii="宋体" w:hAnsi="宋体" w:cs="宋体"/>
          <w:b/>
          <w:color w:val="auto"/>
          <w:sz w:val="24"/>
          <w:szCs w:val="24"/>
          <w:highlight w:val="none"/>
          <w:lang w:val="en-US" w:eastAsia="zh-CN"/>
        </w:rPr>
        <w:t>3</w:t>
      </w:r>
      <w:r>
        <w:rPr>
          <w:rFonts w:hint="eastAsia" w:ascii="宋体" w:hAnsi="宋体" w:eastAsia="宋体" w:cs="宋体"/>
          <w:b/>
          <w:color w:val="auto"/>
          <w:sz w:val="24"/>
          <w:szCs w:val="24"/>
          <w:highlight w:val="none"/>
        </w:rPr>
        <w:t xml:space="preserve"> 合同中止、终止</w:t>
      </w:r>
      <w:bookmarkEnd w:id="280"/>
      <w:bookmarkEnd w:id="281"/>
      <w:bookmarkEnd w:id="282"/>
    </w:p>
    <w:p w14:paraId="6900DA9A">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.1 双方当事人不得擅自中止或者终止合同；</w:t>
      </w:r>
    </w:p>
    <w:p w14:paraId="57FAAEFC">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.2合同继续履行将损害国家利益和社会公共利益的，双方当事人应当中止或者终止合同。有过错的一方应当承担赔偿责任，双方当事人都有过错的，各自承担相应的责任。</w:t>
      </w:r>
    </w:p>
    <w:p w14:paraId="640864A2">
      <w:pPr>
        <w:spacing w:line="360" w:lineRule="auto"/>
        <w:ind w:firstLine="482" w:firstLineChars="200"/>
        <w:rPr>
          <w:rFonts w:hint="eastAsia" w:ascii="宋体" w:hAnsi="宋体" w:eastAsia="宋体" w:cs="宋体"/>
          <w:b/>
          <w:color w:val="auto"/>
          <w:sz w:val="24"/>
          <w:szCs w:val="24"/>
          <w:highlight w:val="none"/>
        </w:rPr>
      </w:pPr>
      <w:bookmarkStart w:id="283" w:name="_Toc1125"/>
      <w:bookmarkStart w:id="284" w:name="_Toc14563"/>
      <w:bookmarkStart w:id="285" w:name="_Toc6596"/>
      <w:r>
        <w:rPr>
          <w:rFonts w:hint="eastAsia" w:ascii="宋体" w:hAnsi="宋体" w:eastAsia="宋体" w:cs="宋体"/>
          <w:b/>
          <w:color w:val="auto"/>
          <w:sz w:val="24"/>
          <w:szCs w:val="24"/>
          <w:highlight w:val="none"/>
        </w:rPr>
        <w:t>2.1</w:t>
      </w:r>
      <w:r>
        <w:rPr>
          <w:rFonts w:hint="eastAsia" w:ascii="宋体" w:hAnsi="宋体" w:cs="宋体"/>
          <w:b/>
          <w:color w:val="auto"/>
          <w:sz w:val="24"/>
          <w:szCs w:val="24"/>
          <w:highlight w:val="none"/>
          <w:lang w:val="en-US" w:eastAsia="zh-CN"/>
        </w:rPr>
        <w:t>4</w:t>
      </w:r>
      <w:r>
        <w:rPr>
          <w:rFonts w:hint="eastAsia" w:ascii="宋体" w:hAnsi="宋体" w:eastAsia="宋体" w:cs="宋体"/>
          <w:b/>
          <w:color w:val="auto"/>
          <w:sz w:val="24"/>
          <w:szCs w:val="24"/>
          <w:highlight w:val="none"/>
        </w:rPr>
        <w:t xml:space="preserve"> </w:t>
      </w:r>
      <w:r>
        <w:rPr>
          <w:rFonts w:hint="eastAsia" w:ascii="宋体" w:hAnsi="宋体" w:cs="宋体"/>
          <w:b/>
          <w:color w:val="auto"/>
          <w:sz w:val="24"/>
          <w:szCs w:val="24"/>
          <w:highlight w:val="none"/>
          <w:lang w:eastAsia="zh-CN"/>
        </w:rPr>
        <w:t>考核</w:t>
      </w:r>
      <w:r>
        <w:rPr>
          <w:rFonts w:hint="eastAsia" w:ascii="宋体" w:hAnsi="宋体" w:eastAsia="宋体" w:cs="宋体"/>
          <w:b/>
          <w:color w:val="auto"/>
          <w:sz w:val="24"/>
          <w:szCs w:val="24"/>
          <w:highlight w:val="none"/>
        </w:rPr>
        <w:t>和验收</w:t>
      </w:r>
      <w:bookmarkEnd w:id="283"/>
      <w:bookmarkEnd w:id="284"/>
      <w:bookmarkEnd w:id="285"/>
    </w:p>
    <w:p w14:paraId="612A4EBF">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甲方每月不定期对乙方提供的服务进行考核</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考核内容详见</w:t>
      </w:r>
      <w:r>
        <w:rPr>
          <w:rFonts w:hint="eastAsia" w:ascii="宋体" w:hAnsi="宋体" w:eastAsia="宋体" w:cs="宋体"/>
          <w:b/>
          <w:iCs/>
          <w:color w:val="auto"/>
          <w:sz w:val="24"/>
          <w:szCs w:val="24"/>
          <w:highlight w:val="none"/>
          <w:u w:val="single"/>
        </w:rPr>
        <w:t>合同专用条款</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并</w:t>
      </w:r>
      <w:r>
        <w:rPr>
          <w:rFonts w:hint="eastAsia" w:ascii="宋体" w:hAnsi="宋体" w:eastAsia="宋体" w:cs="宋体"/>
          <w:color w:val="auto"/>
          <w:sz w:val="24"/>
          <w:szCs w:val="24"/>
          <w:highlight w:val="none"/>
        </w:rPr>
        <w:t>出具</w:t>
      </w:r>
      <w:r>
        <w:rPr>
          <w:rFonts w:hint="eastAsia" w:ascii="宋体" w:hAnsi="宋体" w:cs="宋体"/>
          <w:color w:val="auto"/>
          <w:sz w:val="24"/>
          <w:szCs w:val="24"/>
          <w:highlight w:val="none"/>
          <w:lang w:eastAsia="zh-CN"/>
        </w:rPr>
        <w:t>相应考核表</w:t>
      </w:r>
      <w:r>
        <w:rPr>
          <w:rFonts w:hint="eastAsia" w:ascii="宋体" w:hAnsi="宋体" w:eastAsia="宋体" w:cs="宋体"/>
          <w:color w:val="auto"/>
          <w:sz w:val="24"/>
          <w:szCs w:val="24"/>
          <w:highlight w:val="none"/>
        </w:rPr>
        <w:t>。</w:t>
      </w:r>
    </w:p>
    <w:p w14:paraId="4F2C6EBB">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.2合同期满或者履行完毕后，甲方有权组织（包括依法邀请国家认可的质量检测机构参加）对乙方履约的验收，即：按照合同约定的技术、服务、</w:t>
      </w:r>
      <w:r>
        <w:rPr>
          <w:rFonts w:hint="eastAsia" w:ascii="宋体" w:hAnsi="宋体" w:eastAsia="宋体" w:cs="宋体"/>
          <w:color w:val="auto"/>
          <w:sz w:val="24"/>
          <w:szCs w:val="24"/>
          <w:highlight w:val="none"/>
          <w:lang w:eastAsia="zh-CN"/>
        </w:rPr>
        <w:t>时间要求</w:t>
      </w:r>
      <w:r>
        <w:rPr>
          <w:rFonts w:hint="eastAsia" w:ascii="宋体" w:hAnsi="宋体" w:eastAsia="宋体" w:cs="宋体"/>
          <w:color w:val="auto"/>
          <w:sz w:val="24"/>
          <w:szCs w:val="24"/>
          <w:highlight w:val="none"/>
        </w:rPr>
        <w:t>，组织对每一项服务、</w:t>
      </w:r>
      <w:r>
        <w:rPr>
          <w:rFonts w:hint="eastAsia" w:ascii="宋体" w:hAnsi="宋体" w:eastAsia="宋体" w:cs="宋体"/>
          <w:color w:val="auto"/>
          <w:sz w:val="24"/>
          <w:szCs w:val="24"/>
          <w:highlight w:val="none"/>
          <w:lang w:eastAsia="zh-CN"/>
        </w:rPr>
        <w:t>完成时间</w:t>
      </w:r>
      <w:r>
        <w:rPr>
          <w:rFonts w:hint="eastAsia" w:ascii="宋体" w:hAnsi="宋体" w:eastAsia="宋体" w:cs="宋体"/>
          <w:color w:val="auto"/>
          <w:sz w:val="24"/>
          <w:szCs w:val="24"/>
          <w:highlight w:val="none"/>
        </w:rPr>
        <w:t>的履约情况的验收，并出具验收书。</w:t>
      </w:r>
    </w:p>
    <w:p w14:paraId="7B0433BC">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.3 考核和验收标准、程序等具体内容以及前述验收书的效力详见</w:t>
      </w:r>
      <w:r>
        <w:rPr>
          <w:rFonts w:hint="eastAsia" w:ascii="宋体" w:hAnsi="宋体" w:eastAsia="宋体" w:cs="宋体"/>
          <w:b/>
          <w:iCs/>
          <w:color w:val="auto"/>
          <w:sz w:val="24"/>
          <w:szCs w:val="24"/>
          <w:highlight w:val="none"/>
          <w:u w:val="single"/>
        </w:rPr>
        <w:t>合同专用条款</w:t>
      </w:r>
      <w:r>
        <w:rPr>
          <w:rFonts w:hint="eastAsia" w:ascii="宋体" w:hAnsi="宋体" w:eastAsia="宋体" w:cs="宋体"/>
          <w:i/>
          <w:color w:val="auto"/>
          <w:sz w:val="24"/>
          <w:szCs w:val="24"/>
          <w:highlight w:val="none"/>
        </w:rPr>
        <w:t>。</w:t>
      </w:r>
    </w:p>
    <w:bookmarkEnd w:id="255"/>
    <w:bookmarkEnd w:id="256"/>
    <w:bookmarkEnd w:id="257"/>
    <w:bookmarkEnd w:id="258"/>
    <w:p w14:paraId="176A1201">
      <w:pPr>
        <w:spacing w:line="360" w:lineRule="auto"/>
        <w:ind w:firstLine="482" w:firstLineChars="200"/>
        <w:rPr>
          <w:rFonts w:hint="eastAsia" w:ascii="宋体" w:hAnsi="宋体" w:eastAsia="宋体" w:cs="宋体"/>
          <w:b/>
          <w:color w:val="auto"/>
          <w:sz w:val="24"/>
          <w:szCs w:val="24"/>
          <w:highlight w:val="none"/>
        </w:rPr>
      </w:pPr>
      <w:bookmarkStart w:id="286" w:name="_Toc259093690"/>
      <w:bookmarkStart w:id="287" w:name="_Toc487900371"/>
      <w:bookmarkStart w:id="288" w:name="_Toc279701261"/>
      <w:bookmarkStart w:id="289" w:name="_Toc19604"/>
      <w:bookmarkStart w:id="290" w:name="_Toc25182"/>
      <w:bookmarkStart w:id="291" w:name="_Toc11284"/>
      <w:r>
        <w:rPr>
          <w:rFonts w:hint="eastAsia" w:ascii="宋体" w:hAnsi="宋体" w:eastAsia="宋体" w:cs="宋体"/>
          <w:b/>
          <w:color w:val="auto"/>
          <w:sz w:val="24"/>
          <w:szCs w:val="24"/>
          <w:highlight w:val="none"/>
        </w:rPr>
        <w:t>2.1</w:t>
      </w:r>
      <w:r>
        <w:rPr>
          <w:rFonts w:hint="eastAsia" w:ascii="宋体" w:hAnsi="宋体" w:cs="宋体"/>
          <w:b/>
          <w:color w:val="auto"/>
          <w:sz w:val="24"/>
          <w:szCs w:val="24"/>
          <w:highlight w:val="none"/>
          <w:lang w:val="en-US" w:eastAsia="zh-CN"/>
        </w:rPr>
        <w:t>5</w:t>
      </w:r>
      <w:r>
        <w:rPr>
          <w:rFonts w:hint="eastAsia" w:ascii="宋体" w:hAnsi="宋体" w:eastAsia="宋体" w:cs="宋体"/>
          <w:b/>
          <w:color w:val="auto"/>
          <w:sz w:val="24"/>
          <w:szCs w:val="24"/>
          <w:highlight w:val="none"/>
        </w:rPr>
        <w:t xml:space="preserve"> 通知</w:t>
      </w:r>
      <w:bookmarkEnd w:id="286"/>
      <w:bookmarkEnd w:id="287"/>
      <w:bookmarkEnd w:id="288"/>
      <w:r>
        <w:rPr>
          <w:rFonts w:hint="eastAsia" w:ascii="宋体" w:hAnsi="宋体" w:eastAsia="宋体" w:cs="宋体"/>
          <w:b/>
          <w:color w:val="auto"/>
          <w:sz w:val="24"/>
          <w:szCs w:val="24"/>
          <w:highlight w:val="none"/>
        </w:rPr>
        <w:t>和送达</w:t>
      </w:r>
      <w:bookmarkEnd w:id="289"/>
      <w:bookmarkEnd w:id="290"/>
      <w:bookmarkEnd w:id="291"/>
    </w:p>
    <w:p w14:paraId="08113FB8">
      <w:pPr>
        <w:spacing w:line="360" w:lineRule="auto"/>
        <w:ind w:firstLine="480" w:firstLineChars="200"/>
        <w:rPr>
          <w:rFonts w:hint="eastAsia" w:ascii="宋体" w:hAnsi="宋体" w:eastAsia="宋体" w:cs="宋体"/>
          <w:color w:val="auto"/>
          <w:sz w:val="24"/>
          <w:szCs w:val="24"/>
          <w:highlight w:val="none"/>
        </w:rPr>
      </w:pPr>
      <w:bookmarkStart w:id="292" w:name="_Toc3135"/>
      <w:bookmarkStart w:id="293" w:name="_Toc6698"/>
      <w:bookmarkStart w:id="294" w:name="_Toc487900372"/>
      <w:bookmarkStart w:id="295" w:name="_Toc279701262"/>
      <w:bookmarkStart w:id="296" w:name="_Toc259093691"/>
      <w:r>
        <w:rPr>
          <w:rFonts w:hint="eastAsia" w:ascii="宋体" w:hAnsi="宋体" w:eastAsia="宋体" w:cs="宋体"/>
          <w:color w:val="auto"/>
          <w:sz w:val="24"/>
          <w:szCs w:val="24"/>
          <w:highlight w:val="none"/>
        </w:rPr>
        <w:t>2.1</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.1 任何一方因履行合同而以合同第一部分尾部所列明的</w:t>
      </w:r>
      <w:r>
        <w:rPr>
          <w:rFonts w:hint="eastAsia" w:ascii="宋体" w:hAnsi="宋体" w:eastAsia="宋体" w:cs="宋体"/>
          <w:color w:val="auto"/>
          <w:sz w:val="24"/>
          <w:szCs w:val="24"/>
          <w:highlight w:val="none"/>
          <w:u w:val="single"/>
        </w:rPr>
        <w:t>“约定送达地址”</w:t>
      </w:r>
      <w:r>
        <w:rPr>
          <w:rFonts w:hint="eastAsia" w:ascii="宋体" w:hAnsi="宋体" w:eastAsia="宋体" w:cs="宋体"/>
          <w:color w:val="auto"/>
          <w:sz w:val="24"/>
          <w:szCs w:val="24"/>
          <w:highlight w:val="none"/>
        </w:rPr>
        <w:t>为收件地址的所有通知、文件、材料，均视为已向对方当事人送达；任何一方变更上述送达方式或者地址的，应于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个工作日内书面通知对方当事人，在对方当事人收到有关变更通知之前，变更前的约定送达方式或者地址仍视为有效。</w:t>
      </w:r>
      <w:bookmarkEnd w:id="292"/>
      <w:bookmarkEnd w:id="293"/>
    </w:p>
    <w:p w14:paraId="70AA57DC">
      <w:pPr>
        <w:spacing w:line="360" w:lineRule="auto"/>
        <w:ind w:firstLine="480" w:firstLineChars="200"/>
        <w:rPr>
          <w:rFonts w:hint="eastAsia" w:ascii="宋体" w:hAnsi="宋体" w:eastAsia="宋体" w:cs="宋体"/>
          <w:color w:val="auto"/>
          <w:sz w:val="24"/>
          <w:szCs w:val="24"/>
          <w:highlight w:val="none"/>
        </w:rPr>
      </w:pPr>
      <w:bookmarkStart w:id="297" w:name="_Toc23128"/>
      <w:bookmarkStart w:id="298" w:name="_Toc23294"/>
      <w:r>
        <w:rPr>
          <w:rFonts w:hint="eastAsia" w:ascii="宋体" w:hAnsi="宋体" w:eastAsia="宋体" w:cs="宋体"/>
          <w:color w:val="auto"/>
          <w:sz w:val="24"/>
          <w:szCs w:val="24"/>
          <w:highlight w:val="none"/>
        </w:rPr>
        <w:t>2.1</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2以当面交付方式送达的，交付之时视为送达；以电子邮件方式送达的，发出电子邮件之时视为送达；以传真方式送达的，发出传真之时视为送达；以邮寄方式送达的，邮件挂号寄出或者交邮之日之次日视为送达。</w:t>
      </w:r>
      <w:bookmarkEnd w:id="297"/>
      <w:bookmarkEnd w:id="298"/>
    </w:p>
    <w:p w14:paraId="577EA522">
      <w:pPr>
        <w:spacing w:line="360" w:lineRule="auto"/>
        <w:ind w:firstLine="482" w:firstLineChars="200"/>
        <w:rPr>
          <w:rFonts w:hint="eastAsia" w:ascii="宋体" w:hAnsi="宋体" w:eastAsia="宋体" w:cs="宋体"/>
          <w:b/>
          <w:color w:val="auto"/>
          <w:sz w:val="24"/>
          <w:szCs w:val="24"/>
          <w:highlight w:val="none"/>
        </w:rPr>
      </w:pPr>
      <w:bookmarkStart w:id="299" w:name="_Toc4355"/>
      <w:bookmarkStart w:id="300" w:name="_Toc30599"/>
      <w:bookmarkStart w:id="301" w:name="_Toc18540"/>
      <w:r>
        <w:rPr>
          <w:rFonts w:hint="eastAsia" w:ascii="宋体" w:hAnsi="宋体" w:eastAsia="宋体" w:cs="宋体"/>
          <w:b/>
          <w:color w:val="auto"/>
          <w:sz w:val="24"/>
          <w:szCs w:val="24"/>
          <w:highlight w:val="none"/>
        </w:rPr>
        <w:t>2.1</w:t>
      </w:r>
      <w:r>
        <w:rPr>
          <w:rFonts w:hint="eastAsia" w:ascii="宋体" w:hAnsi="宋体" w:cs="宋体"/>
          <w:b/>
          <w:color w:val="auto"/>
          <w:sz w:val="24"/>
          <w:szCs w:val="24"/>
          <w:highlight w:val="none"/>
          <w:lang w:val="en-US" w:eastAsia="zh-CN"/>
        </w:rPr>
        <w:t>6</w:t>
      </w:r>
      <w:r>
        <w:rPr>
          <w:rFonts w:hint="eastAsia" w:ascii="宋体" w:hAnsi="宋体" w:eastAsia="宋体" w:cs="宋体"/>
          <w:b/>
          <w:color w:val="auto"/>
          <w:sz w:val="24"/>
          <w:szCs w:val="24"/>
          <w:highlight w:val="none"/>
        </w:rPr>
        <w:t xml:space="preserve"> 计量单位</w:t>
      </w:r>
      <w:bookmarkEnd w:id="294"/>
      <w:bookmarkEnd w:id="295"/>
      <w:bookmarkEnd w:id="296"/>
      <w:bookmarkEnd w:id="299"/>
      <w:bookmarkEnd w:id="300"/>
      <w:bookmarkEnd w:id="301"/>
    </w:p>
    <w:p w14:paraId="45B0F9AE">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除技术规范中另有规定外</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合同的计量单位均使用国家法定计量单位。</w:t>
      </w:r>
    </w:p>
    <w:p w14:paraId="2B7CEF38">
      <w:pPr>
        <w:spacing w:line="360" w:lineRule="auto"/>
        <w:ind w:firstLine="482" w:firstLineChars="200"/>
        <w:rPr>
          <w:rFonts w:hint="eastAsia" w:ascii="宋体" w:hAnsi="宋体" w:eastAsia="宋体" w:cs="宋体"/>
          <w:b/>
          <w:color w:val="auto"/>
          <w:sz w:val="24"/>
          <w:szCs w:val="24"/>
          <w:highlight w:val="none"/>
        </w:rPr>
      </w:pPr>
      <w:bookmarkStart w:id="302" w:name="_Toc487900373"/>
      <w:bookmarkStart w:id="303" w:name="_Toc279701263"/>
      <w:bookmarkStart w:id="304" w:name="_Toc18567"/>
      <w:bookmarkStart w:id="305" w:name="_Toc259093692"/>
      <w:bookmarkStart w:id="306" w:name="_Toc10330"/>
      <w:bookmarkStart w:id="307" w:name="_Toc12773"/>
      <w:r>
        <w:rPr>
          <w:rFonts w:hint="eastAsia" w:ascii="宋体" w:hAnsi="宋体" w:eastAsia="宋体" w:cs="宋体"/>
          <w:b/>
          <w:color w:val="auto"/>
          <w:sz w:val="24"/>
          <w:szCs w:val="24"/>
          <w:highlight w:val="none"/>
        </w:rPr>
        <w:t>2.</w:t>
      </w:r>
      <w:r>
        <w:rPr>
          <w:rFonts w:hint="eastAsia" w:ascii="宋体" w:hAnsi="宋体" w:cs="宋体"/>
          <w:b/>
          <w:color w:val="auto"/>
          <w:sz w:val="24"/>
          <w:szCs w:val="24"/>
          <w:highlight w:val="none"/>
          <w:lang w:val="en-US" w:eastAsia="zh-CN"/>
        </w:rPr>
        <w:t>17</w:t>
      </w:r>
      <w:r>
        <w:rPr>
          <w:rFonts w:hint="eastAsia" w:ascii="宋体" w:hAnsi="宋体" w:eastAsia="宋体" w:cs="宋体"/>
          <w:b/>
          <w:color w:val="auto"/>
          <w:sz w:val="24"/>
          <w:szCs w:val="24"/>
          <w:highlight w:val="none"/>
        </w:rPr>
        <w:t xml:space="preserve"> 合同使用的文字和适用的法律</w:t>
      </w:r>
      <w:bookmarkEnd w:id="302"/>
      <w:bookmarkEnd w:id="303"/>
      <w:bookmarkEnd w:id="304"/>
      <w:bookmarkEnd w:id="305"/>
      <w:bookmarkEnd w:id="306"/>
      <w:bookmarkEnd w:id="307"/>
    </w:p>
    <w:p w14:paraId="7AB3E270">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val="en-US" w:eastAsia="zh-CN"/>
        </w:rPr>
        <w:t>17</w:t>
      </w:r>
      <w:r>
        <w:rPr>
          <w:rFonts w:hint="eastAsia" w:ascii="宋体" w:hAnsi="宋体" w:eastAsia="宋体" w:cs="宋体"/>
          <w:color w:val="auto"/>
          <w:sz w:val="24"/>
          <w:szCs w:val="24"/>
          <w:highlight w:val="none"/>
        </w:rPr>
        <w:t>.1 合同使用汉语</w:t>
      </w:r>
      <w:r>
        <w:rPr>
          <w:rFonts w:hint="eastAsia" w:ascii="宋体" w:hAnsi="宋体" w:cs="宋体"/>
          <w:color w:val="auto"/>
          <w:sz w:val="24"/>
          <w:szCs w:val="24"/>
          <w:highlight w:val="none"/>
          <w:lang w:eastAsia="zh-CN"/>
        </w:rPr>
        <w:t>书写</w:t>
      </w:r>
      <w:r>
        <w:rPr>
          <w:rFonts w:hint="eastAsia" w:ascii="宋体" w:hAnsi="宋体" w:eastAsia="宋体" w:cs="宋体"/>
          <w:color w:val="auto"/>
          <w:sz w:val="24"/>
          <w:szCs w:val="24"/>
          <w:highlight w:val="none"/>
        </w:rPr>
        <w:t>、变更和解释；</w:t>
      </w:r>
    </w:p>
    <w:p w14:paraId="61D10614">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val="en-US" w:eastAsia="zh-CN"/>
        </w:rPr>
        <w:t>17</w:t>
      </w:r>
      <w:r>
        <w:rPr>
          <w:rFonts w:hint="eastAsia" w:ascii="宋体" w:hAnsi="宋体" w:eastAsia="宋体" w:cs="宋体"/>
          <w:color w:val="auto"/>
          <w:sz w:val="24"/>
          <w:szCs w:val="24"/>
          <w:highlight w:val="none"/>
        </w:rPr>
        <w:t>.2 合同适用中华人民共和国法律。</w:t>
      </w:r>
    </w:p>
    <w:p w14:paraId="2AA71055">
      <w:pPr>
        <w:spacing w:line="360" w:lineRule="auto"/>
        <w:ind w:firstLine="482" w:firstLineChars="200"/>
        <w:rPr>
          <w:rFonts w:hint="eastAsia" w:ascii="宋体" w:hAnsi="宋体" w:eastAsia="宋体" w:cs="宋体"/>
          <w:b/>
          <w:color w:val="auto"/>
          <w:sz w:val="24"/>
          <w:szCs w:val="24"/>
          <w:highlight w:val="none"/>
        </w:rPr>
      </w:pPr>
      <w:bookmarkStart w:id="308" w:name="_Toc3148"/>
      <w:bookmarkStart w:id="309" w:name="_Toc12004"/>
      <w:bookmarkStart w:id="310" w:name="_Toc16673"/>
      <w:bookmarkStart w:id="311" w:name="_Toc259093693"/>
      <w:bookmarkStart w:id="312" w:name="_Toc279701264"/>
      <w:bookmarkStart w:id="313" w:name="_Toc487900374"/>
      <w:r>
        <w:rPr>
          <w:rFonts w:hint="eastAsia" w:ascii="宋体" w:hAnsi="宋体" w:eastAsia="宋体" w:cs="宋体"/>
          <w:b/>
          <w:color w:val="auto"/>
          <w:sz w:val="24"/>
          <w:szCs w:val="24"/>
          <w:highlight w:val="none"/>
        </w:rPr>
        <w:t>2.</w:t>
      </w:r>
      <w:r>
        <w:rPr>
          <w:rFonts w:hint="eastAsia" w:ascii="宋体" w:hAnsi="宋体" w:cs="宋体"/>
          <w:b/>
          <w:color w:val="auto"/>
          <w:sz w:val="24"/>
          <w:szCs w:val="24"/>
          <w:highlight w:val="none"/>
          <w:lang w:val="en-US" w:eastAsia="zh-CN"/>
        </w:rPr>
        <w:t>18</w:t>
      </w:r>
      <w:r>
        <w:rPr>
          <w:rFonts w:hint="eastAsia" w:ascii="宋体" w:hAnsi="宋体" w:eastAsia="宋体" w:cs="宋体"/>
          <w:b/>
          <w:color w:val="auto"/>
          <w:sz w:val="24"/>
          <w:szCs w:val="24"/>
          <w:highlight w:val="none"/>
        </w:rPr>
        <w:t xml:space="preserve"> 履约保证金</w:t>
      </w:r>
      <w:bookmarkEnd w:id="308"/>
      <w:bookmarkEnd w:id="309"/>
      <w:bookmarkEnd w:id="310"/>
      <w:bookmarkEnd w:id="311"/>
      <w:bookmarkEnd w:id="312"/>
    </w:p>
    <w:p w14:paraId="7789CB93">
      <w:pPr>
        <w:spacing w:line="360" w:lineRule="auto"/>
        <w:ind w:firstLine="480" w:firstLineChars="200"/>
        <w:rPr>
          <w:rFonts w:hint="eastAsia" w:ascii="宋体" w:hAnsi="宋体" w:eastAsia="宋体" w:cs="宋体"/>
          <w:snapToGrid w:val="0"/>
          <w:color w:val="auto"/>
          <w:kern w:val="0"/>
          <w:sz w:val="24"/>
          <w:szCs w:val="24"/>
          <w:highlight w:val="none"/>
        </w:rPr>
      </w:pPr>
      <w:r>
        <w:rPr>
          <w:rFonts w:hint="eastAsia" w:ascii="宋体" w:hAnsi="宋体" w:eastAsia="宋体" w:cs="宋体"/>
          <w:color w:val="auto"/>
          <w:sz w:val="24"/>
          <w:szCs w:val="24"/>
          <w:highlight w:val="none"/>
        </w:rPr>
        <w:t>本项目不收取履约保证金</w:t>
      </w:r>
    </w:p>
    <w:bookmarkEnd w:id="313"/>
    <w:p w14:paraId="3C4D7301">
      <w:pPr>
        <w:spacing w:line="360" w:lineRule="auto"/>
        <w:ind w:firstLine="482" w:firstLineChars="200"/>
        <w:rPr>
          <w:rFonts w:hint="eastAsia" w:ascii="宋体" w:hAnsi="宋体" w:eastAsia="宋体" w:cs="宋体"/>
          <w:b/>
          <w:color w:val="auto"/>
          <w:sz w:val="24"/>
          <w:szCs w:val="24"/>
          <w:highlight w:val="none"/>
        </w:rPr>
      </w:pPr>
      <w:bookmarkStart w:id="314" w:name="_Toc6885"/>
      <w:bookmarkStart w:id="315" w:name="_Toc14001"/>
      <w:bookmarkStart w:id="316" w:name="_Toc19890"/>
      <w:r>
        <w:rPr>
          <w:rFonts w:hint="eastAsia" w:ascii="宋体" w:hAnsi="宋体" w:eastAsia="宋体" w:cs="宋体"/>
          <w:b/>
          <w:color w:val="auto"/>
          <w:sz w:val="24"/>
          <w:szCs w:val="24"/>
          <w:highlight w:val="none"/>
        </w:rPr>
        <w:t>2.</w:t>
      </w:r>
      <w:r>
        <w:rPr>
          <w:rFonts w:hint="eastAsia" w:ascii="宋体" w:hAnsi="宋体" w:cs="宋体"/>
          <w:b/>
          <w:color w:val="auto"/>
          <w:sz w:val="24"/>
          <w:szCs w:val="24"/>
          <w:highlight w:val="none"/>
          <w:lang w:val="en-US" w:eastAsia="zh-CN"/>
        </w:rPr>
        <w:t>19</w:t>
      </w:r>
      <w:r>
        <w:rPr>
          <w:rFonts w:hint="eastAsia" w:ascii="宋体" w:hAnsi="宋体" w:eastAsia="宋体" w:cs="宋体"/>
          <w:b/>
          <w:color w:val="auto"/>
          <w:sz w:val="24"/>
          <w:szCs w:val="24"/>
          <w:highlight w:val="none"/>
        </w:rPr>
        <w:t>合同份数</w:t>
      </w:r>
      <w:bookmarkEnd w:id="314"/>
      <w:bookmarkEnd w:id="315"/>
      <w:bookmarkEnd w:id="316"/>
    </w:p>
    <w:p w14:paraId="6B01CDA7">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份，甲方执</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份，乙方执</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份</w:t>
      </w:r>
      <w:r>
        <w:rPr>
          <w:rFonts w:hint="eastAsia" w:ascii="宋体" w:hAnsi="宋体" w:eastAsia="宋体" w:cs="宋体"/>
          <w:color w:val="auto"/>
          <w:sz w:val="24"/>
          <w:szCs w:val="24"/>
          <w:highlight w:val="none"/>
          <w:lang w:eastAsia="zh-CN"/>
        </w:rPr>
        <w:t>，代理机构执</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份</w:t>
      </w:r>
      <w:r>
        <w:rPr>
          <w:rFonts w:hint="eastAsia" w:ascii="宋体" w:hAnsi="宋体" w:eastAsia="宋体" w:cs="宋体"/>
          <w:color w:val="auto"/>
          <w:sz w:val="24"/>
          <w:szCs w:val="24"/>
          <w:highlight w:val="none"/>
        </w:rPr>
        <w:t>。每份均具有同等法律效力。</w:t>
      </w:r>
    </w:p>
    <w:p w14:paraId="7AD01D31">
      <w:pPr>
        <w:autoSpaceDE w:val="0"/>
        <w:autoSpaceDN w:val="0"/>
        <w:adjustRightInd w:val="0"/>
        <w:snapToGrid w:val="0"/>
        <w:spacing w:after="120" w:line="360" w:lineRule="auto"/>
        <w:ind w:left="420" w:leftChars="200" w:firstLine="480" w:firstLineChars="200"/>
        <w:jc w:val="center"/>
        <w:outlineLvl w:val="1"/>
        <w:rPr>
          <w:rFonts w:hint="eastAsia" w:ascii="宋体" w:hAnsi="宋体" w:eastAsia="宋体" w:cs="宋体"/>
          <w:b/>
          <w:color w:val="auto"/>
          <w:sz w:val="28"/>
          <w:szCs w:val="28"/>
          <w:highlight w:val="none"/>
        </w:rPr>
      </w:pPr>
      <w:r>
        <w:rPr>
          <w:rFonts w:hint="eastAsia" w:ascii="宋体" w:hAnsi="宋体" w:eastAsia="宋体" w:cs="宋体"/>
          <w:color w:val="auto"/>
          <w:sz w:val="24"/>
          <w:szCs w:val="24"/>
          <w:highlight w:val="none"/>
        </w:rPr>
        <w:br w:type="page"/>
      </w:r>
      <w:bookmarkStart w:id="317" w:name="_Toc331685784"/>
      <w:bookmarkStart w:id="318" w:name="_Toc102743909"/>
      <w:bookmarkStart w:id="319" w:name="_Toc80205946"/>
      <w:r>
        <w:rPr>
          <w:rFonts w:hint="eastAsia" w:ascii="宋体" w:hAnsi="宋体" w:eastAsia="宋体" w:cs="宋体"/>
          <w:b/>
          <w:color w:val="auto"/>
          <w:sz w:val="28"/>
          <w:szCs w:val="28"/>
          <w:highlight w:val="none"/>
        </w:rPr>
        <w:t>第三部分  合同专用条款</w:t>
      </w:r>
      <w:bookmarkEnd w:id="317"/>
      <w:bookmarkEnd w:id="318"/>
      <w:bookmarkEnd w:id="319"/>
    </w:p>
    <w:p w14:paraId="4F225F65">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本部分是对前两部分的补充和修改，如果前两部分和本部分的约定不一致，应以本部分的约定为准。本部分的条款号应与前两部分的条款号保持对应；与前两部分无对应关系的内容可另行编制条款号。</w:t>
      </w:r>
    </w:p>
    <w:p w14:paraId="7815F881">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2.3.2具有知识产权的标的物知识产权归属：</w:t>
      </w:r>
    </w:p>
    <w:p w14:paraId="794D5CD1">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eastAsia="zh-CN"/>
        </w:rPr>
        <w:t>本项目不涉及</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201BB7D6">
      <w:pPr>
        <w:spacing w:line="360" w:lineRule="auto"/>
        <w:ind w:firstLine="480" w:firstLineChars="2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val="en-US" w:eastAsia="zh-CN"/>
        </w:rPr>
        <w:t>5</w:t>
      </w:r>
      <w:r>
        <w:rPr>
          <w:rFonts w:hint="eastAsia" w:ascii="宋体" w:hAnsi="宋体" w:eastAsia="宋体" w:cs="宋体"/>
          <w:b w:val="0"/>
          <w:bCs/>
          <w:color w:val="auto"/>
          <w:sz w:val="24"/>
          <w:szCs w:val="24"/>
          <w:highlight w:val="none"/>
        </w:rPr>
        <w:t>结算方式和付款条件</w:t>
      </w:r>
    </w:p>
    <w:p w14:paraId="37207219">
      <w:pPr>
        <w:spacing w:line="360" w:lineRule="auto"/>
        <w:ind w:firstLine="480" w:firstLineChars="200"/>
        <w:rPr>
          <w:rFonts w:hint="eastAsia" w:ascii="宋体" w:hAnsi="宋体" w:eastAsia="宋体" w:cs="宋体"/>
          <w:color w:val="auto"/>
          <w:kern w:val="0"/>
          <w:sz w:val="24"/>
          <w:szCs w:val="24"/>
          <w:highlight w:val="none"/>
          <w:lang w:val="zh-CN"/>
        </w:rPr>
      </w:pPr>
      <w:r>
        <w:rPr>
          <w:rFonts w:hint="eastAsia" w:ascii="宋体" w:hAnsi="宋体" w:eastAsia="宋体" w:cs="宋体"/>
          <w:color w:val="auto"/>
          <w:kern w:val="0"/>
          <w:sz w:val="24"/>
          <w:szCs w:val="24"/>
          <w:highlight w:val="none"/>
          <w:lang w:val="zh-CN"/>
        </w:rPr>
        <w:t>本次项目合同总价为大写人民币</w:t>
      </w:r>
      <w:r>
        <w:rPr>
          <w:rFonts w:hint="eastAsia" w:ascii="宋体" w:hAnsi="宋体" w:eastAsia="宋体" w:cs="宋体"/>
          <w:color w:val="auto"/>
          <w:kern w:val="0"/>
          <w:sz w:val="24"/>
          <w:szCs w:val="24"/>
          <w:highlight w:val="none"/>
          <w:u w:val="single"/>
          <w:lang w:val="zh-CN"/>
        </w:rPr>
        <w:t xml:space="preserve">            （￥    元</w:t>
      </w:r>
      <w:r>
        <w:rPr>
          <w:rFonts w:hint="eastAsia" w:ascii="宋体" w:hAnsi="宋体" w:eastAsia="宋体" w:cs="宋体"/>
          <w:color w:val="auto"/>
          <w:kern w:val="0"/>
          <w:sz w:val="24"/>
          <w:szCs w:val="24"/>
          <w:highlight w:val="none"/>
          <w:lang w:val="zh-CN"/>
        </w:rPr>
        <w:t>）。本项目采用以下勾选结算方式进行支付：</w:t>
      </w:r>
    </w:p>
    <w:p w14:paraId="427D1B17">
      <w:pPr>
        <w:spacing w:line="360" w:lineRule="auto"/>
        <w:ind w:firstLine="480" w:firstLineChars="200"/>
        <w:rPr>
          <w:rFonts w:hint="eastAsia" w:ascii="宋体" w:hAnsi="宋体" w:eastAsia="宋体" w:cs="宋体"/>
          <w:color w:val="auto"/>
          <w:kern w:val="0"/>
          <w:sz w:val="24"/>
          <w:szCs w:val="24"/>
          <w:highlight w:val="none"/>
          <w:lang w:val="zh-CN"/>
        </w:rPr>
      </w:pPr>
      <w:r>
        <w:rPr>
          <w:rFonts w:hint="eastAsia" w:ascii="宋体" w:hAnsi="宋体" w:eastAsia="宋体" w:cs="宋体"/>
          <w:color w:val="auto"/>
          <w:kern w:val="0"/>
          <w:sz w:val="24"/>
          <w:szCs w:val="24"/>
          <w:highlight w:val="none"/>
          <w:lang w:val="zh-CN"/>
        </w:rPr>
        <w:sym w:font="Wingdings 2" w:char="00A3"/>
      </w:r>
      <w:r>
        <w:rPr>
          <w:rFonts w:hint="eastAsia" w:ascii="宋体" w:hAnsi="宋体" w:eastAsia="宋体" w:cs="宋体"/>
          <w:color w:val="auto"/>
          <w:kern w:val="0"/>
          <w:sz w:val="24"/>
          <w:szCs w:val="24"/>
          <w:highlight w:val="none"/>
          <w:lang w:val="zh-CN"/>
        </w:rPr>
        <w:t>采用一次性支付方式，付款条件为：。</w:t>
      </w:r>
    </w:p>
    <w:p w14:paraId="20FEA89D">
      <w:pPr>
        <w:spacing w:line="360" w:lineRule="auto"/>
        <w:ind w:firstLine="480"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zh-CN"/>
        </w:rPr>
        <w:sym w:font="Wingdings 2" w:char="0052"/>
      </w:r>
      <w:r>
        <w:rPr>
          <w:rFonts w:hint="eastAsia" w:ascii="宋体" w:hAnsi="宋体" w:eastAsia="宋体" w:cs="宋体"/>
          <w:color w:val="auto"/>
          <w:kern w:val="0"/>
          <w:sz w:val="24"/>
          <w:szCs w:val="24"/>
          <w:highlight w:val="none"/>
          <w:lang w:val="zh-CN"/>
        </w:rPr>
        <w:t>采用分期付款方式，付款条件为</w:t>
      </w:r>
      <w:r>
        <w:rPr>
          <w:rFonts w:hint="eastAsia" w:ascii="宋体" w:hAnsi="宋体" w:eastAsia="宋体" w:cs="宋体"/>
          <w:color w:val="auto"/>
          <w:kern w:val="0"/>
          <w:sz w:val="24"/>
          <w:szCs w:val="24"/>
          <w:highlight w:val="none"/>
        </w:rPr>
        <w:t>：</w:t>
      </w:r>
    </w:p>
    <w:p w14:paraId="01BCA91F">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本项目无预付款，按月支付合同款。</w:t>
      </w:r>
      <w:r>
        <w:rPr>
          <w:rFonts w:hint="eastAsia" w:ascii="宋体" w:hAnsi="宋体" w:cs="宋体"/>
          <w:color w:val="auto"/>
          <w:sz w:val="24"/>
          <w:szCs w:val="24"/>
          <w:highlight w:val="none"/>
          <w:u w:val="single"/>
          <w:lang w:eastAsia="zh-CN"/>
        </w:rPr>
        <w:t>甲方</w:t>
      </w:r>
      <w:r>
        <w:rPr>
          <w:rFonts w:hint="eastAsia" w:ascii="宋体" w:hAnsi="宋体" w:eastAsia="宋体" w:cs="宋体"/>
          <w:color w:val="auto"/>
          <w:sz w:val="24"/>
          <w:szCs w:val="24"/>
          <w:highlight w:val="none"/>
          <w:u w:val="single"/>
        </w:rPr>
        <w:t>根据</w:t>
      </w:r>
      <w:r>
        <w:rPr>
          <w:rFonts w:hint="eastAsia" w:ascii="宋体" w:hAnsi="宋体" w:cs="宋体"/>
          <w:color w:val="auto"/>
          <w:sz w:val="24"/>
          <w:szCs w:val="24"/>
          <w:highlight w:val="none"/>
          <w:u w:val="single"/>
          <w:lang w:eastAsia="zh-CN"/>
        </w:rPr>
        <w:t>磋商文件</w:t>
      </w:r>
      <w:r>
        <w:rPr>
          <w:rFonts w:hint="eastAsia" w:ascii="宋体" w:hAnsi="宋体" w:eastAsia="宋体" w:cs="宋体"/>
          <w:color w:val="auto"/>
          <w:sz w:val="24"/>
          <w:szCs w:val="24"/>
          <w:highlight w:val="none"/>
          <w:u w:val="single"/>
        </w:rPr>
        <w:t>附件</w:t>
      </w:r>
      <w:r>
        <w:rPr>
          <w:rFonts w:hint="eastAsia" w:ascii="宋体" w:hAnsi="宋体" w:cs="宋体"/>
          <w:color w:val="auto"/>
          <w:sz w:val="24"/>
          <w:szCs w:val="24"/>
          <w:highlight w:val="none"/>
          <w:u w:val="single"/>
          <w:lang w:val="en-US" w:eastAsia="zh-CN"/>
        </w:rPr>
        <w:t>三</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u w:val="single"/>
        </w:rPr>
        <w:t>广西广播电视学校驻校教官绩效考核与违规处理细</w:t>
      </w:r>
      <w:r>
        <w:rPr>
          <w:rFonts w:hint="eastAsia" w:ascii="宋体" w:hAnsi="宋体" w:eastAsia="宋体" w:cs="宋体"/>
          <w:color w:val="auto"/>
          <w:sz w:val="24"/>
          <w:szCs w:val="24"/>
          <w:highlight w:val="none"/>
          <w:u w:val="single"/>
        </w:rPr>
        <w:t>》的要求对</w:t>
      </w:r>
      <w:r>
        <w:rPr>
          <w:rFonts w:hint="eastAsia" w:ascii="宋体" w:hAnsi="宋体" w:cs="宋体"/>
          <w:color w:val="auto"/>
          <w:sz w:val="24"/>
          <w:szCs w:val="24"/>
          <w:highlight w:val="none"/>
          <w:u w:val="single"/>
          <w:lang w:eastAsia="zh-CN"/>
        </w:rPr>
        <w:t>乙方</w:t>
      </w:r>
      <w:r>
        <w:rPr>
          <w:rFonts w:hint="eastAsia" w:ascii="宋体" w:hAnsi="宋体" w:eastAsia="宋体" w:cs="宋体"/>
          <w:color w:val="auto"/>
          <w:sz w:val="24"/>
          <w:szCs w:val="24"/>
          <w:highlight w:val="none"/>
          <w:u w:val="single"/>
        </w:rPr>
        <w:t>采取不定期考核，如经考核存在</w:t>
      </w:r>
      <w:r>
        <w:rPr>
          <w:rFonts w:hint="eastAsia" w:ascii="宋体" w:hAnsi="宋体" w:cs="宋体"/>
          <w:color w:val="auto"/>
          <w:sz w:val="24"/>
          <w:szCs w:val="24"/>
          <w:highlight w:val="none"/>
          <w:u w:val="single"/>
          <w:lang w:eastAsia="zh-CN"/>
        </w:rPr>
        <w:t>扣款</w:t>
      </w:r>
      <w:r>
        <w:rPr>
          <w:rFonts w:hint="eastAsia" w:ascii="宋体" w:hAnsi="宋体" w:eastAsia="宋体" w:cs="宋体"/>
          <w:color w:val="auto"/>
          <w:sz w:val="24"/>
          <w:szCs w:val="24"/>
          <w:highlight w:val="none"/>
          <w:u w:val="single"/>
        </w:rPr>
        <w:t>情形的，该月实际支付的合同款＝当月应支付合同款－</w:t>
      </w:r>
      <w:r>
        <w:rPr>
          <w:rFonts w:hint="eastAsia" w:ascii="宋体" w:hAnsi="宋体" w:cs="宋体"/>
          <w:color w:val="auto"/>
          <w:sz w:val="24"/>
          <w:szCs w:val="24"/>
          <w:highlight w:val="none"/>
          <w:u w:val="single"/>
          <w:lang w:eastAsia="zh-CN"/>
        </w:rPr>
        <w:t>扣款</w:t>
      </w:r>
      <w:r>
        <w:rPr>
          <w:rFonts w:hint="eastAsia" w:ascii="宋体" w:hAnsi="宋体" w:eastAsia="宋体" w:cs="宋体"/>
          <w:color w:val="auto"/>
          <w:sz w:val="24"/>
          <w:szCs w:val="24"/>
          <w:highlight w:val="none"/>
          <w:u w:val="single"/>
        </w:rPr>
        <w:t>金额。</w:t>
      </w:r>
      <w:r>
        <w:rPr>
          <w:rFonts w:hint="eastAsia" w:ascii="宋体" w:hAnsi="宋体" w:cs="宋体"/>
          <w:color w:val="auto"/>
          <w:sz w:val="24"/>
          <w:szCs w:val="24"/>
          <w:highlight w:val="none"/>
          <w:u w:val="single"/>
          <w:lang w:eastAsia="zh-CN"/>
        </w:rPr>
        <w:t>甲方</w:t>
      </w:r>
      <w:r>
        <w:rPr>
          <w:rFonts w:hint="eastAsia" w:ascii="宋体" w:hAnsi="宋体" w:eastAsia="宋体" w:cs="宋体"/>
          <w:color w:val="auto"/>
          <w:sz w:val="24"/>
          <w:szCs w:val="24"/>
          <w:highlight w:val="none"/>
          <w:u w:val="single"/>
        </w:rPr>
        <w:t>自收到发票后十个工作日内向</w:t>
      </w:r>
      <w:r>
        <w:rPr>
          <w:rFonts w:hint="eastAsia" w:ascii="宋体" w:hAnsi="宋体" w:cs="宋体"/>
          <w:color w:val="auto"/>
          <w:sz w:val="24"/>
          <w:szCs w:val="24"/>
          <w:highlight w:val="none"/>
          <w:u w:val="single"/>
          <w:lang w:eastAsia="zh-CN"/>
        </w:rPr>
        <w:t>乙方</w:t>
      </w:r>
      <w:r>
        <w:rPr>
          <w:rFonts w:hint="eastAsia" w:ascii="宋体" w:hAnsi="宋体" w:eastAsia="宋体" w:cs="宋体"/>
          <w:color w:val="auto"/>
          <w:sz w:val="24"/>
          <w:szCs w:val="24"/>
          <w:highlight w:val="none"/>
          <w:u w:val="single"/>
        </w:rPr>
        <w:t>支付相应月度的合同款。</w:t>
      </w:r>
    </w:p>
    <w:p w14:paraId="55DAA79A">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u w:val="single"/>
          <w:lang w:eastAsia="zh-CN"/>
        </w:rPr>
        <w:t>乙方</w:t>
      </w:r>
      <w:r>
        <w:rPr>
          <w:rFonts w:hint="eastAsia" w:ascii="宋体" w:hAnsi="宋体" w:eastAsia="宋体" w:cs="宋体"/>
          <w:color w:val="auto"/>
          <w:sz w:val="24"/>
          <w:szCs w:val="24"/>
          <w:highlight w:val="none"/>
          <w:u w:val="single"/>
        </w:rPr>
        <w:t>与</w:t>
      </w:r>
      <w:r>
        <w:rPr>
          <w:rFonts w:hint="eastAsia" w:ascii="宋体" w:hAnsi="宋体" w:cs="宋体"/>
          <w:color w:val="auto"/>
          <w:sz w:val="24"/>
          <w:szCs w:val="24"/>
          <w:highlight w:val="none"/>
          <w:u w:val="single"/>
          <w:lang w:eastAsia="zh-CN"/>
        </w:rPr>
        <w:t>甲方</w:t>
      </w:r>
      <w:r>
        <w:rPr>
          <w:rFonts w:hint="eastAsia" w:ascii="宋体" w:hAnsi="宋体" w:eastAsia="宋体" w:cs="宋体"/>
          <w:color w:val="auto"/>
          <w:sz w:val="24"/>
          <w:szCs w:val="24"/>
          <w:highlight w:val="none"/>
          <w:u w:val="single"/>
        </w:rPr>
        <w:t>共同确认当月考核情况、确认当月实际支付的合同款后，</w:t>
      </w:r>
      <w:r>
        <w:rPr>
          <w:rFonts w:hint="eastAsia" w:ascii="宋体" w:hAnsi="宋体" w:cs="宋体"/>
          <w:color w:val="auto"/>
          <w:sz w:val="24"/>
          <w:szCs w:val="24"/>
          <w:highlight w:val="none"/>
          <w:u w:val="single"/>
          <w:lang w:eastAsia="zh-CN"/>
        </w:rPr>
        <w:t>乙方</w:t>
      </w:r>
      <w:r>
        <w:rPr>
          <w:rFonts w:hint="eastAsia" w:ascii="宋体" w:hAnsi="宋体" w:eastAsia="宋体" w:cs="宋体"/>
          <w:color w:val="auto"/>
          <w:sz w:val="24"/>
          <w:szCs w:val="24"/>
          <w:highlight w:val="none"/>
          <w:u w:val="single"/>
        </w:rPr>
        <w:t>应先向</w:t>
      </w:r>
      <w:r>
        <w:rPr>
          <w:rFonts w:hint="eastAsia" w:ascii="宋体" w:hAnsi="宋体" w:cs="宋体"/>
          <w:color w:val="auto"/>
          <w:sz w:val="24"/>
          <w:szCs w:val="24"/>
          <w:highlight w:val="none"/>
          <w:u w:val="single"/>
          <w:lang w:eastAsia="zh-CN"/>
        </w:rPr>
        <w:t>甲方</w:t>
      </w:r>
      <w:r>
        <w:rPr>
          <w:rFonts w:hint="eastAsia" w:ascii="宋体" w:hAnsi="宋体" w:eastAsia="宋体" w:cs="宋体"/>
          <w:color w:val="auto"/>
          <w:sz w:val="24"/>
          <w:szCs w:val="24"/>
          <w:highlight w:val="none"/>
          <w:u w:val="single"/>
        </w:rPr>
        <w:t>开具相应金额的发票，</w:t>
      </w:r>
      <w:r>
        <w:rPr>
          <w:rFonts w:hint="eastAsia" w:ascii="宋体" w:hAnsi="宋体" w:cs="宋体"/>
          <w:color w:val="auto"/>
          <w:sz w:val="24"/>
          <w:szCs w:val="24"/>
          <w:highlight w:val="none"/>
          <w:u w:val="single"/>
          <w:lang w:eastAsia="zh-CN"/>
        </w:rPr>
        <w:t>甲方</w:t>
      </w:r>
      <w:r>
        <w:rPr>
          <w:rFonts w:hint="eastAsia" w:ascii="宋体" w:hAnsi="宋体" w:eastAsia="宋体" w:cs="宋体"/>
          <w:color w:val="auto"/>
          <w:sz w:val="24"/>
          <w:szCs w:val="24"/>
          <w:highlight w:val="none"/>
          <w:u w:val="single"/>
        </w:rPr>
        <w:t>自收到发票后十个工作日内向</w:t>
      </w:r>
      <w:r>
        <w:rPr>
          <w:rFonts w:hint="eastAsia" w:ascii="宋体" w:hAnsi="宋体" w:cs="宋体"/>
          <w:color w:val="auto"/>
          <w:sz w:val="24"/>
          <w:szCs w:val="24"/>
          <w:highlight w:val="none"/>
          <w:u w:val="single"/>
          <w:lang w:eastAsia="zh-CN"/>
        </w:rPr>
        <w:t>乙方</w:t>
      </w:r>
      <w:r>
        <w:rPr>
          <w:rFonts w:hint="eastAsia" w:ascii="宋体" w:hAnsi="宋体" w:eastAsia="宋体" w:cs="宋体"/>
          <w:color w:val="auto"/>
          <w:sz w:val="24"/>
          <w:szCs w:val="24"/>
          <w:highlight w:val="none"/>
          <w:u w:val="single"/>
        </w:rPr>
        <w:t>支付相应月度的合同款。如成交人不能向</w:t>
      </w:r>
      <w:r>
        <w:rPr>
          <w:rFonts w:hint="eastAsia" w:ascii="宋体" w:hAnsi="宋体" w:cs="宋体"/>
          <w:color w:val="auto"/>
          <w:sz w:val="24"/>
          <w:szCs w:val="24"/>
          <w:highlight w:val="none"/>
          <w:u w:val="single"/>
          <w:lang w:eastAsia="zh-CN"/>
        </w:rPr>
        <w:t>甲方</w:t>
      </w:r>
      <w:r>
        <w:rPr>
          <w:rFonts w:hint="eastAsia" w:ascii="宋体" w:hAnsi="宋体" w:eastAsia="宋体" w:cs="宋体"/>
          <w:color w:val="auto"/>
          <w:sz w:val="24"/>
          <w:szCs w:val="24"/>
          <w:highlight w:val="none"/>
          <w:u w:val="single"/>
        </w:rPr>
        <w:t>开具相应金额的发票，否则</w:t>
      </w:r>
      <w:r>
        <w:rPr>
          <w:rFonts w:hint="eastAsia" w:ascii="宋体" w:hAnsi="宋体" w:cs="宋体"/>
          <w:color w:val="auto"/>
          <w:sz w:val="24"/>
          <w:szCs w:val="24"/>
          <w:highlight w:val="none"/>
          <w:u w:val="single"/>
          <w:lang w:eastAsia="zh-CN"/>
        </w:rPr>
        <w:t>甲方</w:t>
      </w:r>
      <w:r>
        <w:rPr>
          <w:rFonts w:hint="eastAsia" w:ascii="宋体" w:hAnsi="宋体" w:eastAsia="宋体" w:cs="宋体"/>
          <w:color w:val="auto"/>
          <w:sz w:val="24"/>
          <w:szCs w:val="24"/>
          <w:highlight w:val="none"/>
          <w:u w:val="single"/>
        </w:rPr>
        <w:t>有权顺延付款。</w:t>
      </w:r>
    </w:p>
    <w:p w14:paraId="7DFC9B6E">
      <w:pPr>
        <w:spacing w:line="360" w:lineRule="auto"/>
        <w:ind w:firstLine="480" w:firstLineChars="200"/>
        <w:rPr>
          <w:rFonts w:hint="eastAsia" w:ascii="宋体" w:hAnsi="宋体" w:eastAsia="宋体" w:cs="宋体"/>
          <w:color w:val="auto"/>
          <w:kern w:val="0"/>
          <w:sz w:val="24"/>
          <w:szCs w:val="24"/>
          <w:highlight w:val="none"/>
          <w:lang w:val="zh-CN"/>
        </w:rPr>
      </w:pPr>
      <w:r>
        <w:rPr>
          <w:rFonts w:hint="eastAsia" w:ascii="宋体" w:hAnsi="宋体" w:eastAsia="宋体" w:cs="宋体"/>
          <w:color w:val="auto"/>
          <w:sz w:val="24"/>
          <w:szCs w:val="24"/>
          <w:highlight w:val="none"/>
        </w:rPr>
        <w:t>甲方无故逾期支付服务</w:t>
      </w:r>
      <w:r>
        <w:rPr>
          <w:rFonts w:hint="eastAsia" w:ascii="宋体" w:hAnsi="宋体" w:cs="宋体"/>
          <w:color w:val="auto"/>
          <w:sz w:val="24"/>
          <w:szCs w:val="24"/>
          <w:highlight w:val="none"/>
          <w:lang w:eastAsia="zh-CN"/>
        </w:rPr>
        <w:t>费</w:t>
      </w:r>
      <w:r>
        <w:rPr>
          <w:rFonts w:hint="eastAsia" w:ascii="宋体" w:hAnsi="宋体" w:eastAsia="宋体" w:cs="宋体"/>
          <w:color w:val="auto"/>
          <w:sz w:val="24"/>
          <w:szCs w:val="24"/>
          <w:highlight w:val="none"/>
        </w:rPr>
        <w:t>的，按照每逾期一日支付欠付服务费额度的</w:t>
      </w:r>
      <w:r>
        <w:rPr>
          <w:rFonts w:hint="eastAsia" w:ascii="宋体" w:hAnsi="宋体" w:eastAsia="宋体" w:cs="宋体"/>
          <w:color w:val="auto"/>
          <w:sz w:val="24"/>
          <w:szCs w:val="24"/>
          <w:highlight w:val="none"/>
          <w:u w:val="single"/>
        </w:rPr>
        <w:t>万分之五</w:t>
      </w:r>
      <w:r>
        <w:rPr>
          <w:rFonts w:hint="eastAsia" w:ascii="宋体" w:hAnsi="宋体" w:eastAsia="宋体" w:cs="宋体"/>
          <w:color w:val="auto"/>
          <w:sz w:val="24"/>
          <w:szCs w:val="24"/>
          <w:highlight w:val="none"/>
        </w:rPr>
        <w:t>承担违约责任，违约金上限按照《合同书》约定执行。</w:t>
      </w:r>
    </w:p>
    <w:p w14:paraId="36F40A7E">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2.13.2受不可抗力影响的一方在不可抗力发生后，应在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日内（根据项目实际填写）以书面形式通知对方当事人，并在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7</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日内（根据项目实际填写），将有关部门出具的证明文件送达对方当事人。</w:t>
      </w:r>
    </w:p>
    <w:p w14:paraId="2A5D3C58">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2.13.4因不可抗力致使合同有变更必要的，双方当事人应在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5</w:t>
      </w:r>
      <w:r>
        <w:rPr>
          <w:rFonts w:hint="eastAsia" w:ascii="宋体" w:hAnsi="宋体" w:eastAsia="宋体" w:cs="宋体"/>
          <w:color w:val="auto"/>
          <w:sz w:val="24"/>
          <w:szCs w:val="24"/>
          <w:highlight w:val="none"/>
        </w:rPr>
        <w:t>日内（根据项目实际填写）以书面形式变更合同；</w:t>
      </w:r>
    </w:p>
    <w:p w14:paraId="016711D9">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详见磋商文件附件一</w:t>
      </w:r>
      <w:r>
        <w:rPr>
          <w:rFonts w:hint="eastAsia" w:ascii="宋体" w:hAnsi="宋体" w:eastAsia="宋体" w:cs="宋体"/>
          <w:color w:val="auto"/>
          <w:sz w:val="24"/>
          <w:szCs w:val="24"/>
          <w:highlight w:val="none"/>
          <w:u w:val="none"/>
        </w:rPr>
        <w:t>《广西广播电视学校驻校教官处罚规定》</w:t>
      </w:r>
      <w:r>
        <w:rPr>
          <w:rFonts w:hint="eastAsia" w:ascii="宋体" w:hAnsi="宋体" w:eastAsia="宋体" w:cs="宋体"/>
          <w:color w:val="auto"/>
          <w:sz w:val="24"/>
          <w:szCs w:val="24"/>
          <w:highlight w:val="none"/>
        </w:rPr>
        <w:t>。</w:t>
      </w:r>
    </w:p>
    <w:p w14:paraId="3EA73930">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.3 检验和验收标准、程序等具体内容以及前述验收书的效力：</w:t>
      </w:r>
    </w:p>
    <w:p w14:paraId="5ACCDF1C">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rPr>
        <w:t>均具有同等法律效力</w:t>
      </w:r>
      <w:r>
        <w:rPr>
          <w:rFonts w:hint="eastAsia" w:ascii="宋体" w:hAnsi="宋体" w:eastAsia="宋体" w:cs="宋体"/>
          <w:color w:val="auto"/>
          <w:sz w:val="24"/>
          <w:szCs w:val="24"/>
          <w:highlight w:val="none"/>
          <w:u w:val="single"/>
        </w:rPr>
        <w:t xml:space="preserve">                                    </w:t>
      </w:r>
    </w:p>
    <w:p w14:paraId="3B788F98">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3.1 其他：</w:t>
      </w:r>
    </w:p>
    <w:p w14:paraId="694BEC9A">
      <w:pPr>
        <w:spacing w:line="360" w:lineRule="auto"/>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项目验收：</w:t>
      </w:r>
    </w:p>
    <w:p w14:paraId="3D841B8B">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1、甲方按规定组织对乙方履约的验收。验收方成员应当在验收书上签字，并承担相应的法律责任。如果发现与合同中要求不符，乙方须承担由此发生的一切损失和费用，并接受相应的处理。</w:t>
      </w:r>
    </w:p>
    <w:p w14:paraId="3624D3FA">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2、严格按照采购合同开展履约验收。甲方成立验收小组，按照采购合同的约定对乙方履约情况进行验收，验收时，按照采购合同的约定对每一项技术、服务、</w:t>
      </w:r>
      <w:r>
        <w:rPr>
          <w:rFonts w:hint="eastAsia" w:ascii="宋体" w:hAnsi="宋体" w:cs="宋体"/>
          <w:color w:val="auto"/>
          <w:sz w:val="24"/>
          <w:highlight w:val="none"/>
          <w:lang w:eastAsia="zh-CN"/>
        </w:rPr>
        <w:t>时间</w:t>
      </w:r>
      <w:r>
        <w:rPr>
          <w:rFonts w:hint="eastAsia" w:ascii="宋体" w:hAnsi="宋体" w:cs="宋体"/>
          <w:color w:val="auto"/>
          <w:sz w:val="24"/>
          <w:highlight w:val="none"/>
        </w:rPr>
        <w:t>的履约情况进行确认，出具验收报告并经验收小组全体成员签字。甲方根据验收报告形成验收意见并经甲方与乙方签字盖章生效。验收结果与采购合同约定的资金支付条件挂钩。履约验收的各项资料应当存档备查。</w:t>
      </w:r>
    </w:p>
    <w:p w14:paraId="3C10B3E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验收合格的项目，甲方将根据采购合同的约定及时向乙方支付采购资金。验收不合格的项目，甲方将依法及时处理。采购合同的履行、违约责任和解决争议的方式等适用《中华人民共和国民法典》，并按照《合同书》约定执行。</w:t>
      </w:r>
    </w:p>
    <w:p w14:paraId="7A14766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4、验收产生的费用首次验收费用由甲方承担，如首次验收不合格，后续验收费用由乙方支付。</w:t>
      </w:r>
    </w:p>
    <w:p w14:paraId="29405CAA">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5、验收内容及资料要求：</w:t>
      </w:r>
    </w:p>
    <w:p w14:paraId="696E1F1B">
      <w:pPr>
        <w:tabs>
          <w:tab w:val="left" w:pos="904"/>
        </w:tabs>
        <w:snapToGri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根据</w:t>
      </w:r>
      <w:r>
        <w:rPr>
          <w:rFonts w:hint="eastAsia" w:ascii="宋体" w:hAnsi="宋体" w:cs="宋体"/>
          <w:color w:val="auto"/>
          <w:sz w:val="24"/>
          <w:highlight w:val="none"/>
          <w:lang w:eastAsia="zh-CN"/>
        </w:rPr>
        <w:t>磋商</w:t>
      </w:r>
      <w:r>
        <w:rPr>
          <w:rFonts w:hint="eastAsia" w:ascii="宋体" w:hAnsi="宋体" w:cs="宋体"/>
          <w:color w:val="auto"/>
          <w:sz w:val="24"/>
          <w:highlight w:val="none"/>
        </w:rPr>
        <w:t>文件确定的技术指标或者服务要求确定验收指标和标准。未进行相应约定的，应当符合国家强制性规定、政策要求、安全标准、行业或企业有关标准等。</w:t>
      </w:r>
    </w:p>
    <w:p w14:paraId="2728B8F4">
      <w:pPr>
        <w:tabs>
          <w:tab w:val="left" w:pos="904"/>
        </w:tabs>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5.1验收内容</w:t>
      </w:r>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1914"/>
        <w:gridCol w:w="5930"/>
      </w:tblGrid>
      <w:tr w14:paraId="59130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14:paraId="51764A92">
            <w:pPr>
              <w:widowControl/>
              <w:spacing w:line="360" w:lineRule="auto"/>
              <w:ind w:firstLine="200"/>
              <w:jc w:val="center"/>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序号</w:t>
            </w:r>
          </w:p>
        </w:tc>
        <w:tc>
          <w:tcPr>
            <w:tcW w:w="1914" w:type="dxa"/>
            <w:tcBorders>
              <w:top w:val="single" w:color="auto" w:sz="4" w:space="0"/>
              <w:left w:val="single" w:color="auto" w:sz="4" w:space="0"/>
              <w:bottom w:val="single" w:color="auto" w:sz="4" w:space="0"/>
              <w:right w:val="single" w:color="auto" w:sz="4" w:space="0"/>
            </w:tcBorders>
            <w:noWrap w:val="0"/>
            <w:vAlign w:val="center"/>
          </w:tcPr>
          <w:p w14:paraId="7D0DC3BC">
            <w:pPr>
              <w:widowControl/>
              <w:spacing w:line="360" w:lineRule="auto"/>
              <w:ind w:firstLine="200"/>
              <w:jc w:val="center"/>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验收内容</w:t>
            </w:r>
          </w:p>
        </w:tc>
        <w:tc>
          <w:tcPr>
            <w:tcW w:w="5930" w:type="dxa"/>
            <w:tcBorders>
              <w:top w:val="single" w:color="auto" w:sz="4" w:space="0"/>
              <w:left w:val="single" w:color="auto" w:sz="4" w:space="0"/>
              <w:bottom w:val="single" w:color="auto" w:sz="4" w:space="0"/>
              <w:right w:val="single" w:color="auto" w:sz="4" w:space="0"/>
            </w:tcBorders>
            <w:noWrap w:val="0"/>
            <w:vAlign w:val="center"/>
          </w:tcPr>
          <w:p w14:paraId="15E38C06">
            <w:pPr>
              <w:widowControl/>
              <w:spacing w:line="360" w:lineRule="auto"/>
              <w:ind w:firstLine="200"/>
              <w:jc w:val="center"/>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 xml:space="preserve"> 验收标准</w:t>
            </w:r>
          </w:p>
        </w:tc>
      </w:tr>
      <w:tr w14:paraId="5054D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14:paraId="114799E9">
            <w:pPr>
              <w:widowControl/>
              <w:spacing w:line="360" w:lineRule="auto"/>
              <w:ind w:firstLine="200"/>
              <w:jc w:val="center"/>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1</w:t>
            </w:r>
          </w:p>
        </w:tc>
        <w:tc>
          <w:tcPr>
            <w:tcW w:w="1914" w:type="dxa"/>
            <w:tcBorders>
              <w:top w:val="single" w:color="auto" w:sz="4" w:space="0"/>
              <w:left w:val="single" w:color="auto" w:sz="4" w:space="0"/>
              <w:bottom w:val="single" w:color="auto" w:sz="4" w:space="0"/>
              <w:right w:val="single" w:color="auto" w:sz="4" w:space="0"/>
            </w:tcBorders>
            <w:noWrap w:val="0"/>
            <w:vAlign w:val="center"/>
          </w:tcPr>
          <w:p w14:paraId="0F689363">
            <w:pPr>
              <w:widowControl/>
              <w:spacing w:line="360" w:lineRule="auto"/>
              <w:ind w:firstLine="200"/>
              <w:jc w:val="center"/>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数量</w:t>
            </w:r>
          </w:p>
        </w:tc>
        <w:tc>
          <w:tcPr>
            <w:tcW w:w="5930" w:type="dxa"/>
            <w:tcBorders>
              <w:top w:val="single" w:color="auto" w:sz="4" w:space="0"/>
              <w:left w:val="single" w:color="auto" w:sz="4" w:space="0"/>
              <w:bottom w:val="single" w:color="auto" w:sz="4" w:space="0"/>
              <w:right w:val="single" w:color="auto" w:sz="4" w:space="0"/>
            </w:tcBorders>
            <w:noWrap w:val="0"/>
            <w:vAlign w:val="center"/>
          </w:tcPr>
          <w:p w14:paraId="79D22149">
            <w:pPr>
              <w:widowControl/>
              <w:spacing w:line="360" w:lineRule="auto"/>
              <w:ind w:firstLine="200"/>
              <w:jc w:val="center"/>
              <w:rPr>
                <w:rFonts w:hint="eastAsia" w:ascii="宋体" w:hAnsi="宋体" w:eastAsia="宋体" w:cs="宋体"/>
                <w:color w:val="auto"/>
                <w:kern w:val="0"/>
                <w:sz w:val="24"/>
                <w:szCs w:val="24"/>
                <w:highlight w:val="none"/>
              </w:rPr>
            </w:pPr>
            <w:r>
              <w:rPr>
                <w:rFonts w:hint="eastAsia" w:ascii="宋体" w:hAnsi="宋体" w:cs="宋体"/>
                <w:color w:val="auto"/>
                <w:sz w:val="24"/>
                <w:highlight w:val="none"/>
              </w:rPr>
              <w:t>符合磋商文件要求</w:t>
            </w:r>
            <w:r>
              <w:rPr>
                <w:rFonts w:hint="eastAsia" w:ascii="宋体" w:hAnsi="宋体" w:cs="宋体"/>
                <w:color w:val="auto"/>
                <w:sz w:val="24"/>
                <w:highlight w:val="none"/>
                <w:lang w:eastAsia="zh-CN"/>
              </w:rPr>
              <w:t>或甲方指定</w:t>
            </w:r>
            <w:r>
              <w:rPr>
                <w:rFonts w:hint="eastAsia" w:ascii="宋体" w:hAnsi="宋体" w:cs="宋体"/>
                <w:color w:val="auto"/>
                <w:sz w:val="24"/>
                <w:highlight w:val="none"/>
              </w:rPr>
              <w:t>数量</w:t>
            </w:r>
          </w:p>
        </w:tc>
      </w:tr>
      <w:tr w14:paraId="4F329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14:paraId="5B910166">
            <w:pPr>
              <w:widowControl/>
              <w:spacing w:line="360" w:lineRule="auto"/>
              <w:ind w:firstLine="200"/>
              <w:jc w:val="center"/>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2</w:t>
            </w:r>
          </w:p>
        </w:tc>
        <w:tc>
          <w:tcPr>
            <w:tcW w:w="1914" w:type="dxa"/>
            <w:tcBorders>
              <w:top w:val="single" w:color="auto" w:sz="4" w:space="0"/>
              <w:left w:val="single" w:color="auto" w:sz="4" w:space="0"/>
              <w:bottom w:val="single" w:color="auto" w:sz="4" w:space="0"/>
              <w:right w:val="single" w:color="auto" w:sz="4" w:space="0"/>
            </w:tcBorders>
            <w:noWrap w:val="0"/>
            <w:vAlign w:val="center"/>
          </w:tcPr>
          <w:p w14:paraId="7B832F74">
            <w:pPr>
              <w:widowControl/>
              <w:spacing w:line="360" w:lineRule="auto"/>
              <w:ind w:firstLine="200"/>
              <w:jc w:val="center"/>
              <w:rPr>
                <w:rFonts w:hint="eastAsia" w:ascii="宋体" w:hAnsi="宋体" w:eastAsia="宋体" w:cs="宋体"/>
                <w:bCs/>
                <w:color w:val="auto"/>
                <w:kern w:val="0"/>
                <w:sz w:val="24"/>
                <w:szCs w:val="24"/>
                <w:highlight w:val="none"/>
                <w:lang w:eastAsia="zh-CN"/>
              </w:rPr>
            </w:pPr>
            <w:r>
              <w:rPr>
                <w:rFonts w:hint="eastAsia" w:ascii="宋体" w:hAnsi="宋体" w:cs="宋体"/>
                <w:bCs/>
                <w:color w:val="auto"/>
                <w:kern w:val="0"/>
                <w:sz w:val="24"/>
                <w:szCs w:val="24"/>
                <w:highlight w:val="none"/>
                <w:lang w:eastAsia="zh-CN"/>
              </w:rPr>
              <w:t>服务要求</w:t>
            </w:r>
          </w:p>
        </w:tc>
        <w:tc>
          <w:tcPr>
            <w:tcW w:w="5930" w:type="dxa"/>
            <w:tcBorders>
              <w:top w:val="single" w:color="auto" w:sz="4" w:space="0"/>
              <w:left w:val="single" w:color="auto" w:sz="4" w:space="0"/>
              <w:bottom w:val="single" w:color="auto" w:sz="4" w:space="0"/>
              <w:right w:val="single" w:color="auto" w:sz="4" w:space="0"/>
            </w:tcBorders>
            <w:noWrap w:val="0"/>
            <w:vAlign w:val="center"/>
          </w:tcPr>
          <w:p w14:paraId="08F10F4E">
            <w:pPr>
              <w:widowControl/>
              <w:spacing w:line="360" w:lineRule="auto"/>
              <w:ind w:firstLine="200"/>
              <w:jc w:val="center"/>
              <w:rPr>
                <w:rFonts w:hint="eastAsia" w:ascii="宋体" w:hAnsi="宋体" w:eastAsia="宋体" w:cs="宋体"/>
                <w:color w:val="auto"/>
                <w:kern w:val="0"/>
                <w:sz w:val="24"/>
                <w:szCs w:val="24"/>
                <w:highlight w:val="none"/>
              </w:rPr>
            </w:pPr>
            <w:r>
              <w:rPr>
                <w:rFonts w:hint="eastAsia" w:ascii="宋体" w:hAnsi="宋体" w:cs="宋体"/>
                <w:color w:val="auto"/>
                <w:sz w:val="24"/>
                <w:highlight w:val="none"/>
              </w:rPr>
              <w:t>符合</w:t>
            </w:r>
            <w:r>
              <w:rPr>
                <w:rFonts w:hint="eastAsia" w:ascii="宋体" w:hAnsi="宋体" w:cs="宋体"/>
                <w:color w:val="auto"/>
                <w:sz w:val="24"/>
                <w:highlight w:val="none"/>
                <w:lang w:eastAsia="zh-CN"/>
              </w:rPr>
              <w:t>磋商文件要求、响应文件的服务响应、</w:t>
            </w:r>
            <w:r>
              <w:rPr>
                <w:rFonts w:hint="eastAsia" w:ascii="宋体" w:hAnsi="宋体" w:cs="宋体"/>
                <w:color w:val="auto"/>
                <w:sz w:val="24"/>
                <w:highlight w:val="none"/>
              </w:rPr>
              <w:t>国家强制性规定、政策要求、行业或企业有关标准</w:t>
            </w:r>
          </w:p>
        </w:tc>
      </w:tr>
      <w:tr w14:paraId="6EE5E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14:paraId="52046CA7">
            <w:pPr>
              <w:widowControl/>
              <w:spacing w:line="360" w:lineRule="auto"/>
              <w:ind w:firstLine="200"/>
              <w:jc w:val="center"/>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4</w:t>
            </w:r>
          </w:p>
        </w:tc>
        <w:tc>
          <w:tcPr>
            <w:tcW w:w="1914" w:type="dxa"/>
            <w:tcBorders>
              <w:top w:val="single" w:color="auto" w:sz="4" w:space="0"/>
              <w:left w:val="single" w:color="auto" w:sz="4" w:space="0"/>
              <w:bottom w:val="single" w:color="auto" w:sz="4" w:space="0"/>
              <w:right w:val="single" w:color="auto" w:sz="4" w:space="0"/>
            </w:tcBorders>
            <w:noWrap w:val="0"/>
            <w:vAlign w:val="center"/>
          </w:tcPr>
          <w:p w14:paraId="6B450055">
            <w:pPr>
              <w:spacing w:line="360" w:lineRule="auto"/>
              <w:ind w:firstLine="20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服务</w:t>
            </w:r>
          </w:p>
          <w:p w14:paraId="0A2285E0">
            <w:pPr>
              <w:widowControl/>
              <w:spacing w:line="360" w:lineRule="auto"/>
              <w:ind w:firstLine="200" w:firstLineChars="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color w:val="auto"/>
                <w:sz w:val="24"/>
                <w:szCs w:val="24"/>
                <w:highlight w:val="none"/>
              </w:rPr>
              <w:t>承诺</w:t>
            </w:r>
          </w:p>
        </w:tc>
        <w:tc>
          <w:tcPr>
            <w:tcW w:w="5930" w:type="dxa"/>
            <w:tcBorders>
              <w:top w:val="single" w:color="auto" w:sz="4" w:space="0"/>
              <w:left w:val="single" w:color="auto" w:sz="4" w:space="0"/>
              <w:bottom w:val="single" w:color="auto" w:sz="4" w:space="0"/>
              <w:right w:val="single" w:color="auto" w:sz="4" w:space="0"/>
            </w:tcBorders>
            <w:noWrap w:val="0"/>
            <w:vAlign w:val="center"/>
          </w:tcPr>
          <w:p w14:paraId="578CCF05">
            <w:pPr>
              <w:widowControl/>
              <w:spacing w:line="360" w:lineRule="auto"/>
              <w:ind w:firstLine="200" w:firstLineChars="0"/>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sz w:val="24"/>
                <w:highlight w:val="none"/>
              </w:rPr>
              <w:t>符合磋商文件及乙方响应文件的服务承诺有关内容要求</w:t>
            </w:r>
          </w:p>
        </w:tc>
      </w:tr>
      <w:tr w14:paraId="78CC1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1"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14:paraId="745E6E70">
            <w:pPr>
              <w:widowControl/>
              <w:spacing w:line="360" w:lineRule="auto"/>
              <w:ind w:firstLine="20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c>
          <w:tcPr>
            <w:tcW w:w="1914" w:type="dxa"/>
            <w:tcBorders>
              <w:top w:val="single" w:color="auto" w:sz="4" w:space="0"/>
              <w:left w:val="single" w:color="auto" w:sz="4" w:space="0"/>
              <w:bottom w:val="single" w:color="auto" w:sz="4" w:space="0"/>
              <w:right w:val="single" w:color="auto" w:sz="4" w:space="0"/>
            </w:tcBorders>
            <w:noWrap w:val="0"/>
            <w:vAlign w:val="center"/>
          </w:tcPr>
          <w:p w14:paraId="58DD5369">
            <w:pPr>
              <w:widowControl/>
              <w:spacing w:line="360" w:lineRule="auto"/>
              <w:ind w:firstLine="200"/>
              <w:jc w:val="center"/>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其他工作</w:t>
            </w:r>
          </w:p>
        </w:tc>
        <w:tc>
          <w:tcPr>
            <w:tcW w:w="5930" w:type="dxa"/>
            <w:tcBorders>
              <w:top w:val="single" w:color="auto" w:sz="4" w:space="0"/>
              <w:left w:val="single" w:color="auto" w:sz="4" w:space="0"/>
              <w:bottom w:val="single" w:color="auto" w:sz="4" w:space="0"/>
              <w:right w:val="single" w:color="auto" w:sz="4" w:space="0"/>
            </w:tcBorders>
            <w:noWrap w:val="0"/>
            <w:vAlign w:val="center"/>
          </w:tcPr>
          <w:p w14:paraId="06758E0A">
            <w:pPr>
              <w:widowControl/>
              <w:spacing w:line="360" w:lineRule="auto"/>
              <w:ind w:firstLine="200"/>
              <w:jc w:val="center"/>
              <w:rPr>
                <w:rFonts w:hint="eastAsia" w:ascii="宋体" w:hAnsi="宋体" w:eastAsia="宋体" w:cs="宋体"/>
                <w:color w:val="auto"/>
                <w:kern w:val="0"/>
                <w:sz w:val="24"/>
                <w:szCs w:val="24"/>
                <w:highlight w:val="none"/>
              </w:rPr>
            </w:pPr>
          </w:p>
        </w:tc>
      </w:tr>
    </w:tbl>
    <w:p w14:paraId="0E031FAF">
      <w:pPr>
        <w:tabs>
          <w:tab w:val="left" w:pos="904"/>
        </w:tabs>
        <w:snapToGrid w:val="0"/>
        <w:spacing w:line="360" w:lineRule="auto"/>
        <w:ind w:firstLine="480" w:firstLineChars="200"/>
        <w:jc w:val="left"/>
        <w:rPr>
          <w:rFonts w:hint="eastAsia" w:ascii="宋体" w:hAnsi="宋体" w:eastAsia="宋体" w:cs="宋体"/>
          <w:color w:val="auto"/>
          <w:sz w:val="24"/>
          <w:szCs w:val="24"/>
          <w:highlight w:val="none"/>
        </w:rPr>
      </w:pPr>
    </w:p>
    <w:p w14:paraId="71BD8908">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5.2验收资料要求</w:t>
      </w:r>
    </w:p>
    <w:p w14:paraId="5FB03191">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验收资料要求包括（不限于）以下内容：</w:t>
      </w:r>
    </w:p>
    <w:p w14:paraId="47AEE4AB">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磋商</w:t>
      </w:r>
      <w:r>
        <w:rPr>
          <w:rFonts w:hint="eastAsia" w:ascii="宋体" w:hAnsi="宋体" w:eastAsia="宋体" w:cs="宋体"/>
          <w:color w:val="auto"/>
          <w:sz w:val="24"/>
          <w:szCs w:val="24"/>
          <w:highlight w:val="none"/>
        </w:rPr>
        <w:t>文件；</w:t>
      </w:r>
    </w:p>
    <w:p w14:paraId="71D2C4D1">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（2）响应文件；</w:t>
      </w:r>
    </w:p>
    <w:p w14:paraId="195FDDEF">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（3）采购合同；</w:t>
      </w:r>
    </w:p>
    <w:p w14:paraId="5A4AE78B">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r>
        <w:rPr>
          <w:rFonts w:hint="eastAsia" w:ascii="宋体" w:hAnsi="宋体" w:cs="宋体"/>
          <w:color w:val="auto"/>
          <w:sz w:val="24"/>
          <w:highlight w:val="none"/>
        </w:rPr>
        <w:t>国家强制性规定、政策要求、行业或企业有关标准</w:t>
      </w:r>
      <w:r>
        <w:rPr>
          <w:rFonts w:hint="eastAsia" w:ascii="宋体" w:hAnsi="宋体" w:eastAsia="宋体" w:cs="宋体"/>
          <w:color w:val="auto"/>
          <w:sz w:val="24"/>
          <w:szCs w:val="24"/>
          <w:highlight w:val="none"/>
        </w:rPr>
        <w:t>；</w:t>
      </w:r>
    </w:p>
    <w:p w14:paraId="7CC28459">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（5）其他需提供的相关材料。</w:t>
      </w:r>
    </w:p>
    <w:p w14:paraId="48DBEC31">
      <w:pPr>
        <w:widowControl/>
        <w:ind w:firstLine="720" w:firstLineChars="300"/>
        <w:jc w:val="left"/>
        <w:rPr>
          <w:rFonts w:hint="eastAsia" w:ascii="宋体" w:hAnsi="宋体" w:eastAsia="宋体" w:cs="宋体"/>
          <w:bCs/>
          <w:color w:val="auto"/>
          <w:sz w:val="24"/>
          <w:szCs w:val="24"/>
          <w:highlight w:val="none"/>
        </w:rPr>
      </w:pPr>
    </w:p>
    <w:p w14:paraId="08AB918A">
      <w:pPr>
        <w:spacing w:line="360" w:lineRule="auto"/>
        <w:ind w:firstLine="480" w:firstLineChars="2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u w:val="single"/>
        </w:rPr>
        <w:t xml:space="preserve">                                                                       </w:t>
      </w:r>
    </w:p>
    <w:p w14:paraId="5104FBBE">
      <w:pPr>
        <w:tabs>
          <w:tab w:val="left" w:pos="3261"/>
        </w:tabs>
        <w:spacing w:line="360" w:lineRule="auto"/>
        <w:jc w:val="center"/>
        <w:rPr>
          <w:rFonts w:hint="eastAsia" w:ascii="宋体" w:hAnsi="宋体" w:eastAsia="宋体" w:cs="宋体"/>
          <w:b/>
          <w:color w:val="auto"/>
          <w:sz w:val="24"/>
          <w:szCs w:val="24"/>
          <w:highlight w:val="none"/>
        </w:rPr>
      </w:pPr>
    </w:p>
    <w:p w14:paraId="6200B686">
      <w:pPr>
        <w:tabs>
          <w:tab w:val="left" w:pos="3261"/>
        </w:tabs>
        <w:spacing w:line="360" w:lineRule="auto"/>
        <w:jc w:val="center"/>
        <w:rPr>
          <w:rFonts w:hint="eastAsia" w:ascii="宋体" w:hAnsi="宋体" w:eastAsia="宋体" w:cs="宋体"/>
          <w:b/>
          <w:color w:val="auto"/>
          <w:sz w:val="24"/>
          <w:szCs w:val="24"/>
          <w:highlight w:val="none"/>
        </w:rPr>
      </w:pPr>
    </w:p>
    <w:p w14:paraId="1422151F">
      <w:pPr>
        <w:widowControl/>
        <w:spacing w:line="360" w:lineRule="auto"/>
        <w:jc w:val="left"/>
        <w:rPr>
          <w:rFonts w:hint="eastAsia" w:ascii="宋体" w:hAnsi="宋体" w:eastAsia="宋体" w:cs="宋体"/>
          <w:b/>
          <w:bCs/>
          <w:color w:val="auto"/>
          <w:sz w:val="24"/>
          <w:szCs w:val="24"/>
          <w:highlight w:val="none"/>
        </w:rPr>
        <w:sectPr>
          <w:pgSz w:w="11910" w:h="16840"/>
          <w:pgMar w:top="1417" w:right="1417" w:bottom="1417" w:left="1417" w:header="720" w:footer="720" w:gutter="0"/>
          <w:cols w:space="720" w:num="1"/>
        </w:sectPr>
      </w:pPr>
    </w:p>
    <w:p w14:paraId="35D47042">
      <w:pPr>
        <w:rPr>
          <w:rFonts w:ascii="宋体" w:hAnsi="宋体"/>
          <w:bCs/>
          <w:color w:val="auto"/>
          <w:sz w:val="32"/>
          <w:szCs w:val="32"/>
          <w:highlight w:val="none"/>
        </w:rPr>
      </w:pPr>
    </w:p>
    <w:p w14:paraId="59E9564B">
      <w:pPr>
        <w:snapToGrid w:val="0"/>
        <w:jc w:val="center"/>
        <w:rPr>
          <w:rFonts w:ascii="宋体" w:hAnsi="宋体"/>
          <w:bCs/>
          <w:color w:val="auto"/>
          <w:sz w:val="32"/>
          <w:szCs w:val="32"/>
          <w:highlight w:val="none"/>
        </w:rPr>
      </w:pPr>
    </w:p>
    <w:p w14:paraId="30490E42">
      <w:pPr>
        <w:snapToGrid w:val="0"/>
        <w:jc w:val="center"/>
        <w:rPr>
          <w:rFonts w:ascii="宋体" w:hAnsi="宋体"/>
          <w:bCs/>
          <w:color w:val="auto"/>
          <w:sz w:val="32"/>
          <w:szCs w:val="32"/>
          <w:highlight w:val="none"/>
        </w:rPr>
      </w:pPr>
    </w:p>
    <w:p w14:paraId="68688FBD">
      <w:pPr>
        <w:snapToGrid w:val="0"/>
        <w:jc w:val="center"/>
        <w:rPr>
          <w:rFonts w:ascii="宋体" w:hAnsi="宋体"/>
          <w:bCs/>
          <w:color w:val="auto"/>
          <w:sz w:val="32"/>
          <w:szCs w:val="32"/>
          <w:highlight w:val="none"/>
        </w:rPr>
      </w:pPr>
    </w:p>
    <w:p w14:paraId="61892376">
      <w:pPr>
        <w:snapToGrid w:val="0"/>
        <w:jc w:val="center"/>
        <w:rPr>
          <w:rFonts w:ascii="宋体" w:hAnsi="宋体"/>
          <w:bCs/>
          <w:color w:val="auto"/>
          <w:sz w:val="32"/>
          <w:szCs w:val="32"/>
          <w:highlight w:val="none"/>
        </w:rPr>
      </w:pPr>
    </w:p>
    <w:p w14:paraId="7758D1AE">
      <w:pPr>
        <w:snapToGrid w:val="0"/>
        <w:jc w:val="center"/>
        <w:rPr>
          <w:rFonts w:ascii="宋体" w:hAnsi="宋体"/>
          <w:bCs/>
          <w:color w:val="auto"/>
          <w:sz w:val="32"/>
          <w:szCs w:val="32"/>
          <w:highlight w:val="none"/>
        </w:rPr>
      </w:pPr>
    </w:p>
    <w:p w14:paraId="3D14A326">
      <w:pPr>
        <w:snapToGrid w:val="0"/>
        <w:jc w:val="center"/>
        <w:rPr>
          <w:rFonts w:ascii="宋体" w:hAnsi="宋体"/>
          <w:bCs/>
          <w:color w:val="auto"/>
          <w:sz w:val="32"/>
          <w:szCs w:val="32"/>
          <w:highlight w:val="none"/>
        </w:rPr>
      </w:pPr>
    </w:p>
    <w:p w14:paraId="23D017B5">
      <w:pPr>
        <w:snapToGrid w:val="0"/>
        <w:jc w:val="center"/>
        <w:rPr>
          <w:rFonts w:ascii="宋体" w:hAnsi="宋体"/>
          <w:bCs/>
          <w:color w:val="auto"/>
          <w:sz w:val="32"/>
          <w:szCs w:val="32"/>
          <w:highlight w:val="none"/>
        </w:rPr>
      </w:pPr>
    </w:p>
    <w:p w14:paraId="1AC66FFB">
      <w:pPr>
        <w:snapToGrid w:val="0"/>
        <w:jc w:val="center"/>
        <w:rPr>
          <w:rFonts w:ascii="宋体" w:hAnsi="宋体"/>
          <w:bCs/>
          <w:color w:val="auto"/>
          <w:sz w:val="32"/>
          <w:szCs w:val="32"/>
          <w:highlight w:val="none"/>
        </w:rPr>
      </w:pPr>
    </w:p>
    <w:p w14:paraId="0872F0B5">
      <w:pPr>
        <w:snapToGrid w:val="0"/>
        <w:jc w:val="center"/>
        <w:rPr>
          <w:rFonts w:ascii="宋体" w:hAnsi="宋体"/>
          <w:bCs/>
          <w:color w:val="auto"/>
          <w:sz w:val="32"/>
          <w:szCs w:val="32"/>
          <w:highlight w:val="none"/>
        </w:rPr>
      </w:pPr>
    </w:p>
    <w:p w14:paraId="76714DDF">
      <w:pPr>
        <w:snapToGrid w:val="0"/>
        <w:jc w:val="center"/>
        <w:rPr>
          <w:rFonts w:ascii="宋体" w:hAnsi="宋体"/>
          <w:bCs/>
          <w:color w:val="auto"/>
          <w:sz w:val="32"/>
          <w:szCs w:val="32"/>
          <w:highlight w:val="none"/>
        </w:rPr>
      </w:pPr>
    </w:p>
    <w:p w14:paraId="29613D3A">
      <w:pPr>
        <w:snapToGrid w:val="0"/>
        <w:jc w:val="center"/>
        <w:rPr>
          <w:rFonts w:ascii="宋体" w:hAnsi="宋体"/>
          <w:bCs/>
          <w:color w:val="auto"/>
          <w:sz w:val="32"/>
          <w:szCs w:val="32"/>
          <w:highlight w:val="none"/>
        </w:rPr>
      </w:pPr>
    </w:p>
    <w:p w14:paraId="1446DBDD">
      <w:pPr>
        <w:pStyle w:val="2"/>
        <w:jc w:val="center"/>
        <w:rPr>
          <w:color w:val="auto"/>
          <w:sz w:val="40"/>
          <w:szCs w:val="40"/>
          <w:highlight w:val="none"/>
        </w:rPr>
      </w:pPr>
      <w:bookmarkStart w:id="320" w:name="_Toc19686834"/>
      <w:bookmarkStart w:id="321" w:name="_Toc31051"/>
      <w:r>
        <w:rPr>
          <w:rFonts w:hint="eastAsia"/>
          <w:color w:val="auto"/>
          <w:sz w:val="40"/>
          <w:szCs w:val="40"/>
          <w:highlight w:val="none"/>
        </w:rPr>
        <w:t>第六章　响应文件格式</w:t>
      </w:r>
      <w:bookmarkEnd w:id="320"/>
      <w:bookmarkEnd w:id="321"/>
    </w:p>
    <w:p w14:paraId="459D4DA2">
      <w:pPr>
        <w:snapToGrid w:val="0"/>
        <w:spacing w:beforeLines="50" w:after="50"/>
        <w:rPr>
          <w:b/>
          <w:color w:val="auto"/>
          <w:sz w:val="32"/>
          <w:szCs w:val="32"/>
          <w:highlight w:val="none"/>
        </w:rPr>
      </w:pPr>
      <w:r>
        <w:rPr>
          <w:color w:val="auto"/>
          <w:highlight w:val="none"/>
        </w:rPr>
        <w:br w:type="page"/>
      </w:r>
      <w:bookmarkStart w:id="322" w:name="_Toc31728084"/>
      <w:bookmarkStart w:id="323" w:name="_Toc44229899"/>
      <w:bookmarkStart w:id="324" w:name="_Toc71366186"/>
      <w:bookmarkStart w:id="325" w:name="_Toc31723070"/>
      <w:bookmarkStart w:id="326" w:name="_Toc35611516"/>
      <w:bookmarkStart w:id="327" w:name="_Toc35611438"/>
      <w:r>
        <w:rPr>
          <w:rFonts w:hint="eastAsia"/>
          <w:b/>
          <w:color w:val="auto"/>
          <w:sz w:val="32"/>
          <w:szCs w:val="32"/>
          <w:highlight w:val="none"/>
        </w:rPr>
        <w:t>一、资格证明文件格式</w:t>
      </w:r>
      <w:bookmarkEnd w:id="322"/>
      <w:bookmarkEnd w:id="323"/>
      <w:bookmarkEnd w:id="324"/>
      <w:bookmarkEnd w:id="325"/>
      <w:bookmarkEnd w:id="326"/>
      <w:bookmarkEnd w:id="327"/>
    </w:p>
    <w:p w14:paraId="51BCD714">
      <w:pPr>
        <w:snapToGrid w:val="0"/>
        <w:spacing w:beforeLines="50" w:after="50" w:line="360" w:lineRule="auto"/>
        <w:jc w:val="left"/>
        <w:rPr>
          <w:rFonts w:ascii="宋体" w:hAnsi="宋体"/>
          <w:b/>
          <w:color w:val="auto"/>
          <w:sz w:val="24"/>
          <w:highlight w:val="none"/>
        </w:rPr>
      </w:pPr>
      <w:r>
        <w:rPr>
          <w:rFonts w:hint="eastAsia" w:ascii="宋体" w:hAnsi="宋体"/>
          <w:b/>
          <w:color w:val="auto"/>
          <w:sz w:val="32"/>
          <w:szCs w:val="32"/>
          <w:highlight w:val="none"/>
        </w:rPr>
        <w:t>1.资格证明文件封面格式：</w:t>
      </w:r>
      <w:r>
        <w:rPr>
          <w:rFonts w:hint="eastAsia" w:ascii="宋体" w:hAnsi="宋体"/>
          <w:b/>
          <w:color w:val="auto"/>
          <w:sz w:val="24"/>
          <w:highlight w:val="none"/>
        </w:rPr>
        <w:t xml:space="preserve"> </w:t>
      </w:r>
    </w:p>
    <w:p w14:paraId="3C991470">
      <w:pPr>
        <w:snapToGrid w:val="0"/>
        <w:spacing w:beforeLines="50" w:after="50"/>
        <w:jc w:val="center"/>
        <w:rPr>
          <w:rFonts w:ascii="宋体" w:hAnsi="宋体"/>
          <w:color w:val="auto"/>
          <w:sz w:val="44"/>
          <w:szCs w:val="44"/>
          <w:highlight w:val="none"/>
        </w:rPr>
      </w:pPr>
    </w:p>
    <w:p w14:paraId="16FD8095">
      <w:pPr>
        <w:snapToGrid w:val="0"/>
        <w:spacing w:beforeLines="50" w:after="50"/>
        <w:jc w:val="center"/>
        <w:rPr>
          <w:rFonts w:ascii="宋体" w:hAnsi="宋体"/>
          <w:color w:val="auto"/>
          <w:sz w:val="44"/>
          <w:szCs w:val="44"/>
          <w:highlight w:val="none"/>
        </w:rPr>
      </w:pPr>
      <w:r>
        <w:rPr>
          <w:rFonts w:hint="eastAsia" w:ascii="宋体" w:hAnsi="宋体"/>
          <w:color w:val="auto"/>
          <w:sz w:val="44"/>
          <w:szCs w:val="44"/>
          <w:highlight w:val="none"/>
        </w:rPr>
        <w:t>电 子 响 应 文 件</w:t>
      </w:r>
    </w:p>
    <w:p w14:paraId="5CC01B05">
      <w:pPr>
        <w:snapToGrid w:val="0"/>
        <w:spacing w:beforeLines="50" w:after="50"/>
        <w:rPr>
          <w:rFonts w:ascii="宋体" w:hAnsi="宋体"/>
          <w:color w:val="auto"/>
          <w:sz w:val="24"/>
          <w:szCs w:val="20"/>
          <w:highlight w:val="none"/>
        </w:rPr>
      </w:pPr>
    </w:p>
    <w:p w14:paraId="7E7999B0">
      <w:pPr>
        <w:snapToGrid w:val="0"/>
        <w:spacing w:beforeLines="50" w:after="50"/>
        <w:jc w:val="center"/>
        <w:rPr>
          <w:rFonts w:hint="eastAsia" w:asciiTheme="majorEastAsia" w:hAnsiTheme="majorEastAsia" w:eastAsiaTheme="majorEastAsia" w:cstheme="majorEastAsia"/>
          <w:bCs/>
          <w:color w:val="auto"/>
          <w:sz w:val="44"/>
          <w:szCs w:val="44"/>
          <w:highlight w:val="none"/>
        </w:rPr>
      </w:pPr>
      <w:r>
        <w:rPr>
          <w:rFonts w:hint="eastAsia" w:asciiTheme="majorEastAsia" w:hAnsiTheme="majorEastAsia" w:eastAsiaTheme="majorEastAsia" w:cstheme="majorEastAsia"/>
          <w:bCs/>
          <w:color w:val="auto"/>
          <w:sz w:val="44"/>
          <w:szCs w:val="44"/>
          <w:highlight w:val="none"/>
        </w:rPr>
        <w:t>资  格  证  明  文  件</w:t>
      </w:r>
    </w:p>
    <w:p w14:paraId="327461FE">
      <w:pPr>
        <w:snapToGrid w:val="0"/>
        <w:spacing w:beforeLines="50" w:after="50"/>
        <w:rPr>
          <w:rFonts w:ascii="宋体" w:hAnsi="宋体"/>
          <w:bCs/>
          <w:color w:val="auto"/>
          <w:sz w:val="24"/>
          <w:szCs w:val="20"/>
          <w:highlight w:val="none"/>
        </w:rPr>
      </w:pPr>
    </w:p>
    <w:p w14:paraId="218ACCA0">
      <w:pPr>
        <w:snapToGrid w:val="0"/>
        <w:spacing w:beforeLines="50" w:after="50"/>
        <w:rPr>
          <w:rFonts w:ascii="宋体" w:hAnsi="宋体"/>
          <w:bCs/>
          <w:color w:val="auto"/>
          <w:sz w:val="24"/>
          <w:szCs w:val="20"/>
          <w:highlight w:val="none"/>
        </w:rPr>
      </w:pPr>
    </w:p>
    <w:p w14:paraId="3D6CA06D">
      <w:pPr>
        <w:snapToGrid w:val="0"/>
        <w:spacing w:beforeLines="50" w:after="50"/>
        <w:rPr>
          <w:rFonts w:ascii="宋体" w:hAnsi="宋体"/>
          <w:bCs/>
          <w:color w:val="auto"/>
          <w:sz w:val="24"/>
          <w:szCs w:val="20"/>
          <w:highlight w:val="none"/>
        </w:rPr>
      </w:pPr>
    </w:p>
    <w:p w14:paraId="7910C1DF">
      <w:pPr>
        <w:snapToGrid w:val="0"/>
        <w:spacing w:beforeLines="50" w:after="50"/>
        <w:rPr>
          <w:rFonts w:ascii="宋体" w:hAnsi="宋体"/>
          <w:bCs/>
          <w:color w:val="auto"/>
          <w:sz w:val="24"/>
          <w:szCs w:val="20"/>
          <w:highlight w:val="none"/>
        </w:rPr>
      </w:pPr>
    </w:p>
    <w:p w14:paraId="671FC23D">
      <w:pPr>
        <w:snapToGrid w:val="0"/>
        <w:spacing w:beforeLines="50" w:after="50"/>
        <w:rPr>
          <w:rFonts w:ascii="宋体" w:hAnsi="宋体"/>
          <w:bCs/>
          <w:color w:val="auto"/>
          <w:sz w:val="24"/>
          <w:szCs w:val="20"/>
          <w:highlight w:val="none"/>
        </w:rPr>
      </w:pPr>
    </w:p>
    <w:p w14:paraId="3B794EA0">
      <w:pPr>
        <w:snapToGrid w:val="0"/>
        <w:spacing w:beforeLines="50" w:after="50"/>
        <w:ind w:firstLine="640" w:firstLineChars="200"/>
        <w:rPr>
          <w:rFonts w:ascii="宋体" w:hAnsi="宋体" w:cs="仿宋_GB2312"/>
          <w:bCs/>
          <w:color w:val="auto"/>
          <w:sz w:val="32"/>
          <w:szCs w:val="32"/>
          <w:highlight w:val="none"/>
        </w:rPr>
      </w:pPr>
      <w:r>
        <w:rPr>
          <w:rFonts w:hint="eastAsia" w:ascii="宋体" w:hAnsi="宋体" w:cs="仿宋_GB2312"/>
          <w:bCs/>
          <w:color w:val="auto"/>
          <w:sz w:val="32"/>
          <w:szCs w:val="32"/>
          <w:highlight w:val="none"/>
        </w:rPr>
        <w:t>项目名称：</w:t>
      </w:r>
    </w:p>
    <w:p w14:paraId="31701339">
      <w:pPr>
        <w:snapToGrid w:val="0"/>
        <w:spacing w:beforeLines="50" w:after="50"/>
        <w:ind w:firstLine="720" w:firstLineChars="225"/>
        <w:rPr>
          <w:rFonts w:ascii="宋体" w:hAnsi="宋体" w:cs="仿宋_GB2312"/>
          <w:bCs/>
          <w:color w:val="auto"/>
          <w:sz w:val="32"/>
          <w:szCs w:val="32"/>
          <w:highlight w:val="none"/>
        </w:rPr>
      </w:pPr>
    </w:p>
    <w:p w14:paraId="7DB51F6A">
      <w:pPr>
        <w:snapToGrid w:val="0"/>
        <w:spacing w:beforeLines="50" w:after="50"/>
        <w:ind w:firstLine="720" w:firstLineChars="225"/>
        <w:rPr>
          <w:rFonts w:ascii="宋体" w:hAnsi="宋体" w:cs="仿宋_GB2312"/>
          <w:bCs/>
          <w:color w:val="auto"/>
          <w:sz w:val="32"/>
          <w:szCs w:val="32"/>
          <w:highlight w:val="none"/>
        </w:rPr>
      </w:pPr>
      <w:r>
        <w:rPr>
          <w:rFonts w:hint="eastAsia" w:ascii="宋体" w:hAnsi="宋体" w:cs="仿宋_GB2312"/>
          <w:bCs/>
          <w:color w:val="auto"/>
          <w:sz w:val="32"/>
          <w:szCs w:val="32"/>
          <w:highlight w:val="none"/>
        </w:rPr>
        <w:t>项目编号：</w:t>
      </w:r>
    </w:p>
    <w:p w14:paraId="5CBD3E30">
      <w:pPr>
        <w:snapToGrid w:val="0"/>
        <w:spacing w:beforeLines="50" w:after="50"/>
        <w:ind w:firstLine="720" w:firstLineChars="225"/>
        <w:rPr>
          <w:rFonts w:ascii="宋体" w:hAnsi="宋体" w:cs="仿宋_GB2312"/>
          <w:bCs/>
          <w:color w:val="auto"/>
          <w:sz w:val="32"/>
          <w:szCs w:val="32"/>
          <w:highlight w:val="none"/>
        </w:rPr>
      </w:pPr>
      <w:r>
        <w:rPr>
          <w:rFonts w:hint="eastAsia" w:ascii="宋体" w:hAnsi="宋体" w:cs="仿宋_GB2312"/>
          <w:bCs/>
          <w:color w:val="auto"/>
          <w:sz w:val="32"/>
          <w:szCs w:val="32"/>
          <w:highlight w:val="none"/>
        </w:rPr>
        <w:t xml:space="preserve"> </w:t>
      </w:r>
    </w:p>
    <w:p w14:paraId="6BC5ECE7">
      <w:pPr>
        <w:snapToGrid w:val="0"/>
        <w:spacing w:beforeLines="50" w:after="50"/>
        <w:ind w:firstLine="720" w:firstLineChars="225"/>
        <w:rPr>
          <w:rFonts w:ascii="宋体" w:hAnsi="宋体" w:cs="仿宋_GB2312"/>
          <w:bCs/>
          <w:color w:val="auto"/>
          <w:sz w:val="32"/>
          <w:szCs w:val="32"/>
          <w:highlight w:val="none"/>
        </w:rPr>
      </w:pPr>
      <w:r>
        <w:rPr>
          <w:rFonts w:hint="eastAsia" w:ascii="宋体" w:hAnsi="宋体" w:cs="仿宋_GB2312"/>
          <w:bCs/>
          <w:color w:val="auto"/>
          <w:sz w:val="32"/>
          <w:szCs w:val="32"/>
          <w:highlight w:val="none"/>
        </w:rPr>
        <w:t>所竞分标（如有则填写，无分标时填写“无”或者留空）：</w:t>
      </w:r>
    </w:p>
    <w:p w14:paraId="44D5A459">
      <w:pPr>
        <w:snapToGrid w:val="0"/>
        <w:spacing w:beforeLines="50" w:after="50"/>
        <w:ind w:firstLine="720" w:firstLineChars="225"/>
        <w:rPr>
          <w:rFonts w:ascii="宋体" w:hAnsi="宋体" w:cs="仿宋_GB2312"/>
          <w:bCs/>
          <w:color w:val="auto"/>
          <w:sz w:val="32"/>
          <w:szCs w:val="32"/>
          <w:highlight w:val="none"/>
        </w:rPr>
      </w:pPr>
    </w:p>
    <w:p w14:paraId="55D90539">
      <w:pPr>
        <w:pStyle w:val="7"/>
        <w:snapToGrid w:val="0"/>
        <w:spacing w:before="50" w:after="50"/>
        <w:ind w:firstLine="720" w:firstLineChars="225"/>
        <w:rPr>
          <w:rFonts w:ascii="宋体" w:hAnsi="宋体" w:cs="仿宋_GB2312"/>
          <w:bCs/>
          <w:color w:val="auto"/>
          <w:sz w:val="32"/>
          <w:szCs w:val="32"/>
          <w:highlight w:val="none"/>
        </w:rPr>
      </w:pPr>
      <w:r>
        <w:rPr>
          <w:rFonts w:hint="eastAsia" w:ascii="宋体" w:hAnsi="宋体" w:eastAsia="宋体" w:cs="仿宋_GB2312"/>
          <w:b w:val="0"/>
          <w:bCs/>
          <w:color w:val="auto"/>
          <w:kern w:val="2"/>
          <w:sz w:val="32"/>
          <w:szCs w:val="32"/>
          <w:highlight w:val="none"/>
          <w:lang w:val="en-US" w:eastAsia="zh-CN" w:bidi="ar-SA"/>
        </w:rPr>
        <w:t>供应商名称：</w:t>
      </w:r>
    </w:p>
    <w:p w14:paraId="5FE59BEA">
      <w:pPr>
        <w:snapToGrid w:val="0"/>
        <w:spacing w:beforeLines="50" w:after="50"/>
        <w:ind w:firstLine="640" w:firstLineChars="200"/>
        <w:rPr>
          <w:rFonts w:ascii="宋体" w:hAnsi="宋体" w:cs="仿宋_GB2312"/>
          <w:bCs/>
          <w:color w:val="auto"/>
          <w:sz w:val="32"/>
          <w:szCs w:val="32"/>
          <w:highlight w:val="none"/>
        </w:rPr>
      </w:pPr>
    </w:p>
    <w:p w14:paraId="6E089F1D">
      <w:pPr>
        <w:pStyle w:val="7"/>
        <w:snapToGrid w:val="0"/>
        <w:spacing w:before="50" w:after="50"/>
        <w:ind w:firstLine="723" w:firstLineChars="225"/>
        <w:rPr>
          <w:rFonts w:ascii="宋体" w:hAnsi="宋体" w:cs="仿宋_GB2312"/>
          <w:bCs/>
          <w:color w:val="auto"/>
          <w:sz w:val="32"/>
          <w:szCs w:val="32"/>
          <w:highlight w:val="none"/>
        </w:rPr>
      </w:pPr>
    </w:p>
    <w:p w14:paraId="24DBE736">
      <w:pPr>
        <w:pStyle w:val="7"/>
        <w:snapToGrid w:val="0"/>
        <w:spacing w:before="50" w:after="50"/>
        <w:ind w:firstLine="723" w:firstLineChars="225"/>
        <w:rPr>
          <w:rFonts w:ascii="宋体" w:hAnsi="宋体" w:cs="仿宋_GB2312"/>
          <w:bCs/>
          <w:color w:val="auto"/>
          <w:sz w:val="32"/>
          <w:szCs w:val="32"/>
          <w:highlight w:val="none"/>
        </w:rPr>
      </w:pPr>
    </w:p>
    <w:p w14:paraId="0AC5A2FD">
      <w:pPr>
        <w:pStyle w:val="7"/>
        <w:snapToGrid w:val="0"/>
        <w:spacing w:before="50" w:after="50"/>
        <w:ind w:firstLine="1285" w:firstLineChars="400"/>
        <w:rPr>
          <w:rFonts w:ascii="宋体" w:hAnsi="宋体" w:cs="仿宋_GB2312"/>
          <w:bCs/>
          <w:color w:val="auto"/>
          <w:sz w:val="32"/>
          <w:szCs w:val="32"/>
          <w:highlight w:val="none"/>
        </w:rPr>
      </w:pPr>
    </w:p>
    <w:p w14:paraId="20236EA2">
      <w:pPr>
        <w:snapToGrid w:val="0"/>
        <w:spacing w:beforeLines="50" w:after="50"/>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年    月    日</w:t>
      </w:r>
    </w:p>
    <w:p w14:paraId="7B55EC98">
      <w:pPr>
        <w:snapToGrid w:val="0"/>
        <w:spacing w:beforeLines="50" w:after="50" w:line="360" w:lineRule="auto"/>
        <w:ind w:left="142"/>
        <w:jc w:val="left"/>
        <w:rPr>
          <w:rFonts w:ascii="宋体" w:hAnsi="宋体"/>
          <w:b/>
          <w:bCs/>
          <w:color w:val="auto"/>
          <w:sz w:val="32"/>
          <w:szCs w:val="32"/>
          <w:highlight w:val="none"/>
        </w:rPr>
      </w:pPr>
      <w:r>
        <w:rPr>
          <w:rFonts w:ascii="宋体" w:hAnsi="宋体"/>
          <w:color w:val="auto"/>
          <w:sz w:val="24"/>
          <w:highlight w:val="none"/>
        </w:rPr>
        <w:br w:type="page"/>
      </w:r>
      <w:r>
        <w:rPr>
          <w:rFonts w:hint="eastAsia" w:ascii="宋体" w:hAnsi="宋体"/>
          <w:b/>
          <w:bCs/>
          <w:color w:val="auto"/>
          <w:sz w:val="32"/>
          <w:szCs w:val="32"/>
          <w:highlight w:val="none"/>
        </w:rPr>
        <w:t>2.资格证明文件目录</w:t>
      </w:r>
    </w:p>
    <w:p w14:paraId="2D94BDB0">
      <w:pPr>
        <w:snapToGrid w:val="0"/>
        <w:spacing w:beforeLines="50" w:after="50" w:line="360" w:lineRule="auto"/>
        <w:ind w:firstLine="645"/>
        <w:rPr>
          <w:rFonts w:ascii="宋体" w:hAnsi="宋体"/>
          <w:color w:val="auto"/>
          <w:sz w:val="24"/>
          <w:szCs w:val="24"/>
          <w:highlight w:val="none"/>
        </w:rPr>
      </w:pPr>
      <w:r>
        <w:rPr>
          <w:rFonts w:hint="eastAsia" w:ascii="宋体" w:hAnsi="宋体"/>
          <w:color w:val="auto"/>
          <w:sz w:val="24"/>
          <w:szCs w:val="24"/>
          <w:highlight w:val="none"/>
        </w:rPr>
        <w:t>根据磋商文件规定及供应商提供的材料自行编写目录（部分格式后附）。</w:t>
      </w:r>
    </w:p>
    <w:p w14:paraId="02CD0FE9">
      <w:pPr>
        <w:snapToGrid w:val="0"/>
        <w:spacing w:beforeLines="50" w:after="50"/>
        <w:rPr>
          <w:rFonts w:ascii="宋体" w:hAnsi="宋体"/>
          <w:color w:val="auto"/>
          <w:sz w:val="24"/>
          <w:szCs w:val="20"/>
          <w:highlight w:val="none"/>
        </w:rPr>
      </w:pPr>
      <w:r>
        <w:rPr>
          <w:rFonts w:ascii="宋体" w:hAnsi="宋体"/>
          <w:color w:val="auto"/>
          <w:sz w:val="24"/>
          <w:szCs w:val="20"/>
          <w:highlight w:val="none"/>
        </w:rPr>
        <w:t xml:space="preserve"> </w:t>
      </w:r>
    </w:p>
    <w:p w14:paraId="15DC97C3">
      <w:pPr>
        <w:spacing w:line="300" w:lineRule="auto"/>
        <w:rPr>
          <w:rFonts w:ascii="宋体" w:hAnsi="宋体"/>
          <w:color w:val="auto"/>
          <w:szCs w:val="21"/>
          <w:highlight w:val="none"/>
        </w:rPr>
      </w:pPr>
    </w:p>
    <w:p w14:paraId="724C201C">
      <w:pPr>
        <w:spacing w:line="300" w:lineRule="auto"/>
        <w:rPr>
          <w:rFonts w:ascii="宋体" w:hAnsi="宋体"/>
          <w:color w:val="auto"/>
          <w:szCs w:val="21"/>
          <w:highlight w:val="none"/>
        </w:rPr>
      </w:pPr>
    </w:p>
    <w:p w14:paraId="20F2380D">
      <w:pPr>
        <w:spacing w:line="300" w:lineRule="auto"/>
        <w:rPr>
          <w:rFonts w:ascii="宋体" w:hAnsi="宋体"/>
          <w:color w:val="auto"/>
          <w:szCs w:val="21"/>
          <w:highlight w:val="none"/>
        </w:rPr>
      </w:pPr>
    </w:p>
    <w:p w14:paraId="2963E265">
      <w:pPr>
        <w:spacing w:line="300" w:lineRule="auto"/>
        <w:rPr>
          <w:rFonts w:ascii="宋体" w:hAnsi="宋体"/>
          <w:color w:val="auto"/>
          <w:szCs w:val="21"/>
          <w:highlight w:val="none"/>
        </w:rPr>
      </w:pPr>
    </w:p>
    <w:p w14:paraId="74D4890A">
      <w:pPr>
        <w:spacing w:line="300" w:lineRule="auto"/>
        <w:rPr>
          <w:rFonts w:ascii="宋体" w:hAnsi="宋体"/>
          <w:color w:val="auto"/>
          <w:szCs w:val="21"/>
          <w:highlight w:val="none"/>
        </w:rPr>
      </w:pPr>
    </w:p>
    <w:p w14:paraId="78F85E87">
      <w:pPr>
        <w:spacing w:line="300" w:lineRule="auto"/>
        <w:rPr>
          <w:rFonts w:ascii="宋体" w:hAnsi="宋体"/>
          <w:color w:val="auto"/>
          <w:szCs w:val="21"/>
          <w:highlight w:val="none"/>
        </w:rPr>
      </w:pPr>
    </w:p>
    <w:p w14:paraId="4515DD60">
      <w:pPr>
        <w:spacing w:line="300" w:lineRule="auto"/>
        <w:rPr>
          <w:rFonts w:ascii="宋体" w:hAnsi="宋体"/>
          <w:color w:val="auto"/>
          <w:szCs w:val="21"/>
          <w:highlight w:val="none"/>
        </w:rPr>
      </w:pPr>
    </w:p>
    <w:p w14:paraId="3B21392B">
      <w:pPr>
        <w:spacing w:line="300" w:lineRule="auto"/>
        <w:rPr>
          <w:rFonts w:ascii="宋体" w:hAnsi="宋体"/>
          <w:color w:val="auto"/>
          <w:szCs w:val="21"/>
          <w:highlight w:val="none"/>
        </w:rPr>
      </w:pPr>
    </w:p>
    <w:p w14:paraId="0455ECBC">
      <w:pPr>
        <w:spacing w:line="300" w:lineRule="auto"/>
        <w:rPr>
          <w:rFonts w:ascii="宋体" w:hAnsi="宋体"/>
          <w:color w:val="auto"/>
          <w:szCs w:val="21"/>
          <w:highlight w:val="none"/>
        </w:rPr>
      </w:pPr>
    </w:p>
    <w:p w14:paraId="6D595AC7">
      <w:pPr>
        <w:spacing w:line="300" w:lineRule="auto"/>
        <w:rPr>
          <w:rFonts w:ascii="宋体" w:hAnsi="宋体"/>
          <w:color w:val="auto"/>
          <w:szCs w:val="21"/>
          <w:highlight w:val="none"/>
        </w:rPr>
      </w:pPr>
    </w:p>
    <w:p w14:paraId="11AB81CB">
      <w:pPr>
        <w:spacing w:line="300" w:lineRule="auto"/>
        <w:rPr>
          <w:rFonts w:ascii="宋体" w:hAnsi="宋体"/>
          <w:color w:val="auto"/>
          <w:szCs w:val="21"/>
          <w:highlight w:val="none"/>
        </w:rPr>
      </w:pPr>
    </w:p>
    <w:p w14:paraId="294E5415">
      <w:pPr>
        <w:spacing w:line="300" w:lineRule="auto"/>
        <w:rPr>
          <w:rFonts w:ascii="宋体" w:hAnsi="宋体"/>
          <w:color w:val="auto"/>
          <w:szCs w:val="21"/>
          <w:highlight w:val="none"/>
        </w:rPr>
      </w:pPr>
    </w:p>
    <w:p w14:paraId="032D9288">
      <w:pPr>
        <w:spacing w:line="300" w:lineRule="auto"/>
        <w:rPr>
          <w:rFonts w:ascii="宋体" w:hAnsi="宋体"/>
          <w:color w:val="auto"/>
          <w:szCs w:val="21"/>
          <w:highlight w:val="none"/>
        </w:rPr>
      </w:pPr>
    </w:p>
    <w:p w14:paraId="24914FF1">
      <w:pPr>
        <w:spacing w:line="300" w:lineRule="auto"/>
        <w:rPr>
          <w:rFonts w:ascii="宋体" w:hAnsi="宋体"/>
          <w:color w:val="auto"/>
          <w:szCs w:val="21"/>
          <w:highlight w:val="none"/>
        </w:rPr>
      </w:pPr>
    </w:p>
    <w:p w14:paraId="6AFCD0AF">
      <w:pPr>
        <w:spacing w:line="300" w:lineRule="auto"/>
        <w:rPr>
          <w:rFonts w:ascii="宋体" w:hAnsi="宋体"/>
          <w:color w:val="auto"/>
          <w:szCs w:val="21"/>
          <w:highlight w:val="none"/>
        </w:rPr>
      </w:pPr>
    </w:p>
    <w:p w14:paraId="69639F15">
      <w:pPr>
        <w:spacing w:line="320" w:lineRule="exact"/>
        <w:jc w:val="left"/>
        <w:rPr>
          <w:rFonts w:ascii="宋体" w:hAnsi="宋体"/>
          <w:color w:val="auto"/>
          <w:szCs w:val="21"/>
          <w:highlight w:val="none"/>
        </w:rPr>
      </w:pPr>
      <w:r>
        <w:rPr>
          <w:rFonts w:ascii="宋体" w:hAnsi="宋体"/>
          <w:color w:val="auto"/>
          <w:szCs w:val="21"/>
          <w:highlight w:val="none"/>
        </w:rPr>
        <w:br w:type="page"/>
      </w:r>
      <w:r>
        <w:rPr>
          <w:rFonts w:hint="eastAsia" w:ascii="宋体" w:hAnsi="宋体"/>
          <w:color w:val="auto"/>
          <w:szCs w:val="21"/>
          <w:highlight w:val="none"/>
        </w:rPr>
        <w:t xml:space="preserve"> </w:t>
      </w:r>
    </w:p>
    <w:p w14:paraId="09D8396C">
      <w:pPr>
        <w:wordWrap w:val="0"/>
        <w:spacing w:beforeLines="50" w:after="50" w:line="320" w:lineRule="exact"/>
        <w:ind w:right="482" w:firstLine="210" w:firstLineChars="100"/>
        <w:contextualSpacing/>
        <w:jc w:val="center"/>
        <w:rPr>
          <w:rFonts w:ascii="宋体" w:hAnsi="宋体"/>
          <w:color w:val="auto"/>
          <w:szCs w:val="21"/>
          <w:highlight w:val="none"/>
        </w:rPr>
      </w:pPr>
    </w:p>
    <w:p w14:paraId="0B6C2CE4">
      <w:pPr>
        <w:spacing w:line="320" w:lineRule="exact"/>
        <w:jc w:val="center"/>
        <w:rPr>
          <w:rFonts w:ascii="宋体" w:hAnsi="宋体"/>
          <w:b/>
          <w:color w:val="auto"/>
          <w:sz w:val="32"/>
          <w:szCs w:val="32"/>
          <w:highlight w:val="none"/>
        </w:rPr>
      </w:pPr>
      <w:r>
        <w:rPr>
          <w:rFonts w:hint="eastAsia" w:ascii="宋体" w:hAnsi="宋体"/>
          <w:b/>
          <w:color w:val="auto"/>
          <w:sz w:val="32"/>
          <w:szCs w:val="32"/>
          <w:highlight w:val="none"/>
        </w:rPr>
        <w:t>供应商直接控股、管理关系信息表</w:t>
      </w:r>
    </w:p>
    <w:p w14:paraId="7EED9A4F">
      <w:pPr>
        <w:snapToGrid w:val="0"/>
        <w:spacing w:beforeLines="50" w:after="50" w:line="360" w:lineRule="auto"/>
        <w:jc w:val="center"/>
        <w:rPr>
          <w:rFonts w:ascii="宋体" w:hAnsi="宋体"/>
          <w:b/>
          <w:color w:val="auto"/>
          <w:sz w:val="24"/>
          <w:highlight w:val="none"/>
        </w:rPr>
      </w:pPr>
    </w:p>
    <w:p w14:paraId="69D9352E">
      <w:pPr>
        <w:spacing w:line="360" w:lineRule="auto"/>
        <w:contextualSpacing/>
        <w:jc w:val="center"/>
        <w:rPr>
          <w:rFonts w:ascii="宋体" w:hAnsi="宋体"/>
          <w:b/>
          <w:color w:val="auto"/>
          <w:sz w:val="32"/>
          <w:szCs w:val="32"/>
          <w:highlight w:val="none"/>
        </w:rPr>
      </w:pPr>
      <w:r>
        <w:rPr>
          <w:rFonts w:hint="eastAsia" w:ascii="宋体" w:hAnsi="宋体"/>
          <w:b/>
          <w:color w:val="auto"/>
          <w:sz w:val="28"/>
          <w:szCs w:val="28"/>
          <w:highlight w:val="none"/>
        </w:rPr>
        <w:t>供应商直接控股股东信息表</w:t>
      </w:r>
    </w:p>
    <w:p w14:paraId="117C22E3">
      <w:pPr>
        <w:spacing w:line="360" w:lineRule="auto"/>
        <w:contextualSpacing/>
        <w:jc w:val="center"/>
        <w:rPr>
          <w:rFonts w:ascii="宋体" w:hAnsi="宋体"/>
          <w:b/>
          <w:color w:val="auto"/>
          <w:sz w:val="24"/>
          <w:highlight w:val="none"/>
        </w:rPr>
      </w:pPr>
    </w:p>
    <w:tbl>
      <w:tblPr>
        <w:tblStyle w:val="50"/>
        <w:tblW w:w="9197" w:type="dxa"/>
        <w:jc w:val="center"/>
        <w:shd w:val="clear" w:color="auto" w:fill="FBFBFB"/>
        <w:tblLayout w:type="fixed"/>
        <w:tblCellMar>
          <w:top w:w="0" w:type="dxa"/>
          <w:left w:w="0" w:type="dxa"/>
          <w:bottom w:w="0" w:type="dxa"/>
          <w:right w:w="0" w:type="dxa"/>
        </w:tblCellMar>
      </w:tblPr>
      <w:tblGrid>
        <w:gridCol w:w="797"/>
        <w:gridCol w:w="2407"/>
        <w:gridCol w:w="1319"/>
        <w:gridCol w:w="3886"/>
        <w:gridCol w:w="788"/>
      </w:tblGrid>
      <w:tr w14:paraId="63E69E39">
        <w:tblPrEx>
          <w:shd w:val="clear" w:color="auto" w:fill="FBFBFB"/>
          <w:tblCellMar>
            <w:top w:w="0" w:type="dxa"/>
            <w:left w:w="0" w:type="dxa"/>
            <w:bottom w:w="0" w:type="dxa"/>
            <w:right w:w="0" w:type="dxa"/>
          </w:tblCellMar>
        </w:tblPrEx>
        <w:trPr>
          <w:trHeight w:val="742" w:hRule="atLeast"/>
          <w:tblHeader/>
          <w:jc w:val="center"/>
        </w:trPr>
        <w:tc>
          <w:tcPr>
            <w:tcW w:w="797"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77F718B0">
            <w:pPr>
              <w:widowControl/>
              <w:spacing w:line="360" w:lineRule="auto"/>
              <w:contextualSpacing/>
              <w:jc w:val="center"/>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序号</w:t>
            </w:r>
          </w:p>
        </w:tc>
        <w:tc>
          <w:tcPr>
            <w:tcW w:w="2407"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2A5CF155">
            <w:pPr>
              <w:widowControl/>
              <w:spacing w:line="360" w:lineRule="auto"/>
              <w:contextualSpacing/>
              <w:jc w:val="center"/>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直接控股股东名称</w:t>
            </w:r>
          </w:p>
        </w:tc>
        <w:tc>
          <w:tcPr>
            <w:tcW w:w="1319"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1BCE6670">
            <w:pPr>
              <w:widowControl/>
              <w:spacing w:line="360" w:lineRule="auto"/>
              <w:contextualSpacing/>
              <w:jc w:val="center"/>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出资比例</w:t>
            </w:r>
          </w:p>
        </w:tc>
        <w:tc>
          <w:tcPr>
            <w:tcW w:w="3886"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31BF4246">
            <w:pPr>
              <w:widowControl/>
              <w:spacing w:line="360" w:lineRule="auto"/>
              <w:contextualSpacing/>
              <w:jc w:val="center"/>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身份证号码或者统一社会信用代码</w:t>
            </w:r>
          </w:p>
        </w:tc>
        <w:tc>
          <w:tcPr>
            <w:tcW w:w="788"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4A607765">
            <w:pPr>
              <w:widowControl/>
              <w:spacing w:line="360" w:lineRule="auto"/>
              <w:contextualSpacing/>
              <w:jc w:val="center"/>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备注</w:t>
            </w:r>
          </w:p>
        </w:tc>
      </w:tr>
      <w:tr w14:paraId="34659623">
        <w:tblPrEx>
          <w:shd w:val="clear" w:color="auto" w:fill="FBFBFB"/>
          <w:tblCellMar>
            <w:top w:w="0" w:type="dxa"/>
            <w:left w:w="0" w:type="dxa"/>
            <w:bottom w:w="0" w:type="dxa"/>
            <w:right w:w="0" w:type="dxa"/>
          </w:tblCellMar>
        </w:tblPrEx>
        <w:trPr>
          <w:trHeight w:val="742" w:hRule="atLeast"/>
          <w:jc w:val="center"/>
        </w:trPr>
        <w:tc>
          <w:tcPr>
            <w:tcW w:w="797"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22306F0D">
            <w:pPr>
              <w:widowControl/>
              <w:spacing w:line="360" w:lineRule="auto"/>
              <w:contextualSpacing/>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1</w:t>
            </w:r>
          </w:p>
        </w:tc>
        <w:tc>
          <w:tcPr>
            <w:tcW w:w="2407"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7B6F3B0E">
            <w:pPr>
              <w:widowControl/>
              <w:spacing w:line="360" w:lineRule="auto"/>
              <w:contextualSpacing/>
              <w:jc w:val="center"/>
              <w:rPr>
                <w:rFonts w:hint="eastAsia" w:ascii="宋体" w:hAnsi="宋体" w:eastAsia="宋体" w:cs="宋体"/>
                <w:color w:val="auto"/>
                <w:kern w:val="0"/>
                <w:sz w:val="24"/>
                <w:highlight w:val="none"/>
              </w:rPr>
            </w:pPr>
          </w:p>
        </w:tc>
        <w:tc>
          <w:tcPr>
            <w:tcW w:w="1319"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1F9B0C3B">
            <w:pPr>
              <w:widowControl/>
              <w:spacing w:line="360" w:lineRule="auto"/>
              <w:contextualSpacing/>
              <w:jc w:val="center"/>
              <w:rPr>
                <w:rFonts w:hint="eastAsia" w:ascii="宋体" w:hAnsi="宋体" w:eastAsia="宋体" w:cs="宋体"/>
                <w:color w:val="auto"/>
                <w:kern w:val="0"/>
                <w:sz w:val="24"/>
                <w:highlight w:val="none"/>
              </w:rPr>
            </w:pPr>
          </w:p>
        </w:tc>
        <w:tc>
          <w:tcPr>
            <w:tcW w:w="3886"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107F2FEA">
            <w:pPr>
              <w:widowControl/>
              <w:spacing w:line="360" w:lineRule="auto"/>
              <w:contextualSpacing/>
              <w:jc w:val="center"/>
              <w:rPr>
                <w:rFonts w:hint="eastAsia" w:ascii="宋体" w:hAnsi="宋体" w:eastAsia="宋体" w:cs="宋体"/>
                <w:color w:val="auto"/>
                <w:kern w:val="0"/>
                <w:sz w:val="24"/>
                <w:highlight w:val="none"/>
              </w:rPr>
            </w:pPr>
          </w:p>
        </w:tc>
        <w:tc>
          <w:tcPr>
            <w:tcW w:w="788"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4C38E03B">
            <w:pPr>
              <w:widowControl/>
              <w:spacing w:line="360" w:lineRule="auto"/>
              <w:contextualSpacing/>
              <w:jc w:val="center"/>
              <w:rPr>
                <w:rFonts w:hint="eastAsia" w:ascii="宋体" w:hAnsi="宋体" w:eastAsia="宋体" w:cs="宋体"/>
                <w:color w:val="auto"/>
                <w:kern w:val="0"/>
                <w:sz w:val="24"/>
                <w:highlight w:val="none"/>
              </w:rPr>
            </w:pPr>
          </w:p>
        </w:tc>
      </w:tr>
      <w:tr w14:paraId="5E67AB33">
        <w:tblPrEx>
          <w:shd w:val="clear" w:color="auto" w:fill="FBFBFB"/>
          <w:tblCellMar>
            <w:top w:w="0" w:type="dxa"/>
            <w:left w:w="0" w:type="dxa"/>
            <w:bottom w:w="0" w:type="dxa"/>
            <w:right w:w="0" w:type="dxa"/>
          </w:tblCellMar>
        </w:tblPrEx>
        <w:trPr>
          <w:trHeight w:val="742" w:hRule="atLeast"/>
          <w:jc w:val="center"/>
        </w:trPr>
        <w:tc>
          <w:tcPr>
            <w:tcW w:w="797"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35B95559">
            <w:pPr>
              <w:widowControl/>
              <w:spacing w:line="360" w:lineRule="auto"/>
              <w:contextualSpacing/>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2</w:t>
            </w:r>
          </w:p>
        </w:tc>
        <w:tc>
          <w:tcPr>
            <w:tcW w:w="2407"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5DC09332">
            <w:pPr>
              <w:widowControl/>
              <w:spacing w:line="360" w:lineRule="auto"/>
              <w:contextualSpacing/>
              <w:jc w:val="center"/>
              <w:rPr>
                <w:rFonts w:hint="eastAsia" w:ascii="宋体" w:hAnsi="宋体" w:eastAsia="宋体" w:cs="宋体"/>
                <w:color w:val="auto"/>
                <w:kern w:val="0"/>
                <w:sz w:val="24"/>
                <w:highlight w:val="none"/>
              </w:rPr>
            </w:pPr>
          </w:p>
        </w:tc>
        <w:tc>
          <w:tcPr>
            <w:tcW w:w="1319"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3A61B798">
            <w:pPr>
              <w:widowControl/>
              <w:spacing w:line="360" w:lineRule="auto"/>
              <w:contextualSpacing/>
              <w:jc w:val="center"/>
              <w:rPr>
                <w:rFonts w:hint="eastAsia" w:ascii="宋体" w:hAnsi="宋体" w:eastAsia="宋体" w:cs="宋体"/>
                <w:color w:val="auto"/>
                <w:kern w:val="0"/>
                <w:sz w:val="24"/>
                <w:highlight w:val="none"/>
              </w:rPr>
            </w:pPr>
          </w:p>
        </w:tc>
        <w:tc>
          <w:tcPr>
            <w:tcW w:w="3886"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3AB9EB02">
            <w:pPr>
              <w:widowControl/>
              <w:spacing w:line="360" w:lineRule="auto"/>
              <w:contextualSpacing/>
              <w:jc w:val="center"/>
              <w:rPr>
                <w:rFonts w:hint="eastAsia" w:ascii="宋体" w:hAnsi="宋体" w:eastAsia="宋体" w:cs="宋体"/>
                <w:color w:val="auto"/>
                <w:kern w:val="0"/>
                <w:sz w:val="24"/>
                <w:highlight w:val="none"/>
              </w:rPr>
            </w:pPr>
          </w:p>
        </w:tc>
        <w:tc>
          <w:tcPr>
            <w:tcW w:w="788"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4201A9F1">
            <w:pPr>
              <w:widowControl/>
              <w:spacing w:line="360" w:lineRule="auto"/>
              <w:contextualSpacing/>
              <w:jc w:val="center"/>
              <w:rPr>
                <w:rFonts w:hint="eastAsia" w:ascii="宋体" w:hAnsi="宋体" w:eastAsia="宋体" w:cs="宋体"/>
                <w:color w:val="auto"/>
                <w:kern w:val="0"/>
                <w:sz w:val="24"/>
                <w:highlight w:val="none"/>
              </w:rPr>
            </w:pPr>
          </w:p>
        </w:tc>
      </w:tr>
      <w:tr w14:paraId="075243F6">
        <w:tblPrEx>
          <w:shd w:val="clear" w:color="auto" w:fill="FBFBFB"/>
          <w:tblCellMar>
            <w:top w:w="0" w:type="dxa"/>
            <w:left w:w="0" w:type="dxa"/>
            <w:bottom w:w="0" w:type="dxa"/>
            <w:right w:w="0" w:type="dxa"/>
          </w:tblCellMar>
        </w:tblPrEx>
        <w:trPr>
          <w:trHeight w:val="742" w:hRule="atLeast"/>
          <w:jc w:val="center"/>
        </w:trPr>
        <w:tc>
          <w:tcPr>
            <w:tcW w:w="797"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2E8BE588">
            <w:pPr>
              <w:widowControl/>
              <w:spacing w:line="360" w:lineRule="auto"/>
              <w:contextualSpacing/>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w:t>
            </w:r>
          </w:p>
        </w:tc>
        <w:tc>
          <w:tcPr>
            <w:tcW w:w="2407"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4D60ECBF">
            <w:pPr>
              <w:widowControl/>
              <w:spacing w:line="360" w:lineRule="auto"/>
              <w:contextualSpacing/>
              <w:jc w:val="center"/>
              <w:rPr>
                <w:rFonts w:hint="eastAsia" w:ascii="宋体" w:hAnsi="宋体" w:eastAsia="宋体" w:cs="宋体"/>
                <w:color w:val="auto"/>
                <w:kern w:val="0"/>
                <w:sz w:val="24"/>
                <w:highlight w:val="none"/>
              </w:rPr>
            </w:pPr>
          </w:p>
        </w:tc>
        <w:tc>
          <w:tcPr>
            <w:tcW w:w="1319"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5A801BC9">
            <w:pPr>
              <w:widowControl/>
              <w:spacing w:line="360" w:lineRule="auto"/>
              <w:contextualSpacing/>
              <w:jc w:val="center"/>
              <w:rPr>
                <w:rFonts w:hint="eastAsia" w:ascii="宋体" w:hAnsi="宋体" w:eastAsia="宋体" w:cs="宋体"/>
                <w:color w:val="auto"/>
                <w:kern w:val="0"/>
                <w:sz w:val="24"/>
                <w:highlight w:val="none"/>
              </w:rPr>
            </w:pPr>
          </w:p>
        </w:tc>
        <w:tc>
          <w:tcPr>
            <w:tcW w:w="3886"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7D10E79A">
            <w:pPr>
              <w:widowControl/>
              <w:spacing w:line="360" w:lineRule="auto"/>
              <w:contextualSpacing/>
              <w:jc w:val="center"/>
              <w:rPr>
                <w:rFonts w:hint="eastAsia" w:ascii="宋体" w:hAnsi="宋体" w:eastAsia="宋体" w:cs="宋体"/>
                <w:color w:val="auto"/>
                <w:kern w:val="0"/>
                <w:sz w:val="24"/>
                <w:highlight w:val="none"/>
              </w:rPr>
            </w:pPr>
          </w:p>
        </w:tc>
        <w:tc>
          <w:tcPr>
            <w:tcW w:w="788"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36EE69DD">
            <w:pPr>
              <w:widowControl/>
              <w:spacing w:line="360" w:lineRule="auto"/>
              <w:contextualSpacing/>
              <w:jc w:val="center"/>
              <w:rPr>
                <w:rFonts w:hint="eastAsia" w:ascii="宋体" w:hAnsi="宋体" w:eastAsia="宋体" w:cs="宋体"/>
                <w:color w:val="auto"/>
                <w:kern w:val="0"/>
                <w:sz w:val="24"/>
                <w:highlight w:val="none"/>
              </w:rPr>
            </w:pPr>
          </w:p>
        </w:tc>
      </w:tr>
      <w:tr w14:paraId="644B685A">
        <w:tblPrEx>
          <w:shd w:val="clear" w:color="auto" w:fill="FBFBFB"/>
          <w:tblCellMar>
            <w:top w:w="0" w:type="dxa"/>
            <w:left w:w="0" w:type="dxa"/>
            <w:bottom w:w="0" w:type="dxa"/>
            <w:right w:w="0" w:type="dxa"/>
          </w:tblCellMar>
        </w:tblPrEx>
        <w:trPr>
          <w:trHeight w:val="753" w:hRule="atLeast"/>
          <w:jc w:val="center"/>
        </w:trPr>
        <w:tc>
          <w:tcPr>
            <w:tcW w:w="797"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6BF322E0">
            <w:pPr>
              <w:widowControl/>
              <w:spacing w:line="360" w:lineRule="auto"/>
              <w:contextualSpacing/>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w:t>
            </w:r>
          </w:p>
        </w:tc>
        <w:tc>
          <w:tcPr>
            <w:tcW w:w="2407"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24BC1EB9">
            <w:pPr>
              <w:widowControl/>
              <w:spacing w:line="360" w:lineRule="auto"/>
              <w:contextualSpacing/>
              <w:jc w:val="center"/>
              <w:rPr>
                <w:rFonts w:hint="eastAsia" w:ascii="宋体" w:hAnsi="宋体" w:eastAsia="宋体" w:cs="宋体"/>
                <w:color w:val="auto"/>
                <w:kern w:val="0"/>
                <w:sz w:val="24"/>
                <w:highlight w:val="none"/>
              </w:rPr>
            </w:pPr>
          </w:p>
        </w:tc>
        <w:tc>
          <w:tcPr>
            <w:tcW w:w="1319"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3D2889D4">
            <w:pPr>
              <w:widowControl/>
              <w:spacing w:line="360" w:lineRule="auto"/>
              <w:contextualSpacing/>
              <w:jc w:val="center"/>
              <w:rPr>
                <w:rFonts w:hint="eastAsia" w:ascii="宋体" w:hAnsi="宋体" w:eastAsia="宋体" w:cs="宋体"/>
                <w:color w:val="auto"/>
                <w:kern w:val="0"/>
                <w:sz w:val="24"/>
                <w:highlight w:val="none"/>
              </w:rPr>
            </w:pPr>
          </w:p>
        </w:tc>
        <w:tc>
          <w:tcPr>
            <w:tcW w:w="3886"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51D98E98">
            <w:pPr>
              <w:widowControl/>
              <w:spacing w:line="360" w:lineRule="auto"/>
              <w:contextualSpacing/>
              <w:jc w:val="center"/>
              <w:rPr>
                <w:rFonts w:hint="eastAsia" w:ascii="宋体" w:hAnsi="宋体" w:eastAsia="宋体" w:cs="宋体"/>
                <w:color w:val="auto"/>
                <w:kern w:val="0"/>
                <w:sz w:val="24"/>
                <w:highlight w:val="none"/>
              </w:rPr>
            </w:pPr>
          </w:p>
        </w:tc>
        <w:tc>
          <w:tcPr>
            <w:tcW w:w="788"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6042FCF8">
            <w:pPr>
              <w:widowControl/>
              <w:spacing w:line="360" w:lineRule="auto"/>
              <w:contextualSpacing/>
              <w:jc w:val="center"/>
              <w:rPr>
                <w:rFonts w:hint="eastAsia" w:ascii="宋体" w:hAnsi="宋体" w:eastAsia="宋体" w:cs="宋体"/>
                <w:color w:val="auto"/>
                <w:kern w:val="0"/>
                <w:sz w:val="24"/>
                <w:highlight w:val="none"/>
              </w:rPr>
            </w:pPr>
          </w:p>
        </w:tc>
      </w:tr>
    </w:tbl>
    <w:p w14:paraId="2F37B62F">
      <w:pPr>
        <w:spacing w:line="360" w:lineRule="auto"/>
        <w:contextualSpacing/>
        <w:jc w:val="left"/>
        <w:rPr>
          <w:rFonts w:ascii="宋体" w:hAnsi="宋体" w:cs="宋体"/>
          <w:color w:val="auto"/>
          <w:sz w:val="24"/>
          <w:highlight w:val="none"/>
        </w:rPr>
      </w:pPr>
      <w:r>
        <w:rPr>
          <w:rFonts w:hint="eastAsia" w:ascii="宋体" w:hAnsi="宋体" w:cs="宋体"/>
          <w:color w:val="auto"/>
          <w:sz w:val="24"/>
          <w:highlight w:val="none"/>
        </w:rPr>
        <w:t>注：</w:t>
      </w:r>
    </w:p>
    <w:p w14:paraId="375AF1A6">
      <w:pPr>
        <w:spacing w:line="360" w:lineRule="auto"/>
        <w:ind w:firstLine="480" w:firstLineChars="200"/>
        <w:contextualSpacing/>
        <w:jc w:val="left"/>
        <w:rPr>
          <w:rFonts w:ascii="宋体" w:hAnsi="宋体" w:cs="宋体"/>
          <w:color w:val="auto"/>
          <w:sz w:val="24"/>
          <w:highlight w:val="none"/>
        </w:rPr>
      </w:pPr>
      <w:r>
        <w:rPr>
          <w:rFonts w:hint="eastAsia" w:ascii="宋体" w:hAnsi="宋体" w:cs="宋体"/>
          <w:color w:val="auto"/>
          <w:sz w:val="24"/>
          <w:highlight w:val="none"/>
        </w:rPr>
        <w:t>1.直接控股股东：是指其出资额占有限责任公司资本总额百分之五十以上或者其持有的股份占股份有限公司股份总额百分之五十以上的股东；出资额或者持有股份的比例虽然不足百分之五十，但依其出资额或者持有的股份所享有的表决权已足以对股东会、股东大会的决议产生重大影响的股东。</w:t>
      </w:r>
    </w:p>
    <w:p w14:paraId="68DF83D6">
      <w:pPr>
        <w:spacing w:line="360" w:lineRule="auto"/>
        <w:ind w:firstLine="480" w:firstLineChars="200"/>
        <w:contextualSpacing/>
        <w:jc w:val="left"/>
        <w:rPr>
          <w:rFonts w:ascii="宋体" w:hAnsi="宋体" w:cs="宋体"/>
          <w:color w:val="auto"/>
          <w:sz w:val="24"/>
          <w:highlight w:val="none"/>
        </w:rPr>
      </w:pPr>
      <w:r>
        <w:rPr>
          <w:rFonts w:hint="eastAsia" w:ascii="宋体" w:hAnsi="宋体" w:cs="宋体"/>
          <w:color w:val="auto"/>
          <w:sz w:val="24"/>
          <w:highlight w:val="none"/>
        </w:rPr>
        <w:t>2.本表所指的控股关系仅限于直接控股关系，不包括间接的控股关系。公司实际控制人与公司之间的关系不属于本表所指的直接控股关系。</w:t>
      </w:r>
    </w:p>
    <w:p w14:paraId="00CEC41C">
      <w:pPr>
        <w:spacing w:line="360" w:lineRule="auto"/>
        <w:ind w:firstLine="480" w:firstLineChars="200"/>
        <w:contextualSpacing/>
        <w:jc w:val="left"/>
        <w:rPr>
          <w:rFonts w:ascii="宋体" w:hAnsi="宋体" w:cs="宋体"/>
          <w:color w:val="auto"/>
          <w:sz w:val="24"/>
          <w:highlight w:val="none"/>
        </w:rPr>
      </w:pPr>
      <w:r>
        <w:rPr>
          <w:rFonts w:hint="eastAsia" w:ascii="宋体" w:hAnsi="宋体" w:cs="宋体"/>
          <w:color w:val="auto"/>
          <w:sz w:val="24"/>
          <w:highlight w:val="none"/>
        </w:rPr>
        <w:t>3.供应商不存在直接控股股东的，</w:t>
      </w:r>
      <w:r>
        <w:rPr>
          <w:rFonts w:hint="eastAsia" w:ascii="宋体" w:hAnsi="宋体"/>
          <w:color w:val="auto"/>
          <w:sz w:val="24"/>
          <w:highlight w:val="none"/>
        </w:rPr>
        <w:t>则在“直接控股股东名称”填“无”</w:t>
      </w:r>
      <w:r>
        <w:rPr>
          <w:rFonts w:hint="eastAsia" w:ascii="宋体" w:hAnsi="宋体" w:cs="宋体"/>
          <w:color w:val="auto"/>
          <w:sz w:val="24"/>
          <w:highlight w:val="none"/>
        </w:rPr>
        <w:t>。</w:t>
      </w:r>
    </w:p>
    <w:p w14:paraId="4378C8D0">
      <w:pPr>
        <w:spacing w:line="360" w:lineRule="auto"/>
        <w:ind w:firstLine="420" w:firstLineChars="200"/>
        <w:contextualSpacing/>
        <w:jc w:val="left"/>
        <w:rPr>
          <w:rFonts w:ascii="宋体" w:hAnsi="宋体" w:cs="宋体"/>
          <w:color w:val="auto"/>
          <w:szCs w:val="21"/>
          <w:highlight w:val="none"/>
        </w:rPr>
      </w:pPr>
    </w:p>
    <w:p w14:paraId="41203868">
      <w:pPr>
        <w:spacing w:line="360" w:lineRule="auto"/>
        <w:ind w:firstLine="560" w:firstLineChars="200"/>
        <w:contextualSpacing/>
        <w:jc w:val="left"/>
        <w:rPr>
          <w:rFonts w:ascii="宋体" w:hAnsi="宋体" w:cs="宋体"/>
          <w:color w:val="auto"/>
          <w:sz w:val="28"/>
          <w:szCs w:val="28"/>
          <w:highlight w:val="none"/>
        </w:rPr>
      </w:pPr>
    </w:p>
    <w:p w14:paraId="3EB5093B">
      <w:pPr>
        <w:spacing w:line="360" w:lineRule="auto"/>
        <w:ind w:right="480"/>
        <w:contextualSpacing/>
        <w:jc w:val="center"/>
        <w:rPr>
          <w:rFonts w:ascii="宋体" w:hAnsi="宋体" w:cs="宋体"/>
          <w:color w:val="auto"/>
          <w:sz w:val="24"/>
          <w:highlight w:val="none"/>
          <w:u w:val="single"/>
        </w:rPr>
      </w:pPr>
      <w:r>
        <w:rPr>
          <w:rFonts w:hint="eastAsia" w:ascii="宋体" w:hAnsi="宋体" w:cs="宋体"/>
          <w:color w:val="auto"/>
          <w:sz w:val="24"/>
          <w:highlight w:val="none"/>
        </w:rPr>
        <w:t xml:space="preserve"> </w:t>
      </w:r>
      <w:r>
        <w:rPr>
          <w:rFonts w:ascii="宋体" w:hAnsi="宋体" w:cs="宋体"/>
          <w:color w:val="auto"/>
          <w:sz w:val="24"/>
          <w:highlight w:val="none"/>
        </w:rPr>
        <w:t xml:space="preserve">       </w:t>
      </w:r>
      <w:r>
        <w:rPr>
          <w:rFonts w:hint="eastAsia" w:ascii="宋体" w:hAnsi="宋体" w:cs="宋体"/>
          <w:color w:val="auto"/>
          <w:sz w:val="24"/>
          <w:highlight w:val="none"/>
        </w:rPr>
        <w:t>法定代表人或者委托代理人</w:t>
      </w:r>
      <w:r>
        <w:rPr>
          <w:rFonts w:hint="eastAsia" w:ascii="宋体" w:hAnsi="宋体"/>
          <w:color w:val="auto"/>
          <w:sz w:val="24"/>
          <w:highlight w:val="none"/>
        </w:rPr>
        <w:t>（签字或者电子签名）</w:t>
      </w:r>
      <w:r>
        <w:rPr>
          <w:rFonts w:hint="eastAsia" w:ascii="宋体" w:hAnsi="宋体" w:cs="宋体"/>
          <w:color w:val="auto"/>
          <w:sz w:val="24"/>
          <w:highlight w:val="none"/>
        </w:rPr>
        <w:t>：</w:t>
      </w:r>
      <w:r>
        <w:rPr>
          <w:rFonts w:hint="eastAsia" w:ascii="宋体" w:hAnsi="宋体" w:cs="宋体"/>
          <w:color w:val="auto"/>
          <w:sz w:val="24"/>
          <w:highlight w:val="none"/>
          <w:u w:val="single"/>
        </w:rPr>
        <w:t xml:space="preserve"> </w:t>
      </w:r>
      <w:r>
        <w:rPr>
          <w:rFonts w:ascii="宋体" w:hAnsi="宋体" w:cs="宋体"/>
          <w:color w:val="auto"/>
          <w:sz w:val="24"/>
          <w:highlight w:val="none"/>
          <w:u w:val="single"/>
        </w:rPr>
        <w:t xml:space="preserve">                   </w:t>
      </w:r>
    </w:p>
    <w:p w14:paraId="2225D35F">
      <w:pPr>
        <w:spacing w:line="360" w:lineRule="auto"/>
        <w:ind w:right="480" w:firstLine="3000" w:firstLineChars="1250"/>
        <w:contextualSpacing/>
        <w:rPr>
          <w:rFonts w:ascii="宋体" w:hAnsi="宋体" w:cs="宋体"/>
          <w:color w:val="auto"/>
          <w:sz w:val="24"/>
          <w:highlight w:val="none"/>
          <w:u w:val="single"/>
        </w:rPr>
      </w:pPr>
      <w:r>
        <w:rPr>
          <w:rFonts w:hint="eastAsia" w:ascii="宋体" w:hAnsi="宋体" w:cs="宋体"/>
          <w:color w:val="auto"/>
          <w:sz w:val="24"/>
          <w:highlight w:val="none"/>
        </w:rPr>
        <w:t>供应商</w:t>
      </w:r>
      <w:r>
        <w:rPr>
          <w:rFonts w:hint="eastAsia" w:ascii="宋体" w:hAnsi="宋体"/>
          <w:color w:val="auto"/>
          <w:sz w:val="24"/>
          <w:highlight w:val="none"/>
        </w:rPr>
        <w:t>（电子签章）</w:t>
      </w:r>
      <w:r>
        <w:rPr>
          <w:rFonts w:hint="eastAsia" w:ascii="宋体" w:hAnsi="宋体" w:cs="宋体"/>
          <w:color w:val="auto"/>
          <w:sz w:val="24"/>
          <w:highlight w:val="none"/>
        </w:rPr>
        <w:t xml:space="preserve">： </w:t>
      </w:r>
      <w:r>
        <w:rPr>
          <w:rFonts w:hint="eastAsia" w:ascii="宋体" w:hAnsi="宋体" w:cs="宋体"/>
          <w:color w:val="auto"/>
          <w:sz w:val="24"/>
          <w:highlight w:val="none"/>
          <w:u w:val="single"/>
        </w:rPr>
        <w:t xml:space="preserve">                              </w:t>
      </w:r>
    </w:p>
    <w:p w14:paraId="61F26103">
      <w:pPr>
        <w:spacing w:line="360" w:lineRule="auto"/>
        <w:ind w:firstLine="480" w:firstLineChars="200"/>
        <w:contextualSpacing/>
        <w:jc w:val="right"/>
        <w:rPr>
          <w:rFonts w:ascii="宋体" w:hAnsi="宋体" w:cs="宋体"/>
          <w:color w:val="auto"/>
          <w:sz w:val="28"/>
          <w:szCs w:val="28"/>
          <w:highlight w:val="none"/>
        </w:rPr>
      </w:pPr>
      <w:r>
        <w:rPr>
          <w:rFonts w:hint="eastAsia" w:ascii="宋体" w:hAnsi="宋体" w:cs="宋体"/>
          <w:color w:val="auto"/>
          <w:sz w:val="24"/>
          <w:highlight w:val="none"/>
        </w:rPr>
        <w:t>年    月    日</w:t>
      </w:r>
    </w:p>
    <w:p w14:paraId="177B7B68">
      <w:pPr>
        <w:snapToGrid w:val="0"/>
        <w:jc w:val="center"/>
        <w:rPr>
          <w:rFonts w:ascii="宋体" w:hAnsi="宋体"/>
          <w:b/>
          <w:color w:val="auto"/>
          <w:sz w:val="28"/>
          <w:szCs w:val="28"/>
          <w:highlight w:val="none"/>
        </w:rPr>
      </w:pPr>
      <w:r>
        <w:rPr>
          <w:rFonts w:ascii="宋体" w:hAnsi="宋体"/>
          <w:b/>
          <w:color w:val="auto"/>
          <w:sz w:val="28"/>
          <w:szCs w:val="28"/>
          <w:highlight w:val="none"/>
        </w:rPr>
        <w:br w:type="page"/>
      </w:r>
    </w:p>
    <w:p w14:paraId="6B48E535">
      <w:pPr>
        <w:spacing w:line="320" w:lineRule="exact"/>
        <w:jc w:val="center"/>
        <w:rPr>
          <w:rFonts w:ascii="宋体" w:hAnsi="宋体"/>
          <w:b/>
          <w:color w:val="auto"/>
          <w:sz w:val="32"/>
          <w:szCs w:val="32"/>
          <w:highlight w:val="none"/>
        </w:rPr>
      </w:pPr>
      <w:r>
        <w:rPr>
          <w:rFonts w:hint="eastAsia" w:ascii="宋体" w:hAnsi="宋体"/>
          <w:b/>
          <w:color w:val="auto"/>
          <w:sz w:val="32"/>
          <w:szCs w:val="32"/>
          <w:highlight w:val="none"/>
        </w:rPr>
        <w:t>供应商直接管理关系信息表</w:t>
      </w:r>
    </w:p>
    <w:p w14:paraId="4B13F6CD">
      <w:pPr>
        <w:snapToGrid w:val="0"/>
        <w:spacing w:line="360" w:lineRule="auto"/>
        <w:jc w:val="center"/>
        <w:rPr>
          <w:rFonts w:ascii="宋体" w:hAnsi="宋体"/>
          <w:b/>
          <w:color w:val="auto"/>
          <w:sz w:val="24"/>
          <w:highlight w:val="none"/>
        </w:rPr>
      </w:pPr>
    </w:p>
    <w:tbl>
      <w:tblPr>
        <w:tblStyle w:val="50"/>
        <w:tblW w:w="9098" w:type="dxa"/>
        <w:jc w:val="center"/>
        <w:shd w:val="clear" w:color="auto" w:fill="FBFBFB"/>
        <w:tblLayout w:type="fixed"/>
        <w:tblCellMar>
          <w:top w:w="0" w:type="dxa"/>
          <w:left w:w="0" w:type="dxa"/>
          <w:bottom w:w="0" w:type="dxa"/>
          <w:right w:w="0" w:type="dxa"/>
        </w:tblCellMar>
      </w:tblPr>
      <w:tblGrid>
        <w:gridCol w:w="761"/>
        <w:gridCol w:w="3394"/>
        <w:gridCol w:w="3351"/>
        <w:gridCol w:w="1592"/>
      </w:tblGrid>
      <w:tr w14:paraId="656D0119">
        <w:tblPrEx>
          <w:tblCellMar>
            <w:top w:w="0" w:type="dxa"/>
            <w:left w:w="0" w:type="dxa"/>
            <w:bottom w:w="0" w:type="dxa"/>
            <w:right w:w="0" w:type="dxa"/>
          </w:tblCellMar>
        </w:tblPrEx>
        <w:trPr>
          <w:trHeight w:val="699" w:hRule="atLeast"/>
          <w:tblHeader/>
          <w:jc w:val="center"/>
        </w:trPr>
        <w:tc>
          <w:tcPr>
            <w:tcW w:w="761"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40B65DD2">
            <w:pPr>
              <w:widowControl/>
              <w:spacing w:line="360" w:lineRule="auto"/>
              <w:contextualSpacing/>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序号</w:t>
            </w:r>
          </w:p>
        </w:tc>
        <w:tc>
          <w:tcPr>
            <w:tcW w:w="3394"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72C2FC65">
            <w:pPr>
              <w:widowControl/>
              <w:spacing w:line="360" w:lineRule="auto"/>
              <w:contextualSpacing/>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直接管理关系单位名称</w:t>
            </w:r>
          </w:p>
        </w:tc>
        <w:tc>
          <w:tcPr>
            <w:tcW w:w="3351"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2C8D0530">
            <w:pPr>
              <w:widowControl/>
              <w:spacing w:line="360" w:lineRule="auto"/>
              <w:contextualSpacing/>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统一社会信用代码</w:t>
            </w:r>
          </w:p>
        </w:tc>
        <w:tc>
          <w:tcPr>
            <w:tcW w:w="1592"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2B544DCE">
            <w:pPr>
              <w:widowControl/>
              <w:spacing w:line="360" w:lineRule="auto"/>
              <w:contextualSpacing/>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备注</w:t>
            </w:r>
          </w:p>
        </w:tc>
      </w:tr>
      <w:tr w14:paraId="72A57EE0">
        <w:tblPrEx>
          <w:tblCellMar>
            <w:top w:w="0" w:type="dxa"/>
            <w:left w:w="0" w:type="dxa"/>
            <w:bottom w:w="0" w:type="dxa"/>
            <w:right w:w="0" w:type="dxa"/>
          </w:tblCellMar>
        </w:tblPrEx>
        <w:trPr>
          <w:trHeight w:val="699" w:hRule="atLeast"/>
          <w:jc w:val="center"/>
        </w:trPr>
        <w:tc>
          <w:tcPr>
            <w:tcW w:w="761"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2D5B23A2">
            <w:pPr>
              <w:widowControl/>
              <w:spacing w:line="360" w:lineRule="auto"/>
              <w:contextualSpacing/>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3394"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285FA626">
            <w:pPr>
              <w:widowControl/>
              <w:spacing w:line="360" w:lineRule="auto"/>
              <w:contextualSpacing/>
              <w:jc w:val="center"/>
              <w:rPr>
                <w:rFonts w:ascii="宋体" w:hAnsi="宋体" w:cs="宋体"/>
                <w:color w:val="auto"/>
                <w:kern w:val="0"/>
                <w:sz w:val="24"/>
                <w:highlight w:val="none"/>
              </w:rPr>
            </w:pPr>
          </w:p>
        </w:tc>
        <w:tc>
          <w:tcPr>
            <w:tcW w:w="3351"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4BD6337D">
            <w:pPr>
              <w:widowControl/>
              <w:spacing w:line="360" w:lineRule="auto"/>
              <w:contextualSpacing/>
              <w:jc w:val="center"/>
              <w:rPr>
                <w:rFonts w:ascii="宋体" w:hAnsi="宋体" w:cs="宋体"/>
                <w:color w:val="auto"/>
                <w:kern w:val="0"/>
                <w:sz w:val="24"/>
                <w:highlight w:val="none"/>
              </w:rPr>
            </w:pPr>
          </w:p>
        </w:tc>
        <w:tc>
          <w:tcPr>
            <w:tcW w:w="1592"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44BC5249">
            <w:pPr>
              <w:widowControl/>
              <w:spacing w:line="360" w:lineRule="auto"/>
              <w:contextualSpacing/>
              <w:jc w:val="center"/>
              <w:rPr>
                <w:rFonts w:ascii="宋体" w:hAnsi="宋体" w:cs="宋体"/>
                <w:color w:val="auto"/>
                <w:kern w:val="0"/>
                <w:sz w:val="24"/>
                <w:highlight w:val="none"/>
              </w:rPr>
            </w:pPr>
          </w:p>
        </w:tc>
      </w:tr>
      <w:tr w14:paraId="7F3CC8C0">
        <w:tblPrEx>
          <w:shd w:val="clear" w:color="auto" w:fill="FBFBFB"/>
          <w:tblCellMar>
            <w:top w:w="0" w:type="dxa"/>
            <w:left w:w="0" w:type="dxa"/>
            <w:bottom w:w="0" w:type="dxa"/>
            <w:right w:w="0" w:type="dxa"/>
          </w:tblCellMar>
        </w:tblPrEx>
        <w:trPr>
          <w:trHeight w:val="699" w:hRule="atLeast"/>
          <w:jc w:val="center"/>
        </w:trPr>
        <w:tc>
          <w:tcPr>
            <w:tcW w:w="761"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7BEAB306">
            <w:pPr>
              <w:widowControl/>
              <w:spacing w:line="360" w:lineRule="auto"/>
              <w:contextualSpacing/>
              <w:jc w:val="center"/>
              <w:rPr>
                <w:rFonts w:ascii="宋体" w:hAnsi="宋体" w:cs="宋体"/>
                <w:color w:val="auto"/>
                <w:kern w:val="0"/>
                <w:sz w:val="24"/>
                <w:highlight w:val="none"/>
              </w:rPr>
            </w:pPr>
            <w:r>
              <w:rPr>
                <w:rFonts w:hint="eastAsia" w:ascii="宋体" w:hAnsi="宋体" w:cs="宋体"/>
                <w:color w:val="auto"/>
                <w:kern w:val="0"/>
                <w:sz w:val="24"/>
                <w:highlight w:val="none"/>
              </w:rPr>
              <w:t>2</w:t>
            </w:r>
          </w:p>
        </w:tc>
        <w:tc>
          <w:tcPr>
            <w:tcW w:w="3394"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1FD968AB">
            <w:pPr>
              <w:widowControl/>
              <w:spacing w:line="360" w:lineRule="auto"/>
              <w:contextualSpacing/>
              <w:jc w:val="center"/>
              <w:rPr>
                <w:rFonts w:ascii="宋体" w:hAnsi="宋体" w:cs="宋体"/>
                <w:color w:val="auto"/>
                <w:kern w:val="0"/>
                <w:sz w:val="24"/>
                <w:highlight w:val="none"/>
              </w:rPr>
            </w:pPr>
          </w:p>
        </w:tc>
        <w:tc>
          <w:tcPr>
            <w:tcW w:w="3351"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41DC5477">
            <w:pPr>
              <w:widowControl/>
              <w:spacing w:line="360" w:lineRule="auto"/>
              <w:contextualSpacing/>
              <w:jc w:val="center"/>
              <w:rPr>
                <w:rFonts w:ascii="宋体" w:hAnsi="宋体" w:cs="宋体"/>
                <w:color w:val="auto"/>
                <w:kern w:val="0"/>
                <w:sz w:val="24"/>
                <w:highlight w:val="none"/>
              </w:rPr>
            </w:pPr>
          </w:p>
        </w:tc>
        <w:tc>
          <w:tcPr>
            <w:tcW w:w="1592"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627AEACB">
            <w:pPr>
              <w:widowControl/>
              <w:spacing w:line="360" w:lineRule="auto"/>
              <w:contextualSpacing/>
              <w:jc w:val="center"/>
              <w:rPr>
                <w:rFonts w:ascii="宋体" w:hAnsi="宋体" w:cs="宋体"/>
                <w:color w:val="auto"/>
                <w:kern w:val="0"/>
                <w:sz w:val="24"/>
                <w:highlight w:val="none"/>
              </w:rPr>
            </w:pPr>
          </w:p>
        </w:tc>
      </w:tr>
      <w:tr w14:paraId="59B0767A">
        <w:tblPrEx>
          <w:tblCellMar>
            <w:top w:w="0" w:type="dxa"/>
            <w:left w:w="0" w:type="dxa"/>
            <w:bottom w:w="0" w:type="dxa"/>
            <w:right w:w="0" w:type="dxa"/>
          </w:tblCellMar>
        </w:tblPrEx>
        <w:trPr>
          <w:trHeight w:val="699" w:hRule="atLeast"/>
          <w:jc w:val="center"/>
        </w:trPr>
        <w:tc>
          <w:tcPr>
            <w:tcW w:w="761"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30649082">
            <w:pPr>
              <w:widowControl/>
              <w:spacing w:line="360" w:lineRule="auto"/>
              <w:contextualSpacing/>
              <w:jc w:val="center"/>
              <w:rPr>
                <w:rFonts w:ascii="宋体" w:hAnsi="宋体" w:cs="宋体"/>
                <w:color w:val="auto"/>
                <w:kern w:val="0"/>
                <w:sz w:val="24"/>
                <w:highlight w:val="none"/>
              </w:rPr>
            </w:pPr>
            <w:r>
              <w:rPr>
                <w:rFonts w:hint="eastAsia" w:ascii="宋体" w:hAnsi="宋体" w:cs="宋体"/>
                <w:color w:val="auto"/>
                <w:kern w:val="0"/>
                <w:sz w:val="24"/>
                <w:highlight w:val="none"/>
              </w:rPr>
              <w:t>3</w:t>
            </w:r>
          </w:p>
        </w:tc>
        <w:tc>
          <w:tcPr>
            <w:tcW w:w="3394"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3BEDBFAB">
            <w:pPr>
              <w:widowControl/>
              <w:spacing w:line="360" w:lineRule="auto"/>
              <w:contextualSpacing/>
              <w:jc w:val="center"/>
              <w:rPr>
                <w:rFonts w:ascii="宋体" w:hAnsi="宋体" w:cs="宋体"/>
                <w:color w:val="auto"/>
                <w:kern w:val="0"/>
                <w:sz w:val="24"/>
                <w:highlight w:val="none"/>
              </w:rPr>
            </w:pPr>
          </w:p>
        </w:tc>
        <w:tc>
          <w:tcPr>
            <w:tcW w:w="3351"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13783A11">
            <w:pPr>
              <w:widowControl/>
              <w:spacing w:line="360" w:lineRule="auto"/>
              <w:contextualSpacing/>
              <w:jc w:val="center"/>
              <w:rPr>
                <w:rFonts w:ascii="宋体" w:hAnsi="宋体" w:cs="宋体"/>
                <w:color w:val="auto"/>
                <w:kern w:val="0"/>
                <w:sz w:val="24"/>
                <w:highlight w:val="none"/>
              </w:rPr>
            </w:pPr>
          </w:p>
        </w:tc>
        <w:tc>
          <w:tcPr>
            <w:tcW w:w="1592"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04B11C7B">
            <w:pPr>
              <w:widowControl/>
              <w:spacing w:line="360" w:lineRule="auto"/>
              <w:contextualSpacing/>
              <w:jc w:val="center"/>
              <w:rPr>
                <w:rFonts w:ascii="宋体" w:hAnsi="宋体" w:cs="宋体"/>
                <w:color w:val="auto"/>
                <w:kern w:val="0"/>
                <w:sz w:val="24"/>
                <w:highlight w:val="none"/>
              </w:rPr>
            </w:pPr>
          </w:p>
        </w:tc>
      </w:tr>
      <w:tr w14:paraId="348C3DC0">
        <w:tblPrEx>
          <w:shd w:val="clear" w:color="auto" w:fill="FBFBFB"/>
          <w:tblCellMar>
            <w:top w:w="0" w:type="dxa"/>
            <w:left w:w="0" w:type="dxa"/>
            <w:bottom w:w="0" w:type="dxa"/>
            <w:right w:w="0" w:type="dxa"/>
          </w:tblCellMar>
        </w:tblPrEx>
        <w:trPr>
          <w:trHeight w:val="708" w:hRule="atLeast"/>
          <w:jc w:val="center"/>
        </w:trPr>
        <w:tc>
          <w:tcPr>
            <w:tcW w:w="761"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10A5CD0A">
            <w:pPr>
              <w:widowControl/>
              <w:spacing w:line="360" w:lineRule="auto"/>
              <w:contextualSpacing/>
              <w:jc w:val="center"/>
              <w:rPr>
                <w:rFonts w:ascii="宋体" w:hAnsi="宋体" w:cs="宋体"/>
                <w:color w:val="auto"/>
                <w:kern w:val="0"/>
                <w:sz w:val="24"/>
                <w:highlight w:val="none"/>
              </w:rPr>
            </w:pPr>
            <w:r>
              <w:rPr>
                <w:rFonts w:hint="eastAsia" w:ascii="宋体" w:hAnsi="宋体" w:cs="宋体"/>
                <w:color w:val="auto"/>
                <w:kern w:val="0"/>
                <w:sz w:val="24"/>
                <w:highlight w:val="none"/>
              </w:rPr>
              <w:t>……</w:t>
            </w:r>
          </w:p>
        </w:tc>
        <w:tc>
          <w:tcPr>
            <w:tcW w:w="3394"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12C6F274">
            <w:pPr>
              <w:widowControl/>
              <w:spacing w:line="360" w:lineRule="auto"/>
              <w:contextualSpacing/>
              <w:jc w:val="center"/>
              <w:rPr>
                <w:rFonts w:ascii="宋体" w:hAnsi="宋体" w:cs="宋体"/>
                <w:color w:val="auto"/>
                <w:kern w:val="0"/>
                <w:sz w:val="24"/>
                <w:highlight w:val="none"/>
              </w:rPr>
            </w:pPr>
          </w:p>
        </w:tc>
        <w:tc>
          <w:tcPr>
            <w:tcW w:w="3351"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72F8B2C7">
            <w:pPr>
              <w:widowControl/>
              <w:spacing w:line="360" w:lineRule="auto"/>
              <w:contextualSpacing/>
              <w:jc w:val="center"/>
              <w:rPr>
                <w:rFonts w:ascii="宋体" w:hAnsi="宋体" w:cs="宋体"/>
                <w:color w:val="auto"/>
                <w:kern w:val="0"/>
                <w:sz w:val="24"/>
                <w:highlight w:val="none"/>
              </w:rPr>
            </w:pPr>
          </w:p>
        </w:tc>
        <w:tc>
          <w:tcPr>
            <w:tcW w:w="1592" w:type="dxa"/>
            <w:tcBorders>
              <w:top w:val="single" w:color="auto" w:sz="4" w:space="0"/>
              <w:left w:val="single" w:color="auto" w:sz="4" w:space="0"/>
              <w:bottom w:val="single" w:color="auto" w:sz="4" w:space="0"/>
              <w:right w:val="single" w:color="auto" w:sz="4" w:space="0"/>
            </w:tcBorders>
            <w:shd w:val="clear" w:color="auto" w:fill="FBFBFB"/>
            <w:tcMar>
              <w:top w:w="120" w:type="dxa"/>
              <w:left w:w="120" w:type="dxa"/>
              <w:bottom w:w="120" w:type="dxa"/>
              <w:right w:w="120" w:type="dxa"/>
            </w:tcMar>
            <w:vAlign w:val="center"/>
          </w:tcPr>
          <w:p w14:paraId="655CEB73">
            <w:pPr>
              <w:widowControl/>
              <w:spacing w:line="360" w:lineRule="auto"/>
              <w:contextualSpacing/>
              <w:jc w:val="center"/>
              <w:rPr>
                <w:rFonts w:ascii="宋体" w:hAnsi="宋体" w:cs="宋体"/>
                <w:color w:val="auto"/>
                <w:kern w:val="0"/>
                <w:sz w:val="24"/>
                <w:highlight w:val="none"/>
              </w:rPr>
            </w:pPr>
          </w:p>
        </w:tc>
      </w:tr>
    </w:tbl>
    <w:p w14:paraId="4FE1E3A8">
      <w:pPr>
        <w:spacing w:line="360" w:lineRule="auto"/>
        <w:contextualSpacing/>
        <w:jc w:val="left"/>
        <w:rPr>
          <w:rFonts w:ascii="宋体" w:hAnsi="宋体"/>
          <w:color w:val="auto"/>
          <w:sz w:val="24"/>
          <w:highlight w:val="none"/>
        </w:rPr>
      </w:pPr>
      <w:r>
        <w:rPr>
          <w:rFonts w:hint="eastAsia" w:ascii="宋体" w:hAnsi="宋体"/>
          <w:color w:val="auto"/>
          <w:sz w:val="24"/>
          <w:highlight w:val="none"/>
        </w:rPr>
        <w:t>注：</w:t>
      </w:r>
    </w:p>
    <w:p w14:paraId="5A7D9B7F">
      <w:pPr>
        <w:spacing w:line="360" w:lineRule="auto"/>
        <w:ind w:firstLine="480" w:firstLineChars="200"/>
        <w:contextualSpacing/>
        <w:jc w:val="left"/>
        <w:rPr>
          <w:rFonts w:ascii="宋体" w:hAnsi="宋体"/>
          <w:color w:val="auto"/>
          <w:sz w:val="24"/>
          <w:highlight w:val="none"/>
        </w:rPr>
      </w:pPr>
      <w:r>
        <w:rPr>
          <w:rFonts w:hint="eastAsia" w:ascii="宋体" w:hAnsi="宋体"/>
          <w:color w:val="auto"/>
          <w:sz w:val="24"/>
          <w:highlight w:val="none"/>
        </w:rPr>
        <w:t>1.管理关系：是指不具有出资持股关系的其他单位之间存在的管理与被管理关系，如一些上下级关系的事业单位和团体组织。</w:t>
      </w:r>
    </w:p>
    <w:p w14:paraId="5A8E8526">
      <w:pPr>
        <w:spacing w:line="360" w:lineRule="auto"/>
        <w:ind w:firstLine="480" w:firstLineChars="200"/>
        <w:contextualSpacing/>
        <w:jc w:val="left"/>
        <w:rPr>
          <w:rFonts w:ascii="宋体" w:hAnsi="宋体"/>
          <w:color w:val="auto"/>
          <w:sz w:val="24"/>
          <w:highlight w:val="none"/>
        </w:rPr>
      </w:pPr>
      <w:r>
        <w:rPr>
          <w:rFonts w:hint="eastAsia" w:ascii="宋体" w:hAnsi="宋体"/>
          <w:color w:val="auto"/>
          <w:sz w:val="24"/>
          <w:highlight w:val="none"/>
        </w:rPr>
        <w:t>2.</w:t>
      </w:r>
      <w:r>
        <w:rPr>
          <w:rFonts w:hint="eastAsia" w:ascii="宋体" w:hAnsi="宋体"/>
          <w:color w:val="auto"/>
          <w:spacing w:val="-6"/>
          <w:sz w:val="24"/>
          <w:highlight w:val="none"/>
        </w:rPr>
        <w:t>本表所指的管理关系仅限于直接管理关系，不包括间接的管理关系。</w:t>
      </w:r>
    </w:p>
    <w:p w14:paraId="27B7C86D">
      <w:pPr>
        <w:spacing w:line="360" w:lineRule="auto"/>
        <w:ind w:firstLine="480" w:firstLineChars="200"/>
        <w:contextualSpacing/>
        <w:jc w:val="left"/>
        <w:rPr>
          <w:rFonts w:ascii="宋体" w:hAnsi="宋体"/>
          <w:color w:val="auto"/>
          <w:sz w:val="24"/>
          <w:highlight w:val="none"/>
        </w:rPr>
      </w:pPr>
      <w:r>
        <w:rPr>
          <w:rFonts w:hint="eastAsia" w:ascii="宋体" w:hAnsi="宋体"/>
          <w:color w:val="auto"/>
          <w:sz w:val="24"/>
          <w:highlight w:val="none"/>
        </w:rPr>
        <w:t>3.供应商不存在直接管理关系的，则在“直接管理关系单位名称”填“无”。</w:t>
      </w:r>
    </w:p>
    <w:p w14:paraId="3D203D42">
      <w:pPr>
        <w:spacing w:line="360" w:lineRule="auto"/>
        <w:contextualSpacing/>
        <w:jc w:val="left"/>
        <w:rPr>
          <w:rFonts w:ascii="宋体" w:hAnsi="宋体"/>
          <w:color w:val="auto"/>
          <w:sz w:val="28"/>
          <w:szCs w:val="28"/>
          <w:highlight w:val="none"/>
        </w:rPr>
      </w:pPr>
    </w:p>
    <w:p w14:paraId="1A4430B5">
      <w:pPr>
        <w:spacing w:line="360" w:lineRule="auto"/>
        <w:contextualSpacing/>
        <w:jc w:val="left"/>
        <w:rPr>
          <w:rFonts w:ascii="宋体" w:hAnsi="宋体"/>
          <w:color w:val="auto"/>
          <w:sz w:val="28"/>
          <w:szCs w:val="28"/>
          <w:highlight w:val="none"/>
        </w:rPr>
      </w:pPr>
    </w:p>
    <w:p w14:paraId="3F5AF6A1">
      <w:pPr>
        <w:spacing w:line="360" w:lineRule="auto"/>
        <w:contextualSpacing/>
        <w:jc w:val="left"/>
        <w:rPr>
          <w:color w:val="auto"/>
          <w:sz w:val="28"/>
          <w:szCs w:val="28"/>
          <w:highlight w:val="none"/>
        </w:rPr>
      </w:pPr>
    </w:p>
    <w:p w14:paraId="143999B1">
      <w:pPr>
        <w:spacing w:line="360" w:lineRule="auto"/>
        <w:contextualSpacing/>
        <w:jc w:val="left"/>
        <w:rPr>
          <w:color w:val="auto"/>
          <w:sz w:val="28"/>
          <w:szCs w:val="28"/>
          <w:highlight w:val="none"/>
        </w:rPr>
      </w:pPr>
    </w:p>
    <w:p w14:paraId="4009978F">
      <w:pPr>
        <w:spacing w:line="360" w:lineRule="auto"/>
        <w:contextualSpacing/>
        <w:jc w:val="left"/>
        <w:rPr>
          <w:color w:val="auto"/>
          <w:sz w:val="28"/>
          <w:szCs w:val="28"/>
          <w:highlight w:val="none"/>
        </w:rPr>
      </w:pPr>
    </w:p>
    <w:p w14:paraId="6D8BCD3A">
      <w:pPr>
        <w:spacing w:line="360" w:lineRule="auto"/>
        <w:contextualSpacing/>
        <w:jc w:val="left"/>
        <w:rPr>
          <w:rFonts w:ascii="宋体" w:hAnsi="宋体"/>
          <w:color w:val="auto"/>
          <w:sz w:val="28"/>
          <w:szCs w:val="28"/>
          <w:highlight w:val="none"/>
        </w:rPr>
      </w:pPr>
    </w:p>
    <w:p w14:paraId="438F87AF">
      <w:pPr>
        <w:spacing w:line="360" w:lineRule="auto"/>
        <w:ind w:right="480"/>
        <w:contextualSpacing/>
        <w:jc w:val="center"/>
        <w:rPr>
          <w:rFonts w:ascii="宋体" w:hAnsi="宋体"/>
          <w:color w:val="auto"/>
          <w:sz w:val="24"/>
          <w:highlight w:val="none"/>
          <w:u w:val="single"/>
        </w:rPr>
      </w:pPr>
      <w:r>
        <w:rPr>
          <w:rFonts w:hint="eastAsia" w:ascii="宋体" w:hAnsi="宋体"/>
          <w:color w:val="auto"/>
          <w:sz w:val="24"/>
          <w:highlight w:val="none"/>
        </w:rPr>
        <w:t xml:space="preserve"> </w:t>
      </w:r>
      <w:r>
        <w:rPr>
          <w:rFonts w:ascii="宋体" w:hAnsi="宋体"/>
          <w:color w:val="auto"/>
          <w:sz w:val="24"/>
          <w:highlight w:val="none"/>
        </w:rPr>
        <w:t xml:space="preserve">             </w:t>
      </w:r>
      <w:r>
        <w:rPr>
          <w:rFonts w:hint="eastAsia" w:ascii="宋体" w:hAnsi="宋体"/>
          <w:color w:val="auto"/>
          <w:sz w:val="24"/>
          <w:highlight w:val="none"/>
        </w:rPr>
        <w:t>法定代表人或者委托代理人（签字或者电子签名）：</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p>
    <w:p w14:paraId="0452176C">
      <w:pPr>
        <w:spacing w:line="360" w:lineRule="auto"/>
        <w:ind w:right="480" w:firstLine="3360" w:firstLineChars="1400"/>
        <w:contextualSpacing/>
        <w:rPr>
          <w:rFonts w:ascii="宋体" w:hAnsi="宋体"/>
          <w:color w:val="auto"/>
          <w:sz w:val="24"/>
          <w:highlight w:val="none"/>
        </w:rPr>
      </w:pPr>
      <w:r>
        <w:rPr>
          <w:rFonts w:hint="eastAsia" w:ascii="宋体" w:hAnsi="宋体"/>
          <w:color w:val="auto"/>
          <w:sz w:val="24"/>
          <w:highlight w:val="none"/>
        </w:rPr>
        <w:t>供应商（电子签章）：</w:t>
      </w:r>
      <w:r>
        <w:rPr>
          <w:rFonts w:hint="eastAsia" w:ascii="宋体" w:hAnsi="宋体"/>
          <w:color w:val="auto"/>
          <w:sz w:val="24"/>
          <w:highlight w:val="none"/>
          <w:u w:val="single"/>
        </w:rPr>
        <w:t xml:space="preserve">                </w:t>
      </w:r>
    </w:p>
    <w:p w14:paraId="2CB87E60">
      <w:pPr>
        <w:spacing w:line="360" w:lineRule="auto"/>
        <w:ind w:firstLine="480" w:firstLineChars="200"/>
        <w:contextualSpacing/>
        <w:jc w:val="left"/>
        <w:rPr>
          <w:rFonts w:ascii="宋体" w:hAnsi="宋体"/>
          <w:color w:val="auto"/>
          <w:sz w:val="28"/>
          <w:szCs w:val="28"/>
          <w:highlight w:val="none"/>
        </w:rPr>
      </w:pPr>
      <w:r>
        <w:rPr>
          <w:rFonts w:hint="eastAsia" w:ascii="宋体" w:hAnsi="宋体"/>
          <w:color w:val="auto"/>
          <w:sz w:val="24"/>
          <w:highlight w:val="none"/>
        </w:rPr>
        <w:t xml:space="preserve">                                        年    月    日</w:t>
      </w:r>
    </w:p>
    <w:p w14:paraId="6CF96EED">
      <w:pPr>
        <w:spacing w:line="320" w:lineRule="exact"/>
        <w:jc w:val="center"/>
        <w:rPr>
          <w:rFonts w:ascii="宋体" w:hAnsi="宋体"/>
          <w:b/>
          <w:color w:val="auto"/>
          <w:sz w:val="32"/>
          <w:szCs w:val="32"/>
          <w:highlight w:val="none"/>
        </w:rPr>
      </w:pPr>
      <w:r>
        <w:rPr>
          <w:rFonts w:ascii="宋体" w:hAnsi="宋体"/>
          <w:color w:val="auto"/>
          <w:sz w:val="28"/>
          <w:szCs w:val="28"/>
          <w:highlight w:val="none"/>
        </w:rPr>
        <w:br w:type="page"/>
      </w:r>
      <w:r>
        <w:rPr>
          <w:rFonts w:hint="eastAsia" w:ascii="宋体" w:hAnsi="宋体"/>
          <w:b/>
          <w:color w:val="auto"/>
          <w:sz w:val="32"/>
          <w:szCs w:val="32"/>
          <w:highlight w:val="none"/>
        </w:rPr>
        <w:t>竞标声明</w:t>
      </w:r>
    </w:p>
    <w:p w14:paraId="50C74177">
      <w:pPr>
        <w:spacing w:line="320" w:lineRule="exact"/>
        <w:jc w:val="center"/>
        <w:rPr>
          <w:rFonts w:ascii="宋体" w:hAnsi="宋体"/>
          <w:color w:val="auto"/>
          <w:sz w:val="24"/>
          <w:szCs w:val="20"/>
          <w:highlight w:val="none"/>
        </w:rPr>
      </w:pPr>
    </w:p>
    <w:p w14:paraId="7E80AD3F">
      <w:pPr>
        <w:spacing w:line="360" w:lineRule="auto"/>
        <w:contextualSpacing/>
        <w:rPr>
          <w:rFonts w:ascii="宋体" w:hAnsi="宋体" w:cs="宋体"/>
          <w:color w:val="auto"/>
          <w:sz w:val="24"/>
          <w:highlight w:val="none"/>
        </w:rPr>
      </w:pPr>
      <w:r>
        <w:rPr>
          <w:rFonts w:hint="eastAsia" w:ascii="宋体" w:hAnsi="宋体" w:cs="宋体"/>
          <w:color w:val="auto"/>
          <w:sz w:val="24"/>
          <w:highlight w:val="none"/>
        </w:rPr>
        <w:t>致：</w:t>
      </w:r>
      <w:r>
        <w:rPr>
          <w:rFonts w:hint="eastAsia" w:ascii="宋体" w:hAnsi="宋体" w:cs="宋体"/>
          <w:color w:val="auto"/>
          <w:sz w:val="24"/>
          <w:highlight w:val="none"/>
          <w:u w:val="single"/>
        </w:rPr>
        <w:t>（采购人名称）</w:t>
      </w:r>
    </w:p>
    <w:p w14:paraId="7F5C8D21">
      <w:pPr>
        <w:spacing w:line="360" w:lineRule="auto"/>
        <w:ind w:left="0" w:leftChars="0" w:firstLine="218" w:firstLineChars="91"/>
        <w:contextualSpacing/>
        <w:jc w:val="left"/>
        <w:rPr>
          <w:rFonts w:ascii="宋体" w:hAnsi="宋体" w:cs="宋体"/>
          <w:color w:val="auto"/>
          <w:sz w:val="24"/>
          <w:highlight w:val="none"/>
        </w:rPr>
      </w:pPr>
      <w:r>
        <w:rPr>
          <w:rFonts w:hint="eastAsia" w:ascii="宋体" w:hAnsi="宋体" w:cs="宋体"/>
          <w:color w:val="auto"/>
          <w:sz w:val="24"/>
          <w:highlight w:val="none"/>
          <w:u w:val="single"/>
        </w:rPr>
        <w:t>（供应商名称）</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系中华人民共和国合法供应商，经营地址</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14:paraId="0AB31838">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我方愿意参加贵方组织的</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（项目名称）</w:t>
      </w:r>
      <w:r>
        <w:rPr>
          <w:rFonts w:hint="eastAsia" w:ascii="宋体" w:hAnsi="宋体" w:cs="宋体"/>
          <w:color w:val="auto"/>
          <w:sz w:val="24"/>
          <w:highlight w:val="none"/>
        </w:rPr>
        <w:t>项目的竞标，为便于贵方公正、择优地确定成交供应商及其竞标产品和服务，我方就本次竞标有关事项郑重声明如下：</w:t>
      </w:r>
    </w:p>
    <w:p w14:paraId="6D0029DF">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1.我方向贵方提交的所有响应文件、资料都是准确的和真实的。</w:t>
      </w:r>
    </w:p>
    <w:p w14:paraId="1EF8D992">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olor w:val="auto"/>
          <w:sz w:val="24"/>
          <w:highlight w:val="none"/>
        </w:rPr>
        <w:t>我方不是为本次采购项目提供整体设计、规范编制或者项目管理、监理、检测等服务的供应商</w:t>
      </w:r>
      <w:r>
        <w:rPr>
          <w:rFonts w:hint="eastAsia" w:ascii="宋体" w:hAnsi="宋体" w:cs="宋体"/>
          <w:color w:val="auto"/>
          <w:sz w:val="24"/>
          <w:highlight w:val="none"/>
        </w:rPr>
        <w:t>。</w:t>
      </w:r>
    </w:p>
    <w:p w14:paraId="2E36E1FF">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3.在此，我方宣布同意如下：</w:t>
      </w:r>
    </w:p>
    <w:p w14:paraId="78179646">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（1）将按磋商文件的约定履行合同责任和义务；</w:t>
      </w:r>
    </w:p>
    <w:p w14:paraId="21843F3B">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（2）已详细审查全部磋商文件，包括澄清或者更正公告（如有）；</w:t>
      </w:r>
    </w:p>
    <w:p w14:paraId="49315DCC">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（3）同意提供按照贵方可能要求的与磋商有关的一切数据或者资料；</w:t>
      </w:r>
    </w:p>
    <w:p w14:paraId="520E187E">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（4）响应磋商文件规定的竞标有效期。</w:t>
      </w:r>
    </w:p>
    <w:p w14:paraId="2F49218A">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4.我方承诺符合《中华人民共和国政府采购法》第二十二条规定：</w:t>
      </w:r>
    </w:p>
    <w:p w14:paraId="5999FA90">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（1）具有独立承担民事责任的能力；</w:t>
      </w:r>
    </w:p>
    <w:p w14:paraId="5A3DB593">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（2）具有良好的商业信誉和健全的财务会计制度；</w:t>
      </w:r>
    </w:p>
    <w:p w14:paraId="6982A47E">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（3）具有履行合同所必需的设备和专业技术能力；</w:t>
      </w:r>
    </w:p>
    <w:p w14:paraId="21B13F2C">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（4）有依法缴纳税收和社会保障资金的良好记录；</w:t>
      </w:r>
    </w:p>
    <w:p w14:paraId="2203AD01">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（5）参加政府采购活动前三年内，在经营活动中没有重大违法记录；</w:t>
      </w:r>
    </w:p>
    <w:p w14:paraId="562CFCFD">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（6）法律、行政法规规定的其他条件。</w:t>
      </w:r>
    </w:p>
    <w:p w14:paraId="0262BF09">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5.我方在此声明，我方在参加本项目的政府采购活动前三年内，在经营活动中没有重大违法记录（重大违法记录是指供应商因违法经营受到刑事处罚或者责令停产停业、吊销许可证或者执照、较大数额罚款等行政处罚），未被列入失信被执行人、重大税收违法失信主体、政府采购严重违法失信行为记录名单，完全符合《中华人民共和国政府采购法》第二十二条规定的供应商资格条件，我方对此声明负全部法律责任。</w:t>
      </w:r>
    </w:p>
    <w:p w14:paraId="2694C688">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6.根据《中华人民共和国政府采购法实施条例》第五十条要求对政府采购合同进行公告，但政府采购合同中涉及国家秘密、商业秘密的内容除外。我方就对本次响应文件进行注明如下：（两项内容中必须选择一项）</w:t>
      </w:r>
    </w:p>
    <w:p w14:paraId="059323E2">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□我方本次响应文件</w:t>
      </w:r>
      <w:r>
        <w:rPr>
          <w:rFonts w:hint="eastAsia" w:ascii="宋体" w:hAnsi="宋体" w:cs="宋体"/>
          <w:color w:val="auto"/>
          <w:kern w:val="0"/>
          <w:sz w:val="24"/>
          <w:highlight w:val="none"/>
        </w:rPr>
        <w:t>内容中</w:t>
      </w:r>
      <w:r>
        <w:rPr>
          <w:rFonts w:hint="eastAsia" w:ascii="宋体" w:hAnsi="宋体" w:cs="宋体"/>
          <w:color w:val="auto"/>
          <w:sz w:val="24"/>
          <w:highlight w:val="none"/>
        </w:rPr>
        <w:t>未</w:t>
      </w:r>
      <w:r>
        <w:rPr>
          <w:rFonts w:hint="eastAsia" w:ascii="宋体" w:hAnsi="宋体" w:cs="宋体"/>
          <w:color w:val="auto"/>
          <w:kern w:val="0"/>
          <w:sz w:val="24"/>
          <w:highlight w:val="none"/>
        </w:rPr>
        <w:t>涉及商业秘密；</w:t>
      </w:r>
    </w:p>
    <w:p w14:paraId="3DA03F84">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□我方本次响应文件</w:t>
      </w:r>
      <w:r>
        <w:rPr>
          <w:rFonts w:hint="eastAsia" w:ascii="宋体" w:hAnsi="宋体" w:cs="宋体"/>
          <w:color w:val="auto"/>
          <w:kern w:val="0"/>
          <w:sz w:val="24"/>
          <w:highlight w:val="none"/>
        </w:rPr>
        <w:t>涉及商业秘密的内容有：</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w:t>
      </w:r>
    </w:p>
    <w:p w14:paraId="3A1E60D9">
      <w:pPr>
        <w:pStyle w:val="24"/>
        <w:spacing w:line="360" w:lineRule="auto"/>
        <w:ind w:firstLine="480" w:firstLineChars="200"/>
        <w:contextualSpacing/>
        <w:rPr>
          <w:rFonts w:hAnsi="宋体" w:cs="宋体"/>
          <w:b w:val="0"/>
          <w:bCs/>
          <w:color w:val="auto"/>
          <w:sz w:val="24"/>
          <w:szCs w:val="24"/>
          <w:highlight w:val="none"/>
          <w:u w:val="single"/>
        </w:rPr>
      </w:pPr>
      <w:r>
        <w:rPr>
          <w:rFonts w:hint="eastAsia" w:hAnsi="宋体" w:cs="宋体"/>
          <w:b w:val="0"/>
          <w:bCs/>
          <w:color w:val="auto"/>
          <w:sz w:val="24"/>
          <w:szCs w:val="24"/>
          <w:highlight w:val="none"/>
        </w:rPr>
        <w:t>7.与本磋商有关的一切正式往来信函请寄：</w:t>
      </w:r>
      <w:r>
        <w:rPr>
          <w:rFonts w:hint="eastAsia" w:hAnsi="宋体" w:cs="宋体"/>
          <w:b w:val="0"/>
          <w:bCs/>
          <w:color w:val="auto"/>
          <w:sz w:val="24"/>
          <w:szCs w:val="24"/>
          <w:highlight w:val="none"/>
          <w:u w:val="single"/>
        </w:rPr>
        <w:t xml:space="preserve">                  </w:t>
      </w:r>
      <w:r>
        <w:rPr>
          <w:rFonts w:hint="eastAsia" w:hAnsi="宋体" w:cs="宋体"/>
          <w:b w:val="0"/>
          <w:bCs/>
          <w:color w:val="auto"/>
          <w:sz w:val="24"/>
          <w:szCs w:val="24"/>
          <w:highlight w:val="none"/>
        </w:rPr>
        <w:t>邮政编号：</w:t>
      </w:r>
      <w:r>
        <w:rPr>
          <w:rFonts w:hint="eastAsia" w:hAnsi="宋体" w:cs="宋体"/>
          <w:b w:val="0"/>
          <w:bCs/>
          <w:color w:val="auto"/>
          <w:sz w:val="24"/>
          <w:szCs w:val="24"/>
          <w:highlight w:val="none"/>
          <w:u w:val="single"/>
        </w:rPr>
        <w:t xml:space="preserve">        </w:t>
      </w:r>
    </w:p>
    <w:p w14:paraId="21E60B58">
      <w:pPr>
        <w:pStyle w:val="24"/>
        <w:spacing w:line="360" w:lineRule="auto"/>
        <w:ind w:firstLine="480" w:firstLineChars="200"/>
        <w:contextualSpacing/>
        <w:rPr>
          <w:rFonts w:hAnsi="宋体" w:cs="宋体"/>
          <w:color w:val="auto"/>
          <w:sz w:val="24"/>
          <w:szCs w:val="24"/>
          <w:highlight w:val="none"/>
        </w:rPr>
      </w:pPr>
      <w:r>
        <w:rPr>
          <w:rFonts w:hint="eastAsia" w:hAnsi="宋体" w:cs="宋体"/>
          <w:b w:val="0"/>
          <w:bCs/>
          <w:color w:val="auto"/>
          <w:sz w:val="24"/>
          <w:szCs w:val="24"/>
          <w:highlight w:val="none"/>
        </w:rPr>
        <w:t>电话/传真：</w:t>
      </w:r>
      <w:r>
        <w:rPr>
          <w:rFonts w:hint="eastAsia" w:hAnsi="宋体" w:cs="宋体"/>
          <w:b w:val="0"/>
          <w:bCs/>
          <w:color w:val="auto"/>
          <w:sz w:val="24"/>
          <w:szCs w:val="24"/>
          <w:highlight w:val="none"/>
          <w:u w:val="single"/>
        </w:rPr>
        <w:t xml:space="preserve">                        </w:t>
      </w:r>
      <w:r>
        <w:rPr>
          <w:rFonts w:hint="eastAsia" w:hAnsi="宋体" w:cs="宋体"/>
          <w:b w:val="0"/>
          <w:bCs/>
          <w:color w:val="auto"/>
          <w:sz w:val="24"/>
          <w:szCs w:val="24"/>
          <w:highlight w:val="none"/>
        </w:rPr>
        <w:t xml:space="preserve"> 电子邮箱：</w:t>
      </w:r>
      <w:r>
        <w:rPr>
          <w:rFonts w:hint="eastAsia" w:hAnsi="宋体" w:cs="宋体"/>
          <w:b w:val="0"/>
          <w:bCs/>
          <w:color w:val="auto"/>
          <w:sz w:val="24"/>
          <w:szCs w:val="24"/>
          <w:highlight w:val="none"/>
          <w:u w:val="single"/>
        </w:rPr>
        <w:t xml:space="preserve">                         </w:t>
      </w:r>
      <w:r>
        <w:rPr>
          <w:rFonts w:hint="eastAsia" w:hAnsi="宋体" w:cs="宋体"/>
          <w:color w:val="auto"/>
          <w:sz w:val="24"/>
          <w:szCs w:val="24"/>
          <w:highlight w:val="none"/>
          <w:u w:val="single"/>
        </w:rPr>
        <w:t xml:space="preserve">   </w:t>
      </w:r>
      <w:r>
        <w:rPr>
          <w:rFonts w:hint="eastAsia" w:hAnsi="宋体" w:cs="宋体"/>
          <w:color w:val="auto"/>
          <w:sz w:val="24"/>
          <w:szCs w:val="24"/>
          <w:highlight w:val="none"/>
        </w:rPr>
        <w:t xml:space="preserve">    </w:t>
      </w:r>
    </w:p>
    <w:p w14:paraId="087BE6F1">
      <w:pPr>
        <w:pStyle w:val="21"/>
        <w:tabs>
          <w:tab w:val="left" w:pos="939"/>
        </w:tabs>
        <w:spacing w:line="360" w:lineRule="auto"/>
        <w:ind w:left="141" w:leftChars="67" w:firstLine="360" w:firstLineChars="150"/>
        <w:rPr>
          <w:rFonts w:ascii="宋体" w:hAnsi="宋体" w:cs="宋体"/>
          <w:color w:val="auto"/>
          <w:sz w:val="24"/>
          <w:highlight w:val="none"/>
        </w:rPr>
      </w:pPr>
      <w:r>
        <w:rPr>
          <w:rFonts w:hint="eastAsia" w:ascii="宋体" w:hAnsi="宋体" w:cs="宋体"/>
          <w:color w:val="auto"/>
          <w:sz w:val="24"/>
          <w:highlight w:val="none"/>
        </w:rPr>
        <w:t>开户银行：</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r>
        <w:rPr>
          <w:rFonts w:hint="eastAsia" w:ascii="宋体" w:hAnsi="宋体" w:cs="宋体"/>
          <w:color w:val="auto"/>
          <w:sz w:val="24"/>
          <w:highlight w:val="none"/>
          <w:lang w:eastAsia="zh-CN"/>
        </w:rPr>
        <w:t>账</w:t>
      </w:r>
      <w:r>
        <w:rPr>
          <w:rFonts w:hint="eastAsia" w:ascii="宋体" w:hAnsi="宋体" w:cs="宋体"/>
          <w:color w:val="auto"/>
          <w:sz w:val="24"/>
          <w:highlight w:val="none"/>
        </w:rPr>
        <w:t>号：</w:t>
      </w:r>
      <w:r>
        <w:rPr>
          <w:rFonts w:hint="eastAsia" w:ascii="宋体" w:hAnsi="宋体" w:cs="宋体"/>
          <w:color w:val="auto"/>
          <w:sz w:val="24"/>
          <w:highlight w:val="none"/>
          <w:u w:val="single"/>
        </w:rPr>
        <w:t xml:space="preserve">                               </w:t>
      </w:r>
    </w:p>
    <w:p w14:paraId="60377FA4">
      <w:pPr>
        <w:pStyle w:val="21"/>
        <w:tabs>
          <w:tab w:val="left" w:pos="939"/>
        </w:tabs>
        <w:spacing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8.以上事项如有虚假或者隐瞒，我方愿意承担一切后果，并不再寻求任何旨在减轻或者免除法律责任的辩解。</w:t>
      </w:r>
    </w:p>
    <w:p w14:paraId="0F7E32D3">
      <w:pPr>
        <w:pStyle w:val="21"/>
        <w:tabs>
          <w:tab w:val="left" w:pos="939"/>
        </w:tabs>
        <w:spacing w:line="360" w:lineRule="auto"/>
        <w:ind w:left="141" w:leftChars="67" w:firstLine="360" w:firstLineChars="150"/>
        <w:rPr>
          <w:rFonts w:ascii="宋体" w:hAnsi="宋体" w:cs="宋体"/>
          <w:color w:val="auto"/>
          <w:sz w:val="24"/>
          <w:highlight w:val="none"/>
        </w:rPr>
      </w:pPr>
      <w:r>
        <w:rPr>
          <w:rFonts w:hint="eastAsia" w:ascii="宋体" w:hAnsi="宋体" w:cs="宋体"/>
          <w:color w:val="auto"/>
          <w:sz w:val="24"/>
          <w:highlight w:val="none"/>
        </w:rPr>
        <w:t>特此承诺。</w:t>
      </w:r>
    </w:p>
    <w:p w14:paraId="66075EC1">
      <w:pPr>
        <w:spacing w:line="360" w:lineRule="auto"/>
        <w:contextualSpacing/>
        <w:jc w:val="left"/>
        <w:rPr>
          <w:rFonts w:ascii="宋体" w:hAnsi="宋体"/>
          <w:b/>
          <w:color w:val="auto"/>
          <w:sz w:val="24"/>
          <w:highlight w:val="none"/>
        </w:rPr>
      </w:pPr>
      <w:r>
        <w:rPr>
          <w:rFonts w:hint="eastAsia" w:ascii="宋体" w:hAnsi="宋体" w:cs="宋体"/>
          <w:b/>
          <w:color w:val="auto"/>
          <w:sz w:val="24"/>
          <w:highlight w:val="none"/>
        </w:rPr>
        <w:t>注：</w:t>
      </w:r>
      <w:r>
        <w:rPr>
          <w:rFonts w:hint="eastAsia" w:ascii="宋体" w:hAnsi="宋体"/>
          <w:b/>
          <w:color w:val="auto"/>
          <w:sz w:val="24"/>
          <w:highlight w:val="none"/>
        </w:rPr>
        <w:t>如为联合体竞标，盖章处须加盖联合体牵头人电子签章并由联合体牵头人法定代表人分别签字或者盖章或者电子签名，否则响应文件按无效处理。</w:t>
      </w:r>
    </w:p>
    <w:p w14:paraId="142CB004">
      <w:pPr>
        <w:spacing w:line="360" w:lineRule="auto"/>
        <w:contextualSpacing/>
        <w:jc w:val="left"/>
        <w:rPr>
          <w:rFonts w:ascii="宋体" w:hAnsi="宋体" w:cs="宋体"/>
          <w:color w:val="auto"/>
          <w:szCs w:val="21"/>
          <w:highlight w:val="none"/>
        </w:rPr>
      </w:pPr>
    </w:p>
    <w:p w14:paraId="7FCACB26">
      <w:pPr>
        <w:spacing w:line="360" w:lineRule="auto"/>
        <w:ind w:firstLine="1800" w:firstLineChars="750"/>
        <w:contextualSpacing/>
        <w:rPr>
          <w:color w:val="auto"/>
          <w:sz w:val="24"/>
          <w:szCs w:val="24"/>
          <w:highlight w:val="none"/>
        </w:rPr>
      </w:pPr>
      <w:r>
        <w:rPr>
          <w:rFonts w:hint="eastAsia"/>
          <w:color w:val="auto"/>
          <w:sz w:val="24"/>
          <w:szCs w:val="24"/>
          <w:highlight w:val="none"/>
        </w:rPr>
        <w:t>法定代表人</w:t>
      </w:r>
      <w:r>
        <w:rPr>
          <w:rFonts w:hint="eastAsia" w:ascii="宋体" w:hAnsi="宋体"/>
          <w:color w:val="auto"/>
          <w:sz w:val="24"/>
          <w:highlight w:val="none"/>
        </w:rPr>
        <w:t>或者委托代理人</w:t>
      </w:r>
      <w:r>
        <w:rPr>
          <w:rFonts w:hint="eastAsia"/>
          <w:color w:val="auto"/>
          <w:sz w:val="24"/>
          <w:szCs w:val="24"/>
          <w:highlight w:val="none"/>
        </w:rPr>
        <w:t>（</w:t>
      </w:r>
      <w:r>
        <w:rPr>
          <w:rFonts w:hint="eastAsia" w:ascii="宋体" w:hAnsi="宋体"/>
          <w:color w:val="auto"/>
          <w:sz w:val="24"/>
          <w:szCs w:val="24"/>
          <w:highlight w:val="none"/>
        </w:rPr>
        <w:t>签字或者盖章或者电子签名</w:t>
      </w:r>
      <w:r>
        <w:rPr>
          <w:rFonts w:hint="eastAsia"/>
          <w:color w:val="auto"/>
          <w:sz w:val="24"/>
          <w:szCs w:val="24"/>
          <w:highlight w:val="none"/>
        </w:rPr>
        <w:t>）：</w:t>
      </w:r>
      <w:r>
        <w:rPr>
          <w:rFonts w:hint="eastAsia"/>
          <w:color w:val="auto"/>
          <w:sz w:val="24"/>
          <w:szCs w:val="24"/>
          <w:highlight w:val="none"/>
          <w:u w:val="single"/>
        </w:rPr>
        <w:t xml:space="preserve">           </w:t>
      </w:r>
      <w:r>
        <w:rPr>
          <w:rFonts w:hint="eastAsia"/>
          <w:color w:val="auto"/>
          <w:sz w:val="24"/>
          <w:szCs w:val="24"/>
          <w:highlight w:val="none"/>
        </w:rPr>
        <w:t xml:space="preserve">                                     </w:t>
      </w:r>
    </w:p>
    <w:p w14:paraId="3F8D91EB">
      <w:pPr>
        <w:spacing w:line="360" w:lineRule="auto"/>
        <w:ind w:firstLine="4320" w:firstLineChars="1800"/>
        <w:contextualSpacing/>
        <w:rPr>
          <w:rFonts w:ascii="宋体" w:hAnsi="宋体" w:cs="宋体"/>
          <w:color w:val="auto"/>
          <w:sz w:val="24"/>
          <w:szCs w:val="24"/>
          <w:highlight w:val="none"/>
          <w:u w:val="single"/>
        </w:rPr>
      </w:pPr>
      <w:r>
        <w:rPr>
          <w:rFonts w:hint="eastAsia"/>
          <w:color w:val="auto"/>
          <w:sz w:val="24"/>
          <w:szCs w:val="24"/>
          <w:highlight w:val="none"/>
        </w:rPr>
        <w:t>供应商（电子签章）：</w:t>
      </w:r>
      <w:r>
        <w:rPr>
          <w:rFonts w:hint="eastAsia"/>
          <w:color w:val="auto"/>
          <w:sz w:val="24"/>
          <w:szCs w:val="24"/>
          <w:highlight w:val="none"/>
          <w:u w:val="single"/>
        </w:rPr>
        <w:t xml:space="preserve">          </w:t>
      </w:r>
      <w:r>
        <w:rPr>
          <w:rFonts w:hint="eastAsia"/>
          <w:color w:val="auto"/>
          <w:sz w:val="24"/>
          <w:szCs w:val="24"/>
          <w:highlight w:val="none"/>
        </w:rPr>
        <w:t xml:space="preserve">       </w:t>
      </w:r>
      <w:r>
        <w:rPr>
          <w:rFonts w:hint="eastAsia" w:ascii="宋体" w:hAnsi="宋体" w:cs="宋体"/>
          <w:color w:val="auto"/>
          <w:sz w:val="24"/>
          <w:szCs w:val="24"/>
          <w:highlight w:val="none"/>
        </w:rPr>
        <w:t xml:space="preserve">    </w:t>
      </w:r>
    </w:p>
    <w:p w14:paraId="2E8A7795">
      <w:pPr>
        <w:pStyle w:val="21"/>
        <w:tabs>
          <w:tab w:val="left" w:pos="939"/>
        </w:tabs>
        <w:spacing w:line="360" w:lineRule="auto"/>
        <w:ind w:left="0" w:leftChars="0" w:firstLine="480" w:firstLineChars="200"/>
        <w:rPr>
          <w:color w:val="auto"/>
          <w:sz w:val="24"/>
          <w:szCs w:val="24"/>
          <w:highlight w:val="none"/>
        </w:rPr>
      </w:pPr>
      <w:r>
        <w:rPr>
          <w:rFonts w:hint="eastAsia" w:ascii="宋体" w:hAnsi="宋体" w:cs="宋体"/>
          <w:color w:val="auto"/>
          <w:sz w:val="24"/>
          <w:szCs w:val="24"/>
          <w:highlight w:val="none"/>
        </w:rPr>
        <w:t xml:space="preserve">                                       </w:t>
      </w:r>
      <w:r>
        <w:rPr>
          <w:rFonts w:hint="eastAsia"/>
          <w:color w:val="auto"/>
          <w:sz w:val="24"/>
          <w:szCs w:val="24"/>
          <w:highlight w:val="none"/>
        </w:rPr>
        <w:t xml:space="preserve"> 年    月    日</w:t>
      </w:r>
    </w:p>
    <w:p w14:paraId="7088986C">
      <w:pPr>
        <w:spacing w:line="360" w:lineRule="auto"/>
        <w:ind w:right="420"/>
        <w:contextualSpacing/>
        <w:jc w:val="left"/>
        <w:rPr>
          <w:rFonts w:ascii="宋体" w:hAnsi="宋体"/>
          <w:b/>
          <w:color w:val="auto"/>
          <w:sz w:val="32"/>
          <w:szCs w:val="32"/>
          <w:highlight w:val="none"/>
        </w:rPr>
      </w:pPr>
      <w:r>
        <w:rPr>
          <w:rFonts w:hint="eastAsia"/>
          <w:color w:val="auto"/>
          <w:sz w:val="24"/>
          <w:highlight w:val="none"/>
        </w:rPr>
        <w:br w:type="page"/>
      </w:r>
      <w:r>
        <w:rPr>
          <w:rFonts w:hint="eastAsia" w:ascii="宋体" w:hAnsi="宋体"/>
          <w:b/>
          <w:bCs/>
          <w:color w:val="auto"/>
          <w:sz w:val="32"/>
          <w:szCs w:val="32"/>
          <w:highlight w:val="none"/>
        </w:rPr>
        <w:t>二、</w:t>
      </w:r>
      <w:r>
        <w:rPr>
          <w:rFonts w:hint="eastAsia" w:ascii="宋体" w:hAnsi="宋体"/>
          <w:b/>
          <w:color w:val="auto"/>
          <w:sz w:val="32"/>
          <w:szCs w:val="32"/>
          <w:highlight w:val="none"/>
        </w:rPr>
        <w:t xml:space="preserve">报价文件格式 </w:t>
      </w:r>
    </w:p>
    <w:p w14:paraId="4CBF1459">
      <w:pPr>
        <w:snapToGrid w:val="0"/>
        <w:spacing w:beforeLines="50" w:after="50" w:line="360" w:lineRule="auto"/>
        <w:jc w:val="left"/>
        <w:rPr>
          <w:rFonts w:ascii="宋体" w:hAnsi="宋体"/>
          <w:b/>
          <w:color w:val="auto"/>
          <w:sz w:val="32"/>
          <w:szCs w:val="32"/>
          <w:highlight w:val="none"/>
        </w:rPr>
      </w:pPr>
      <w:r>
        <w:rPr>
          <w:rFonts w:hint="eastAsia" w:ascii="宋体" w:hAnsi="宋体"/>
          <w:b/>
          <w:color w:val="auto"/>
          <w:sz w:val="32"/>
          <w:szCs w:val="32"/>
          <w:highlight w:val="none"/>
        </w:rPr>
        <w:t>1.报价文件封面格式</w:t>
      </w:r>
    </w:p>
    <w:p w14:paraId="33491911">
      <w:pPr>
        <w:snapToGrid w:val="0"/>
        <w:spacing w:beforeLines="50" w:after="50"/>
        <w:rPr>
          <w:rFonts w:ascii="宋体" w:hAnsi="宋体"/>
          <w:bCs/>
          <w:color w:val="auto"/>
          <w:sz w:val="32"/>
          <w:szCs w:val="20"/>
          <w:highlight w:val="none"/>
        </w:rPr>
      </w:pPr>
      <w:r>
        <w:rPr>
          <w:rFonts w:hint="eastAsia" w:ascii="宋体" w:hAnsi="宋体"/>
          <w:color w:val="auto"/>
          <w:sz w:val="24"/>
          <w:highlight w:val="none"/>
        </w:rPr>
        <w:t xml:space="preserve">                                                    </w:t>
      </w:r>
    </w:p>
    <w:p w14:paraId="7E185C5C">
      <w:pPr>
        <w:snapToGrid w:val="0"/>
        <w:spacing w:beforeLines="50" w:after="50"/>
        <w:jc w:val="center"/>
        <w:rPr>
          <w:rFonts w:ascii="宋体" w:hAnsi="宋体"/>
          <w:color w:val="auto"/>
          <w:sz w:val="24"/>
          <w:szCs w:val="20"/>
          <w:highlight w:val="none"/>
        </w:rPr>
      </w:pPr>
      <w:r>
        <w:rPr>
          <w:rFonts w:hint="eastAsia" w:ascii="宋体" w:hAnsi="宋体"/>
          <w:color w:val="auto"/>
          <w:sz w:val="44"/>
          <w:szCs w:val="44"/>
          <w:highlight w:val="none"/>
        </w:rPr>
        <w:t>电 子 响 应 文 件</w:t>
      </w:r>
    </w:p>
    <w:p w14:paraId="4BF99BF8">
      <w:pPr>
        <w:snapToGrid w:val="0"/>
        <w:spacing w:beforeLines="50" w:after="50"/>
        <w:rPr>
          <w:rFonts w:ascii="宋体" w:hAnsi="宋体"/>
          <w:color w:val="auto"/>
          <w:sz w:val="24"/>
          <w:szCs w:val="20"/>
          <w:highlight w:val="none"/>
        </w:rPr>
      </w:pPr>
    </w:p>
    <w:p w14:paraId="2FCCF71B">
      <w:pPr>
        <w:snapToGrid w:val="0"/>
        <w:spacing w:beforeLines="50" w:after="50"/>
        <w:rPr>
          <w:rFonts w:ascii="宋体" w:hAnsi="宋体"/>
          <w:color w:val="auto"/>
          <w:sz w:val="24"/>
          <w:szCs w:val="20"/>
          <w:highlight w:val="none"/>
        </w:rPr>
      </w:pPr>
    </w:p>
    <w:p w14:paraId="3F5CA295">
      <w:pPr>
        <w:snapToGrid w:val="0"/>
        <w:spacing w:beforeLines="50" w:after="50"/>
        <w:jc w:val="center"/>
        <w:rPr>
          <w:rFonts w:hint="eastAsia" w:asciiTheme="majorEastAsia" w:hAnsiTheme="majorEastAsia" w:eastAsiaTheme="majorEastAsia" w:cstheme="majorEastAsia"/>
          <w:bCs/>
          <w:color w:val="auto"/>
          <w:sz w:val="44"/>
          <w:szCs w:val="44"/>
          <w:highlight w:val="none"/>
        </w:rPr>
      </w:pPr>
      <w:r>
        <w:rPr>
          <w:rFonts w:hint="eastAsia" w:asciiTheme="majorEastAsia" w:hAnsiTheme="majorEastAsia" w:eastAsiaTheme="majorEastAsia" w:cstheme="majorEastAsia"/>
          <w:bCs/>
          <w:color w:val="auto"/>
          <w:sz w:val="44"/>
          <w:szCs w:val="44"/>
          <w:highlight w:val="none"/>
        </w:rPr>
        <w:t>报  价  文  件</w:t>
      </w:r>
    </w:p>
    <w:p w14:paraId="434CB1B6">
      <w:pPr>
        <w:snapToGrid w:val="0"/>
        <w:spacing w:beforeLines="50" w:after="50"/>
        <w:rPr>
          <w:rFonts w:ascii="宋体" w:hAnsi="宋体"/>
          <w:bCs/>
          <w:color w:val="auto"/>
          <w:sz w:val="24"/>
          <w:szCs w:val="20"/>
          <w:highlight w:val="none"/>
        </w:rPr>
      </w:pPr>
    </w:p>
    <w:p w14:paraId="6A86BB85">
      <w:pPr>
        <w:snapToGrid w:val="0"/>
        <w:spacing w:beforeLines="50" w:after="50"/>
        <w:rPr>
          <w:rFonts w:ascii="宋体" w:hAnsi="宋体"/>
          <w:bCs/>
          <w:color w:val="auto"/>
          <w:sz w:val="24"/>
          <w:szCs w:val="20"/>
          <w:highlight w:val="none"/>
        </w:rPr>
      </w:pPr>
    </w:p>
    <w:p w14:paraId="1B585E84">
      <w:pPr>
        <w:snapToGrid w:val="0"/>
        <w:spacing w:beforeLines="50" w:after="50"/>
        <w:rPr>
          <w:rFonts w:ascii="宋体" w:hAnsi="宋体"/>
          <w:bCs/>
          <w:color w:val="auto"/>
          <w:sz w:val="24"/>
          <w:szCs w:val="20"/>
          <w:highlight w:val="none"/>
        </w:rPr>
      </w:pPr>
    </w:p>
    <w:p w14:paraId="7EC00F3E">
      <w:pPr>
        <w:snapToGrid w:val="0"/>
        <w:spacing w:beforeLines="50" w:after="50"/>
        <w:rPr>
          <w:rFonts w:ascii="宋体" w:hAnsi="宋体"/>
          <w:bCs/>
          <w:color w:val="auto"/>
          <w:sz w:val="24"/>
          <w:szCs w:val="20"/>
          <w:highlight w:val="none"/>
        </w:rPr>
      </w:pPr>
    </w:p>
    <w:p w14:paraId="72D478CF">
      <w:pPr>
        <w:snapToGrid w:val="0"/>
        <w:spacing w:beforeLines="50" w:after="50"/>
        <w:rPr>
          <w:rFonts w:ascii="宋体" w:hAnsi="宋体"/>
          <w:bCs/>
          <w:color w:val="auto"/>
          <w:sz w:val="24"/>
          <w:szCs w:val="20"/>
          <w:highlight w:val="none"/>
        </w:rPr>
      </w:pPr>
    </w:p>
    <w:p w14:paraId="55BFF0F8">
      <w:pPr>
        <w:snapToGrid w:val="0"/>
        <w:spacing w:beforeLines="50" w:after="50"/>
        <w:ind w:firstLine="640" w:firstLineChars="200"/>
        <w:rPr>
          <w:rFonts w:ascii="宋体" w:hAnsi="宋体" w:cs="仿宋_GB2312"/>
          <w:bCs/>
          <w:color w:val="auto"/>
          <w:sz w:val="32"/>
          <w:szCs w:val="32"/>
          <w:highlight w:val="none"/>
        </w:rPr>
      </w:pPr>
      <w:r>
        <w:rPr>
          <w:rFonts w:hint="eastAsia" w:ascii="宋体" w:hAnsi="宋体" w:cs="仿宋_GB2312"/>
          <w:bCs/>
          <w:color w:val="auto"/>
          <w:sz w:val="32"/>
          <w:szCs w:val="32"/>
          <w:highlight w:val="none"/>
        </w:rPr>
        <w:t>项目名称：</w:t>
      </w:r>
    </w:p>
    <w:p w14:paraId="5CB2C964">
      <w:pPr>
        <w:snapToGrid w:val="0"/>
        <w:spacing w:beforeLines="50" w:after="50"/>
        <w:ind w:firstLine="720" w:firstLineChars="225"/>
        <w:rPr>
          <w:rFonts w:ascii="宋体" w:hAnsi="宋体" w:cs="仿宋_GB2312"/>
          <w:bCs/>
          <w:color w:val="auto"/>
          <w:sz w:val="32"/>
          <w:szCs w:val="32"/>
          <w:highlight w:val="none"/>
        </w:rPr>
      </w:pPr>
    </w:p>
    <w:p w14:paraId="28A58992">
      <w:pPr>
        <w:snapToGrid w:val="0"/>
        <w:spacing w:beforeLines="50" w:after="50"/>
        <w:ind w:firstLine="640" w:firstLineChars="200"/>
        <w:rPr>
          <w:rFonts w:ascii="宋体" w:hAnsi="宋体" w:cs="仿宋_GB2312"/>
          <w:bCs/>
          <w:color w:val="auto"/>
          <w:sz w:val="32"/>
          <w:szCs w:val="32"/>
          <w:highlight w:val="none"/>
        </w:rPr>
      </w:pPr>
      <w:r>
        <w:rPr>
          <w:rFonts w:hint="eastAsia" w:ascii="宋体" w:hAnsi="宋体" w:cs="仿宋_GB2312"/>
          <w:bCs/>
          <w:color w:val="auto"/>
          <w:sz w:val="32"/>
          <w:szCs w:val="32"/>
          <w:highlight w:val="none"/>
        </w:rPr>
        <w:t>项目编号：</w:t>
      </w:r>
    </w:p>
    <w:p w14:paraId="4C1FC847">
      <w:pPr>
        <w:snapToGrid w:val="0"/>
        <w:spacing w:beforeLines="50" w:after="50"/>
        <w:ind w:firstLine="720" w:firstLineChars="225"/>
        <w:rPr>
          <w:rFonts w:ascii="宋体" w:hAnsi="宋体" w:cs="仿宋_GB2312"/>
          <w:bCs/>
          <w:color w:val="auto"/>
          <w:sz w:val="32"/>
          <w:szCs w:val="32"/>
          <w:highlight w:val="none"/>
        </w:rPr>
      </w:pPr>
      <w:r>
        <w:rPr>
          <w:rFonts w:hint="eastAsia" w:ascii="宋体" w:hAnsi="宋体" w:cs="仿宋_GB2312"/>
          <w:bCs/>
          <w:color w:val="auto"/>
          <w:sz w:val="32"/>
          <w:szCs w:val="32"/>
          <w:highlight w:val="none"/>
        </w:rPr>
        <w:t xml:space="preserve"> </w:t>
      </w:r>
    </w:p>
    <w:p w14:paraId="4849ACCA">
      <w:pPr>
        <w:snapToGrid w:val="0"/>
        <w:spacing w:beforeLines="50" w:after="50"/>
        <w:ind w:firstLine="640" w:firstLineChars="200"/>
        <w:rPr>
          <w:rFonts w:ascii="宋体" w:hAnsi="宋体" w:cs="仿宋_GB2312"/>
          <w:bCs/>
          <w:color w:val="auto"/>
          <w:sz w:val="32"/>
          <w:szCs w:val="32"/>
          <w:highlight w:val="none"/>
        </w:rPr>
      </w:pPr>
      <w:r>
        <w:rPr>
          <w:rFonts w:hint="eastAsia" w:ascii="宋体" w:hAnsi="宋体" w:cs="仿宋_GB2312"/>
          <w:bCs/>
          <w:color w:val="auto"/>
          <w:sz w:val="32"/>
          <w:szCs w:val="32"/>
          <w:highlight w:val="none"/>
        </w:rPr>
        <w:t>所竞分标（如有则填写，无分标时填写“无”或者留空）：</w:t>
      </w:r>
    </w:p>
    <w:p w14:paraId="1510E401">
      <w:pPr>
        <w:snapToGrid w:val="0"/>
        <w:spacing w:beforeLines="50" w:after="50"/>
        <w:ind w:firstLine="720" w:firstLineChars="225"/>
        <w:rPr>
          <w:rFonts w:ascii="宋体" w:hAnsi="宋体" w:cs="仿宋_GB2312"/>
          <w:bCs/>
          <w:color w:val="auto"/>
          <w:sz w:val="32"/>
          <w:szCs w:val="32"/>
          <w:highlight w:val="none"/>
        </w:rPr>
      </w:pPr>
    </w:p>
    <w:p w14:paraId="342BB0B2">
      <w:pPr>
        <w:pStyle w:val="7"/>
        <w:snapToGrid w:val="0"/>
        <w:spacing w:before="50" w:after="50"/>
        <w:ind w:firstLine="640" w:firstLineChars="200"/>
        <w:rPr>
          <w:rFonts w:ascii="宋体" w:hAnsi="宋体" w:cs="仿宋_GB2312"/>
          <w:b w:val="0"/>
          <w:bCs w:val="0"/>
          <w:color w:val="auto"/>
          <w:sz w:val="32"/>
          <w:szCs w:val="32"/>
          <w:highlight w:val="none"/>
        </w:rPr>
      </w:pPr>
      <w:r>
        <w:rPr>
          <w:rFonts w:hint="eastAsia" w:ascii="宋体" w:hAnsi="宋体" w:cs="仿宋_GB2312"/>
          <w:b w:val="0"/>
          <w:bCs w:val="0"/>
          <w:color w:val="auto"/>
          <w:sz w:val="32"/>
          <w:szCs w:val="32"/>
          <w:highlight w:val="none"/>
        </w:rPr>
        <w:t>供应商名称：</w:t>
      </w:r>
    </w:p>
    <w:p w14:paraId="5E3AE9D4">
      <w:pPr>
        <w:pStyle w:val="7"/>
        <w:snapToGrid w:val="0"/>
        <w:spacing w:before="50" w:after="50"/>
        <w:ind w:firstLine="640" w:firstLineChars="200"/>
        <w:rPr>
          <w:rFonts w:ascii="宋体" w:hAnsi="宋体" w:cs="仿宋_GB2312"/>
          <w:b w:val="0"/>
          <w:bCs w:val="0"/>
          <w:color w:val="auto"/>
          <w:sz w:val="32"/>
          <w:szCs w:val="32"/>
          <w:highlight w:val="none"/>
        </w:rPr>
      </w:pPr>
    </w:p>
    <w:p w14:paraId="6FFC7486">
      <w:pPr>
        <w:pStyle w:val="7"/>
        <w:snapToGrid w:val="0"/>
        <w:spacing w:before="50" w:after="50"/>
        <w:ind w:firstLine="723" w:firstLineChars="225"/>
        <w:rPr>
          <w:rFonts w:ascii="宋体" w:hAnsi="宋体" w:cs="仿宋_GB2312"/>
          <w:bCs/>
          <w:color w:val="auto"/>
          <w:sz w:val="32"/>
          <w:szCs w:val="32"/>
          <w:highlight w:val="none"/>
        </w:rPr>
      </w:pPr>
    </w:p>
    <w:p w14:paraId="0DF65829">
      <w:pPr>
        <w:pStyle w:val="7"/>
        <w:snapToGrid w:val="0"/>
        <w:spacing w:before="50" w:after="50"/>
        <w:ind w:firstLine="0"/>
        <w:rPr>
          <w:rFonts w:ascii="宋体" w:hAnsi="宋体" w:cs="仿宋_GB2312"/>
          <w:bCs/>
          <w:color w:val="auto"/>
          <w:sz w:val="32"/>
          <w:szCs w:val="32"/>
          <w:highlight w:val="none"/>
        </w:rPr>
      </w:pPr>
    </w:p>
    <w:p w14:paraId="3FD85396">
      <w:pPr>
        <w:pStyle w:val="7"/>
        <w:snapToGrid w:val="0"/>
        <w:spacing w:before="50" w:after="50"/>
        <w:ind w:firstLine="1285" w:firstLineChars="400"/>
        <w:rPr>
          <w:rFonts w:ascii="宋体" w:hAnsi="宋体" w:cs="仿宋_GB2312"/>
          <w:bCs/>
          <w:color w:val="auto"/>
          <w:sz w:val="32"/>
          <w:szCs w:val="32"/>
          <w:highlight w:val="none"/>
        </w:rPr>
      </w:pPr>
    </w:p>
    <w:p w14:paraId="44061C60">
      <w:pPr>
        <w:snapToGrid w:val="0"/>
        <w:spacing w:beforeLines="50" w:after="50"/>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年    月    日</w:t>
      </w:r>
    </w:p>
    <w:p w14:paraId="4EBA4F97">
      <w:pPr>
        <w:snapToGrid w:val="0"/>
        <w:spacing w:beforeLines="50" w:after="50" w:line="360" w:lineRule="auto"/>
        <w:ind w:left="142"/>
        <w:jc w:val="left"/>
        <w:rPr>
          <w:rFonts w:ascii="宋体" w:hAnsi="宋体"/>
          <w:b/>
          <w:bCs/>
          <w:color w:val="auto"/>
          <w:sz w:val="24"/>
          <w:highlight w:val="none"/>
        </w:rPr>
      </w:pPr>
      <w:r>
        <w:rPr>
          <w:rFonts w:hint="eastAsia" w:ascii="宋体" w:hAnsi="宋体"/>
          <w:color w:val="auto"/>
          <w:szCs w:val="21"/>
          <w:highlight w:val="none"/>
        </w:rPr>
        <w:br w:type="page"/>
      </w:r>
      <w:r>
        <w:rPr>
          <w:rFonts w:hint="eastAsia" w:ascii="宋体" w:hAnsi="宋体"/>
          <w:b/>
          <w:bCs/>
          <w:color w:val="auto"/>
          <w:sz w:val="32"/>
          <w:szCs w:val="32"/>
          <w:highlight w:val="none"/>
        </w:rPr>
        <w:t>2.报价文件目录</w:t>
      </w:r>
    </w:p>
    <w:p w14:paraId="1EDE2800">
      <w:pPr>
        <w:spacing w:line="500" w:lineRule="exact"/>
        <w:jc w:val="center"/>
        <w:rPr>
          <w:b/>
          <w:bCs/>
          <w:color w:val="auto"/>
          <w:kern w:val="0"/>
          <w:sz w:val="32"/>
          <w:szCs w:val="32"/>
          <w:highlight w:val="none"/>
        </w:rPr>
      </w:pPr>
      <w:r>
        <w:rPr>
          <w:rFonts w:hint="eastAsia" w:ascii="宋体" w:hAnsi="宋体"/>
          <w:color w:val="auto"/>
          <w:sz w:val="24"/>
          <w:szCs w:val="24"/>
          <w:highlight w:val="none"/>
        </w:rPr>
        <w:t>根据磋商文件规定及供应商提供的材料自行编写目录（部分格式后附）。</w:t>
      </w:r>
      <w:r>
        <w:rPr>
          <w:rFonts w:ascii="宋体" w:hAnsi="宋体"/>
          <w:b/>
          <w:bCs/>
          <w:color w:val="auto"/>
          <w:sz w:val="24"/>
          <w:szCs w:val="24"/>
          <w:highlight w:val="none"/>
        </w:rPr>
        <w:br w:type="page"/>
      </w:r>
      <w:r>
        <w:rPr>
          <w:rFonts w:hint="eastAsia"/>
          <w:b/>
          <w:bCs/>
          <w:color w:val="auto"/>
          <w:kern w:val="0"/>
          <w:sz w:val="32"/>
          <w:szCs w:val="32"/>
          <w:highlight w:val="none"/>
        </w:rPr>
        <w:t>响</w:t>
      </w:r>
      <w:r>
        <w:rPr>
          <w:rFonts w:hint="eastAsia"/>
          <w:b/>
          <w:bCs/>
          <w:color w:val="auto"/>
          <w:kern w:val="0"/>
          <w:sz w:val="32"/>
          <w:szCs w:val="32"/>
          <w:highlight w:val="none"/>
          <w:lang w:val="en-US" w:eastAsia="zh-CN"/>
        </w:rPr>
        <w:t xml:space="preserve"> </w:t>
      </w:r>
      <w:r>
        <w:rPr>
          <w:rFonts w:hint="eastAsia"/>
          <w:b/>
          <w:bCs/>
          <w:color w:val="auto"/>
          <w:kern w:val="0"/>
          <w:sz w:val="32"/>
          <w:szCs w:val="32"/>
          <w:highlight w:val="none"/>
        </w:rPr>
        <w:t>应</w:t>
      </w:r>
      <w:r>
        <w:rPr>
          <w:rFonts w:hint="eastAsia"/>
          <w:b/>
          <w:bCs/>
          <w:color w:val="auto"/>
          <w:kern w:val="0"/>
          <w:sz w:val="32"/>
          <w:szCs w:val="32"/>
          <w:highlight w:val="none"/>
          <w:lang w:val="en-US" w:eastAsia="zh-CN"/>
        </w:rPr>
        <w:t xml:space="preserve"> </w:t>
      </w:r>
      <w:r>
        <w:rPr>
          <w:rFonts w:hint="eastAsia"/>
          <w:b/>
          <w:bCs/>
          <w:color w:val="auto"/>
          <w:kern w:val="0"/>
          <w:sz w:val="32"/>
          <w:szCs w:val="32"/>
          <w:highlight w:val="none"/>
        </w:rPr>
        <w:t>函</w:t>
      </w:r>
    </w:p>
    <w:p w14:paraId="2FDE9EFB">
      <w:pPr>
        <w:spacing w:line="360" w:lineRule="auto"/>
        <w:rPr>
          <w:rFonts w:hint="eastAsia"/>
          <w:color w:val="auto"/>
          <w:kern w:val="0"/>
          <w:sz w:val="24"/>
          <w:szCs w:val="24"/>
          <w:highlight w:val="none"/>
        </w:rPr>
      </w:pPr>
    </w:p>
    <w:p w14:paraId="6DEF15CB">
      <w:pPr>
        <w:spacing w:line="360" w:lineRule="auto"/>
        <w:rPr>
          <w:color w:val="auto"/>
          <w:kern w:val="0"/>
          <w:sz w:val="24"/>
          <w:szCs w:val="24"/>
          <w:highlight w:val="none"/>
        </w:rPr>
      </w:pPr>
      <w:r>
        <w:rPr>
          <w:rFonts w:hint="eastAsia"/>
          <w:color w:val="auto"/>
          <w:kern w:val="0"/>
          <w:sz w:val="24"/>
          <w:szCs w:val="24"/>
          <w:highlight w:val="none"/>
        </w:rPr>
        <w:t>致：</w:t>
      </w:r>
      <w:r>
        <w:rPr>
          <w:color w:val="auto"/>
          <w:kern w:val="0"/>
          <w:sz w:val="24"/>
          <w:szCs w:val="24"/>
          <w:highlight w:val="none"/>
          <w:u w:val="single"/>
        </w:rPr>
        <w:t xml:space="preserve"> </w:t>
      </w:r>
      <w:r>
        <w:rPr>
          <w:rFonts w:hint="eastAsia" w:ascii="宋体" w:hAnsi="宋体" w:cs="宋体"/>
          <w:color w:val="auto"/>
          <w:sz w:val="24"/>
          <w:highlight w:val="none"/>
          <w:u w:val="single"/>
        </w:rPr>
        <w:t>（采购人名称）</w:t>
      </w:r>
      <w:r>
        <w:rPr>
          <w:color w:val="auto"/>
          <w:kern w:val="0"/>
          <w:sz w:val="24"/>
          <w:szCs w:val="24"/>
          <w:highlight w:val="none"/>
          <w:u w:val="single"/>
        </w:rPr>
        <w:t xml:space="preserve"> </w:t>
      </w:r>
    </w:p>
    <w:p w14:paraId="0AC64DEB">
      <w:pPr>
        <w:spacing w:line="360" w:lineRule="auto"/>
        <w:ind w:firstLine="480" w:firstLineChars="200"/>
        <w:rPr>
          <w:color w:val="auto"/>
          <w:kern w:val="0"/>
          <w:sz w:val="24"/>
          <w:szCs w:val="24"/>
          <w:highlight w:val="none"/>
        </w:rPr>
      </w:pPr>
      <w:r>
        <w:rPr>
          <w:rFonts w:hint="eastAsia" w:ascii="宋体" w:hAnsi="Courier New"/>
          <w:color w:val="auto"/>
          <w:kern w:val="0"/>
          <w:sz w:val="24"/>
          <w:szCs w:val="24"/>
          <w:highlight w:val="none"/>
        </w:rPr>
        <w:t>我方已仔细阅读了贵方组织的</w:t>
      </w:r>
      <w:r>
        <w:rPr>
          <w:rFonts w:hint="eastAsia" w:ascii="宋体" w:hAnsi="宋体"/>
          <w:color w:val="auto"/>
          <w:kern w:val="0"/>
          <w:sz w:val="24"/>
          <w:szCs w:val="24"/>
          <w:highlight w:val="none"/>
          <w:u w:val="single"/>
        </w:rPr>
        <w:t xml:space="preserve"> </w:t>
      </w:r>
      <w:r>
        <w:rPr>
          <w:rFonts w:hint="eastAsia" w:ascii="宋体" w:hAnsi="宋体"/>
          <w:color w:val="auto"/>
          <w:kern w:val="0"/>
          <w:sz w:val="24"/>
          <w:szCs w:val="24"/>
          <w:highlight w:val="none"/>
          <w:u w:val="single"/>
          <w:lang w:val="en-US" w:eastAsia="zh-CN"/>
        </w:rPr>
        <w:t xml:space="preserve">      </w:t>
      </w:r>
      <w:r>
        <w:rPr>
          <w:rFonts w:hint="eastAsia" w:ascii="宋体" w:hAnsi="宋体"/>
          <w:color w:val="auto"/>
          <w:kern w:val="0"/>
          <w:sz w:val="24"/>
          <w:szCs w:val="24"/>
          <w:highlight w:val="none"/>
          <w:u w:val="single"/>
          <w:lang w:eastAsia="zh-CN"/>
        </w:rPr>
        <w:t>（项目名称）</w:t>
      </w:r>
      <w:r>
        <w:rPr>
          <w:rFonts w:hint="eastAsia" w:ascii="宋体" w:hAnsi="Courier New"/>
          <w:color w:val="auto"/>
          <w:kern w:val="0"/>
          <w:sz w:val="24"/>
          <w:szCs w:val="24"/>
          <w:highlight w:val="none"/>
        </w:rPr>
        <w:t>（项目编号：</w:t>
      </w:r>
      <w:r>
        <w:rPr>
          <w:rFonts w:hint="eastAsia" w:ascii="宋体" w:hAnsi="Courier New"/>
          <w:color w:val="auto"/>
          <w:kern w:val="0"/>
          <w:sz w:val="24"/>
          <w:szCs w:val="24"/>
          <w:highlight w:val="none"/>
          <w:u w:val="single"/>
          <w:lang w:val="en-US" w:eastAsia="zh-CN"/>
        </w:rPr>
        <w:t xml:space="preserve">       </w:t>
      </w:r>
      <w:r>
        <w:rPr>
          <w:rFonts w:hint="eastAsia" w:ascii="宋体" w:hAnsi="宋体"/>
          <w:color w:val="auto"/>
          <w:kern w:val="0"/>
          <w:sz w:val="24"/>
          <w:szCs w:val="24"/>
          <w:highlight w:val="none"/>
          <w:u w:val="single"/>
        </w:rPr>
        <w:t xml:space="preserve"> </w:t>
      </w:r>
      <w:r>
        <w:rPr>
          <w:rFonts w:hint="eastAsia" w:ascii="宋体" w:hAnsi="Courier New"/>
          <w:color w:val="auto"/>
          <w:kern w:val="0"/>
          <w:sz w:val="24"/>
          <w:szCs w:val="24"/>
          <w:highlight w:val="none"/>
        </w:rPr>
        <w:t xml:space="preserve">）的竞争性磋商文件的全部内容，现正式递交下述文件参加贵方组织的本次采购活动： </w:t>
      </w:r>
    </w:p>
    <w:p w14:paraId="7FE17EDC">
      <w:pPr>
        <w:spacing w:line="360" w:lineRule="auto"/>
        <w:ind w:firstLine="480" w:firstLineChars="200"/>
        <w:rPr>
          <w:color w:val="auto"/>
          <w:kern w:val="0"/>
          <w:sz w:val="24"/>
          <w:szCs w:val="24"/>
          <w:highlight w:val="none"/>
        </w:rPr>
      </w:pPr>
      <w:r>
        <w:rPr>
          <w:rFonts w:hint="eastAsia" w:ascii="宋体" w:hAnsi="Courier New"/>
          <w:color w:val="auto"/>
          <w:kern w:val="0"/>
          <w:sz w:val="24"/>
          <w:szCs w:val="24"/>
          <w:highlight w:val="none"/>
        </w:rPr>
        <w:t>一、</w:t>
      </w:r>
      <w:r>
        <w:rPr>
          <w:rFonts w:hint="eastAsia" w:ascii="宋体" w:hAnsi="宋体" w:cs="宋体"/>
          <w:color w:val="auto"/>
          <w:sz w:val="24"/>
          <w:szCs w:val="24"/>
          <w:highlight w:val="none"/>
        </w:rPr>
        <w:t>资格证明文件</w:t>
      </w:r>
      <w:r>
        <w:rPr>
          <w:rFonts w:hint="eastAsia" w:ascii="宋体" w:hAnsi="Courier New"/>
          <w:color w:val="auto"/>
          <w:kern w:val="0"/>
          <w:sz w:val="24"/>
          <w:szCs w:val="24"/>
          <w:highlight w:val="none"/>
        </w:rPr>
        <w:t>；</w:t>
      </w:r>
    </w:p>
    <w:p w14:paraId="02CF02AF">
      <w:pPr>
        <w:spacing w:line="360" w:lineRule="auto"/>
        <w:ind w:left="19" w:leftChars="9" w:firstLine="432" w:firstLineChars="180"/>
        <w:rPr>
          <w:rFonts w:hint="eastAsia" w:ascii="宋体" w:hAnsi="Courier New"/>
          <w:color w:val="auto"/>
          <w:kern w:val="0"/>
          <w:sz w:val="24"/>
          <w:szCs w:val="24"/>
          <w:highlight w:val="none"/>
        </w:rPr>
      </w:pPr>
      <w:r>
        <w:rPr>
          <w:rFonts w:hint="eastAsia" w:ascii="宋体" w:hAnsi="Courier New"/>
          <w:color w:val="auto"/>
          <w:kern w:val="0"/>
          <w:sz w:val="24"/>
          <w:szCs w:val="24"/>
          <w:highlight w:val="none"/>
        </w:rPr>
        <w:t>二、首次报价文件；</w:t>
      </w:r>
    </w:p>
    <w:p w14:paraId="31D80E33">
      <w:pPr>
        <w:spacing w:line="360" w:lineRule="auto"/>
        <w:ind w:left="399" w:leftChars="190"/>
        <w:rPr>
          <w:rFonts w:ascii="宋体" w:hAnsi="宋体" w:cs="宋体"/>
          <w:color w:val="auto"/>
          <w:sz w:val="24"/>
          <w:szCs w:val="24"/>
          <w:highlight w:val="none"/>
        </w:rPr>
      </w:pPr>
      <w:r>
        <w:rPr>
          <w:rFonts w:hint="eastAsia" w:ascii="宋体" w:hAnsi="宋体"/>
          <w:color w:val="auto"/>
          <w:kern w:val="0"/>
          <w:sz w:val="24"/>
          <w:szCs w:val="24"/>
          <w:highlight w:val="none"/>
        </w:rPr>
        <w:t>三、</w:t>
      </w:r>
      <w:r>
        <w:rPr>
          <w:rFonts w:hint="eastAsia" w:ascii="宋体" w:hAnsi="Courier New"/>
          <w:color w:val="auto"/>
          <w:kern w:val="0"/>
          <w:sz w:val="24"/>
          <w:szCs w:val="24"/>
          <w:highlight w:val="none"/>
        </w:rPr>
        <w:t>商务</w:t>
      </w:r>
      <w:r>
        <w:rPr>
          <w:rFonts w:hint="eastAsia" w:ascii="宋体" w:hAnsi="宋体"/>
          <w:color w:val="auto"/>
          <w:kern w:val="0"/>
          <w:sz w:val="24"/>
          <w:szCs w:val="24"/>
          <w:highlight w:val="none"/>
        </w:rPr>
        <w:t>技术</w:t>
      </w:r>
      <w:r>
        <w:rPr>
          <w:rFonts w:hint="eastAsia" w:ascii="宋体" w:hAnsi="Courier New"/>
          <w:color w:val="auto"/>
          <w:kern w:val="0"/>
          <w:sz w:val="24"/>
          <w:szCs w:val="24"/>
          <w:highlight w:val="none"/>
        </w:rPr>
        <w:t>文件</w:t>
      </w:r>
      <w:r>
        <w:rPr>
          <w:rFonts w:hint="eastAsia" w:ascii="宋体" w:hAnsi="宋体" w:cs="宋体"/>
          <w:color w:val="auto"/>
          <w:sz w:val="24"/>
          <w:szCs w:val="24"/>
          <w:highlight w:val="none"/>
          <w:lang w:eastAsia="zh-CN"/>
        </w:rPr>
        <w:t>。</w:t>
      </w:r>
    </w:p>
    <w:p w14:paraId="450BF090">
      <w:pPr>
        <w:spacing w:line="360" w:lineRule="auto"/>
        <w:ind w:firstLine="480" w:firstLineChars="200"/>
        <w:rPr>
          <w:color w:val="auto"/>
          <w:kern w:val="0"/>
          <w:sz w:val="24"/>
          <w:szCs w:val="24"/>
          <w:highlight w:val="none"/>
        </w:rPr>
      </w:pPr>
      <w:r>
        <w:rPr>
          <w:rFonts w:hint="eastAsia" w:ascii="宋体" w:hAnsi="Courier New"/>
          <w:color w:val="auto"/>
          <w:kern w:val="0"/>
          <w:sz w:val="24"/>
          <w:szCs w:val="24"/>
          <w:highlight w:val="none"/>
        </w:rPr>
        <w:t>据此函，签字人兹宣布：</w:t>
      </w:r>
    </w:p>
    <w:p w14:paraId="17277D9B">
      <w:pPr>
        <w:spacing w:line="360" w:lineRule="auto"/>
        <w:ind w:firstLine="482"/>
        <w:rPr>
          <w:color w:val="auto"/>
          <w:kern w:val="0"/>
          <w:sz w:val="24"/>
          <w:szCs w:val="24"/>
          <w:highlight w:val="none"/>
        </w:rPr>
      </w:pPr>
      <w:r>
        <w:rPr>
          <w:rFonts w:hint="eastAsia" w:ascii="宋体" w:hAnsi="Courier New"/>
          <w:color w:val="auto"/>
          <w:kern w:val="0"/>
          <w:sz w:val="24"/>
          <w:szCs w:val="24"/>
          <w:highlight w:val="none"/>
        </w:rPr>
        <w:t>1、我方愿意以（大写）人民币</w:t>
      </w:r>
      <w:r>
        <w:rPr>
          <w:rFonts w:hint="eastAsia" w:ascii="宋体" w:hAnsi="Courier New"/>
          <w:color w:val="auto"/>
          <w:kern w:val="0"/>
          <w:sz w:val="24"/>
          <w:szCs w:val="24"/>
          <w:highlight w:val="none"/>
          <w:u w:val="single"/>
        </w:rPr>
        <w:t xml:space="preserve">              </w:t>
      </w:r>
      <w:r>
        <w:rPr>
          <w:rFonts w:hint="eastAsia" w:ascii="宋体" w:hAnsi="Courier New"/>
          <w:color w:val="auto"/>
          <w:kern w:val="0"/>
          <w:sz w:val="24"/>
          <w:szCs w:val="24"/>
          <w:highlight w:val="none"/>
        </w:rPr>
        <w:t>（￥</w:t>
      </w:r>
      <w:r>
        <w:rPr>
          <w:rFonts w:hint="eastAsia" w:ascii="宋体" w:hAnsi="Courier New"/>
          <w:color w:val="auto"/>
          <w:kern w:val="0"/>
          <w:sz w:val="24"/>
          <w:szCs w:val="24"/>
          <w:highlight w:val="none"/>
          <w:u w:val="single"/>
        </w:rPr>
        <w:t xml:space="preserve">          </w:t>
      </w:r>
      <w:r>
        <w:rPr>
          <w:rFonts w:hint="eastAsia" w:ascii="宋体" w:hAnsi="Courier New"/>
          <w:color w:val="auto"/>
          <w:kern w:val="0"/>
          <w:sz w:val="24"/>
          <w:szCs w:val="24"/>
          <w:highlight w:val="none"/>
        </w:rPr>
        <w:t>元)的竞标总报价，服务期：</w:t>
      </w:r>
      <w:r>
        <w:rPr>
          <w:rFonts w:hint="eastAsia" w:ascii="宋体" w:hAnsi="Courier New"/>
          <w:color w:val="auto"/>
          <w:kern w:val="0"/>
          <w:sz w:val="24"/>
          <w:szCs w:val="24"/>
          <w:highlight w:val="none"/>
          <w:u w:val="single"/>
        </w:rPr>
        <w:t xml:space="preserve">            </w:t>
      </w:r>
      <w:r>
        <w:rPr>
          <w:rFonts w:hint="eastAsia" w:ascii="宋体" w:hAnsi="Courier New"/>
          <w:color w:val="auto"/>
          <w:kern w:val="0"/>
          <w:sz w:val="24"/>
          <w:szCs w:val="24"/>
          <w:highlight w:val="none"/>
        </w:rPr>
        <w:t>，提供本项目竞争性磋商文件第二章“</w:t>
      </w:r>
      <w:r>
        <w:rPr>
          <w:rFonts w:hint="eastAsia" w:ascii="宋体" w:hAnsi="Courier New"/>
          <w:color w:val="auto"/>
          <w:kern w:val="0"/>
          <w:sz w:val="24"/>
          <w:szCs w:val="24"/>
          <w:highlight w:val="none"/>
          <w:lang w:eastAsia="zh-CN"/>
        </w:rPr>
        <w:t>采购需求</w:t>
      </w:r>
      <w:r>
        <w:rPr>
          <w:rFonts w:hint="eastAsia" w:ascii="宋体" w:hAnsi="Courier New"/>
          <w:color w:val="auto"/>
          <w:kern w:val="0"/>
          <w:sz w:val="24"/>
          <w:szCs w:val="24"/>
          <w:highlight w:val="none"/>
        </w:rPr>
        <w:t>”中相应的</w:t>
      </w:r>
      <w:r>
        <w:rPr>
          <w:rFonts w:hint="eastAsia" w:ascii="宋体" w:hAnsi="Courier New"/>
          <w:color w:val="auto"/>
          <w:kern w:val="0"/>
          <w:sz w:val="24"/>
          <w:szCs w:val="24"/>
          <w:highlight w:val="none"/>
          <w:lang w:eastAsia="zh-CN"/>
        </w:rPr>
        <w:t>服务</w:t>
      </w:r>
      <w:r>
        <w:rPr>
          <w:rFonts w:hint="eastAsia" w:ascii="宋体" w:hAnsi="Courier New"/>
          <w:color w:val="auto"/>
          <w:kern w:val="0"/>
          <w:sz w:val="24"/>
          <w:szCs w:val="24"/>
          <w:highlight w:val="none"/>
        </w:rPr>
        <w:t>内容。</w:t>
      </w:r>
    </w:p>
    <w:p w14:paraId="45D9A7A7">
      <w:pPr>
        <w:spacing w:line="360" w:lineRule="auto"/>
        <w:ind w:firstLine="482"/>
        <w:rPr>
          <w:rFonts w:ascii="宋体" w:hAnsi="Courier New"/>
          <w:color w:val="auto"/>
          <w:kern w:val="0"/>
          <w:sz w:val="24"/>
          <w:szCs w:val="24"/>
          <w:highlight w:val="none"/>
        </w:rPr>
      </w:pPr>
      <w:r>
        <w:rPr>
          <w:rFonts w:hint="eastAsia" w:ascii="宋体" w:hAnsi="Courier New"/>
          <w:color w:val="auto"/>
          <w:kern w:val="0"/>
          <w:sz w:val="24"/>
          <w:szCs w:val="24"/>
          <w:highlight w:val="none"/>
        </w:rPr>
        <w:t>2、我方同意自本项目竞争性磋商文件采购公告规定的递交响应文件截止时间起遵循</w:t>
      </w:r>
      <w:r>
        <w:rPr>
          <w:rFonts w:hint="eastAsia" w:ascii="宋体" w:hAnsi="宋体"/>
          <w:color w:val="auto"/>
          <w:kern w:val="0"/>
          <w:sz w:val="24"/>
          <w:szCs w:val="24"/>
          <w:highlight w:val="none"/>
        </w:rPr>
        <w:t>本响应函</w:t>
      </w:r>
      <w:r>
        <w:rPr>
          <w:rFonts w:hint="eastAsia" w:ascii="宋体" w:hAnsi="Courier New"/>
          <w:color w:val="auto"/>
          <w:kern w:val="0"/>
          <w:sz w:val="24"/>
          <w:szCs w:val="24"/>
          <w:highlight w:val="none"/>
        </w:rPr>
        <w:t>，并承诺在“第三章 供应商须知”规定的响应有效期内不修改、撤销响应文件。</w:t>
      </w:r>
    </w:p>
    <w:p w14:paraId="1B774D26">
      <w:pPr>
        <w:spacing w:line="360" w:lineRule="auto"/>
        <w:ind w:firstLine="482"/>
        <w:rPr>
          <w:rFonts w:ascii="宋体" w:hAnsi="Courier New"/>
          <w:color w:val="auto"/>
          <w:kern w:val="0"/>
          <w:sz w:val="24"/>
          <w:szCs w:val="24"/>
          <w:highlight w:val="none"/>
        </w:rPr>
      </w:pPr>
      <w:r>
        <w:rPr>
          <w:rFonts w:hint="eastAsia" w:ascii="宋体" w:hAnsi="Courier New"/>
          <w:color w:val="auto"/>
          <w:kern w:val="0"/>
          <w:sz w:val="24"/>
          <w:szCs w:val="24"/>
          <w:highlight w:val="none"/>
        </w:rPr>
        <w:t>3、我方在此声明，所递交的响应文件及有关资料内容完整、真实和准确。</w:t>
      </w:r>
    </w:p>
    <w:p w14:paraId="5EBA3AB7">
      <w:pPr>
        <w:spacing w:line="360" w:lineRule="auto"/>
        <w:ind w:firstLine="482"/>
        <w:rPr>
          <w:rFonts w:ascii="宋体" w:hAnsi="Courier New"/>
          <w:color w:val="auto"/>
          <w:kern w:val="0"/>
          <w:sz w:val="24"/>
          <w:szCs w:val="24"/>
          <w:highlight w:val="none"/>
        </w:rPr>
      </w:pPr>
      <w:r>
        <w:rPr>
          <w:rFonts w:hint="eastAsia" w:ascii="宋体" w:hAnsi="Courier New"/>
          <w:color w:val="auto"/>
          <w:kern w:val="0"/>
          <w:sz w:val="24"/>
          <w:szCs w:val="24"/>
          <w:highlight w:val="none"/>
        </w:rPr>
        <w:t>4、如本项目采购内容涉及须符合国家强制规定的，我方承诺我方本次竞标均符合国家有关强制规定。</w:t>
      </w:r>
    </w:p>
    <w:p w14:paraId="27397943">
      <w:pPr>
        <w:spacing w:line="360" w:lineRule="auto"/>
        <w:ind w:firstLine="482"/>
        <w:rPr>
          <w:rFonts w:ascii="宋体" w:hAnsi="Courier New"/>
          <w:color w:val="auto"/>
          <w:kern w:val="0"/>
          <w:sz w:val="24"/>
          <w:szCs w:val="24"/>
          <w:highlight w:val="none"/>
        </w:rPr>
      </w:pPr>
      <w:r>
        <w:rPr>
          <w:rFonts w:hint="eastAsia" w:ascii="宋体" w:hAnsi="Courier New"/>
          <w:color w:val="auto"/>
          <w:kern w:val="0"/>
          <w:sz w:val="24"/>
          <w:szCs w:val="24"/>
          <w:highlight w:val="none"/>
        </w:rPr>
        <w:t>5、如我方成交，我方承诺在收到成交通知书后，在成交通知书规定的期限内，</w:t>
      </w:r>
      <w:r>
        <w:rPr>
          <w:rFonts w:hint="eastAsia" w:ascii="宋体" w:hAnsi="宋体"/>
          <w:color w:val="auto"/>
          <w:kern w:val="0"/>
          <w:sz w:val="24"/>
          <w:szCs w:val="24"/>
          <w:highlight w:val="none"/>
        </w:rPr>
        <w:t>根据竞争性磋商文件、我方的响应文件及有关澄清承诺书的要求按第</w:t>
      </w:r>
      <w:r>
        <w:rPr>
          <w:rFonts w:hint="eastAsia" w:ascii="宋体" w:hAnsi="宋体"/>
          <w:color w:val="auto"/>
          <w:kern w:val="0"/>
          <w:sz w:val="24"/>
          <w:szCs w:val="24"/>
          <w:highlight w:val="none"/>
          <w:lang w:eastAsia="zh-CN"/>
        </w:rPr>
        <w:t>五</w:t>
      </w:r>
      <w:r>
        <w:rPr>
          <w:rFonts w:hint="eastAsia" w:ascii="宋体" w:hAnsi="宋体"/>
          <w:color w:val="auto"/>
          <w:kern w:val="0"/>
          <w:sz w:val="24"/>
          <w:szCs w:val="24"/>
          <w:highlight w:val="none"/>
        </w:rPr>
        <w:t>章“合同文本”与采购人订立书面合同，并按照合同约定</w:t>
      </w:r>
      <w:r>
        <w:rPr>
          <w:rFonts w:hint="eastAsia" w:ascii="宋体" w:hAnsi="Courier New"/>
          <w:color w:val="auto"/>
          <w:kern w:val="0"/>
          <w:sz w:val="24"/>
          <w:szCs w:val="24"/>
          <w:highlight w:val="none"/>
        </w:rPr>
        <w:t>承担完成合同的责任和义务。</w:t>
      </w:r>
    </w:p>
    <w:p w14:paraId="59BB29F1">
      <w:pPr>
        <w:spacing w:line="360" w:lineRule="auto"/>
        <w:ind w:firstLine="482"/>
        <w:rPr>
          <w:rFonts w:ascii="宋体" w:hAnsi="Courier New"/>
          <w:color w:val="auto"/>
          <w:kern w:val="0"/>
          <w:sz w:val="24"/>
          <w:szCs w:val="24"/>
          <w:highlight w:val="none"/>
        </w:rPr>
      </w:pPr>
      <w:r>
        <w:rPr>
          <w:rFonts w:hint="eastAsia" w:ascii="宋体" w:hAnsi="Courier New"/>
          <w:color w:val="auto"/>
          <w:kern w:val="0"/>
          <w:sz w:val="24"/>
          <w:szCs w:val="24"/>
          <w:highlight w:val="none"/>
        </w:rPr>
        <w:t>6、我方已详细审核竞争性磋商文件，我方知道必须放弃提出含糊不清或误解问题的权利。</w:t>
      </w:r>
    </w:p>
    <w:p w14:paraId="019D28E8">
      <w:pPr>
        <w:spacing w:line="360" w:lineRule="auto"/>
        <w:ind w:firstLine="482"/>
        <w:rPr>
          <w:rFonts w:ascii="宋体" w:hAnsi="Courier New"/>
          <w:color w:val="auto"/>
          <w:kern w:val="0"/>
          <w:sz w:val="24"/>
          <w:szCs w:val="24"/>
          <w:highlight w:val="none"/>
        </w:rPr>
      </w:pPr>
      <w:r>
        <w:rPr>
          <w:rFonts w:hint="eastAsia" w:ascii="宋体" w:hAnsi="Courier New"/>
          <w:color w:val="auto"/>
          <w:kern w:val="0"/>
          <w:sz w:val="24"/>
          <w:szCs w:val="24"/>
          <w:highlight w:val="none"/>
        </w:rPr>
        <w:t>7、我方承诺满足竞争性磋商文件</w:t>
      </w:r>
      <w:r>
        <w:rPr>
          <w:rFonts w:hint="eastAsia" w:ascii="宋体" w:hAnsi="宋体"/>
          <w:color w:val="auto"/>
          <w:kern w:val="0"/>
          <w:sz w:val="24"/>
          <w:szCs w:val="24"/>
          <w:highlight w:val="none"/>
        </w:rPr>
        <w:t>第</w:t>
      </w:r>
      <w:r>
        <w:rPr>
          <w:rFonts w:hint="eastAsia" w:ascii="宋体" w:hAnsi="宋体"/>
          <w:color w:val="auto"/>
          <w:kern w:val="0"/>
          <w:sz w:val="24"/>
          <w:szCs w:val="24"/>
          <w:highlight w:val="none"/>
          <w:lang w:eastAsia="zh-CN"/>
        </w:rPr>
        <w:t>五</w:t>
      </w:r>
      <w:r>
        <w:rPr>
          <w:rFonts w:hint="eastAsia" w:ascii="宋体" w:hAnsi="宋体"/>
          <w:color w:val="auto"/>
          <w:kern w:val="0"/>
          <w:sz w:val="24"/>
          <w:szCs w:val="24"/>
          <w:highlight w:val="none"/>
        </w:rPr>
        <w:t>章“合同文本”</w:t>
      </w:r>
      <w:r>
        <w:rPr>
          <w:rFonts w:hint="eastAsia" w:ascii="宋体" w:hAnsi="Courier New"/>
          <w:color w:val="auto"/>
          <w:kern w:val="0"/>
          <w:sz w:val="24"/>
          <w:szCs w:val="24"/>
          <w:highlight w:val="none"/>
        </w:rPr>
        <w:t>的条款，承担完成合同的责任和义务。</w:t>
      </w:r>
    </w:p>
    <w:p w14:paraId="16A50804">
      <w:pPr>
        <w:spacing w:line="360" w:lineRule="auto"/>
        <w:ind w:firstLine="482"/>
        <w:rPr>
          <w:rFonts w:ascii="宋体" w:hAnsi="Courier New"/>
          <w:color w:val="auto"/>
          <w:kern w:val="0"/>
          <w:sz w:val="24"/>
          <w:szCs w:val="24"/>
          <w:highlight w:val="none"/>
        </w:rPr>
      </w:pPr>
      <w:r>
        <w:rPr>
          <w:rFonts w:hint="eastAsia" w:ascii="宋体" w:hAnsi="Courier New"/>
          <w:color w:val="auto"/>
          <w:kern w:val="0"/>
          <w:sz w:val="24"/>
          <w:szCs w:val="24"/>
          <w:highlight w:val="none"/>
        </w:rPr>
        <w:t>8、我方同意应贵方要求提供与本竞标有关的任何数据或资料。若贵方需要，我方愿意提供我方作出的一切承诺的证明材料。</w:t>
      </w:r>
    </w:p>
    <w:p w14:paraId="4B84CE51">
      <w:pPr>
        <w:spacing w:line="360" w:lineRule="auto"/>
        <w:ind w:firstLine="482"/>
        <w:rPr>
          <w:rFonts w:ascii="宋体" w:hAnsi="Courier New"/>
          <w:color w:val="auto"/>
          <w:kern w:val="0"/>
          <w:sz w:val="24"/>
          <w:szCs w:val="24"/>
          <w:highlight w:val="none"/>
        </w:rPr>
      </w:pPr>
      <w:r>
        <w:rPr>
          <w:rFonts w:hint="eastAsia" w:ascii="宋体" w:hAnsi="Courier New"/>
          <w:color w:val="auto"/>
          <w:kern w:val="0"/>
          <w:sz w:val="24"/>
          <w:szCs w:val="24"/>
          <w:highlight w:val="none"/>
        </w:rPr>
        <w:t>9、我方完全理解贵方不一定接受响应报价最低的竞标人为成交供应商的行为。</w:t>
      </w:r>
    </w:p>
    <w:p w14:paraId="0559A1CF">
      <w:pPr>
        <w:spacing w:line="360" w:lineRule="auto"/>
        <w:ind w:firstLine="482"/>
        <w:rPr>
          <w:rFonts w:ascii="宋体" w:hAnsi="Courier New"/>
          <w:color w:val="auto"/>
          <w:kern w:val="0"/>
          <w:sz w:val="24"/>
          <w:szCs w:val="24"/>
          <w:highlight w:val="none"/>
        </w:rPr>
      </w:pPr>
      <w:r>
        <w:rPr>
          <w:rFonts w:hint="eastAsia" w:ascii="宋体" w:hAnsi="Courier New"/>
          <w:color w:val="auto"/>
          <w:kern w:val="0"/>
          <w:sz w:val="24"/>
          <w:szCs w:val="24"/>
          <w:highlight w:val="none"/>
        </w:rPr>
        <w:t>10、我方将严格遵守《中华人民共和国政府采购法》第七十七条的规定，即供应商有下列情形之一的，处以采购金额千分之五以上千分之十</w:t>
      </w:r>
      <w:r>
        <w:rPr>
          <w:rFonts w:hint="eastAsia" w:ascii="宋体" w:hAnsi="宋体"/>
          <w:color w:val="auto"/>
          <w:kern w:val="0"/>
          <w:sz w:val="24"/>
          <w:szCs w:val="24"/>
          <w:highlight w:val="none"/>
        </w:rPr>
        <w:t>以下的罚款，列入不良行为记录名单，在一至三年内禁止参加采购活动，有违法所得的，并处没收违法所得，情节严重的，由工商行政管理机关吊销营业执照；构成犯罪的，依法追究刑事责任：</w:t>
      </w:r>
    </w:p>
    <w:p w14:paraId="605ABAEC">
      <w:pPr>
        <w:numPr>
          <w:ilvl w:val="0"/>
          <w:numId w:val="5"/>
        </w:numPr>
        <w:tabs>
          <w:tab w:val="left" w:pos="945"/>
        </w:tabs>
        <w:spacing w:line="360" w:lineRule="auto"/>
        <w:rPr>
          <w:rFonts w:ascii="宋体" w:hAnsi="宋体"/>
          <w:color w:val="auto"/>
          <w:kern w:val="0"/>
          <w:sz w:val="24"/>
          <w:szCs w:val="24"/>
          <w:highlight w:val="none"/>
        </w:rPr>
      </w:pPr>
      <w:r>
        <w:rPr>
          <w:rFonts w:hint="eastAsia" w:ascii="宋体" w:hAnsi="宋体"/>
          <w:color w:val="auto"/>
          <w:kern w:val="0"/>
          <w:sz w:val="24"/>
          <w:szCs w:val="24"/>
          <w:highlight w:val="none"/>
        </w:rPr>
        <w:t>提供虚假材料谋取中标、成交的；</w:t>
      </w:r>
    </w:p>
    <w:p w14:paraId="52EBE90A">
      <w:pPr>
        <w:numPr>
          <w:ilvl w:val="0"/>
          <w:numId w:val="5"/>
        </w:numPr>
        <w:tabs>
          <w:tab w:val="left" w:pos="945"/>
        </w:tabs>
        <w:spacing w:line="360" w:lineRule="auto"/>
        <w:rPr>
          <w:rFonts w:ascii="宋体" w:hAnsi="宋体"/>
          <w:color w:val="auto"/>
          <w:kern w:val="0"/>
          <w:sz w:val="24"/>
          <w:szCs w:val="24"/>
          <w:highlight w:val="none"/>
        </w:rPr>
      </w:pPr>
      <w:r>
        <w:rPr>
          <w:rFonts w:hint="eastAsia" w:ascii="宋体" w:hAnsi="宋体"/>
          <w:color w:val="auto"/>
          <w:kern w:val="0"/>
          <w:sz w:val="24"/>
          <w:szCs w:val="24"/>
          <w:highlight w:val="none"/>
        </w:rPr>
        <w:t>采取不正当手段诋毁、排挤其他供应商的；</w:t>
      </w:r>
    </w:p>
    <w:p w14:paraId="064E3D78">
      <w:pPr>
        <w:numPr>
          <w:ilvl w:val="0"/>
          <w:numId w:val="5"/>
        </w:numPr>
        <w:tabs>
          <w:tab w:val="left" w:pos="945"/>
        </w:tabs>
        <w:spacing w:line="360" w:lineRule="auto"/>
        <w:rPr>
          <w:rFonts w:ascii="宋体" w:hAnsi="Courier New"/>
          <w:color w:val="auto"/>
          <w:kern w:val="0"/>
          <w:sz w:val="24"/>
          <w:szCs w:val="24"/>
          <w:highlight w:val="none"/>
        </w:rPr>
      </w:pPr>
      <w:r>
        <w:rPr>
          <w:rFonts w:hint="eastAsia" w:ascii="宋体" w:hAnsi="宋体"/>
          <w:color w:val="auto"/>
          <w:kern w:val="0"/>
          <w:sz w:val="24"/>
          <w:szCs w:val="24"/>
          <w:highlight w:val="none"/>
        </w:rPr>
        <w:t>与采购人、其他供应商或者采购代理机构恶意串通的；</w:t>
      </w:r>
    </w:p>
    <w:p w14:paraId="4259EE66">
      <w:pPr>
        <w:numPr>
          <w:ilvl w:val="0"/>
          <w:numId w:val="5"/>
        </w:numPr>
        <w:tabs>
          <w:tab w:val="left" w:pos="945"/>
        </w:tabs>
        <w:spacing w:line="360" w:lineRule="auto"/>
        <w:rPr>
          <w:rFonts w:ascii="宋体" w:hAnsi="Courier New"/>
          <w:color w:val="auto"/>
          <w:kern w:val="0"/>
          <w:sz w:val="24"/>
          <w:szCs w:val="24"/>
          <w:highlight w:val="none"/>
        </w:rPr>
      </w:pPr>
      <w:r>
        <w:rPr>
          <w:rFonts w:hint="eastAsia" w:ascii="宋体" w:hAnsi="宋体"/>
          <w:color w:val="auto"/>
          <w:kern w:val="0"/>
          <w:sz w:val="24"/>
          <w:szCs w:val="24"/>
          <w:highlight w:val="none"/>
        </w:rPr>
        <w:t>向采购人、采购代理机构行贿或者提供其他不正当利益的；</w:t>
      </w:r>
    </w:p>
    <w:p w14:paraId="6431CAD9">
      <w:pPr>
        <w:numPr>
          <w:ilvl w:val="0"/>
          <w:numId w:val="5"/>
        </w:numPr>
        <w:tabs>
          <w:tab w:val="left" w:pos="945"/>
        </w:tabs>
        <w:spacing w:line="360" w:lineRule="auto"/>
        <w:rPr>
          <w:rFonts w:ascii="宋体" w:hAnsi="Courier New"/>
          <w:color w:val="auto"/>
          <w:kern w:val="0"/>
          <w:sz w:val="24"/>
          <w:szCs w:val="24"/>
          <w:highlight w:val="none"/>
        </w:rPr>
      </w:pPr>
      <w:r>
        <w:rPr>
          <w:rFonts w:hint="eastAsia" w:ascii="宋体" w:hAnsi="宋体"/>
          <w:color w:val="auto"/>
          <w:kern w:val="0"/>
          <w:sz w:val="24"/>
          <w:szCs w:val="24"/>
          <w:highlight w:val="none"/>
        </w:rPr>
        <w:t>在采购过程中与采购人进行协商谈判的；</w:t>
      </w:r>
    </w:p>
    <w:p w14:paraId="5B554B39">
      <w:pPr>
        <w:numPr>
          <w:ilvl w:val="0"/>
          <w:numId w:val="5"/>
        </w:numPr>
        <w:tabs>
          <w:tab w:val="left" w:pos="945"/>
        </w:tabs>
        <w:spacing w:line="360" w:lineRule="auto"/>
        <w:rPr>
          <w:rFonts w:ascii="宋体" w:hAnsi="Courier New"/>
          <w:color w:val="auto"/>
          <w:kern w:val="0"/>
          <w:sz w:val="24"/>
          <w:szCs w:val="24"/>
          <w:highlight w:val="none"/>
        </w:rPr>
      </w:pPr>
      <w:r>
        <w:rPr>
          <w:rFonts w:hint="eastAsia" w:ascii="宋体" w:hAnsi="宋体"/>
          <w:color w:val="auto"/>
          <w:kern w:val="0"/>
          <w:sz w:val="24"/>
          <w:szCs w:val="24"/>
          <w:highlight w:val="none"/>
        </w:rPr>
        <w:t>拒绝有关部门监督检查或提供虚假情况的。</w:t>
      </w:r>
    </w:p>
    <w:p w14:paraId="2C15D150">
      <w:pPr>
        <w:spacing w:line="360" w:lineRule="auto"/>
        <w:ind w:firstLine="420"/>
        <w:rPr>
          <w:rFonts w:ascii="宋体" w:hAnsi="Courier New"/>
          <w:color w:val="auto"/>
          <w:kern w:val="0"/>
          <w:sz w:val="24"/>
          <w:szCs w:val="24"/>
          <w:highlight w:val="none"/>
        </w:rPr>
      </w:pPr>
      <w:r>
        <w:rPr>
          <w:rFonts w:hint="eastAsia" w:ascii="宋体" w:hAnsi="宋体" w:cs="宋体"/>
          <w:color w:val="auto"/>
          <w:kern w:val="0"/>
          <w:sz w:val="24"/>
          <w:szCs w:val="24"/>
          <w:highlight w:val="none"/>
        </w:rPr>
        <w:t>11.与本磋商有关的一切正式往来信函请寄</w:t>
      </w:r>
      <w:r>
        <w:rPr>
          <w:rFonts w:hint="eastAsia" w:ascii="宋体" w:hAnsi="Courier New"/>
          <w:color w:val="auto"/>
          <w:kern w:val="0"/>
          <w:sz w:val="24"/>
          <w:szCs w:val="24"/>
          <w:highlight w:val="none"/>
        </w:rPr>
        <w:t>：</w:t>
      </w:r>
    </w:p>
    <w:p w14:paraId="46CF46A9">
      <w:pPr>
        <w:spacing w:line="360" w:lineRule="auto"/>
        <w:ind w:firstLine="420"/>
        <w:rPr>
          <w:rFonts w:ascii="宋体" w:hAnsi="Courier New"/>
          <w:color w:val="auto"/>
          <w:kern w:val="0"/>
          <w:sz w:val="24"/>
          <w:szCs w:val="24"/>
          <w:highlight w:val="none"/>
        </w:rPr>
      </w:pPr>
      <w:r>
        <w:rPr>
          <w:rFonts w:hint="eastAsia" w:ascii="宋体" w:hAnsi="Courier New"/>
          <w:color w:val="auto"/>
          <w:kern w:val="0"/>
          <w:sz w:val="24"/>
          <w:szCs w:val="24"/>
          <w:highlight w:val="none"/>
        </w:rPr>
        <w:t>地址：</w:t>
      </w:r>
      <w:r>
        <w:rPr>
          <w:rFonts w:hint="eastAsia" w:ascii="宋体" w:hAnsi="Courier New"/>
          <w:color w:val="auto"/>
          <w:kern w:val="0"/>
          <w:sz w:val="24"/>
          <w:szCs w:val="24"/>
          <w:highlight w:val="none"/>
          <w:u w:val="single"/>
        </w:rPr>
        <w:t xml:space="preserve">                                                        </w:t>
      </w:r>
      <w:r>
        <w:rPr>
          <w:rFonts w:hint="eastAsia" w:ascii="宋体" w:hAnsi="Courier New"/>
          <w:color w:val="auto"/>
          <w:kern w:val="0"/>
          <w:sz w:val="24"/>
          <w:szCs w:val="24"/>
          <w:highlight w:val="none"/>
        </w:rPr>
        <w:t xml:space="preserve"> </w:t>
      </w:r>
    </w:p>
    <w:p w14:paraId="64C5C09A">
      <w:pPr>
        <w:spacing w:line="360" w:lineRule="auto"/>
        <w:ind w:firstLine="420"/>
        <w:rPr>
          <w:rFonts w:ascii="宋体" w:hAnsi="Courier New"/>
          <w:color w:val="auto"/>
          <w:kern w:val="0"/>
          <w:sz w:val="24"/>
          <w:szCs w:val="24"/>
          <w:highlight w:val="none"/>
          <w:u w:val="single"/>
        </w:rPr>
      </w:pPr>
      <w:r>
        <w:rPr>
          <w:rFonts w:hint="eastAsia" w:ascii="宋体" w:hAnsi="Courier New"/>
          <w:color w:val="auto"/>
          <w:kern w:val="0"/>
          <w:sz w:val="24"/>
          <w:szCs w:val="24"/>
          <w:highlight w:val="none"/>
        </w:rPr>
        <w:t>电话：</w:t>
      </w:r>
      <w:r>
        <w:rPr>
          <w:rFonts w:hint="eastAsia" w:ascii="宋体" w:hAnsi="Courier New"/>
          <w:color w:val="auto"/>
          <w:kern w:val="0"/>
          <w:sz w:val="24"/>
          <w:szCs w:val="24"/>
          <w:highlight w:val="none"/>
          <w:u w:val="single"/>
        </w:rPr>
        <w:t xml:space="preserve">                                      　　　　　　　　　</w:t>
      </w:r>
    </w:p>
    <w:p w14:paraId="0A35AF93">
      <w:pPr>
        <w:spacing w:line="360" w:lineRule="auto"/>
        <w:ind w:firstLine="420"/>
        <w:rPr>
          <w:rFonts w:ascii="宋体" w:hAnsi="Courier New"/>
          <w:color w:val="auto"/>
          <w:kern w:val="0"/>
          <w:sz w:val="24"/>
          <w:szCs w:val="24"/>
          <w:highlight w:val="none"/>
        </w:rPr>
      </w:pPr>
      <w:r>
        <w:rPr>
          <w:rFonts w:hint="eastAsia" w:ascii="宋体" w:hAnsi="Courier New"/>
          <w:color w:val="auto"/>
          <w:kern w:val="0"/>
          <w:sz w:val="24"/>
          <w:szCs w:val="24"/>
          <w:highlight w:val="none"/>
        </w:rPr>
        <w:t>传真：</w:t>
      </w:r>
      <w:r>
        <w:rPr>
          <w:rFonts w:hint="eastAsia" w:ascii="宋体" w:hAnsi="Courier New"/>
          <w:color w:val="auto"/>
          <w:kern w:val="0"/>
          <w:sz w:val="24"/>
          <w:szCs w:val="24"/>
          <w:highlight w:val="none"/>
          <w:u w:val="single"/>
        </w:rPr>
        <w:t>　　　　　　　　　　　　　　　　　　　　　　　　　　　　</w:t>
      </w:r>
    </w:p>
    <w:p w14:paraId="112D57AE">
      <w:pPr>
        <w:spacing w:line="360" w:lineRule="auto"/>
        <w:ind w:firstLine="420"/>
        <w:rPr>
          <w:rFonts w:ascii="宋体" w:hAnsi="Courier New"/>
          <w:color w:val="auto"/>
          <w:kern w:val="0"/>
          <w:sz w:val="24"/>
          <w:szCs w:val="24"/>
          <w:highlight w:val="none"/>
          <w:u w:val="single"/>
        </w:rPr>
      </w:pPr>
      <w:r>
        <w:rPr>
          <w:rFonts w:hint="eastAsia" w:ascii="宋体" w:hAnsi="Courier New"/>
          <w:color w:val="auto"/>
          <w:kern w:val="0"/>
          <w:sz w:val="24"/>
          <w:szCs w:val="24"/>
          <w:highlight w:val="none"/>
        </w:rPr>
        <w:t>邮政编码：</w:t>
      </w:r>
      <w:r>
        <w:rPr>
          <w:rFonts w:hint="eastAsia" w:ascii="宋体" w:hAnsi="Courier New"/>
          <w:color w:val="auto"/>
          <w:kern w:val="0"/>
          <w:sz w:val="24"/>
          <w:szCs w:val="24"/>
          <w:highlight w:val="none"/>
          <w:u w:val="single"/>
        </w:rPr>
        <w:t xml:space="preserve">                                                    </w:t>
      </w:r>
    </w:p>
    <w:p w14:paraId="15AE53FB">
      <w:pPr>
        <w:spacing w:line="360" w:lineRule="auto"/>
        <w:ind w:firstLine="420"/>
        <w:rPr>
          <w:rFonts w:ascii="宋体" w:hAnsi="Courier New"/>
          <w:color w:val="auto"/>
          <w:kern w:val="0"/>
          <w:sz w:val="24"/>
          <w:szCs w:val="24"/>
          <w:highlight w:val="none"/>
          <w:u w:val="single"/>
        </w:rPr>
      </w:pPr>
      <w:r>
        <w:rPr>
          <w:rFonts w:hint="eastAsia" w:ascii="宋体" w:hAnsi="Courier New"/>
          <w:color w:val="auto"/>
          <w:kern w:val="0"/>
          <w:sz w:val="24"/>
          <w:szCs w:val="24"/>
          <w:highlight w:val="none"/>
        </w:rPr>
        <w:t>开户名称：</w:t>
      </w:r>
      <w:r>
        <w:rPr>
          <w:rFonts w:hint="eastAsia" w:ascii="宋体" w:hAnsi="Courier New"/>
          <w:color w:val="auto"/>
          <w:kern w:val="0"/>
          <w:sz w:val="24"/>
          <w:szCs w:val="24"/>
          <w:highlight w:val="none"/>
          <w:u w:val="single"/>
        </w:rPr>
        <w:t xml:space="preserve">                                                    </w:t>
      </w:r>
    </w:p>
    <w:p w14:paraId="3ADF8D7A">
      <w:pPr>
        <w:spacing w:line="360" w:lineRule="auto"/>
        <w:ind w:firstLine="420"/>
        <w:rPr>
          <w:rFonts w:ascii="宋体" w:hAnsi="Courier New"/>
          <w:color w:val="auto"/>
          <w:kern w:val="0"/>
          <w:sz w:val="24"/>
          <w:szCs w:val="24"/>
          <w:highlight w:val="none"/>
          <w:u w:val="single"/>
        </w:rPr>
      </w:pPr>
      <w:r>
        <w:rPr>
          <w:rFonts w:hint="eastAsia" w:ascii="宋体" w:hAnsi="Courier New"/>
          <w:color w:val="auto"/>
          <w:kern w:val="0"/>
          <w:sz w:val="24"/>
          <w:szCs w:val="24"/>
          <w:highlight w:val="none"/>
        </w:rPr>
        <w:t>开户银行：</w:t>
      </w:r>
      <w:r>
        <w:rPr>
          <w:rFonts w:hint="eastAsia" w:ascii="宋体" w:hAnsi="Courier New"/>
          <w:color w:val="auto"/>
          <w:kern w:val="0"/>
          <w:sz w:val="24"/>
          <w:szCs w:val="24"/>
          <w:highlight w:val="none"/>
          <w:u w:val="single"/>
        </w:rPr>
        <w:t xml:space="preserve">                                                    </w:t>
      </w:r>
    </w:p>
    <w:p w14:paraId="35712982">
      <w:pPr>
        <w:spacing w:line="360" w:lineRule="auto"/>
        <w:ind w:firstLine="420"/>
        <w:rPr>
          <w:rFonts w:ascii="宋体" w:hAnsi="Courier New"/>
          <w:color w:val="auto"/>
          <w:kern w:val="0"/>
          <w:sz w:val="24"/>
          <w:szCs w:val="24"/>
          <w:highlight w:val="none"/>
          <w:u w:val="single"/>
        </w:rPr>
      </w:pPr>
      <w:r>
        <w:rPr>
          <w:rFonts w:hint="eastAsia" w:ascii="宋体" w:hAnsi="Courier New"/>
          <w:color w:val="auto"/>
          <w:kern w:val="0"/>
          <w:sz w:val="24"/>
          <w:szCs w:val="24"/>
          <w:highlight w:val="none"/>
        </w:rPr>
        <w:t>银行账号：</w:t>
      </w:r>
      <w:r>
        <w:rPr>
          <w:rFonts w:hint="eastAsia" w:ascii="宋体" w:hAnsi="Courier New"/>
          <w:color w:val="auto"/>
          <w:kern w:val="0"/>
          <w:sz w:val="24"/>
          <w:szCs w:val="24"/>
          <w:highlight w:val="none"/>
          <w:u w:val="single"/>
        </w:rPr>
        <w:t xml:space="preserve">                                                    </w:t>
      </w:r>
    </w:p>
    <w:p w14:paraId="04F6957A">
      <w:pPr>
        <w:tabs>
          <w:tab w:val="left" w:pos="939"/>
        </w:tabs>
        <w:spacing w:line="360" w:lineRule="auto"/>
        <w:ind w:left="141" w:leftChars="67" w:firstLine="360" w:firstLineChars="150"/>
        <w:contextualSpacing/>
        <w:rPr>
          <w:rFonts w:ascii="宋体" w:hAnsi="宋体" w:cs="宋体"/>
          <w:color w:val="auto"/>
          <w:sz w:val="24"/>
          <w:szCs w:val="24"/>
          <w:highlight w:val="none"/>
        </w:rPr>
      </w:pPr>
      <w:r>
        <w:rPr>
          <w:rFonts w:hint="eastAsia" w:ascii="宋体" w:hAnsi="宋体" w:cs="宋体"/>
          <w:color w:val="auto"/>
          <w:sz w:val="24"/>
          <w:szCs w:val="24"/>
          <w:highlight w:val="none"/>
        </w:rPr>
        <w:t>特此承诺。</w:t>
      </w:r>
    </w:p>
    <w:p w14:paraId="163BF2EF">
      <w:pPr>
        <w:spacing w:line="360" w:lineRule="auto"/>
        <w:jc w:val="left"/>
        <w:rPr>
          <w:rFonts w:ascii="宋体" w:hAnsi="宋体" w:cs="宋体"/>
          <w:color w:val="auto"/>
          <w:szCs w:val="21"/>
          <w:highlight w:val="none"/>
        </w:rPr>
      </w:pPr>
    </w:p>
    <w:p w14:paraId="565D42AC">
      <w:pPr>
        <w:spacing w:line="360" w:lineRule="auto"/>
        <w:ind w:firstLine="1800" w:firstLineChars="750"/>
        <w:contextualSpacing/>
        <w:rPr>
          <w:color w:val="auto"/>
          <w:sz w:val="24"/>
          <w:szCs w:val="24"/>
          <w:highlight w:val="none"/>
        </w:rPr>
      </w:pPr>
      <w:r>
        <w:rPr>
          <w:rFonts w:hint="eastAsia"/>
          <w:color w:val="auto"/>
          <w:sz w:val="24"/>
          <w:szCs w:val="24"/>
          <w:highlight w:val="none"/>
        </w:rPr>
        <w:t>法定代表人</w:t>
      </w:r>
      <w:r>
        <w:rPr>
          <w:rFonts w:hint="eastAsia" w:ascii="宋体" w:hAnsi="宋体"/>
          <w:color w:val="auto"/>
          <w:sz w:val="24"/>
          <w:highlight w:val="none"/>
        </w:rPr>
        <w:t>或者委托代理人</w:t>
      </w:r>
      <w:r>
        <w:rPr>
          <w:rFonts w:hint="eastAsia"/>
          <w:color w:val="auto"/>
          <w:sz w:val="24"/>
          <w:szCs w:val="24"/>
          <w:highlight w:val="none"/>
        </w:rPr>
        <w:t>（</w:t>
      </w:r>
      <w:r>
        <w:rPr>
          <w:rFonts w:hint="eastAsia" w:ascii="宋体" w:hAnsi="宋体"/>
          <w:color w:val="auto"/>
          <w:sz w:val="24"/>
          <w:szCs w:val="24"/>
          <w:highlight w:val="none"/>
        </w:rPr>
        <w:t>签字或者盖章或者电子签名</w:t>
      </w:r>
      <w:r>
        <w:rPr>
          <w:rFonts w:hint="eastAsia"/>
          <w:color w:val="auto"/>
          <w:sz w:val="24"/>
          <w:szCs w:val="24"/>
          <w:highlight w:val="none"/>
        </w:rPr>
        <w:t xml:space="preserve">）：                                     </w:t>
      </w:r>
    </w:p>
    <w:p w14:paraId="6BF96D6B">
      <w:pPr>
        <w:spacing w:line="360" w:lineRule="auto"/>
        <w:ind w:firstLine="4320" w:firstLineChars="1800"/>
        <w:contextualSpacing/>
        <w:rPr>
          <w:rFonts w:ascii="宋体" w:hAnsi="宋体" w:cs="宋体"/>
          <w:color w:val="auto"/>
          <w:sz w:val="24"/>
          <w:szCs w:val="24"/>
          <w:highlight w:val="none"/>
          <w:u w:val="single"/>
        </w:rPr>
      </w:pPr>
      <w:r>
        <w:rPr>
          <w:rFonts w:hint="eastAsia"/>
          <w:color w:val="auto"/>
          <w:sz w:val="24"/>
          <w:szCs w:val="24"/>
          <w:highlight w:val="none"/>
        </w:rPr>
        <w:t xml:space="preserve">供应商（电子签章）：       </w:t>
      </w:r>
      <w:r>
        <w:rPr>
          <w:rFonts w:hint="eastAsia" w:ascii="宋体" w:hAnsi="宋体" w:cs="宋体"/>
          <w:color w:val="auto"/>
          <w:sz w:val="24"/>
          <w:szCs w:val="24"/>
          <w:highlight w:val="none"/>
        </w:rPr>
        <w:t xml:space="preserve">    </w:t>
      </w:r>
    </w:p>
    <w:p w14:paraId="1545387A">
      <w:pPr>
        <w:pStyle w:val="21"/>
        <w:tabs>
          <w:tab w:val="left" w:pos="939"/>
        </w:tabs>
        <w:spacing w:line="360" w:lineRule="auto"/>
        <w:ind w:left="0" w:leftChars="0" w:firstLine="480" w:firstLineChars="200"/>
        <w:rPr>
          <w:color w:val="auto"/>
          <w:sz w:val="24"/>
          <w:szCs w:val="24"/>
          <w:highlight w:val="none"/>
        </w:rPr>
      </w:pPr>
      <w:r>
        <w:rPr>
          <w:rFonts w:hint="eastAsia" w:ascii="宋体" w:hAnsi="宋体" w:cs="宋体"/>
          <w:color w:val="auto"/>
          <w:sz w:val="24"/>
          <w:szCs w:val="24"/>
          <w:highlight w:val="none"/>
        </w:rPr>
        <w:t xml:space="preserve">                                       </w:t>
      </w:r>
      <w:r>
        <w:rPr>
          <w:rFonts w:hint="eastAsia"/>
          <w:color w:val="auto"/>
          <w:sz w:val="24"/>
          <w:szCs w:val="24"/>
          <w:highlight w:val="none"/>
        </w:rPr>
        <w:t xml:space="preserve"> 年    月    日</w:t>
      </w:r>
    </w:p>
    <w:p w14:paraId="1E625066">
      <w:pPr>
        <w:autoSpaceDE w:val="0"/>
        <w:autoSpaceDN w:val="0"/>
        <w:spacing w:line="360" w:lineRule="auto"/>
        <w:ind w:firstLine="5670" w:firstLineChars="2700"/>
        <w:rPr>
          <w:rFonts w:ascii="仿宋_GB2312" w:hAnsi="仿宋" w:eastAsia="仿宋_GB2312" w:cs="仿宋_GB2312"/>
          <w:color w:val="auto"/>
          <w:kern w:val="0"/>
          <w:szCs w:val="21"/>
          <w:highlight w:val="none"/>
          <w:lang w:val="zh-CN"/>
        </w:rPr>
      </w:pPr>
    </w:p>
    <w:p w14:paraId="0FD39A44">
      <w:pPr>
        <w:widowControl/>
        <w:spacing w:line="360" w:lineRule="auto"/>
        <w:jc w:val="left"/>
        <w:rPr>
          <w:rFonts w:ascii="仿宋_GB2312" w:hAnsi="仿宋" w:eastAsia="仿宋_GB2312" w:cs="仿宋_GB2312"/>
          <w:color w:val="auto"/>
          <w:kern w:val="0"/>
          <w:szCs w:val="21"/>
          <w:highlight w:val="none"/>
          <w:lang w:val="zh-CN"/>
        </w:rPr>
        <w:sectPr>
          <w:pgSz w:w="11910" w:h="16840"/>
          <w:pgMar w:top="1417" w:right="1417" w:bottom="1417" w:left="1417" w:header="720" w:footer="720" w:gutter="0"/>
          <w:cols w:space="720" w:num="1"/>
        </w:sectPr>
      </w:pPr>
    </w:p>
    <w:p w14:paraId="368F03AD">
      <w:pPr>
        <w:spacing w:line="520" w:lineRule="exact"/>
        <w:jc w:val="center"/>
        <w:rPr>
          <w:rFonts w:hint="eastAsia" w:asciiTheme="minorEastAsia" w:hAnsiTheme="minorEastAsia" w:eastAsiaTheme="minorEastAsia" w:cstheme="minorEastAsia"/>
          <w:b/>
          <w:bCs w:val="0"/>
          <w:color w:val="auto"/>
          <w:sz w:val="32"/>
          <w:szCs w:val="32"/>
          <w:highlight w:val="none"/>
        </w:rPr>
      </w:pPr>
      <w:r>
        <w:rPr>
          <w:rFonts w:hint="eastAsia" w:asciiTheme="minorEastAsia" w:hAnsiTheme="minorEastAsia" w:eastAsiaTheme="minorEastAsia" w:cstheme="minorEastAsia"/>
          <w:b/>
          <w:bCs w:val="0"/>
          <w:color w:val="auto"/>
          <w:sz w:val="32"/>
          <w:szCs w:val="32"/>
          <w:highlight w:val="none"/>
        </w:rPr>
        <w:t>竞 标 报 价 表</w:t>
      </w:r>
    </w:p>
    <w:p w14:paraId="4EA753FE">
      <w:pPr>
        <w:spacing w:line="440" w:lineRule="exact"/>
        <w:jc w:val="center"/>
        <w:rPr>
          <w:rFonts w:ascii="方正小标宋简体" w:hAnsi="方正小标宋简体" w:eastAsia="方正小标宋简体" w:cs="方正小标宋简体"/>
          <w:bCs/>
          <w:color w:val="auto"/>
          <w:sz w:val="32"/>
          <w:szCs w:val="32"/>
          <w:highlight w:val="none"/>
        </w:rPr>
      </w:pPr>
    </w:p>
    <w:p w14:paraId="2ADD62AE">
      <w:pPr>
        <w:spacing w:line="360" w:lineRule="auto"/>
        <w:contextualSpacing/>
        <w:rPr>
          <w:rFonts w:ascii="宋体" w:hAnsi="宋体" w:cs="仿宋_GB2312"/>
          <w:color w:val="auto"/>
          <w:sz w:val="24"/>
          <w:highlight w:val="none"/>
        </w:rPr>
      </w:pPr>
      <w:r>
        <w:rPr>
          <w:rFonts w:hint="eastAsia" w:ascii="宋体" w:hAnsi="宋体" w:cs="仿宋_GB2312"/>
          <w:color w:val="auto"/>
          <w:sz w:val="24"/>
          <w:highlight w:val="none"/>
        </w:rPr>
        <w:t>项目名称：</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项目编号：</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 xml:space="preserve">     </w:t>
      </w:r>
    </w:p>
    <w:p w14:paraId="7365FE01">
      <w:pPr>
        <w:spacing w:line="360" w:lineRule="auto"/>
        <w:contextualSpacing/>
        <w:rPr>
          <w:rFonts w:ascii="宋体" w:hAnsi="宋体" w:cs="仿宋_GB2312"/>
          <w:color w:val="auto"/>
          <w:sz w:val="24"/>
          <w:highlight w:val="none"/>
          <w:u w:val="single"/>
        </w:rPr>
      </w:pPr>
      <w:r>
        <w:rPr>
          <w:rFonts w:hint="eastAsia" w:ascii="宋体" w:hAnsi="宋体" w:cs="仿宋_GB2312"/>
          <w:color w:val="auto"/>
          <w:sz w:val="24"/>
          <w:highlight w:val="none"/>
        </w:rPr>
        <w:t>分标（如有）：</w:t>
      </w:r>
      <w:r>
        <w:rPr>
          <w:rFonts w:hint="eastAsia" w:ascii="宋体" w:hAnsi="宋体" w:cs="仿宋_GB2312"/>
          <w:color w:val="auto"/>
          <w:sz w:val="24"/>
          <w:highlight w:val="none"/>
          <w:u w:val="single"/>
        </w:rPr>
        <w:t xml:space="preserve">                                         </w:t>
      </w:r>
    </w:p>
    <w:p w14:paraId="309423F4">
      <w:pPr>
        <w:spacing w:line="360" w:lineRule="auto"/>
        <w:contextualSpacing/>
        <w:rPr>
          <w:rFonts w:ascii="宋体" w:hAnsi="宋体" w:cs="仿宋_GB2312"/>
          <w:color w:val="auto"/>
          <w:sz w:val="24"/>
          <w:highlight w:val="none"/>
        </w:rPr>
      </w:pPr>
      <w:r>
        <w:rPr>
          <w:rFonts w:hint="eastAsia" w:ascii="宋体" w:hAnsi="宋体" w:cs="仿宋_GB2312"/>
          <w:color w:val="auto"/>
          <w:sz w:val="24"/>
          <w:highlight w:val="none"/>
        </w:rPr>
        <w:t>供应商名称：</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 xml:space="preserve">   </w:t>
      </w:r>
    </w:p>
    <w:p w14:paraId="526A0C96">
      <w:pPr>
        <w:spacing w:line="360" w:lineRule="auto"/>
        <w:contextualSpacing/>
        <w:rPr>
          <w:rFonts w:ascii="宋体" w:hAnsi="宋体" w:cs="仿宋_GB2312"/>
          <w:color w:val="auto"/>
          <w:sz w:val="24"/>
          <w:highlight w:val="none"/>
        </w:rPr>
      </w:pPr>
      <w:r>
        <w:rPr>
          <w:rFonts w:hint="eastAsia" w:ascii="宋体" w:hAnsi="宋体" w:cs="仿宋_GB2312"/>
          <w:color w:val="auto"/>
          <w:sz w:val="24"/>
          <w:highlight w:val="none"/>
        </w:rPr>
        <w:t xml:space="preserve">                                                单位：元</w:t>
      </w:r>
    </w:p>
    <w:tbl>
      <w:tblPr>
        <w:tblStyle w:val="50"/>
        <w:tblW w:w="9163"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257"/>
        <w:gridCol w:w="1102"/>
        <w:gridCol w:w="1389"/>
        <w:gridCol w:w="1595"/>
        <w:gridCol w:w="1020"/>
      </w:tblGrid>
      <w:tr w14:paraId="477BE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00" w:type="dxa"/>
            <w:tcBorders>
              <w:top w:val="single" w:color="auto" w:sz="4" w:space="0"/>
              <w:left w:val="single" w:color="auto" w:sz="4" w:space="0"/>
              <w:bottom w:val="single" w:color="auto" w:sz="4" w:space="0"/>
              <w:right w:val="single" w:color="auto" w:sz="4" w:space="0"/>
            </w:tcBorders>
            <w:vAlign w:val="center"/>
          </w:tcPr>
          <w:p w14:paraId="414A9687">
            <w:pPr>
              <w:spacing w:line="360" w:lineRule="auto"/>
              <w:contextualSpacing/>
              <w:jc w:val="center"/>
              <w:rPr>
                <w:rFonts w:ascii="宋体" w:hAnsi="宋体" w:cs="仿宋_GB2312"/>
                <w:color w:val="auto"/>
                <w:sz w:val="24"/>
                <w:highlight w:val="none"/>
              </w:rPr>
            </w:pPr>
            <w:r>
              <w:rPr>
                <w:rFonts w:ascii="宋体" w:hAnsi="宋体" w:cs="仿宋_GB2312"/>
                <w:color w:val="auto"/>
                <w:sz w:val="24"/>
                <w:highlight w:val="none"/>
              </w:rPr>
              <w:t>序号</w:t>
            </w:r>
          </w:p>
        </w:tc>
        <w:tc>
          <w:tcPr>
            <w:tcW w:w="3257" w:type="dxa"/>
            <w:tcBorders>
              <w:top w:val="single" w:color="auto" w:sz="4" w:space="0"/>
              <w:left w:val="single" w:color="auto" w:sz="4" w:space="0"/>
              <w:bottom w:val="single" w:color="auto" w:sz="4" w:space="0"/>
              <w:right w:val="single" w:color="auto" w:sz="4" w:space="0"/>
            </w:tcBorders>
            <w:vAlign w:val="center"/>
          </w:tcPr>
          <w:p w14:paraId="6DEC03A2">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lang w:eastAsia="zh-CN"/>
              </w:rPr>
              <w:t>标的</w:t>
            </w:r>
            <w:r>
              <w:rPr>
                <w:rFonts w:ascii="宋体" w:hAnsi="宋体" w:cs="仿宋_GB2312"/>
                <w:color w:val="auto"/>
                <w:sz w:val="24"/>
                <w:highlight w:val="none"/>
              </w:rPr>
              <w:t>名称</w:t>
            </w:r>
          </w:p>
        </w:tc>
        <w:tc>
          <w:tcPr>
            <w:tcW w:w="1102" w:type="dxa"/>
            <w:tcBorders>
              <w:top w:val="single" w:color="auto" w:sz="4" w:space="0"/>
              <w:left w:val="single" w:color="auto" w:sz="4" w:space="0"/>
              <w:bottom w:val="single" w:color="auto" w:sz="4" w:space="0"/>
              <w:right w:val="single" w:color="auto" w:sz="4" w:space="0"/>
            </w:tcBorders>
            <w:vAlign w:val="center"/>
          </w:tcPr>
          <w:p w14:paraId="05896629">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rPr>
              <w:t>数量</w:t>
            </w:r>
          </w:p>
        </w:tc>
        <w:tc>
          <w:tcPr>
            <w:tcW w:w="1389" w:type="dxa"/>
            <w:tcBorders>
              <w:top w:val="single" w:color="auto" w:sz="4" w:space="0"/>
              <w:left w:val="single" w:color="auto" w:sz="4" w:space="0"/>
              <w:bottom w:val="single" w:color="auto" w:sz="4" w:space="0"/>
              <w:right w:val="single" w:color="auto" w:sz="4" w:space="0"/>
            </w:tcBorders>
            <w:vAlign w:val="center"/>
          </w:tcPr>
          <w:p w14:paraId="477782EE">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rPr>
              <w:t>单价</w:t>
            </w:r>
          </w:p>
        </w:tc>
        <w:tc>
          <w:tcPr>
            <w:tcW w:w="1595" w:type="dxa"/>
            <w:tcBorders>
              <w:top w:val="single" w:color="auto" w:sz="4" w:space="0"/>
              <w:left w:val="single" w:color="auto" w:sz="4" w:space="0"/>
              <w:bottom w:val="single" w:color="auto" w:sz="4" w:space="0"/>
              <w:right w:val="single" w:color="auto" w:sz="4" w:space="0"/>
            </w:tcBorders>
            <w:vAlign w:val="center"/>
          </w:tcPr>
          <w:p w14:paraId="4F6B00D3">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rPr>
              <w:t>单项合计</w:t>
            </w:r>
            <w:r>
              <w:rPr>
                <w:rFonts w:ascii="宋体" w:hAnsi="宋体" w:cs="仿宋_GB2312"/>
                <w:color w:val="auto"/>
                <w:sz w:val="24"/>
                <w:highlight w:val="none"/>
              </w:rPr>
              <w:t>(</w:t>
            </w:r>
            <w:r>
              <w:rPr>
                <w:rFonts w:hint="eastAsia" w:ascii="宋体" w:hAnsi="宋体" w:cs="仿宋_GB2312"/>
                <w:color w:val="auto"/>
                <w:sz w:val="24"/>
                <w:highlight w:val="none"/>
              </w:rPr>
              <w:t>元</w:t>
            </w:r>
            <w:r>
              <w:rPr>
                <w:rFonts w:ascii="宋体" w:hAnsi="宋体" w:cs="仿宋_GB2312"/>
                <w:color w:val="auto"/>
                <w:sz w:val="24"/>
                <w:highlight w:val="none"/>
              </w:rPr>
              <w:t>)</w:t>
            </w:r>
          </w:p>
        </w:tc>
        <w:tc>
          <w:tcPr>
            <w:tcW w:w="1020" w:type="dxa"/>
            <w:tcBorders>
              <w:top w:val="single" w:color="auto" w:sz="4" w:space="0"/>
              <w:left w:val="single" w:color="auto" w:sz="4" w:space="0"/>
              <w:bottom w:val="single" w:color="auto" w:sz="4" w:space="0"/>
              <w:right w:val="single" w:color="auto" w:sz="4" w:space="0"/>
            </w:tcBorders>
            <w:vAlign w:val="center"/>
          </w:tcPr>
          <w:p w14:paraId="6FBF0A19">
            <w:pPr>
              <w:spacing w:line="360" w:lineRule="auto"/>
              <w:contextualSpacing/>
              <w:jc w:val="center"/>
              <w:rPr>
                <w:rFonts w:ascii="宋体" w:hAnsi="宋体" w:cs="仿宋_GB2312"/>
                <w:color w:val="auto"/>
                <w:sz w:val="24"/>
                <w:highlight w:val="none"/>
              </w:rPr>
            </w:pPr>
            <w:r>
              <w:rPr>
                <w:rFonts w:ascii="宋体" w:hAnsi="宋体" w:cs="仿宋_GB2312"/>
                <w:color w:val="auto"/>
                <w:sz w:val="24"/>
                <w:highlight w:val="none"/>
              </w:rPr>
              <w:t>备注</w:t>
            </w:r>
          </w:p>
        </w:tc>
      </w:tr>
      <w:tr w14:paraId="31ACC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00" w:type="dxa"/>
            <w:tcBorders>
              <w:top w:val="single" w:color="auto" w:sz="4" w:space="0"/>
              <w:left w:val="single" w:color="auto" w:sz="4" w:space="0"/>
              <w:bottom w:val="single" w:color="auto" w:sz="4" w:space="0"/>
              <w:right w:val="single" w:color="auto" w:sz="4" w:space="0"/>
            </w:tcBorders>
            <w:vAlign w:val="center"/>
          </w:tcPr>
          <w:p w14:paraId="3B053DDA">
            <w:pPr>
              <w:spacing w:line="360" w:lineRule="auto"/>
              <w:contextualSpacing/>
              <w:jc w:val="center"/>
              <w:rPr>
                <w:rFonts w:ascii="宋体" w:hAnsi="宋体" w:cs="仿宋_GB2312"/>
                <w:color w:val="auto"/>
                <w:sz w:val="24"/>
                <w:highlight w:val="none"/>
              </w:rPr>
            </w:pPr>
            <w:r>
              <w:rPr>
                <w:rFonts w:ascii="宋体" w:hAnsi="宋体" w:cs="仿宋_GB2312"/>
                <w:color w:val="auto"/>
                <w:sz w:val="24"/>
                <w:highlight w:val="none"/>
              </w:rPr>
              <w:t>1</w:t>
            </w:r>
          </w:p>
        </w:tc>
        <w:tc>
          <w:tcPr>
            <w:tcW w:w="3257" w:type="dxa"/>
            <w:tcBorders>
              <w:top w:val="single" w:color="auto" w:sz="4" w:space="0"/>
              <w:left w:val="single" w:color="auto" w:sz="4" w:space="0"/>
              <w:bottom w:val="single" w:color="auto" w:sz="4" w:space="0"/>
              <w:right w:val="single" w:color="auto" w:sz="4" w:space="0"/>
            </w:tcBorders>
            <w:vAlign w:val="center"/>
          </w:tcPr>
          <w:p w14:paraId="21948B4C">
            <w:pPr>
              <w:spacing w:line="360" w:lineRule="auto"/>
              <w:contextualSpacing/>
              <w:jc w:val="center"/>
              <w:rPr>
                <w:rFonts w:ascii="宋体" w:hAnsi="宋体" w:cs="仿宋_GB2312"/>
                <w:color w:val="auto"/>
                <w:sz w:val="24"/>
                <w:highlight w:val="none"/>
              </w:rPr>
            </w:pPr>
          </w:p>
        </w:tc>
        <w:tc>
          <w:tcPr>
            <w:tcW w:w="1102" w:type="dxa"/>
            <w:tcBorders>
              <w:top w:val="single" w:color="auto" w:sz="4" w:space="0"/>
              <w:left w:val="single" w:color="auto" w:sz="4" w:space="0"/>
              <w:bottom w:val="single" w:color="auto" w:sz="4" w:space="0"/>
              <w:right w:val="single" w:color="auto" w:sz="4" w:space="0"/>
            </w:tcBorders>
            <w:vAlign w:val="center"/>
          </w:tcPr>
          <w:p w14:paraId="76E0F934">
            <w:pPr>
              <w:spacing w:line="360" w:lineRule="auto"/>
              <w:contextualSpacing/>
              <w:rPr>
                <w:rFonts w:ascii="宋体" w:hAnsi="宋体" w:cs="仿宋_GB2312"/>
                <w:color w:val="auto"/>
                <w:sz w:val="24"/>
                <w:highlight w:val="none"/>
              </w:rPr>
            </w:pPr>
          </w:p>
        </w:tc>
        <w:tc>
          <w:tcPr>
            <w:tcW w:w="1389" w:type="dxa"/>
            <w:tcBorders>
              <w:top w:val="single" w:color="auto" w:sz="4" w:space="0"/>
              <w:left w:val="single" w:color="auto" w:sz="4" w:space="0"/>
              <w:bottom w:val="single" w:color="auto" w:sz="4" w:space="0"/>
              <w:right w:val="single" w:color="auto" w:sz="4" w:space="0"/>
            </w:tcBorders>
          </w:tcPr>
          <w:p w14:paraId="495A826A">
            <w:pPr>
              <w:spacing w:line="360" w:lineRule="auto"/>
              <w:contextualSpacing/>
              <w:rPr>
                <w:rFonts w:ascii="宋体" w:hAnsi="宋体" w:cs="仿宋_GB2312"/>
                <w:color w:val="auto"/>
                <w:sz w:val="24"/>
                <w:highlight w:val="none"/>
              </w:rPr>
            </w:pPr>
          </w:p>
        </w:tc>
        <w:tc>
          <w:tcPr>
            <w:tcW w:w="1595" w:type="dxa"/>
            <w:tcBorders>
              <w:top w:val="single" w:color="auto" w:sz="4" w:space="0"/>
              <w:left w:val="single" w:color="auto" w:sz="4" w:space="0"/>
              <w:bottom w:val="single" w:color="auto" w:sz="4" w:space="0"/>
              <w:right w:val="single" w:color="auto" w:sz="4" w:space="0"/>
            </w:tcBorders>
          </w:tcPr>
          <w:p w14:paraId="60DDF543">
            <w:pPr>
              <w:spacing w:line="360" w:lineRule="auto"/>
              <w:contextualSpacing/>
              <w:rPr>
                <w:rFonts w:ascii="宋体" w:hAnsi="宋体" w:cs="仿宋_GB2312"/>
                <w:color w:val="auto"/>
                <w:sz w:val="24"/>
                <w:highlight w:val="none"/>
              </w:rPr>
            </w:pPr>
          </w:p>
        </w:tc>
        <w:tc>
          <w:tcPr>
            <w:tcW w:w="1020" w:type="dxa"/>
            <w:tcBorders>
              <w:top w:val="single" w:color="auto" w:sz="4" w:space="0"/>
              <w:left w:val="single" w:color="auto" w:sz="4" w:space="0"/>
              <w:bottom w:val="single" w:color="auto" w:sz="4" w:space="0"/>
              <w:right w:val="single" w:color="auto" w:sz="4" w:space="0"/>
            </w:tcBorders>
            <w:vAlign w:val="center"/>
          </w:tcPr>
          <w:p w14:paraId="0A40E7B9">
            <w:pPr>
              <w:spacing w:line="360" w:lineRule="auto"/>
              <w:contextualSpacing/>
              <w:rPr>
                <w:rFonts w:ascii="宋体" w:hAnsi="宋体" w:cs="仿宋_GB2312"/>
                <w:color w:val="auto"/>
                <w:sz w:val="24"/>
                <w:highlight w:val="none"/>
              </w:rPr>
            </w:pPr>
          </w:p>
        </w:tc>
      </w:tr>
      <w:tr w14:paraId="4CF8D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00" w:type="dxa"/>
            <w:tcBorders>
              <w:top w:val="single" w:color="auto" w:sz="4" w:space="0"/>
              <w:left w:val="single" w:color="auto" w:sz="4" w:space="0"/>
              <w:bottom w:val="single" w:color="auto" w:sz="4" w:space="0"/>
              <w:right w:val="single" w:color="auto" w:sz="4" w:space="0"/>
            </w:tcBorders>
            <w:vAlign w:val="center"/>
          </w:tcPr>
          <w:p w14:paraId="08F08991">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rPr>
              <w:t>2</w:t>
            </w:r>
          </w:p>
        </w:tc>
        <w:tc>
          <w:tcPr>
            <w:tcW w:w="3257" w:type="dxa"/>
            <w:tcBorders>
              <w:top w:val="single" w:color="auto" w:sz="4" w:space="0"/>
              <w:left w:val="single" w:color="auto" w:sz="4" w:space="0"/>
              <w:bottom w:val="single" w:color="auto" w:sz="4" w:space="0"/>
              <w:right w:val="single" w:color="auto" w:sz="4" w:space="0"/>
            </w:tcBorders>
            <w:vAlign w:val="center"/>
          </w:tcPr>
          <w:p w14:paraId="2C336B7C">
            <w:pPr>
              <w:spacing w:line="360" w:lineRule="auto"/>
              <w:contextualSpacing/>
              <w:jc w:val="center"/>
              <w:rPr>
                <w:rFonts w:ascii="宋体" w:hAnsi="宋体" w:cs="仿宋_GB2312"/>
                <w:color w:val="auto"/>
                <w:sz w:val="24"/>
                <w:highlight w:val="none"/>
              </w:rPr>
            </w:pPr>
          </w:p>
        </w:tc>
        <w:tc>
          <w:tcPr>
            <w:tcW w:w="1102" w:type="dxa"/>
            <w:tcBorders>
              <w:top w:val="single" w:color="auto" w:sz="4" w:space="0"/>
              <w:left w:val="single" w:color="auto" w:sz="4" w:space="0"/>
              <w:bottom w:val="single" w:color="auto" w:sz="4" w:space="0"/>
              <w:right w:val="single" w:color="auto" w:sz="4" w:space="0"/>
            </w:tcBorders>
            <w:vAlign w:val="center"/>
          </w:tcPr>
          <w:p w14:paraId="0B8967D8">
            <w:pPr>
              <w:spacing w:line="360" w:lineRule="auto"/>
              <w:contextualSpacing/>
              <w:rPr>
                <w:rFonts w:ascii="宋体" w:hAnsi="宋体" w:cs="仿宋_GB2312"/>
                <w:color w:val="auto"/>
                <w:sz w:val="24"/>
                <w:highlight w:val="none"/>
              </w:rPr>
            </w:pPr>
          </w:p>
        </w:tc>
        <w:tc>
          <w:tcPr>
            <w:tcW w:w="1389" w:type="dxa"/>
            <w:tcBorders>
              <w:top w:val="single" w:color="auto" w:sz="4" w:space="0"/>
              <w:left w:val="single" w:color="auto" w:sz="4" w:space="0"/>
              <w:bottom w:val="single" w:color="auto" w:sz="4" w:space="0"/>
              <w:right w:val="single" w:color="auto" w:sz="4" w:space="0"/>
            </w:tcBorders>
          </w:tcPr>
          <w:p w14:paraId="0362FFBF">
            <w:pPr>
              <w:spacing w:line="360" w:lineRule="auto"/>
              <w:contextualSpacing/>
              <w:rPr>
                <w:rFonts w:ascii="宋体" w:hAnsi="宋体" w:cs="仿宋_GB2312"/>
                <w:color w:val="auto"/>
                <w:sz w:val="24"/>
                <w:highlight w:val="none"/>
              </w:rPr>
            </w:pPr>
          </w:p>
        </w:tc>
        <w:tc>
          <w:tcPr>
            <w:tcW w:w="1595" w:type="dxa"/>
            <w:tcBorders>
              <w:top w:val="single" w:color="auto" w:sz="4" w:space="0"/>
              <w:left w:val="single" w:color="auto" w:sz="4" w:space="0"/>
              <w:bottom w:val="single" w:color="auto" w:sz="4" w:space="0"/>
              <w:right w:val="single" w:color="auto" w:sz="4" w:space="0"/>
            </w:tcBorders>
          </w:tcPr>
          <w:p w14:paraId="4F560C10">
            <w:pPr>
              <w:spacing w:line="360" w:lineRule="auto"/>
              <w:contextualSpacing/>
              <w:rPr>
                <w:rFonts w:ascii="宋体" w:hAnsi="宋体" w:cs="仿宋_GB2312"/>
                <w:color w:val="auto"/>
                <w:sz w:val="24"/>
                <w:highlight w:val="none"/>
              </w:rPr>
            </w:pPr>
          </w:p>
        </w:tc>
        <w:tc>
          <w:tcPr>
            <w:tcW w:w="1020" w:type="dxa"/>
            <w:tcBorders>
              <w:top w:val="single" w:color="auto" w:sz="4" w:space="0"/>
              <w:left w:val="single" w:color="auto" w:sz="4" w:space="0"/>
              <w:bottom w:val="single" w:color="auto" w:sz="4" w:space="0"/>
              <w:right w:val="single" w:color="auto" w:sz="4" w:space="0"/>
            </w:tcBorders>
            <w:vAlign w:val="center"/>
          </w:tcPr>
          <w:p w14:paraId="2FADBAA8">
            <w:pPr>
              <w:spacing w:line="360" w:lineRule="auto"/>
              <w:contextualSpacing/>
              <w:rPr>
                <w:rFonts w:ascii="宋体" w:hAnsi="宋体" w:cs="仿宋_GB2312"/>
                <w:color w:val="auto"/>
                <w:sz w:val="24"/>
                <w:highlight w:val="none"/>
              </w:rPr>
            </w:pPr>
          </w:p>
        </w:tc>
      </w:tr>
      <w:tr w14:paraId="12751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00" w:type="dxa"/>
            <w:tcBorders>
              <w:top w:val="single" w:color="auto" w:sz="4" w:space="0"/>
              <w:left w:val="single" w:color="auto" w:sz="4" w:space="0"/>
              <w:bottom w:val="single" w:color="auto" w:sz="4" w:space="0"/>
              <w:right w:val="single" w:color="auto" w:sz="4" w:space="0"/>
            </w:tcBorders>
            <w:vAlign w:val="center"/>
          </w:tcPr>
          <w:p w14:paraId="27CFDF78">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rPr>
              <w:t>3</w:t>
            </w:r>
          </w:p>
        </w:tc>
        <w:tc>
          <w:tcPr>
            <w:tcW w:w="3257" w:type="dxa"/>
            <w:tcBorders>
              <w:top w:val="single" w:color="auto" w:sz="4" w:space="0"/>
              <w:left w:val="single" w:color="auto" w:sz="4" w:space="0"/>
              <w:bottom w:val="single" w:color="auto" w:sz="4" w:space="0"/>
              <w:right w:val="single" w:color="auto" w:sz="4" w:space="0"/>
            </w:tcBorders>
            <w:vAlign w:val="center"/>
          </w:tcPr>
          <w:p w14:paraId="223DEAD8">
            <w:pPr>
              <w:spacing w:line="360" w:lineRule="auto"/>
              <w:contextualSpacing/>
              <w:jc w:val="center"/>
              <w:rPr>
                <w:rFonts w:ascii="宋体" w:hAnsi="宋体" w:cs="仿宋_GB2312"/>
                <w:color w:val="auto"/>
                <w:sz w:val="24"/>
                <w:highlight w:val="none"/>
              </w:rPr>
            </w:pPr>
          </w:p>
        </w:tc>
        <w:tc>
          <w:tcPr>
            <w:tcW w:w="1102" w:type="dxa"/>
            <w:tcBorders>
              <w:top w:val="single" w:color="auto" w:sz="4" w:space="0"/>
              <w:left w:val="single" w:color="auto" w:sz="4" w:space="0"/>
              <w:bottom w:val="single" w:color="auto" w:sz="4" w:space="0"/>
              <w:right w:val="single" w:color="auto" w:sz="4" w:space="0"/>
            </w:tcBorders>
            <w:vAlign w:val="center"/>
          </w:tcPr>
          <w:p w14:paraId="57E81321">
            <w:pPr>
              <w:spacing w:line="360" w:lineRule="auto"/>
              <w:contextualSpacing/>
              <w:rPr>
                <w:rFonts w:ascii="宋体" w:hAnsi="宋体" w:cs="仿宋_GB2312"/>
                <w:color w:val="auto"/>
                <w:sz w:val="24"/>
                <w:highlight w:val="none"/>
              </w:rPr>
            </w:pPr>
          </w:p>
        </w:tc>
        <w:tc>
          <w:tcPr>
            <w:tcW w:w="1389" w:type="dxa"/>
            <w:tcBorders>
              <w:top w:val="single" w:color="auto" w:sz="4" w:space="0"/>
              <w:left w:val="single" w:color="auto" w:sz="4" w:space="0"/>
              <w:bottom w:val="single" w:color="auto" w:sz="4" w:space="0"/>
              <w:right w:val="single" w:color="auto" w:sz="4" w:space="0"/>
            </w:tcBorders>
          </w:tcPr>
          <w:p w14:paraId="57CDB837">
            <w:pPr>
              <w:spacing w:line="360" w:lineRule="auto"/>
              <w:contextualSpacing/>
              <w:rPr>
                <w:rFonts w:ascii="宋体" w:hAnsi="宋体" w:cs="仿宋_GB2312"/>
                <w:color w:val="auto"/>
                <w:sz w:val="24"/>
                <w:highlight w:val="none"/>
              </w:rPr>
            </w:pPr>
          </w:p>
        </w:tc>
        <w:tc>
          <w:tcPr>
            <w:tcW w:w="1595" w:type="dxa"/>
            <w:tcBorders>
              <w:top w:val="single" w:color="auto" w:sz="4" w:space="0"/>
              <w:left w:val="single" w:color="auto" w:sz="4" w:space="0"/>
              <w:bottom w:val="single" w:color="auto" w:sz="4" w:space="0"/>
              <w:right w:val="single" w:color="auto" w:sz="4" w:space="0"/>
            </w:tcBorders>
          </w:tcPr>
          <w:p w14:paraId="61913D77">
            <w:pPr>
              <w:spacing w:line="360" w:lineRule="auto"/>
              <w:contextualSpacing/>
              <w:rPr>
                <w:rFonts w:ascii="宋体" w:hAnsi="宋体" w:cs="仿宋_GB2312"/>
                <w:color w:val="auto"/>
                <w:sz w:val="24"/>
                <w:highlight w:val="none"/>
              </w:rPr>
            </w:pPr>
          </w:p>
        </w:tc>
        <w:tc>
          <w:tcPr>
            <w:tcW w:w="1020" w:type="dxa"/>
            <w:tcBorders>
              <w:top w:val="single" w:color="auto" w:sz="4" w:space="0"/>
              <w:left w:val="single" w:color="auto" w:sz="4" w:space="0"/>
              <w:bottom w:val="single" w:color="auto" w:sz="4" w:space="0"/>
              <w:right w:val="single" w:color="auto" w:sz="4" w:space="0"/>
            </w:tcBorders>
            <w:vAlign w:val="center"/>
          </w:tcPr>
          <w:p w14:paraId="7B33B3AC">
            <w:pPr>
              <w:spacing w:line="360" w:lineRule="auto"/>
              <w:contextualSpacing/>
              <w:rPr>
                <w:rFonts w:ascii="宋体" w:hAnsi="宋体" w:cs="仿宋_GB2312"/>
                <w:color w:val="auto"/>
                <w:sz w:val="24"/>
                <w:highlight w:val="none"/>
              </w:rPr>
            </w:pPr>
          </w:p>
        </w:tc>
      </w:tr>
      <w:tr w14:paraId="63BFE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00" w:type="dxa"/>
            <w:tcBorders>
              <w:top w:val="single" w:color="auto" w:sz="4" w:space="0"/>
              <w:left w:val="single" w:color="auto" w:sz="4" w:space="0"/>
              <w:bottom w:val="single" w:color="auto" w:sz="4" w:space="0"/>
              <w:right w:val="single" w:color="auto" w:sz="4" w:space="0"/>
            </w:tcBorders>
            <w:vAlign w:val="center"/>
          </w:tcPr>
          <w:p w14:paraId="69343400">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rPr>
              <w:t>4</w:t>
            </w:r>
          </w:p>
        </w:tc>
        <w:tc>
          <w:tcPr>
            <w:tcW w:w="3257" w:type="dxa"/>
            <w:tcBorders>
              <w:top w:val="single" w:color="auto" w:sz="4" w:space="0"/>
              <w:left w:val="single" w:color="auto" w:sz="4" w:space="0"/>
              <w:bottom w:val="single" w:color="auto" w:sz="4" w:space="0"/>
              <w:right w:val="single" w:color="auto" w:sz="4" w:space="0"/>
            </w:tcBorders>
            <w:vAlign w:val="center"/>
          </w:tcPr>
          <w:p w14:paraId="33C31D37">
            <w:pPr>
              <w:spacing w:line="360" w:lineRule="auto"/>
              <w:contextualSpacing/>
              <w:jc w:val="center"/>
              <w:rPr>
                <w:rFonts w:ascii="宋体" w:hAnsi="宋体" w:cs="仿宋_GB2312"/>
                <w:color w:val="auto"/>
                <w:sz w:val="24"/>
                <w:highlight w:val="none"/>
              </w:rPr>
            </w:pPr>
          </w:p>
        </w:tc>
        <w:tc>
          <w:tcPr>
            <w:tcW w:w="1102" w:type="dxa"/>
            <w:tcBorders>
              <w:top w:val="single" w:color="auto" w:sz="4" w:space="0"/>
              <w:left w:val="single" w:color="auto" w:sz="4" w:space="0"/>
              <w:bottom w:val="single" w:color="auto" w:sz="4" w:space="0"/>
              <w:right w:val="single" w:color="auto" w:sz="4" w:space="0"/>
            </w:tcBorders>
            <w:vAlign w:val="center"/>
          </w:tcPr>
          <w:p w14:paraId="7D99C618">
            <w:pPr>
              <w:spacing w:line="360" w:lineRule="auto"/>
              <w:contextualSpacing/>
              <w:rPr>
                <w:rFonts w:ascii="宋体" w:hAnsi="宋体" w:cs="仿宋_GB2312"/>
                <w:color w:val="auto"/>
                <w:sz w:val="24"/>
                <w:highlight w:val="none"/>
              </w:rPr>
            </w:pPr>
          </w:p>
        </w:tc>
        <w:tc>
          <w:tcPr>
            <w:tcW w:w="1389" w:type="dxa"/>
            <w:tcBorders>
              <w:top w:val="single" w:color="auto" w:sz="4" w:space="0"/>
              <w:left w:val="single" w:color="auto" w:sz="4" w:space="0"/>
              <w:bottom w:val="single" w:color="auto" w:sz="4" w:space="0"/>
              <w:right w:val="single" w:color="auto" w:sz="4" w:space="0"/>
            </w:tcBorders>
          </w:tcPr>
          <w:p w14:paraId="77F8D157">
            <w:pPr>
              <w:spacing w:line="360" w:lineRule="auto"/>
              <w:contextualSpacing/>
              <w:rPr>
                <w:rFonts w:ascii="宋体" w:hAnsi="宋体" w:cs="仿宋_GB2312"/>
                <w:color w:val="auto"/>
                <w:sz w:val="24"/>
                <w:highlight w:val="none"/>
              </w:rPr>
            </w:pPr>
          </w:p>
        </w:tc>
        <w:tc>
          <w:tcPr>
            <w:tcW w:w="1595" w:type="dxa"/>
            <w:tcBorders>
              <w:top w:val="single" w:color="auto" w:sz="4" w:space="0"/>
              <w:left w:val="single" w:color="auto" w:sz="4" w:space="0"/>
              <w:bottom w:val="single" w:color="auto" w:sz="4" w:space="0"/>
              <w:right w:val="single" w:color="auto" w:sz="4" w:space="0"/>
            </w:tcBorders>
          </w:tcPr>
          <w:p w14:paraId="020A0414">
            <w:pPr>
              <w:spacing w:line="360" w:lineRule="auto"/>
              <w:contextualSpacing/>
              <w:rPr>
                <w:rFonts w:ascii="宋体" w:hAnsi="宋体" w:cs="仿宋_GB2312"/>
                <w:color w:val="auto"/>
                <w:sz w:val="24"/>
                <w:highlight w:val="none"/>
              </w:rPr>
            </w:pPr>
          </w:p>
        </w:tc>
        <w:tc>
          <w:tcPr>
            <w:tcW w:w="1020" w:type="dxa"/>
            <w:tcBorders>
              <w:top w:val="single" w:color="auto" w:sz="4" w:space="0"/>
              <w:left w:val="single" w:color="auto" w:sz="4" w:space="0"/>
              <w:bottom w:val="single" w:color="auto" w:sz="4" w:space="0"/>
              <w:right w:val="single" w:color="auto" w:sz="4" w:space="0"/>
            </w:tcBorders>
            <w:vAlign w:val="center"/>
          </w:tcPr>
          <w:p w14:paraId="65FFFEE2">
            <w:pPr>
              <w:spacing w:line="360" w:lineRule="auto"/>
              <w:contextualSpacing/>
              <w:rPr>
                <w:rFonts w:ascii="宋体" w:hAnsi="宋体" w:cs="仿宋_GB2312"/>
                <w:color w:val="auto"/>
                <w:sz w:val="24"/>
                <w:highlight w:val="none"/>
              </w:rPr>
            </w:pPr>
          </w:p>
        </w:tc>
      </w:tr>
      <w:tr w14:paraId="1BEBA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00" w:type="dxa"/>
            <w:tcBorders>
              <w:top w:val="single" w:color="auto" w:sz="4" w:space="0"/>
              <w:left w:val="single" w:color="auto" w:sz="4" w:space="0"/>
              <w:bottom w:val="single" w:color="auto" w:sz="4" w:space="0"/>
              <w:right w:val="single" w:color="auto" w:sz="4" w:space="0"/>
            </w:tcBorders>
            <w:vAlign w:val="center"/>
          </w:tcPr>
          <w:p w14:paraId="09523C82">
            <w:pPr>
              <w:spacing w:line="360" w:lineRule="auto"/>
              <w:contextualSpacing/>
              <w:jc w:val="center"/>
              <w:rPr>
                <w:rFonts w:hint="eastAsia" w:ascii="宋体" w:hAnsi="宋体" w:eastAsia="宋体" w:cs="仿宋_GB2312"/>
                <w:color w:val="auto"/>
                <w:sz w:val="24"/>
                <w:highlight w:val="none"/>
                <w:lang w:val="en-US" w:eastAsia="zh-CN"/>
              </w:rPr>
            </w:pPr>
            <w:r>
              <w:rPr>
                <w:rFonts w:hint="eastAsia" w:ascii="宋体" w:hAnsi="宋体" w:cs="仿宋_GB2312"/>
                <w:color w:val="auto"/>
                <w:sz w:val="24"/>
                <w:highlight w:val="none"/>
                <w:lang w:val="en-US" w:eastAsia="zh-CN"/>
              </w:rPr>
              <w:t>5</w:t>
            </w:r>
          </w:p>
        </w:tc>
        <w:tc>
          <w:tcPr>
            <w:tcW w:w="3257" w:type="dxa"/>
            <w:tcBorders>
              <w:top w:val="single" w:color="auto" w:sz="4" w:space="0"/>
              <w:left w:val="single" w:color="auto" w:sz="4" w:space="0"/>
              <w:bottom w:val="single" w:color="auto" w:sz="4" w:space="0"/>
              <w:right w:val="single" w:color="auto" w:sz="4" w:space="0"/>
            </w:tcBorders>
            <w:vAlign w:val="center"/>
          </w:tcPr>
          <w:p w14:paraId="1CBBF45F">
            <w:pPr>
              <w:spacing w:line="360" w:lineRule="auto"/>
              <w:contextualSpacing/>
              <w:jc w:val="center"/>
              <w:rPr>
                <w:rFonts w:ascii="宋体" w:hAnsi="宋体" w:cs="仿宋_GB2312"/>
                <w:color w:val="auto"/>
                <w:sz w:val="24"/>
                <w:highlight w:val="none"/>
              </w:rPr>
            </w:pPr>
          </w:p>
        </w:tc>
        <w:tc>
          <w:tcPr>
            <w:tcW w:w="1102" w:type="dxa"/>
            <w:tcBorders>
              <w:top w:val="single" w:color="auto" w:sz="4" w:space="0"/>
              <w:left w:val="single" w:color="auto" w:sz="4" w:space="0"/>
              <w:bottom w:val="single" w:color="auto" w:sz="4" w:space="0"/>
              <w:right w:val="single" w:color="auto" w:sz="4" w:space="0"/>
            </w:tcBorders>
            <w:vAlign w:val="center"/>
          </w:tcPr>
          <w:p w14:paraId="7C72A048">
            <w:pPr>
              <w:spacing w:line="360" w:lineRule="auto"/>
              <w:contextualSpacing/>
              <w:rPr>
                <w:rFonts w:ascii="宋体" w:hAnsi="宋体" w:cs="仿宋_GB2312"/>
                <w:color w:val="auto"/>
                <w:sz w:val="24"/>
                <w:highlight w:val="none"/>
              </w:rPr>
            </w:pPr>
          </w:p>
        </w:tc>
        <w:tc>
          <w:tcPr>
            <w:tcW w:w="1389" w:type="dxa"/>
            <w:tcBorders>
              <w:top w:val="single" w:color="auto" w:sz="4" w:space="0"/>
              <w:left w:val="single" w:color="auto" w:sz="4" w:space="0"/>
              <w:bottom w:val="single" w:color="auto" w:sz="4" w:space="0"/>
              <w:right w:val="single" w:color="auto" w:sz="4" w:space="0"/>
            </w:tcBorders>
          </w:tcPr>
          <w:p w14:paraId="45F440F8">
            <w:pPr>
              <w:spacing w:line="360" w:lineRule="auto"/>
              <w:contextualSpacing/>
              <w:rPr>
                <w:rFonts w:ascii="宋体" w:hAnsi="宋体" w:cs="仿宋_GB2312"/>
                <w:color w:val="auto"/>
                <w:sz w:val="24"/>
                <w:highlight w:val="none"/>
              </w:rPr>
            </w:pPr>
          </w:p>
        </w:tc>
        <w:tc>
          <w:tcPr>
            <w:tcW w:w="1595" w:type="dxa"/>
            <w:tcBorders>
              <w:top w:val="single" w:color="auto" w:sz="4" w:space="0"/>
              <w:left w:val="single" w:color="auto" w:sz="4" w:space="0"/>
              <w:bottom w:val="single" w:color="auto" w:sz="4" w:space="0"/>
              <w:right w:val="single" w:color="auto" w:sz="4" w:space="0"/>
            </w:tcBorders>
          </w:tcPr>
          <w:p w14:paraId="23013B6B">
            <w:pPr>
              <w:spacing w:line="360" w:lineRule="auto"/>
              <w:contextualSpacing/>
              <w:rPr>
                <w:rFonts w:ascii="宋体" w:hAnsi="宋体" w:cs="仿宋_GB2312"/>
                <w:color w:val="auto"/>
                <w:sz w:val="24"/>
                <w:highlight w:val="none"/>
              </w:rPr>
            </w:pPr>
          </w:p>
        </w:tc>
        <w:tc>
          <w:tcPr>
            <w:tcW w:w="1020" w:type="dxa"/>
            <w:tcBorders>
              <w:top w:val="single" w:color="auto" w:sz="4" w:space="0"/>
              <w:left w:val="single" w:color="auto" w:sz="4" w:space="0"/>
              <w:bottom w:val="single" w:color="auto" w:sz="4" w:space="0"/>
              <w:right w:val="single" w:color="auto" w:sz="4" w:space="0"/>
            </w:tcBorders>
            <w:vAlign w:val="center"/>
          </w:tcPr>
          <w:p w14:paraId="235F3113">
            <w:pPr>
              <w:spacing w:line="360" w:lineRule="auto"/>
              <w:contextualSpacing/>
              <w:rPr>
                <w:rFonts w:ascii="宋体" w:hAnsi="宋体" w:cs="仿宋_GB2312"/>
                <w:color w:val="auto"/>
                <w:sz w:val="24"/>
                <w:highlight w:val="none"/>
              </w:rPr>
            </w:pPr>
          </w:p>
        </w:tc>
      </w:tr>
      <w:tr w14:paraId="52F09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00" w:type="dxa"/>
            <w:tcBorders>
              <w:top w:val="single" w:color="auto" w:sz="4" w:space="0"/>
              <w:left w:val="single" w:color="auto" w:sz="4" w:space="0"/>
              <w:bottom w:val="single" w:color="auto" w:sz="4" w:space="0"/>
              <w:right w:val="single" w:color="auto" w:sz="4" w:space="0"/>
            </w:tcBorders>
            <w:vAlign w:val="center"/>
          </w:tcPr>
          <w:p w14:paraId="0110EA6C">
            <w:pPr>
              <w:spacing w:line="360" w:lineRule="auto"/>
              <w:contextualSpacing/>
              <w:jc w:val="center"/>
              <w:rPr>
                <w:rFonts w:hint="eastAsia" w:ascii="宋体" w:hAnsi="宋体" w:eastAsia="宋体" w:cs="仿宋_GB2312"/>
                <w:color w:val="auto"/>
                <w:sz w:val="24"/>
                <w:highlight w:val="none"/>
                <w:lang w:val="en-US" w:eastAsia="zh-CN"/>
              </w:rPr>
            </w:pPr>
            <w:r>
              <w:rPr>
                <w:rFonts w:hint="eastAsia" w:ascii="宋体" w:hAnsi="宋体" w:cs="仿宋_GB2312"/>
                <w:color w:val="auto"/>
                <w:sz w:val="24"/>
                <w:highlight w:val="none"/>
                <w:lang w:val="en-US" w:eastAsia="zh-CN"/>
              </w:rPr>
              <w:t>6</w:t>
            </w:r>
          </w:p>
        </w:tc>
        <w:tc>
          <w:tcPr>
            <w:tcW w:w="3257" w:type="dxa"/>
            <w:tcBorders>
              <w:top w:val="single" w:color="auto" w:sz="4" w:space="0"/>
              <w:left w:val="single" w:color="auto" w:sz="4" w:space="0"/>
              <w:bottom w:val="single" w:color="auto" w:sz="4" w:space="0"/>
              <w:right w:val="single" w:color="auto" w:sz="4" w:space="0"/>
            </w:tcBorders>
            <w:vAlign w:val="center"/>
          </w:tcPr>
          <w:p w14:paraId="52A43095">
            <w:pPr>
              <w:spacing w:line="360" w:lineRule="auto"/>
              <w:contextualSpacing/>
              <w:jc w:val="center"/>
              <w:rPr>
                <w:rFonts w:ascii="宋体" w:hAnsi="宋体" w:cs="仿宋_GB2312"/>
                <w:color w:val="auto"/>
                <w:sz w:val="24"/>
                <w:highlight w:val="none"/>
              </w:rPr>
            </w:pPr>
          </w:p>
        </w:tc>
        <w:tc>
          <w:tcPr>
            <w:tcW w:w="1102" w:type="dxa"/>
            <w:tcBorders>
              <w:top w:val="single" w:color="auto" w:sz="4" w:space="0"/>
              <w:left w:val="single" w:color="auto" w:sz="4" w:space="0"/>
              <w:bottom w:val="single" w:color="auto" w:sz="4" w:space="0"/>
              <w:right w:val="single" w:color="auto" w:sz="4" w:space="0"/>
            </w:tcBorders>
            <w:vAlign w:val="center"/>
          </w:tcPr>
          <w:p w14:paraId="71A7748B">
            <w:pPr>
              <w:spacing w:line="360" w:lineRule="auto"/>
              <w:contextualSpacing/>
              <w:rPr>
                <w:rFonts w:ascii="宋体" w:hAnsi="宋体" w:cs="仿宋_GB2312"/>
                <w:color w:val="auto"/>
                <w:sz w:val="24"/>
                <w:highlight w:val="none"/>
              </w:rPr>
            </w:pPr>
          </w:p>
        </w:tc>
        <w:tc>
          <w:tcPr>
            <w:tcW w:w="1389" w:type="dxa"/>
            <w:tcBorders>
              <w:top w:val="single" w:color="auto" w:sz="4" w:space="0"/>
              <w:left w:val="single" w:color="auto" w:sz="4" w:space="0"/>
              <w:bottom w:val="single" w:color="auto" w:sz="4" w:space="0"/>
              <w:right w:val="single" w:color="auto" w:sz="4" w:space="0"/>
            </w:tcBorders>
          </w:tcPr>
          <w:p w14:paraId="30F27F02">
            <w:pPr>
              <w:spacing w:line="360" w:lineRule="auto"/>
              <w:contextualSpacing/>
              <w:rPr>
                <w:rFonts w:ascii="宋体" w:hAnsi="宋体" w:cs="仿宋_GB2312"/>
                <w:color w:val="auto"/>
                <w:sz w:val="24"/>
                <w:highlight w:val="none"/>
              </w:rPr>
            </w:pPr>
          </w:p>
        </w:tc>
        <w:tc>
          <w:tcPr>
            <w:tcW w:w="1595" w:type="dxa"/>
            <w:tcBorders>
              <w:top w:val="single" w:color="auto" w:sz="4" w:space="0"/>
              <w:left w:val="single" w:color="auto" w:sz="4" w:space="0"/>
              <w:bottom w:val="single" w:color="auto" w:sz="4" w:space="0"/>
              <w:right w:val="single" w:color="auto" w:sz="4" w:space="0"/>
            </w:tcBorders>
          </w:tcPr>
          <w:p w14:paraId="30CB5572">
            <w:pPr>
              <w:spacing w:line="360" w:lineRule="auto"/>
              <w:contextualSpacing/>
              <w:rPr>
                <w:rFonts w:ascii="宋体" w:hAnsi="宋体" w:cs="仿宋_GB2312"/>
                <w:color w:val="auto"/>
                <w:sz w:val="24"/>
                <w:highlight w:val="none"/>
              </w:rPr>
            </w:pPr>
          </w:p>
        </w:tc>
        <w:tc>
          <w:tcPr>
            <w:tcW w:w="1020" w:type="dxa"/>
            <w:tcBorders>
              <w:top w:val="single" w:color="auto" w:sz="4" w:space="0"/>
              <w:left w:val="single" w:color="auto" w:sz="4" w:space="0"/>
              <w:bottom w:val="single" w:color="auto" w:sz="4" w:space="0"/>
              <w:right w:val="single" w:color="auto" w:sz="4" w:space="0"/>
            </w:tcBorders>
            <w:vAlign w:val="center"/>
          </w:tcPr>
          <w:p w14:paraId="0FD4DEE3">
            <w:pPr>
              <w:spacing w:line="360" w:lineRule="auto"/>
              <w:contextualSpacing/>
              <w:rPr>
                <w:rFonts w:ascii="宋体" w:hAnsi="宋体" w:cs="仿宋_GB2312"/>
                <w:color w:val="auto"/>
                <w:sz w:val="24"/>
                <w:highlight w:val="none"/>
              </w:rPr>
            </w:pPr>
          </w:p>
        </w:tc>
      </w:tr>
      <w:tr w14:paraId="05032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9163" w:type="dxa"/>
            <w:gridSpan w:val="6"/>
            <w:tcBorders>
              <w:top w:val="single" w:color="auto" w:sz="4" w:space="0"/>
              <w:left w:val="single" w:color="auto" w:sz="4" w:space="0"/>
              <w:bottom w:val="single" w:color="auto" w:sz="4" w:space="0"/>
              <w:right w:val="single" w:color="auto" w:sz="4" w:space="0"/>
            </w:tcBorders>
          </w:tcPr>
          <w:p w14:paraId="4ED2684A">
            <w:pPr>
              <w:spacing w:line="360" w:lineRule="auto"/>
              <w:contextualSpacing/>
              <w:rPr>
                <w:rFonts w:ascii="宋体" w:hAnsi="宋体" w:cs="仿宋_GB2312"/>
                <w:color w:val="auto"/>
                <w:sz w:val="24"/>
                <w:highlight w:val="none"/>
              </w:rPr>
            </w:pPr>
            <w:r>
              <w:rPr>
                <w:rFonts w:hint="eastAsia" w:ascii="宋体" w:hAnsi="宋体" w:cs="仿宋_GB2312"/>
                <w:color w:val="auto"/>
                <w:sz w:val="24"/>
                <w:highlight w:val="none"/>
              </w:rPr>
              <w:t>合计金额大写：人民币</w:t>
            </w:r>
            <w:r>
              <w:rPr>
                <w:rFonts w:hint="eastAsia" w:ascii="宋体" w:hAnsi="宋体" w:cs="仿宋_GB2312"/>
                <w:color w:val="auto"/>
                <w:sz w:val="24"/>
                <w:highlight w:val="none"/>
                <w:u w:val="single"/>
              </w:rPr>
              <w:t xml:space="preserve">                                 （¥          ）</w:t>
            </w:r>
          </w:p>
        </w:tc>
      </w:tr>
    </w:tbl>
    <w:p w14:paraId="645E0A34">
      <w:pPr>
        <w:spacing w:line="360" w:lineRule="auto"/>
        <w:contextualSpacing/>
        <w:jc w:val="left"/>
        <w:rPr>
          <w:rFonts w:ascii="宋体" w:hAnsi="宋体" w:cs="仿宋_GB2312"/>
          <w:color w:val="auto"/>
          <w:sz w:val="24"/>
          <w:highlight w:val="none"/>
        </w:rPr>
      </w:pPr>
    </w:p>
    <w:p w14:paraId="0196DCEC">
      <w:pPr>
        <w:spacing w:line="360" w:lineRule="auto"/>
        <w:contextualSpacing/>
        <w:jc w:val="left"/>
        <w:rPr>
          <w:rFonts w:ascii="宋体" w:hAnsi="宋体" w:cs="仿宋_GB2312"/>
          <w:color w:val="auto"/>
          <w:sz w:val="24"/>
          <w:highlight w:val="none"/>
        </w:rPr>
      </w:pPr>
      <w:r>
        <w:rPr>
          <w:rFonts w:hint="eastAsia" w:ascii="宋体" w:hAnsi="宋体" w:cs="仿宋_GB2312"/>
          <w:color w:val="auto"/>
          <w:sz w:val="24"/>
          <w:highlight w:val="none"/>
        </w:rPr>
        <w:t xml:space="preserve">注: </w:t>
      </w:r>
    </w:p>
    <w:p w14:paraId="69B06D76">
      <w:pPr>
        <w:spacing w:line="360" w:lineRule="auto"/>
        <w:ind w:firstLine="480" w:firstLineChars="200"/>
        <w:contextualSpacing/>
        <w:jc w:val="left"/>
        <w:rPr>
          <w:rFonts w:ascii="宋体" w:hAnsi="宋体" w:cs="仿宋_GB2312"/>
          <w:color w:val="auto"/>
          <w:sz w:val="24"/>
          <w:highlight w:val="none"/>
        </w:rPr>
      </w:pPr>
      <w:r>
        <w:rPr>
          <w:rFonts w:hint="eastAsia" w:ascii="宋体" w:hAnsi="宋体" w:cs="仿宋_GB2312"/>
          <w:color w:val="auto"/>
          <w:sz w:val="24"/>
          <w:highlight w:val="none"/>
        </w:rPr>
        <w:t>1. 供应商的报价表必须加盖供应商电子签章并由法定代表人或者委托代理人签字或者电子签名，</w:t>
      </w:r>
      <w:r>
        <w:rPr>
          <w:rFonts w:hint="eastAsia" w:ascii="宋体" w:hAnsi="宋体" w:cs="仿宋_GB2312"/>
          <w:b/>
          <w:color w:val="auto"/>
          <w:sz w:val="24"/>
          <w:highlight w:val="none"/>
        </w:rPr>
        <w:t>否则其响应文件按无效处理</w:t>
      </w:r>
      <w:r>
        <w:rPr>
          <w:rFonts w:hint="eastAsia" w:ascii="宋体" w:hAnsi="宋体" w:cs="仿宋_GB2312"/>
          <w:color w:val="auto"/>
          <w:sz w:val="24"/>
          <w:highlight w:val="none"/>
        </w:rPr>
        <w:t>。</w:t>
      </w:r>
    </w:p>
    <w:p w14:paraId="37C3AED1">
      <w:pPr>
        <w:spacing w:line="360" w:lineRule="auto"/>
        <w:ind w:firstLine="480" w:firstLineChars="200"/>
        <w:contextualSpacing/>
        <w:jc w:val="left"/>
        <w:rPr>
          <w:rFonts w:ascii="宋体" w:hAnsi="宋体" w:cs="仿宋_GB2312"/>
          <w:b/>
          <w:color w:val="auto"/>
          <w:sz w:val="24"/>
          <w:highlight w:val="none"/>
        </w:rPr>
      </w:pPr>
      <w:r>
        <w:rPr>
          <w:rFonts w:hint="eastAsia" w:ascii="宋体" w:hAnsi="宋体" w:cs="仿宋_GB2312"/>
          <w:bCs/>
          <w:color w:val="auto"/>
          <w:sz w:val="24"/>
          <w:highlight w:val="none"/>
        </w:rPr>
        <w:t>2.</w:t>
      </w:r>
      <w:r>
        <w:rPr>
          <w:rFonts w:hint="eastAsia" w:ascii="宋体" w:hAnsi="宋体" w:cs="仿宋_GB2312"/>
          <w:color w:val="auto"/>
          <w:sz w:val="24"/>
          <w:highlight w:val="none"/>
        </w:rPr>
        <w:t xml:space="preserve"> 报价一经涂改，应在涂改处加盖供应商公章或者加盖电子签章或者由法定代表人或者授权委托人签字</w:t>
      </w:r>
      <w:r>
        <w:rPr>
          <w:rFonts w:hint="eastAsia" w:ascii="宋体" w:hAnsi="宋体"/>
          <w:color w:val="auto"/>
          <w:sz w:val="24"/>
          <w:highlight w:val="none"/>
        </w:rPr>
        <w:t>（或者电子签名）</w:t>
      </w:r>
      <w:r>
        <w:rPr>
          <w:rFonts w:hint="eastAsia" w:ascii="宋体" w:hAnsi="宋体" w:cs="仿宋_GB2312"/>
          <w:b/>
          <w:color w:val="auto"/>
          <w:sz w:val="24"/>
          <w:highlight w:val="none"/>
        </w:rPr>
        <w:t>，否则其响应文件按无效处理。</w:t>
      </w:r>
    </w:p>
    <w:p w14:paraId="2BAABB73">
      <w:pPr>
        <w:spacing w:line="360" w:lineRule="auto"/>
        <w:ind w:firstLine="480" w:firstLineChars="200"/>
        <w:contextualSpacing/>
        <w:rPr>
          <w:rFonts w:ascii="宋体" w:hAnsi="宋体" w:cs="仿宋_GB2312"/>
          <w:color w:val="auto"/>
          <w:sz w:val="24"/>
          <w:highlight w:val="none"/>
        </w:rPr>
      </w:pPr>
      <w:r>
        <w:rPr>
          <w:rFonts w:ascii="宋体" w:hAnsi="宋体" w:cs="仿宋_GB2312"/>
          <w:color w:val="auto"/>
          <w:sz w:val="24"/>
          <w:highlight w:val="none"/>
        </w:rPr>
        <w:t>3</w:t>
      </w:r>
      <w:r>
        <w:rPr>
          <w:rFonts w:hint="eastAsia" w:ascii="宋体" w:hAnsi="宋体" w:cs="仿宋_GB2312"/>
          <w:color w:val="auto"/>
          <w:sz w:val="24"/>
          <w:highlight w:val="none"/>
        </w:rPr>
        <w:t>.</w:t>
      </w:r>
      <w:r>
        <w:rPr>
          <w:rFonts w:hint="eastAsia" w:ascii="宋体" w:hAnsi="宋体" w:cs="仿宋_GB2312"/>
          <w:color w:val="auto"/>
          <w:spacing w:val="-6"/>
          <w:sz w:val="24"/>
          <w:highlight w:val="none"/>
        </w:rPr>
        <w:t>如有多分标，分别列明各分标的报价表，</w:t>
      </w:r>
      <w:r>
        <w:rPr>
          <w:rFonts w:hint="eastAsia" w:ascii="宋体" w:hAnsi="宋体" w:cs="仿宋_GB2312"/>
          <w:b/>
          <w:color w:val="auto"/>
          <w:spacing w:val="-6"/>
          <w:sz w:val="24"/>
          <w:highlight w:val="none"/>
        </w:rPr>
        <w:t>否则其响应文件按无效响应处理。</w:t>
      </w:r>
    </w:p>
    <w:p w14:paraId="1A7563C4">
      <w:pPr>
        <w:spacing w:line="360" w:lineRule="auto"/>
        <w:ind w:right="-817" w:rightChars="-389"/>
        <w:contextualSpacing/>
        <w:rPr>
          <w:rFonts w:ascii="宋体" w:hAnsi="宋体" w:cs="仿宋_GB2312"/>
          <w:color w:val="auto"/>
          <w:sz w:val="24"/>
          <w:highlight w:val="none"/>
        </w:rPr>
      </w:pPr>
    </w:p>
    <w:p w14:paraId="6C691ACB">
      <w:pPr>
        <w:spacing w:line="360" w:lineRule="auto"/>
        <w:ind w:right="-817" w:rightChars="-389" w:firstLine="2640" w:firstLineChars="1100"/>
        <w:contextualSpacing/>
        <w:rPr>
          <w:rFonts w:ascii="宋体" w:hAnsi="宋体" w:cs="仿宋_GB2312"/>
          <w:color w:val="auto"/>
          <w:sz w:val="24"/>
          <w:highlight w:val="none"/>
        </w:rPr>
      </w:pPr>
      <w:r>
        <w:rPr>
          <w:rFonts w:hint="eastAsia" w:ascii="宋体" w:hAnsi="宋体" w:cs="仿宋_GB2312"/>
          <w:color w:val="auto"/>
          <w:sz w:val="24"/>
          <w:highlight w:val="none"/>
        </w:rPr>
        <w:t xml:space="preserve">法定代表人或者委托代理人（签字或者电子签名）：                    </w:t>
      </w:r>
    </w:p>
    <w:p w14:paraId="435A6ADA">
      <w:pPr>
        <w:spacing w:line="360" w:lineRule="auto"/>
        <w:ind w:right="-817" w:rightChars="-389" w:firstLine="2640" w:firstLineChars="1100"/>
        <w:contextualSpacing/>
        <w:rPr>
          <w:rFonts w:ascii="宋体" w:hAnsi="宋体" w:cs="仿宋_GB2312"/>
          <w:color w:val="auto"/>
          <w:sz w:val="24"/>
          <w:highlight w:val="none"/>
        </w:rPr>
      </w:pPr>
      <w:r>
        <w:rPr>
          <w:rFonts w:hint="eastAsia" w:ascii="宋体" w:hAnsi="宋体" w:cs="仿宋_GB2312"/>
          <w:color w:val="auto"/>
          <w:sz w:val="24"/>
          <w:highlight w:val="none"/>
        </w:rPr>
        <w:t xml:space="preserve">供应商（电子签章）：      </w:t>
      </w:r>
    </w:p>
    <w:p w14:paraId="15E2B030">
      <w:pPr>
        <w:spacing w:line="360" w:lineRule="auto"/>
        <w:ind w:right="-817" w:rightChars="-389" w:firstLine="4080" w:firstLineChars="1700"/>
        <w:contextualSpacing/>
        <w:rPr>
          <w:rFonts w:ascii="宋体" w:hAnsi="宋体" w:cs="仿宋_GB2312"/>
          <w:b/>
          <w:color w:val="auto"/>
          <w:sz w:val="24"/>
          <w:highlight w:val="none"/>
        </w:rPr>
      </w:pPr>
      <w:r>
        <w:rPr>
          <w:rFonts w:hint="eastAsia" w:ascii="宋体" w:hAnsi="宋体" w:cs="仿宋_GB2312"/>
          <w:color w:val="auto"/>
          <w:sz w:val="24"/>
          <w:highlight w:val="none"/>
        </w:rPr>
        <w:t>日期：   年   月   日</w:t>
      </w:r>
    </w:p>
    <w:p w14:paraId="30BEF2F0">
      <w:pPr>
        <w:spacing w:line="360" w:lineRule="auto"/>
        <w:ind w:right="420"/>
        <w:contextualSpacing/>
        <w:jc w:val="left"/>
        <w:rPr>
          <w:rFonts w:ascii="宋体" w:hAnsi="宋体"/>
          <w:b/>
          <w:color w:val="auto"/>
          <w:sz w:val="32"/>
          <w:szCs w:val="32"/>
          <w:highlight w:val="none"/>
        </w:rPr>
      </w:pPr>
      <w:r>
        <w:rPr>
          <w:rFonts w:ascii="宋体" w:hAnsi="宋体"/>
          <w:b/>
          <w:bCs/>
          <w:color w:val="auto"/>
          <w:sz w:val="32"/>
          <w:szCs w:val="32"/>
          <w:highlight w:val="none"/>
        </w:rPr>
        <w:br w:type="page"/>
      </w:r>
      <w:r>
        <w:rPr>
          <w:rFonts w:hint="eastAsia" w:ascii="宋体" w:hAnsi="宋体"/>
          <w:b/>
          <w:bCs/>
          <w:color w:val="auto"/>
          <w:sz w:val="32"/>
          <w:szCs w:val="32"/>
          <w:highlight w:val="none"/>
        </w:rPr>
        <w:t>三、</w:t>
      </w:r>
      <w:r>
        <w:rPr>
          <w:rFonts w:hint="eastAsia" w:ascii="宋体" w:hAnsi="宋体"/>
          <w:b/>
          <w:color w:val="auto"/>
          <w:sz w:val="32"/>
          <w:szCs w:val="32"/>
          <w:highlight w:val="none"/>
        </w:rPr>
        <w:t xml:space="preserve">商务技术文件格式 </w:t>
      </w:r>
    </w:p>
    <w:p w14:paraId="091147D6">
      <w:pPr>
        <w:snapToGrid w:val="0"/>
        <w:spacing w:beforeLines="50" w:after="50" w:line="360" w:lineRule="auto"/>
        <w:jc w:val="left"/>
        <w:rPr>
          <w:rFonts w:ascii="宋体" w:hAnsi="宋体"/>
          <w:b/>
          <w:color w:val="auto"/>
          <w:sz w:val="32"/>
          <w:szCs w:val="32"/>
          <w:highlight w:val="none"/>
        </w:rPr>
      </w:pPr>
      <w:r>
        <w:rPr>
          <w:rFonts w:hint="eastAsia" w:ascii="宋体" w:hAnsi="宋体"/>
          <w:b/>
          <w:color w:val="auto"/>
          <w:sz w:val="32"/>
          <w:szCs w:val="32"/>
          <w:highlight w:val="none"/>
        </w:rPr>
        <w:t>1.商务技术文件封面格式</w:t>
      </w:r>
    </w:p>
    <w:p w14:paraId="2F05E3AA">
      <w:pPr>
        <w:snapToGrid w:val="0"/>
        <w:spacing w:beforeLines="50" w:after="50"/>
        <w:rPr>
          <w:rFonts w:ascii="宋体" w:hAnsi="宋体"/>
          <w:bCs/>
          <w:color w:val="auto"/>
          <w:sz w:val="32"/>
          <w:szCs w:val="20"/>
          <w:highlight w:val="none"/>
        </w:rPr>
      </w:pPr>
      <w:r>
        <w:rPr>
          <w:rFonts w:hint="eastAsia" w:ascii="宋体" w:hAnsi="宋体"/>
          <w:color w:val="auto"/>
          <w:sz w:val="24"/>
          <w:highlight w:val="none"/>
        </w:rPr>
        <w:t xml:space="preserve">                                                    </w:t>
      </w:r>
    </w:p>
    <w:p w14:paraId="5CC06793">
      <w:pPr>
        <w:snapToGrid w:val="0"/>
        <w:spacing w:beforeLines="50" w:after="50"/>
        <w:jc w:val="center"/>
        <w:rPr>
          <w:rFonts w:ascii="宋体" w:hAnsi="宋体"/>
          <w:color w:val="auto"/>
          <w:sz w:val="24"/>
          <w:szCs w:val="20"/>
          <w:highlight w:val="none"/>
        </w:rPr>
      </w:pPr>
      <w:r>
        <w:rPr>
          <w:rFonts w:hint="eastAsia" w:ascii="宋体" w:hAnsi="宋体"/>
          <w:color w:val="auto"/>
          <w:sz w:val="44"/>
          <w:szCs w:val="44"/>
          <w:highlight w:val="none"/>
        </w:rPr>
        <w:t>电 子 响 应 文 件</w:t>
      </w:r>
    </w:p>
    <w:p w14:paraId="2AEDF809">
      <w:pPr>
        <w:snapToGrid w:val="0"/>
        <w:spacing w:beforeLines="50" w:after="50"/>
        <w:rPr>
          <w:rFonts w:ascii="宋体" w:hAnsi="宋体"/>
          <w:color w:val="auto"/>
          <w:sz w:val="24"/>
          <w:szCs w:val="20"/>
          <w:highlight w:val="none"/>
        </w:rPr>
      </w:pPr>
    </w:p>
    <w:p w14:paraId="560489B8">
      <w:pPr>
        <w:snapToGrid w:val="0"/>
        <w:spacing w:beforeLines="50" w:after="50"/>
        <w:rPr>
          <w:rFonts w:ascii="宋体" w:hAnsi="宋体"/>
          <w:color w:val="auto"/>
          <w:sz w:val="24"/>
          <w:szCs w:val="20"/>
          <w:highlight w:val="none"/>
        </w:rPr>
      </w:pPr>
    </w:p>
    <w:p w14:paraId="795D9C4E">
      <w:pPr>
        <w:snapToGrid w:val="0"/>
        <w:spacing w:beforeLines="50" w:after="50"/>
        <w:jc w:val="center"/>
        <w:rPr>
          <w:rFonts w:hint="eastAsia" w:asciiTheme="minorEastAsia" w:hAnsiTheme="minorEastAsia" w:eastAsiaTheme="minorEastAsia" w:cstheme="minorEastAsia"/>
          <w:bCs/>
          <w:color w:val="auto"/>
          <w:sz w:val="44"/>
          <w:szCs w:val="44"/>
          <w:highlight w:val="none"/>
        </w:rPr>
      </w:pPr>
      <w:r>
        <w:rPr>
          <w:rFonts w:hint="eastAsia" w:asciiTheme="minorEastAsia" w:hAnsiTheme="minorEastAsia" w:eastAsiaTheme="minorEastAsia" w:cstheme="minorEastAsia"/>
          <w:bCs/>
          <w:color w:val="auto"/>
          <w:sz w:val="44"/>
          <w:szCs w:val="44"/>
          <w:highlight w:val="none"/>
        </w:rPr>
        <w:t>商  务  技  术  文  件</w:t>
      </w:r>
    </w:p>
    <w:p w14:paraId="5F26E275">
      <w:pPr>
        <w:snapToGrid w:val="0"/>
        <w:spacing w:beforeLines="50" w:after="50"/>
        <w:rPr>
          <w:rFonts w:hint="eastAsia" w:asciiTheme="minorEastAsia" w:hAnsiTheme="minorEastAsia" w:eastAsiaTheme="minorEastAsia" w:cstheme="minorEastAsia"/>
          <w:bCs/>
          <w:color w:val="auto"/>
          <w:sz w:val="24"/>
          <w:szCs w:val="20"/>
          <w:highlight w:val="none"/>
        </w:rPr>
      </w:pPr>
    </w:p>
    <w:p w14:paraId="2C6B8C7E">
      <w:pPr>
        <w:snapToGrid w:val="0"/>
        <w:spacing w:beforeLines="50" w:after="50"/>
        <w:rPr>
          <w:rFonts w:ascii="宋体" w:hAnsi="宋体"/>
          <w:bCs/>
          <w:color w:val="auto"/>
          <w:sz w:val="24"/>
          <w:szCs w:val="20"/>
          <w:highlight w:val="none"/>
        </w:rPr>
      </w:pPr>
    </w:p>
    <w:p w14:paraId="3565F097">
      <w:pPr>
        <w:snapToGrid w:val="0"/>
        <w:spacing w:beforeLines="50" w:after="50"/>
        <w:rPr>
          <w:rFonts w:ascii="宋体" w:hAnsi="宋体"/>
          <w:bCs/>
          <w:color w:val="auto"/>
          <w:sz w:val="24"/>
          <w:szCs w:val="20"/>
          <w:highlight w:val="none"/>
        </w:rPr>
      </w:pPr>
    </w:p>
    <w:p w14:paraId="01E6B2A2">
      <w:pPr>
        <w:snapToGrid w:val="0"/>
        <w:spacing w:beforeLines="50" w:after="50"/>
        <w:rPr>
          <w:rFonts w:ascii="宋体" w:hAnsi="宋体"/>
          <w:bCs/>
          <w:color w:val="auto"/>
          <w:sz w:val="24"/>
          <w:szCs w:val="20"/>
          <w:highlight w:val="none"/>
        </w:rPr>
      </w:pPr>
    </w:p>
    <w:p w14:paraId="5A81ED55">
      <w:pPr>
        <w:snapToGrid w:val="0"/>
        <w:spacing w:beforeLines="50" w:after="50"/>
        <w:rPr>
          <w:rFonts w:ascii="宋体" w:hAnsi="宋体"/>
          <w:bCs/>
          <w:color w:val="auto"/>
          <w:sz w:val="24"/>
          <w:szCs w:val="20"/>
          <w:highlight w:val="none"/>
        </w:rPr>
      </w:pPr>
    </w:p>
    <w:p w14:paraId="4FEC3F16">
      <w:pPr>
        <w:snapToGrid w:val="0"/>
        <w:spacing w:beforeLines="50" w:after="50"/>
        <w:ind w:firstLine="640" w:firstLineChars="200"/>
        <w:rPr>
          <w:rFonts w:ascii="宋体" w:hAnsi="宋体" w:cs="仿宋_GB2312"/>
          <w:bCs/>
          <w:color w:val="auto"/>
          <w:sz w:val="32"/>
          <w:szCs w:val="32"/>
          <w:highlight w:val="none"/>
        </w:rPr>
      </w:pPr>
      <w:r>
        <w:rPr>
          <w:rFonts w:hint="eastAsia" w:ascii="宋体" w:hAnsi="宋体" w:cs="仿宋_GB2312"/>
          <w:bCs/>
          <w:color w:val="auto"/>
          <w:sz w:val="32"/>
          <w:szCs w:val="32"/>
          <w:highlight w:val="none"/>
        </w:rPr>
        <w:t>项目名称：</w:t>
      </w:r>
    </w:p>
    <w:p w14:paraId="67AFBAD9">
      <w:pPr>
        <w:snapToGrid w:val="0"/>
        <w:spacing w:beforeLines="50" w:after="50"/>
        <w:ind w:firstLine="720" w:firstLineChars="225"/>
        <w:rPr>
          <w:rFonts w:ascii="宋体" w:hAnsi="宋体" w:cs="仿宋_GB2312"/>
          <w:bCs/>
          <w:color w:val="auto"/>
          <w:sz w:val="32"/>
          <w:szCs w:val="32"/>
          <w:highlight w:val="none"/>
        </w:rPr>
      </w:pPr>
    </w:p>
    <w:p w14:paraId="26F84969">
      <w:pPr>
        <w:snapToGrid w:val="0"/>
        <w:spacing w:beforeLines="50" w:after="50"/>
        <w:ind w:firstLine="640" w:firstLineChars="200"/>
        <w:rPr>
          <w:rFonts w:ascii="宋体" w:hAnsi="宋体" w:cs="仿宋_GB2312"/>
          <w:bCs/>
          <w:color w:val="auto"/>
          <w:sz w:val="32"/>
          <w:szCs w:val="32"/>
          <w:highlight w:val="none"/>
        </w:rPr>
      </w:pPr>
      <w:r>
        <w:rPr>
          <w:rFonts w:hint="eastAsia" w:ascii="宋体" w:hAnsi="宋体" w:cs="仿宋_GB2312"/>
          <w:bCs/>
          <w:color w:val="auto"/>
          <w:sz w:val="32"/>
          <w:szCs w:val="32"/>
          <w:highlight w:val="none"/>
        </w:rPr>
        <w:t>项目编号：</w:t>
      </w:r>
    </w:p>
    <w:p w14:paraId="7ECD98A5">
      <w:pPr>
        <w:snapToGrid w:val="0"/>
        <w:spacing w:beforeLines="50" w:after="50"/>
        <w:ind w:firstLine="720" w:firstLineChars="225"/>
        <w:rPr>
          <w:rFonts w:ascii="宋体" w:hAnsi="宋体" w:cs="仿宋_GB2312"/>
          <w:bCs/>
          <w:color w:val="auto"/>
          <w:sz w:val="32"/>
          <w:szCs w:val="32"/>
          <w:highlight w:val="none"/>
        </w:rPr>
      </w:pPr>
      <w:r>
        <w:rPr>
          <w:rFonts w:hint="eastAsia" w:ascii="宋体" w:hAnsi="宋体" w:cs="仿宋_GB2312"/>
          <w:bCs/>
          <w:color w:val="auto"/>
          <w:sz w:val="32"/>
          <w:szCs w:val="32"/>
          <w:highlight w:val="none"/>
        </w:rPr>
        <w:t xml:space="preserve"> </w:t>
      </w:r>
    </w:p>
    <w:p w14:paraId="23133433">
      <w:pPr>
        <w:snapToGrid w:val="0"/>
        <w:spacing w:beforeLines="50" w:after="50"/>
        <w:ind w:firstLine="640" w:firstLineChars="200"/>
        <w:rPr>
          <w:rFonts w:ascii="宋体" w:hAnsi="宋体" w:cs="仿宋_GB2312"/>
          <w:bCs/>
          <w:color w:val="auto"/>
          <w:sz w:val="32"/>
          <w:szCs w:val="32"/>
          <w:highlight w:val="none"/>
        </w:rPr>
      </w:pPr>
      <w:r>
        <w:rPr>
          <w:rFonts w:hint="eastAsia" w:ascii="宋体" w:hAnsi="宋体" w:cs="仿宋_GB2312"/>
          <w:bCs/>
          <w:color w:val="auto"/>
          <w:sz w:val="32"/>
          <w:szCs w:val="32"/>
          <w:highlight w:val="none"/>
        </w:rPr>
        <w:t>所竞分标（如有则填写，无分标时填写“无”或者留空）：</w:t>
      </w:r>
    </w:p>
    <w:p w14:paraId="4EC6D956">
      <w:pPr>
        <w:snapToGrid w:val="0"/>
        <w:spacing w:beforeLines="50" w:after="50"/>
        <w:ind w:firstLine="720" w:firstLineChars="225"/>
        <w:rPr>
          <w:rFonts w:ascii="宋体" w:hAnsi="宋体" w:cs="仿宋_GB2312"/>
          <w:bCs/>
          <w:color w:val="auto"/>
          <w:sz w:val="32"/>
          <w:szCs w:val="32"/>
          <w:highlight w:val="none"/>
        </w:rPr>
      </w:pPr>
    </w:p>
    <w:p w14:paraId="21120611">
      <w:pPr>
        <w:pStyle w:val="7"/>
        <w:snapToGrid w:val="0"/>
        <w:spacing w:before="50" w:after="50"/>
        <w:ind w:firstLine="640" w:firstLineChars="200"/>
        <w:rPr>
          <w:rFonts w:ascii="宋体" w:hAnsi="宋体" w:cs="仿宋_GB2312"/>
          <w:b w:val="0"/>
          <w:bCs w:val="0"/>
          <w:color w:val="auto"/>
          <w:sz w:val="32"/>
          <w:szCs w:val="32"/>
          <w:highlight w:val="none"/>
        </w:rPr>
      </w:pPr>
      <w:r>
        <w:rPr>
          <w:rFonts w:hint="eastAsia" w:ascii="宋体" w:hAnsi="宋体" w:cs="仿宋_GB2312"/>
          <w:b w:val="0"/>
          <w:bCs w:val="0"/>
          <w:color w:val="auto"/>
          <w:sz w:val="32"/>
          <w:szCs w:val="32"/>
          <w:highlight w:val="none"/>
        </w:rPr>
        <w:t>供应商名称：</w:t>
      </w:r>
    </w:p>
    <w:p w14:paraId="2C289730">
      <w:pPr>
        <w:pStyle w:val="7"/>
        <w:snapToGrid w:val="0"/>
        <w:spacing w:before="50" w:after="50"/>
        <w:ind w:firstLine="640" w:firstLineChars="200"/>
        <w:rPr>
          <w:rFonts w:ascii="宋体" w:hAnsi="宋体" w:cs="仿宋_GB2312"/>
          <w:b w:val="0"/>
          <w:bCs w:val="0"/>
          <w:color w:val="auto"/>
          <w:sz w:val="32"/>
          <w:szCs w:val="32"/>
          <w:highlight w:val="none"/>
        </w:rPr>
      </w:pPr>
    </w:p>
    <w:p w14:paraId="2D639321">
      <w:pPr>
        <w:pStyle w:val="7"/>
        <w:snapToGrid w:val="0"/>
        <w:spacing w:before="50" w:after="50"/>
        <w:ind w:firstLine="723" w:firstLineChars="225"/>
        <w:rPr>
          <w:rFonts w:ascii="宋体" w:hAnsi="宋体" w:cs="仿宋_GB2312"/>
          <w:bCs/>
          <w:color w:val="auto"/>
          <w:sz w:val="32"/>
          <w:szCs w:val="32"/>
          <w:highlight w:val="none"/>
        </w:rPr>
      </w:pPr>
    </w:p>
    <w:p w14:paraId="7BB8A8FD">
      <w:pPr>
        <w:pStyle w:val="7"/>
        <w:snapToGrid w:val="0"/>
        <w:spacing w:before="50" w:after="50"/>
        <w:ind w:firstLine="0"/>
        <w:rPr>
          <w:rFonts w:ascii="宋体" w:hAnsi="宋体" w:cs="仿宋_GB2312"/>
          <w:bCs/>
          <w:color w:val="auto"/>
          <w:sz w:val="32"/>
          <w:szCs w:val="32"/>
          <w:highlight w:val="none"/>
        </w:rPr>
      </w:pPr>
    </w:p>
    <w:p w14:paraId="0324F1D1">
      <w:pPr>
        <w:pStyle w:val="7"/>
        <w:snapToGrid w:val="0"/>
        <w:spacing w:before="50" w:after="50"/>
        <w:ind w:firstLine="1285" w:firstLineChars="400"/>
        <w:rPr>
          <w:rFonts w:ascii="宋体" w:hAnsi="宋体" w:cs="仿宋_GB2312"/>
          <w:bCs/>
          <w:color w:val="auto"/>
          <w:sz w:val="32"/>
          <w:szCs w:val="32"/>
          <w:highlight w:val="none"/>
        </w:rPr>
      </w:pPr>
    </w:p>
    <w:p w14:paraId="1FA33A2C">
      <w:pPr>
        <w:snapToGrid w:val="0"/>
        <w:spacing w:beforeLines="50" w:after="50"/>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年    月    日</w:t>
      </w:r>
    </w:p>
    <w:p w14:paraId="750014E0">
      <w:pPr>
        <w:snapToGrid w:val="0"/>
        <w:spacing w:beforeLines="50" w:after="50" w:line="360" w:lineRule="auto"/>
        <w:ind w:right="480" w:firstLine="240" w:firstLineChars="100"/>
        <w:jc w:val="left"/>
        <w:rPr>
          <w:rFonts w:ascii="宋体" w:hAnsi="宋体"/>
          <w:b/>
          <w:bCs/>
          <w:color w:val="auto"/>
          <w:sz w:val="24"/>
          <w:highlight w:val="none"/>
        </w:rPr>
      </w:pPr>
      <w:r>
        <w:rPr>
          <w:rFonts w:ascii="宋体" w:hAnsi="宋体"/>
          <w:color w:val="auto"/>
          <w:sz w:val="24"/>
          <w:highlight w:val="none"/>
        </w:rPr>
        <w:br w:type="page"/>
      </w:r>
      <w:r>
        <w:rPr>
          <w:rFonts w:hint="eastAsia" w:ascii="宋体" w:hAnsi="宋体"/>
          <w:b/>
          <w:bCs/>
          <w:color w:val="auto"/>
          <w:sz w:val="32"/>
          <w:szCs w:val="32"/>
          <w:highlight w:val="none"/>
        </w:rPr>
        <w:t>2.商务技术文件目录</w:t>
      </w:r>
    </w:p>
    <w:p w14:paraId="5CB724BE">
      <w:pPr>
        <w:snapToGrid w:val="0"/>
        <w:spacing w:beforeLines="50" w:after="50"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根据磋商文件规定及供应商提供的材料自行编写目录（部分格式后附）。</w:t>
      </w:r>
    </w:p>
    <w:p w14:paraId="05E1B3C8">
      <w:pPr>
        <w:spacing w:line="400" w:lineRule="exact"/>
        <w:rPr>
          <w:rFonts w:ascii="仿宋_GB2312" w:hAnsi="仿宋_GB2312" w:eastAsia="仿宋_GB2312" w:cs="仿宋_GB2312"/>
          <w:color w:val="auto"/>
          <w:sz w:val="32"/>
          <w:szCs w:val="32"/>
          <w:highlight w:val="none"/>
        </w:rPr>
      </w:pPr>
    </w:p>
    <w:p w14:paraId="53FAFA1F">
      <w:pPr>
        <w:spacing w:line="520" w:lineRule="exact"/>
        <w:jc w:val="center"/>
        <w:rPr>
          <w:rFonts w:hint="eastAsia" w:asciiTheme="minorEastAsia" w:hAnsiTheme="minorEastAsia" w:eastAsiaTheme="minorEastAsia" w:cstheme="minorEastAsia"/>
          <w:b/>
          <w:bCs/>
          <w:color w:val="auto"/>
          <w:sz w:val="32"/>
          <w:szCs w:val="32"/>
          <w:highlight w:val="none"/>
        </w:rPr>
      </w:pPr>
      <w:r>
        <w:rPr>
          <w:rFonts w:hint="eastAsia" w:ascii="方正小标宋简体" w:hAnsi="方正小标宋简体" w:eastAsia="方正小标宋简体" w:cs="方正小标宋简体"/>
          <w:color w:val="auto"/>
          <w:sz w:val="44"/>
          <w:szCs w:val="44"/>
          <w:highlight w:val="none"/>
        </w:rPr>
        <w:br w:type="page"/>
      </w:r>
      <w:r>
        <w:rPr>
          <w:rFonts w:hint="eastAsia" w:asciiTheme="minorEastAsia" w:hAnsiTheme="minorEastAsia" w:eastAsiaTheme="minorEastAsia" w:cstheme="minorEastAsia"/>
          <w:b/>
          <w:bCs/>
          <w:color w:val="auto"/>
          <w:sz w:val="32"/>
          <w:szCs w:val="32"/>
          <w:highlight w:val="none"/>
        </w:rPr>
        <w:t>无串通竞标行为的承诺函</w:t>
      </w:r>
    </w:p>
    <w:p w14:paraId="3C835A22">
      <w:pPr>
        <w:spacing w:line="360" w:lineRule="auto"/>
        <w:ind w:firstLine="640" w:firstLineChars="200"/>
        <w:contextualSpacing/>
        <w:rPr>
          <w:rFonts w:ascii="仿宋_GB2312" w:hAnsi="仿宋_GB2312" w:eastAsia="仿宋_GB2312" w:cs="仿宋_GB2312"/>
          <w:color w:val="auto"/>
          <w:sz w:val="32"/>
          <w:szCs w:val="32"/>
          <w:highlight w:val="none"/>
        </w:rPr>
      </w:pPr>
    </w:p>
    <w:p w14:paraId="05B13D86">
      <w:pPr>
        <w:spacing w:line="360" w:lineRule="auto"/>
        <w:ind w:firstLine="482" w:firstLineChars="200"/>
        <w:contextualSpacing/>
        <w:rPr>
          <w:rFonts w:ascii="宋体" w:hAnsi="宋体" w:cs="仿宋_GB2312"/>
          <w:b/>
          <w:bCs/>
          <w:color w:val="auto"/>
          <w:sz w:val="24"/>
          <w:highlight w:val="none"/>
        </w:rPr>
      </w:pPr>
      <w:r>
        <w:rPr>
          <w:rFonts w:hint="eastAsia" w:ascii="宋体" w:hAnsi="宋体" w:cs="仿宋_GB2312"/>
          <w:b/>
          <w:bCs/>
          <w:color w:val="auto"/>
          <w:sz w:val="24"/>
          <w:highlight w:val="none"/>
        </w:rPr>
        <w:t>一、我方承诺无下列相互串通竞标的情形：</w:t>
      </w:r>
    </w:p>
    <w:p w14:paraId="7DB60204">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 xml:space="preserve">1.不同供应商的响应文件由同一单位或者个人编制； </w:t>
      </w:r>
    </w:p>
    <w:p w14:paraId="3F7D22DA">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2.不同供应商委托同一单位或者个人办理竞标事宜；</w:t>
      </w:r>
    </w:p>
    <w:p w14:paraId="2CBA6FE0">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3.不同供应商的响应文件载明的项目管理员为同一个人；</w:t>
      </w:r>
    </w:p>
    <w:p w14:paraId="3B713382">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4.不</w:t>
      </w:r>
      <w:r>
        <w:rPr>
          <w:rFonts w:hint="eastAsia" w:ascii="宋体" w:hAnsi="宋体" w:cs="仿宋_GB2312"/>
          <w:color w:val="auto"/>
          <w:spacing w:val="-6"/>
          <w:sz w:val="24"/>
          <w:highlight w:val="none"/>
        </w:rPr>
        <w:t>同供应商的响应文件异常一致或者竞标报价呈规律性差异；</w:t>
      </w:r>
    </w:p>
    <w:p w14:paraId="307FCF34">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5.不同供应商的响应文件相互混装；</w:t>
      </w:r>
    </w:p>
    <w:p w14:paraId="014687F0">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6.不同供应商的磋商保证金从同一单位或者个人账户转出。</w:t>
      </w:r>
    </w:p>
    <w:p w14:paraId="38F63D24">
      <w:pPr>
        <w:spacing w:line="360" w:lineRule="auto"/>
        <w:ind w:firstLine="482" w:firstLineChars="200"/>
        <w:contextualSpacing/>
        <w:rPr>
          <w:rFonts w:ascii="宋体" w:hAnsi="宋体" w:cs="仿宋_GB2312"/>
          <w:b/>
          <w:bCs/>
          <w:color w:val="auto"/>
          <w:sz w:val="24"/>
          <w:highlight w:val="none"/>
        </w:rPr>
      </w:pPr>
      <w:r>
        <w:rPr>
          <w:rFonts w:hint="eastAsia" w:ascii="宋体" w:hAnsi="宋体" w:cs="仿宋_GB2312"/>
          <w:b/>
          <w:bCs/>
          <w:color w:val="auto"/>
          <w:sz w:val="24"/>
          <w:highlight w:val="none"/>
        </w:rPr>
        <w:t>二、我方承诺无下列恶意串通的情形：</w:t>
      </w:r>
    </w:p>
    <w:p w14:paraId="12930083">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1.供应商直接或者间接从采购人或者采购代理机构处获得其他供应商的相关信息并修改其响应文件；</w:t>
      </w:r>
    </w:p>
    <w:p w14:paraId="3146532B">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2.供应商按照采购人或者采购代理机构的授意撤换、修改响应文件；</w:t>
      </w:r>
    </w:p>
    <w:p w14:paraId="281FCB3D">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3.供</w:t>
      </w:r>
      <w:r>
        <w:rPr>
          <w:rFonts w:hint="eastAsia" w:ascii="宋体" w:hAnsi="宋体" w:cs="仿宋_GB2312"/>
          <w:color w:val="auto"/>
          <w:spacing w:val="-6"/>
          <w:sz w:val="24"/>
          <w:highlight w:val="none"/>
        </w:rPr>
        <w:t>应商之间协商报价、技术方案等响应文件的实质性内容；</w:t>
      </w:r>
    </w:p>
    <w:p w14:paraId="63255A0A">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4.属于同一集团、协会、商会等组织成员的供应商按照该组织要求协同参加政府采购活动；</w:t>
      </w:r>
    </w:p>
    <w:p w14:paraId="2E73C360">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5.供应商之间事先约定一致抬高或者压低竞标报价，或者在竞争性磋商项目中事先约定轮流以高价位或者低价位成交，或者事先约定由某一特定供应商成交，然后再参加竞标；</w:t>
      </w:r>
    </w:p>
    <w:p w14:paraId="1A55CF85">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6.供应商之间商定部分供应商放弃参加政府采购活动或者放弃成交；</w:t>
      </w:r>
    </w:p>
    <w:p w14:paraId="7DC8BD4A">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7.供应商与采购人或者采购代理机构之间、供应商相互之间，为</w:t>
      </w:r>
      <w:r>
        <w:rPr>
          <w:rFonts w:hint="eastAsia" w:ascii="宋体" w:hAnsi="宋体" w:cs="仿宋_GB2312"/>
          <w:color w:val="auto"/>
          <w:spacing w:val="-6"/>
          <w:sz w:val="24"/>
          <w:highlight w:val="none"/>
        </w:rPr>
        <w:t>谋求特定供应商成交或者排斥其他供应商的其他串通行为。</w:t>
      </w:r>
    </w:p>
    <w:p w14:paraId="745BEBB3">
      <w:pPr>
        <w:spacing w:line="360" w:lineRule="auto"/>
        <w:ind w:firstLine="480" w:firstLineChars="200"/>
        <w:contextualSpacing/>
        <w:rPr>
          <w:rFonts w:ascii="宋体" w:hAnsi="宋体" w:cs="仿宋_GB2312"/>
          <w:color w:val="auto"/>
          <w:sz w:val="24"/>
          <w:highlight w:val="none"/>
        </w:rPr>
      </w:pPr>
    </w:p>
    <w:p w14:paraId="6674BA8A">
      <w:pPr>
        <w:spacing w:line="360" w:lineRule="auto"/>
        <w:ind w:firstLine="482" w:firstLineChars="200"/>
        <w:contextualSpacing/>
        <w:rPr>
          <w:rFonts w:ascii="宋体" w:hAnsi="宋体" w:cs="仿宋_GB2312"/>
          <w:b/>
          <w:bCs/>
          <w:color w:val="auto"/>
          <w:sz w:val="24"/>
          <w:highlight w:val="none"/>
        </w:rPr>
      </w:pPr>
      <w:r>
        <w:rPr>
          <w:rFonts w:hint="eastAsia" w:ascii="宋体" w:hAnsi="宋体" w:cs="仿宋_GB2312"/>
          <w:b/>
          <w:bCs/>
          <w:color w:val="auto"/>
          <w:sz w:val="24"/>
          <w:highlight w:val="none"/>
        </w:rPr>
        <w:t>以上情形一经核查属实，我方愿意承担一切后果，并不再寻求任何旨在减轻或者免除法律责任的辩解。</w:t>
      </w:r>
    </w:p>
    <w:p w14:paraId="1D5E95D9">
      <w:pPr>
        <w:spacing w:line="360" w:lineRule="auto"/>
        <w:contextualSpacing/>
        <w:rPr>
          <w:rFonts w:ascii="宋体" w:hAnsi="宋体" w:cs="仿宋_GB2312"/>
          <w:color w:val="auto"/>
          <w:sz w:val="24"/>
          <w:highlight w:val="none"/>
        </w:rPr>
      </w:pPr>
    </w:p>
    <w:p w14:paraId="7FA8488B">
      <w:pPr>
        <w:spacing w:line="360" w:lineRule="auto"/>
        <w:ind w:firstLine="5280" w:firstLineChars="2200"/>
        <w:contextualSpacing/>
        <w:rPr>
          <w:rFonts w:ascii="宋体" w:hAnsi="宋体" w:cs="仿宋_GB2312"/>
          <w:color w:val="auto"/>
          <w:sz w:val="24"/>
          <w:highlight w:val="none"/>
        </w:rPr>
      </w:pPr>
      <w:r>
        <w:rPr>
          <w:rFonts w:hint="eastAsia" w:ascii="宋体" w:hAnsi="宋体" w:cs="仿宋_GB2312"/>
          <w:color w:val="auto"/>
          <w:sz w:val="24"/>
          <w:highlight w:val="none"/>
        </w:rPr>
        <w:t>供应商（电子签章）：</w:t>
      </w:r>
    </w:p>
    <w:p w14:paraId="04CB9E96">
      <w:pPr>
        <w:spacing w:line="360" w:lineRule="auto"/>
        <w:ind w:firstLine="480" w:firstLineChars="200"/>
        <w:contextualSpacing/>
        <w:jc w:val="center"/>
        <w:rPr>
          <w:rFonts w:ascii="仿宋_GB2312" w:hAnsi="仿宋_GB2312" w:eastAsia="仿宋_GB2312" w:cs="仿宋_GB2312"/>
          <w:color w:val="auto"/>
          <w:sz w:val="32"/>
          <w:szCs w:val="32"/>
          <w:highlight w:val="none"/>
        </w:rPr>
      </w:pPr>
      <w:r>
        <w:rPr>
          <w:rFonts w:hint="eastAsia" w:ascii="宋体" w:hAnsi="宋体" w:cs="仿宋_GB2312"/>
          <w:color w:val="auto"/>
          <w:sz w:val="24"/>
          <w:highlight w:val="none"/>
        </w:rPr>
        <w:t xml:space="preserve">                               年   月   日</w:t>
      </w:r>
    </w:p>
    <w:p w14:paraId="39B1932B">
      <w:pPr>
        <w:spacing w:line="520" w:lineRule="exact"/>
        <w:jc w:val="center"/>
        <w:rPr>
          <w:rFonts w:hint="eastAsia" w:asciiTheme="minorEastAsia" w:hAnsiTheme="minorEastAsia" w:eastAsiaTheme="minorEastAsia" w:cstheme="minorEastAsia"/>
          <w:color w:val="auto"/>
          <w:sz w:val="32"/>
          <w:szCs w:val="32"/>
          <w:highlight w:val="none"/>
        </w:rPr>
      </w:pPr>
      <w:r>
        <w:rPr>
          <w:rFonts w:hint="eastAsia" w:ascii="方正小标宋简体" w:hAnsi="方正小标宋简体" w:eastAsia="方正小标宋简体" w:cs="方正小标宋简体"/>
          <w:bCs/>
          <w:color w:val="auto"/>
          <w:sz w:val="44"/>
          <w:szCs w:val="44"/>
          <w:highlight w:val="none"/>
        </w:rPr>
        <w:br w:type="page"/>
      </w:r>
      <w:r>
        <w:rPr>
          <w:rFonts w:hint="eastAsia" w:asciiTheme="minorEastAsia" w:hAnsiTheme="minorEastAsia" w:eastAsiaTheme="minorEastAsia" w:cstheme="minorEastAsia"/>
          <w:bCs/>
          <w:color w:val="auto"/>
          <w:sz w:val="44"/>
          <w:szCs w:val="44"/>
          <w:highlight w:val="none"/>
        </w:rPr>
        <w:t>法定代表人证明书</w:t>
      </w:r>
    </w:p>
    <w:p w14:paraId="5125E41C">
      <w:pPr>
        <w:spacing w:line="360" w:lineRule="auto"/>
        <w:ind w:left="540"/>
        <w:contextualSpacing/>
        <w:rPr>
          <w:rFonts w:ascii="仿宋_GB2312" w:hAnsi="仿宋_GB2312" w:eastAsia="仿宋_GB2312" w:cs="仿宋_GB2312"/>
          <w:color w:val="auto"/>
          <w:sz w:val="32"/>
          <w:szCs w:val="32"/>
          <w:highlight w:val="none"/>
        </w:rPr>
      </w:pPr>
    </w:p>
    <w:p w14:paraId="183BB6B2">
      <w:pPr>
        <w:spacing w:line="360" w:lineRule="auto"/>
        <w:ind w:left="540"/>
        <w:contextualSpacing/>
        <w:rPr>
          <w:rFonts w:ascii="宋体" w:hAnsi="宋体" w:cs="仿宋_GB2312"/>
          <w:color w:val="auto"/>
          <w:sz w:val="24"/>
          <w:highlight w:val="none"/>
        </w:rPr>
      </w:pPr>
      <w:r>
        <w:rPr>
          <w:rFonts w:hint="eastAsia" w:ascii="宋体" w:hAnsi="宋体" w:cs="仿宋_GB2312"/>
          <w:color w:val="auto"/>
          <w:sz w:val="24"/>
          <w:highlight w:val="none"/>
        </w:rPr>
        <w:t>供应商名称：</w:t>
      </w:r>
      <w:r>
        <w:rPr>
          <w:rFonts w:hint="eastAsia" w:ascii="宋体" w:hAnsi="宋体" w:cs="仿宋_GB2312"/>
          <w:color w:val="auto"/>
          <w:sz w:val="24"/>
          <w:highlight w:val="none"/>
          <w:u w:val="single"/>
        </w:rPr>
        <w:t xml:space="preserve">                                                        </w:t>
      </w:r>
    </w:p>
    <w:p w14:paraId="42D87832">
      <w:pPr>
        <w:spacing w:line="360" w:lineRule="auto"/>
        <w:ind w:left="540"/>
        <w:contextualSpacing/>
        <w:rPr>
          <w:rFonts w:ascii="宋体" w:hAnsi="宋体" w:cs="仿宋_GB2312"/>
          <w:color w:val="auto"/>
          <w:sz w:val="24"/>
          <w:highlight w:val="none"/>
        </w:rPr>
      </w:pPr>
      <w:r>
        <w:rPr>
          <w:rFonts w:hint="eastAsia" w:ascii="宋体" w:hAnsi="宋体" w:cs="仿宋_GB2312"/>
          <w:color w:val="auto"/>
          <w:sz w:val="24"/>
          <w:highlight w:val="none"/>
        </w:rPr>
        <w:t>地    址：</w:t>
      </w:r>
      <w:r>
        <w:rPr>
          <w:rFonts w:hint="eastAsia" w:ascii="宋体" w:hAnsi="宋体" w:cs="仿宋_GB2312"/>
          <w:color w:val="auto"/>
          <w:sz w:val="24"/>
          <w:highlight w:val="none"/>
          <w:u w:val="single"/>
        </w:rPr>
        <w:t xml:space="preserve">                                                        </w:t>
      </w:r>
    </w:p>
    <w:p w14:paraId="5C9E4FBE">
      <w:pPr>
        <w:spacing w:line="360" w:lineRule="auto"/>
        <w:ind w:left="540"/>
        <w:contextualSpacing/>
        <w:rPr>
          <w:rFonts w:ascii="宋体" w:hAnsi="宋体" w:cs="仿宋_GB2312"/>
          <w:color w:val="auto"/>
          <w:sz w:val="24"/>
          <w:highlight w:val="none"/>
        </w:rPr>
      </w:pPr>
      <w:r>
        <w:rPr>
          <w:rFonts w:hint="eastAsia" w:ascii="宋体" w:hAnsi="宋体" w:cs="仿宋_GB2312"/>
          <w:color w:val="auto"/>
          <w:sz w:val="24"/>
          <w:highlight w:val="none"/>
        </w:rPr>
        <w:t>姓    名：</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性     别：</w:t>
      </w:r>
      <w:r>
        <w:rPr>
          <w:rFonts w:hint="eastAsia" w:ascii="宋体" w:hAnsi="宋体" w:cs="仿宋_GB2312"/>
          <w:color w:val="auto"/>
          <w:sz w:val="24"/>
          <w:highlight w:val="none"/>
          <w:u w:val="single"/>
        </w:rPr>
        <w:t xml:space="preserve">                </w:t>
      </w:r>
    </w:p>
    <w:p w14:paraId="5E9B1DCA">
      <w:pPr>
        <w:spacing w:line="360" w:lineRule="auto"/>
        <w:ind w:left="540"/>
        <w:contextualSpacing/>
        <w:rPr>
          <w:rFonts w:ascii="宋体" w:hAnsi="宋体" w:cs="仿宋_GB2312"/>
          <w:color w:val="auto"/>
          <w:sz w:val="24"/>
          <w:highlight w:val="none"/>
          <w:u w:val="single"/>
        </w:rPr>
      </w:pPr>
      <w:r>
        <w:rPr>
          <w:rFonts w:hint="eastAsia" w:ascii="宋体" w:hAnsi="宋体" w:cs="仿宋_GB2312"/>
          <w:color w:val="auto"/>
          <w:sz w:val="24"/>
          <w:highlight w:val="none"/>
        </w:rPr>
        <w:t>年    龄：</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职     务：</w:t>
      </w:r>
      <w:r>
        <w:rPr>
          <w:rFonts w:hint="eastAsia" w:ascii="宋体" w:hAnsi="宋体" w:cs="仿宋_GB2312"/>
          <w:color w:val="auto"/>
          <w:sz w:val="24"/>
          <w:highlight w:val="none"/>
          <w:u w:val="single"/>
        </w:rPr>
        <w:t xml:space="preserve">                </w:t>
      </w:r>
    </w:p>
    <w:p w14:paraId="17CD8266">
      <w:pPr>
        <w:spacing w:line="360" w:lineRule="auto"/>
        <w:ind w:left="540"/>
        <w:contextualSpacing/>
        <w:rPr>
          <w:rFonts w:ascii="宋体" w:hAnsi="宋体" w:cs="仿宋_GB2312"/>
          <w:color w:val="auto"/>
          <w:sz w:val="24"/>
          <w:highlight w:val="none"/>
        </w:rPr>
      </w:pPr>
      <w:r>
        <w:rPr>
          <w:rFonts w:hint="eastAsia" w:ascii="宋体" w:hAnsi="宋体" w:cs="仿宋_GB2312"/>
          <w:color w:val="auto"/>
          <w:sz w:val="24"/>
          <w:highlight w:val="none"/>
        </w:rPr>
        <w:t>身份证号码：</w:t>
      </w:r>
      <w:r>
        <w:rPr>
          <w:rFonts w:hint="eastAsia" w:ascii="宋体" w:hAnsi="宋体" w:cs="仿宋_GB2312"/>
          <w:color w:val="auto"/>
          <w:sz w:val="24"/>
          <w:highlight w:val="none"/>
          <w:u w:val="single"/>
        </w:rPr>
        <w:t xml:space="preserve">                                        </w:t>
      </w:r>
    </w:p>
    <w:p w14:paraId="4500DDD1">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系</w:t>
      </w:r>
      <w:r>
        <w:rPr>
          <w:rFonts w:hint="eastAsia" w:ascii="宋体" w:hAnsi="宋体" w:cs="仿宋_GB2312"/>
          <w:color w:val="auto"/>
          <w:sz w:val="24"/>
          <w:highlight w:val="none"/>
          <w:u w:val="single"/>
        </w:rPr>
        <w:t>（供应商名称）</w:t>
      </w:r>
      <w:r>
        <w:rPr>
          <w:rFonts w:hint="eastAsia" w:ascii="宋体" w:hAnsi="宋体" w:cs="仿宋_GB2312"/>
          <w:color w:val="auto"/>
          <w:sz w:val="24"/>
          <w:highlight w:val="none"/>
        </w:rPr>
        <w:t>的法定代表人。</w:t>
      </w:r>
    </w:p>
    <w:p w14:paraId="7EDE34D9">
      <w:pPr>
        <w:spacing w:line="360" w:lineRule="auto"/>
        <w:ind w:left="540"/>
        <w:contextualSpacing/>
        <w:rPr>
          <w:rFonts w:ascii="宋体" w:hAnsi="宋体" w:cs="仿宋_GB2312"/>
          <w:color w:val="auto"/>
          <w:sz w:val="24"/>
          <w:highlight w:val="none"/>
        </w:rPr>
      </w:pPr>
      <w:r>
        <w:rPr>
          <w:rFonts w:hint="eastAsia" w:ascii="宋体" w:hAnsi="宋体" w:cs="仿宋_GB2312"/>
          <w:color w:val="auto"/>
          <w:sz w:val="24"/>
          <w:highlight w:val="none"/>
        </w:rPr>
        <w:t>特此证明。</w:t>
      </w:r>
    </w:p>
    <w:p w14:paraId="120CF98F">
      <w:pPr>
        <w:spacing w:line="360" w:lineRule="auto"/>
        <w:ind w:left="540"/>
        <w:contextualSpacing/>
        <w:rPr>
          <w:rFonts w:ascii="宋体" w:hAnsi="宋体" w:cs="仿宋_GB2312"/>
          <w:color w:val="auto"/>
          <w:sz w:val="24"/>
          <w:highlight w:val="none"/>
        </w:rPr>
      </w:pPr>
    </w:p>
    <w:p w14:paraId="6255122C">
      <w:pPr>
        <w:spacing w:line="360" w:lineRule="auto"/>
        <w:ind w:left="540"/>
        <w:contextualSpacing/>
        <w:rPr>
          <w:rFonts w:ascii="宋体" w:hAnsi="宋体" w:cs="仿宋_GB2312"/>
          <w:color w:val="auto"/>
          <w:sz w:val="24"/>
          <w:highlight w:val="none"/>
        </w:rPr>
      </w:pPr>
    </w:p>
    <w:p w14:paraId="050BDA6B">
      <w:pPr>
        <w:spacing w:line="360" w:lineRule="auto"/>
        <w:ind w:left="540"/>
        <w:contextualSpacing/>
        <w:rPr>
          <w:rFonts w:ascii="宋体" w:hAnsi="宋体" w:cs="仿宋_GB2312"/>
          <w:color w:val="auto"/>
          <w:sz w:val="24"/>
          <w:highlight w:val="none"/>
        </w:rPr>
      </w:pPr>
    </w:p>
    <w:p w14:paraId="0F73C2B1">
      <w:pPr>
        <w:spacing w:line="360" w:lineRule="auto"/>
        <w:ind w:left="540"/>
        <w:contextualSpacing/>
        <w:rPr>
          <w:rFonts w:ascii="宋体" w:hAnsi="宋体" w:cs="仿宋_GB2312"/>
          <w:color w:val="auto"/>
          <w:sz w:val="24"/>
          <w:highlight w:val="none"/>
        </w:rPr>
      </w:pPr>
      <w:r>
        <w:rPr>
          <w:rFonts w:hint="eastAsia" w:ascii="宋体" w:hAnsi="宋体" w:cs="仿宋_GB2312"/>
          <w:color w:val="auto"/>
          <w:sz w:val="24"/>
          <w:highlight w:val="none"/>
        </w:rPr>
        <w:t>附件：法定代表人有效身份证正反面复印件</w:t>
      </w:r>
    </w:p>
    <w:p w14:paraId="136093E6">
      <w:pPr>
        <w:spacing w:line="360" w:lineRule="auto"/>
        <w:ind w:left="540"/>
        <w:contextualSpacing/>
        <w:rPr>
          <w:rFonts w:ascii="宋体" w:hAnsi="宋体" w:cs="仿宋_GB2312"/>
          <w:color w:val="auto"/>
          <w:sz w:val="24"/>
          <w:highlight w:val="none"/>
        </w:rPr>
      </w:pPr>
    </w:p>
    <w:p w14:paraId="0E2B96FC">
      <w:pPr>
        <w:spacing w:line="360" w:lineRule="auto"/>
        <w:ind w:firstLine="5040" w:firstLineChars="2100"/>
        <w:contextualSpacing/>
        <w:rPr>
          <w:rFonts w:ascii="宋体" w:hAnsi="宋体" w:cs="仿宋_GB2312"/>
          <w:color w:val="auto"/>
          <w:sz w:val="24"/>
          <w:highlight w:val="none"/>
        </w:rPr>
      </w:pPr>
      <w:r>
        <w:rPr>
          <w:rFonts w:hint="eastAsia" w:ascii="宋体" w:hAnsi="宋体" w:cs="仿宋_GB2312"/>
          <w:color w:val="auto"/>
          <w:sz w:val="24"/>
          <w:highlight w:val="none"/>
        </w:rPr>
        <w:t>供应商（电子签章）：</w:t>
      </w:r>
    </w:p>
    <w:p w14:paraId="0E18E8A6">
      <w:pPr>
        <w:spacing w:line="360" w:lineRule="auto"/>
        <w:ind w:firstLine="480" w:firstLineChars="200"/>
        <w:contextualSpacing/>
        <w:jc w:val="center"/>
        <w:rPr>
          <w:rFonts w:ascii="仿宋_GB2312" w:hAnsi="仿宋_GB2312" w:eastAsia="仿宋_GB2312" w:cs="仿宋_GB2312"/>
          <w:color w:val="auto"/>
          <w:sz w:val="32"/>
          <w:szCs w:val="32"/>
          <w:highlight w:val="none"/>
        </w:rPr>
      </w:pPr>
      <w:r>
        <w:rPr>
          <w:rFonts w:hint="eastAsia" w:ascii="宋体" w:hAnsi="宋体" w:cs="仿宋_GB2312"/>
          <w:color w:val="auto"/>
          <w:sz w:val="24"/>
          <w:highlight w:val="none"/>
        </w:rPr>
        <w:t xml:space="preserve">                               年   月   日</w:t>
      </w:r>
    </w:p>
    <w:p w14:paraId="070D6B1E">
      <w:pPr>
        <w:spacing w:line="360" w:lineRule="auto"/>
        <w:ind w:firstLine="4080" w:firstLineChars="1700"/>
        <w:contextualSpacing/>
        <w:rPr>
          <w:rFonts w:ascii="宋体" w:hAnsi="宋体" w:cs="仿宋_GB2312"/>
          <w:color w:val="auto"/>
          <w:sz w:val="24"/>
          <w:highlight w:val="none"/>
        </w:rPr>
      </w:pPr>
    </w:p>
    <w:p w14:paraId="06206FAF">
      <w:pPr>
        <w:spacing w:line="360" w:lineRule="auto"/>
        <w:contextualSpacing/>
        <w:jc w:val="center"/>
        <w:rPr>
          <w:rFonts w:ascii="宋体" w:hAnsi="宋体" w:cs="仿宋_GB2312"/>
          <w:b/>
          <w:color w:val="auto"/>
          <w:sz w:val="24"/>
          <w:highlight w:val="none"/>
        </w:rPr>
      </w:pPr>
    </w:p>
    <w:p w14:paraId="3333D903">
      <w:pPr>
        <w:spacing w:line="360" w:lineRule="auto"/>
        <w:contextualSpacing/>
        <w:jc w:val="left"/>
        <w:rPr>
          <w:rFonts w:ascii="宋体" w:hAnsi="宋体" w:cs="仿宋_GB2312"/>
          <w:color w:val="auto"/>
          <w:sz w:val="24"/>
          <w:highlight w:val="none"/>
        </w:rPr>
      </w:pPr>
    </w:p>
    <w:p w14:paraId="304904B3">
      <w:pPr>
        <w:spacing w:line="360" w:lineRule="auto"/>
        <w:contextualSpacing/>
        <w:jc w:val="left"/>
        <w:rPr>
          <w:rFonts w:ascii="宋体" w:hAnsi="宋体" w:cs="仿宋_GB2312"/>
          <w:color w:val="auto"/>
          <w:sz w:val="24"/>
          <w:highlight w:val="none"/>
        </w:rPr>
      </w:pPr>
      <w:r>
        <w:rPr>
          <w:rFonts w:hint="eastAsia" w:ascii="宋体" w:hAnsi="宋体" w:cs="仿宋_GB2312"/>
          <w:color w:val="auto"/>
          <w:sz w:val="24"/>
          <w:highlight w:val="none"/>
        </w:rPr>
        <w:t>注：自然人竞标的无需提供，联合体竞标的只需牵头人出具。</w:t>
      </w:r>
    </w:p>
    <w:p w14:paraId="1526BF92">
      <w:pPr>
        <w:adjustRightInd w:val="0"/>
        <w:snapToGrid w:val="0"/>
        <w:spacing w:line="300" w:lineRule="auto"/>
        <w:jc w:val="left"/>
        <w:rPr>
          <w:rFonts w:ascii="宋体" w:hAnsi="宋体"/>
          <w:b/>
          <w:color w:val="auto"/>
          <w:szCs w:val="21"/>
          <w:highlight w:val="none"/>
        </w:rPr>
      </w:pPr>
    </w:p>
    <w:p w14:paraId="0B2304FF">
      <w:pPr>
        <w:spacing w:line="500" w:lineRule="exact"/>
        <w:jc w:val="center"/>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br w:type="page"/>
      </w:r>
      <w:r>
        <w:rPr>
          <w:rFonts w:ascii="方正小标宋简体" w:hAnsi="方正小标宋简体" w:eastAsia="方正小标宋简体" w:cs="方正小标宋简体"/>
          <w:color w:val="auto"/>
          <w:sz w:val="44"/>
          <w:szCs w:val="44"/>
          <w:highlight w:val="none"/>
        </w:rPr>
        <w:t xml:space="preserve"> </w:t>
      </w:r>
    </w:p>
    <w:p w14:paraId="4B9D5523">
      <w:pPr>
        <w:spacing w:line="520" w:lineRule="exact"/>
        <w:jc w:val="center"/>
        <w:rPr>
          <w:rFonts w:hint="eastAsia" w:asciiTheme="minorEastAsia" w:hAnsiTheme="minorEastAsia" w:eastAsiaTheme="minorEastAsia" w:cstheme="minorEastAsia"/>
          <w:b/>
          <w:bCs/>
          <w:color w:val="auto"/>
          <w:sz w:val="32"/>
          <w:szCs w:val="32"/>
          <w:highlight w:val="none"/>
        </w:rPr>
      </w:pPr>
      <w:bookmarkStart w:id="328" w:name="_Hlk65853643"/>
      <w:r>
        <w:rPr>
          <w:rFonts w:hint="eastAsia" w:asciiTheme="minorEastAsia" w:hAnsiTheme="minorEastAsia" w:eastAsiaTheme="minorEastAsia" w:cstheme="minorEastAsia"/>
          <w:b/>
          <w:bCs/>
          <w:color w:val="auto"/>
          <w:sz w:val="32"/>
          <w:szCs w:val="32"/>
          <w:highlight w:val="none"/>
        </w:rPr>
        <w:t>授权委托书</w:t>
      </w:r>
    </w:p>
    <w:p w14:paraId="42534868">
      <w:pPr>
        <w:spacing w:line="520" w:lineRule="exact"/>
        <w:jc w:val="center"/>
        <w:rPr>
          <w:rFonts w:hint="eastAsia" w:asciiTheme="majorEastAsia" w:hAnsiTheme="majorEastAsia" w:eastAsiaTheme="majorEastAsia" w:cstheme="majorEastAsia"/>
          <w:color w:val="auto"/>
          <w:sz w:val="44"/>
          <w:szCs w:val="44"/>
          <w:highlight w:val="none"/>
        </w:rPr>
      </w:pPr>
      <w:r>
        <w:rPr>
          <w:rFonts w:hint="eastAsia" w:asciiTheme="majorEastAsia" w:hAnsiTheme="majorEastAsia" w:eastAsiaTheme="majorEastAsia" w:cstheme="majorEastAsia"/>
          <w:color w:val="auto"/>
          <w:sz w:val="32"/>
          <w:szCs w:val="32"/>
          <w:highlight w:val="none"/>
        </w:rPr>
        <w:t>（如有委托时）</w:t>
      </w:r>
    </w:p>
    <w:p w14:paraId="364F7C9F">
      <w:pPr>
        <w:spacing w:line="520" w:lineRule="exact"/>
        <w:rPr>
          <w:rFonts w:ascii="仿宋_GB2312" w:hAnsi="仿宋_GB2312" w:eastAsia="仿宋_GB2312" w:cs="仿宋_GB2312"/>
          <w:color w:val="auto"/>
          <w:sz w:val="32"/>
          <w:szCs w:val="32"/>
          <w:highlight w:val="none"/>
        </w:rPr>
      </w:pPr>
    </w:p>
    <w:p w14:paraId="39755654">
      <w:pPr>
        <w:spacing w:line="360" w:lineRule="auto"/>
        <w:rPr>
          <w:rFonts w:ascii="宋体" w:hAnsi="宋体" w:cs="仿宋_GB2312"/>
          <w:color w:val="auto"/>
          <w:sz w:val="24"/>
          <w:highlight w:val="none"/>
        </w:rPr>
      </w:pPr>
      <w:r>
        <w:rPr>
          <w:rFonts w:hint="eastAsia" w:ascii="宋体" w:hAnsi="宋体" w:cs="仿宋_GB2312"/>
          <w:color w:val="auto"/>
          <w:sz w:val="24"/>
          <w:highlight w:val="none"/>
        </w:rPr>
        <w:t>致：</w:t>
      </w:r>
      <w:r>
        <w:rPr>
          <w:rFonts w:hint="eastAsia" w:ascii="宋体" w:hAnsi="宋体" w:cs="仿宋_GB2312"/>
          <w:color w:val="auto"/>
          <w:sz w:val="24"/>
          <w:highlight w:val="none"/>
          <w:u w:val="single"/>
        </w:rPr>
        <w:t>（采购人名称）</w:t>
      </w:r>
      <w:r>
        <w:rPr>
          <w:rFonts w:hint="eastAsia" w:ascii="宋体" w:hAnsi="宋体" w:cs="仿宋_GB2312"/>
          <w:color w:val="auto"/>
          <w:sz w:val="24"/>
          <w:highlight w:val="none"/>
        </w:rPr>
        <w:t>：</w:t>
      </w:r>
    </w:p>
    <w:p w14:paraId="13F3A8C4">
      <w:pPr>
        <w:spacing w:line="360" w:lineRule="auto"/>
        <w:ind w:firstLine="480" w:firstLineChars="200"/>
        <w:rPr>
          <w:rFonts w:ascii="宋体" w:hAnsi="宋体" w:cs="仿宋_GB2312"/>
          <w:color w:val="auto"/>
          <w:sz w:val="24"/>
          <w:highlight w:val="none"/>
        </w:rPr>
      </w:pPr>
      <w:r>
        <w:rPr>
          <w:rFonts w:hint="eastAsia" w:ascii="宋体" w:hAnsi="宋体" w:cs="仿宋_GB2312"/>
          <w:color w:val="auto"/>
          <w:sz w:val="24"/>
          <w:highlight w:val="none"/>
        </w:rPr>
        <w:t>我</w:t>
      </w:r>
      <w:r>
        <w:rPr>
          <w:rFonts w:hint="eastAsia" w:ascii="宋体" w:hAnsi="宋体" w:cs="仿宋_GB2312"/>
          <w:color w:val="auto"/>
          <w:sz w:val="24"/>
          <w:highlight w:val="none"/>
          <w:u w:val="single"/>
        </w:rPr>
        <w:t xml:space="preserve">  （姓名）  </w:t>
      </w:r>
      <w:r>
        <w:rPr>
          <w:rFonts w:hint="eastAsia" w:ascii="宋体" w:hAnsi="宋体" w:cs="仿宋_GB2312"/>
          <w:color w:val="auto"/>
          <w:sz w:val="24"/>
          <w:highlight w:val="none"/>
        </w:rPr>
        <w:t>系</w:t>
      </w:r>
      <w:r>
        <w:rPr>
          <w:rFonts w:hint="eastAsia" w:ascii="宋体" w:hAnsi="宋体" w:cs="仿宋_GB2312"/>
          <w:color w:val="auto"/>
          <w:sz w:val="24"/>
          <w:highlight w:val="none"/>
          <w:u w:val="single"/>
        </w:rPr>
        <w:t xml:space="preserve">  （供应商名称）  </w:t>
      </w:r>
      <w:r>
        <w:rPr>
          <w:rFonts w:hint="eastAsia" w:ascii="宋体" w:hAnsi="宋体" w:cs="仿宋_GB2312"/>
          <w:color w:val="auto"/>
          <w:sz w:val="24"/>
          <w:highlight w:val="none"/>
        </w:rPr>
        <w:t>的（</w:t>
      </w:r>
      <w:r>
        <w:rPr>
          <w:rFonts w:hint="eastAsia" w:ascii="宋体" w:hAnsi="宋体" w:cs="仿宋_GB2312"/>
          <w:color w:val="auto"/>
          <w:sz w:val="24"/>
          <w:highlight w:val="none"/>
          <w:u w:val="single"/>
        </w:rPr>
        <w:sym w:font="Wingdings 2" w:char="00A3"/>
      </w:r>
      <w:r>
        <w:rPr>
          <w:rFonts w:hint="eastAsia" w:ascii="宋体" w:hAnsi="宋体" w:cs="仿宋_GB2312"/>
          <w:color w:val="auto"/>
          <w:sz w:val="24"/>
          <w:highlight w:val="none"/>
          <w:u w:val="single"/>
        </w:rPr>
        <w:t>法定代表人/□负责人/□自然人本人</w:t>
      </w:r>
      <w:r>
        <w:rPr>
          <w:rFonts w:hint="eastAsia" w:ascii="宋体" w:hAnsi="宋体" w:cs="仿宋_GB2312"/>
          <w:color w:val="auto"/>
          <w:sz w:val="24"/>
          <w:highlight w:val="none"/>
        </w:rPr>
        <w:t>），现授权</w:t>
      </w:r>
      <w:r>
        <w:rPr>
          <w:rFonts w:hint="eastAsia" w:ascii="宋体" w:hAnsi="宋体" w:cs="仿宋_GB2312"/>
          <w:color w:val="auto"/>
          <w:sz w:val="24"/>
          <w:highlight w:val="none"/>
          <w:u w:val="single"/>
        </w:rPr>
        <w:t xml:space="preserve"> （姓名） </w:t>
      </w:r>
      <w:r>
        <w:rPr>
          <w:rFonts w:hint="eastAsia" w:ascii="宋体" w:hAnsi="宋体" w:cs="仿宋_GB2312"/>
          <w:color w:val="auto"/>
          <w:sz w:val="24"/>
          <w:highlight w:val="none"/>
        </w:rPr>
        <w:t>以我方的名义参加</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项目的竞标活动，并代表我方全权办理针对上述项目的所有采购程序和环节的具体事务和签署相关文件。</w:t>
      </w:r>
    </w:p>
    <w:p w14:paraId="4E9DC479">
      <w:pPr>
        <w:spacing w:line="360" w:lineRule="auto"/>
        <w:rPr>
          <w:rFonts w:ascii="宋体" w:hAnsi="宋体" w:cs="仿宋_GB2312"/>
          <w:color w:val="auto"/>
          <w:sz w:val="24"/>
          <w:highlight w:val="none"/>
        </w:rPr>
      </w:pPr>
      <w:r>
        <w:rPr>
          <w:rFonts w:hint="eastAsia" w:ascii="宋体" w:hAnsi="宋体" w:cs="仿宋_GB2312"/>
          <w:color w:val="auto"/>
          <w:sz w:val="24"/>
          <w:highlight w:val="none"/>
        </w:rPr>
        <w:t xml:space="preserve">    我方对委托代理人的签字</w:t>
      </w:r>
      <w:r>
        <w:rPr>
          <w:rFonts w:hint="eastAsia" w:ascii="宋体" w:hAnsi="宋体"/>
          <w:color w:val="auto"/>
          <w:sz w:val="24"/>
          <w:highlight w:val="none"/>
        </w:rPr>
        <w:t>或者电子签名</w:t>
      </w:r>
      <w:r>
        <w:rPr>
          <w:rFonts w:hint="eastAsia" w:ascii="宋体" w:hAnsi="宋体" w:cs="仿宋_GB2312"/>
          <w:color w:val="auto"/>
          <w:sz w:val="24"/>
          <w:highlight w:val="none"/>
        </w:rPr>
        <w:t>事项负全部责任。</w:t>
      </w:r>
    </w:p>
    <w:p w14:paraId="4E581272">
      <w:pPr>
        <w:spacing w:line="360" w:lineRule="auto"/>
        <w:ind w:firstLine="480" w:firstLineChars="200"/>
        <w:rPr>
          <w:rFonts w:ascii="宋体" w:hAnsi="宋体" w:cs="仿宋_GB2312"/>
          <w:color w:val="auto"/>
          <w:sz w:val="24"/>
          <w:highlight w:val="none"/>
        </w:rPr>
      </w:pPr>
      <w:r>
        <w:rPr>
          <w:rFonts w:hint="eastAsia" w:ascii="宋体" w:hAnsi="宋体" w:cs="仿宋_GB2312"/>
          <w:color w:val="auto"/>
          <w:sz w:val="24"/>
          <w:highlight w:val="none"/>
        </w:rPr>
        <w:t>本授权书自签署之日起生效，在撤销授权的书面通知以前，本授权书一直有效。委托代理人在授权书有效期内签署的所有文件不因授权的撤销而失效。</w:t>
      </w:r>
    </w:p>
    <w:p w14:paraId="74F0CD98">
      <w:pPr>
        <w:spacing w:line="360" w:lineRule="auto"/>
        <w:ind w:firstLine="480" w:firstLineChars="200"/>
        <w:rPr>
          <w:rFonts w:ascii="宋体" w:hAnsi="宋体" w:cs="仿宋_GB2312"/>
          <w:color w:val="auto"/>
          <w:sz w:val="24"/>
          <w:highlight w:val="none"/>
        </w:rPr>
      </w:pPr>
      <w:r>
        <w:rPr>
          <w:rFonts w:hint="eastAsia" w:ascii="宋体" w:hAnsi="宋体" w:cs="仿宋_GB2312"/>
          <w:color w:val="auto"/>
          <w:sz w:val="24"/>
          <w:highlight w:val="none"/>
        </w:rPr>
        <w:t>委托代理人无转委托权，特此委托。</w:t>
      </w:r>
    </w:p>
    <w:p w14:paraId="2112B1FD">
      <w:pPr>
        <w:spacing w:line="360" w:lineRule="auto"/>
        <w:rPr>
          <w:rFonts w:ascii="宋体" w:hAnsi="宋体" w:cs="仿宋_GB2312"/>
          <w:color w:val="auto"/>
          <w:sz w:val="24"/>
          <w:highlight w:val="none"/>
        </w:rPr>
      </w:pPr>
    </w:p>
    <w:p w14:paraId="40F68F56">
      <w:pPr>
        <w:spacing w:line="360" w:lineRule="auto"/>
        <w:contextualSpacing/>
        <w:rPr>
          <w:rFonts w:hint="eastAsia" w:ascii="宋体" w:hAnsi="宋体" w:cs="仿宋_GB2312"/>
          <w:color w:val="auto"/>
          <w:sz w:val="24"/>
          <w:highlight w:val="none"/>
        </w:rPr>
      </w:pPr>
      <w:r>
        <w:rPr>
          <w:rFonts w:hint="eastAsia" w:ascii="宋体" w:hAnsi="宋体" w:cs="仿宋_GB2312"/>
          <w:color w:val="auto"/>
          <w:sz w:val="24"/>
          <w:highlight w:val="none"/>
        </w:rPr>
        <w:t xml:space="preserve">法定代表人（签字或者盖章或者电子签名）： </w:t>
      </w:r>
    </w:p>
    <w:p w14:paraId="2975110A">
      <w:pPr>
        <w:spacing w:line="360" w:lineRule="auto"/>
        <w:contextualSpacing/>
        <w:rPr>
          <w:rFonts w:ascii="宋体" w:hAnsi="宋体" w:cs="仿宋_GB2312"/>
          <w:color w:val="auto"/>
          <w:sz w:val="24"/>
          <w:highlight w:val="none"/>
        </w:rPr>
      </w:pPr>
      <w:r>
        <w:rPr>
          <w:rFonts w:hint="eastAsia" w:ascii="宋体" w:hAnsi="宋体" w:cs="仿宋_GB2312"/>
          <w:color w:val="auto"/>
          <w:sz w:val="24"/>
          <w:highlight w:val="none"/>
        </w:rPr>
        <w:t>委托代理人（</w:t>
      </w:r>
      <w:r>
        <w:rPr>
          <w:rFonts w:hint="eastAsia" w:ascii="宋体" w:hAnsi="宋体"/>
          <w:color w:val="auto"/>
          <w:sz w:val="24"/>
          <w:highlight w:val="none"/>
        </w:rPr>
        <w:t>签字或者电子签名</w:t>
      </w:r>
      <w:r>
        <w:rPr>
          <w:rFonts w:hint="eastAsia" w:ascii="宋体" w:hAnsi="宋体" w:cs="仿宋_GB2312"/>
          <w:color w:val="auto"/>
          <w:sz w:val="24"/>
          <w:highlight w:val="none"/>
        </w:rPr>
        <w:t xml:space="preserve">）：                        </w:t>
      </w:r>
    </w:p>
    <w:p w14:paraId="06354DEA">
      <w:pPr>
        <w:spacing w:line="360" w:lineRule="auto"/>
        <w:contextualSpacing/>
        <w:rPr>
          <w:rFonts w:ascii="宋体" w:hAnsi="宋体" w:cs="仿宋_GB2312"/>
          <w:color w:val="auto"/>
          <w:sz w:val="24"/>
          <w:highlight w:val="none"/>
        </w:rPr>
      </w:pPr>
      <w:r>
        <w:rPr>
          <w:rFonts w:hint="eastAsia" w:ascii="宋体" w:hAnsi="宋体" w:cs="仿宋_GB2312"/>
          <w:color w:val="auto"/>
          <w:sz w:val="24"/>
          <w:highlight w:val="none"/>
        </w:rPr>
        <w:t xml:space="preserve">委托代理人身份证号码：                              </w:t>
      </w:r>
    </w:p>
    <w:p w14:paraId="161A8A89">
      <w:pPr>
        <w:spacing w:line="360" w:lineRule="auto"/>
        <w:contextualSpacing/>
        <w:rPr>
          <w:rFonts w:ascii="宋体" w:hAnsi="宋体" w:cs="仿宋_GB2312"/>
          <w:color w:val="auto"/>
          <w:sz w:val="24"/>
          <w:highlight w:val="none"/>
        </w:rPr>
      </w:pPr>
      <w:r>
        <w:rPr>
          <w:rFonts w:hint="eastAsia" w:ascii="宋体" w:hAnsi="宋体" w:cs="仿宋_GB2312"/>
          <w:color w:val="auto"/>
          <w:sz w:val="24"/>
          <w:highlight w:val="none"/>
        </w:rPr>
        <w:t xml:space="preserve">                                </w:t>
      </w:r>
    </w:p>
    <w:p w14:paraId="7CA96265">
      <w:pPr>
        <w:spacing w:line="360" w:lineRule="auto"/>
        <w:rPr>
          <w:rFonts w:ascii="宋体" w:hAnsi="宋体" w:cs="仿宋_GB2312"/>
          <w:color w:val="auto"/>
          <w:sz w:val="24"/>
          <w:highlight w:val="none"/>
        </w:rPr>
      </w:pPr>
      <w:r>
        <w:rPr>
          <w:rFonts w:hint="eastAsia" w:ascii="宋体" w:hAnsi="宋体" w:cs="仿宋_GB2312"/>
          <w:color w:val="auto"/>
          <w:sz w:val="24"/>
          <w:highlight w:val="none"/>
        </w:rPr>
        <w:t xml:space="preserve">                        </w:t>
      </w:r>
      <w:r>
        <w:rPr>
          <w:rFonts w:hint="eastAsia" w:ascii="宋体" w:hAnsi="宋体" w:cs="仿宋_GB2312"/>
          <w:color w:val="auto"/>
          <w:sz w:val="24"/>
          <w:highlight w:val="none"/>
          <w:lang w:val="en-US" w:eastAsia="zh-CN"/>
        </w:rPr>
        <w:t xml:space="preserve">                    </w:t>
      </w:r>
      <w:r>
        <w:rPr>
          <w:rFonts w:hint="eastAsia" w:ascii="宋体" w:hAnsi="宋体" w:cs="仿宋_GB2312"/>
          <w:color w:val="auto"/>
          <w:sz w:val="24"/>
          <w:highlight w:val="none"/>
        </w:rPr>
        <w:t xml:space="preserve"> 供应商（电子签章）：                      </w:t>
      </w:r>
    </w:p>
    <w:p w14:paraId="2369C807">
      <w:pPr>
        <w:spacing w:line="360" w:lineRule="auto"/>
        <w:rPr>
          <w:rFonts w:ascii="宋体" w:hAnsi="宋体" w:cs="仿宋_GB2312"/>
          <w:color w:val="auto"/>
          <w:sz w:val="24"/>
          <w:highlight w:val="none"/>
        </w:rPr>
      </w:pPr>
      <w:r>
        <w:rPr>
          <w:rFonts w:hint="eastAsia" w:ascii="宋体" w:hAnsi="宋体" w:cs="仿宋_GB2312"/>
          <w:color w:val="auto"/>
          <w:sz w:val="24"/>
          <w:highlight w:val="none"/>
        </w:rPr>
        <w:t xml:space="preserve">                                      </w:t>
      </w:r>
      <w:r>
        <w:rPr>
          <w:rFonts w:hint="eastAsia" w:ascii="宋体" w:hAnsi="宋体" w:cs="仿宋_GB2312"/>
          <w:color w:val="auto"/>
          <w:sz w:val="24"/>
          <w:highlight w:val="none"/>
          <w:lang w:val="en-US" w:eastAsia="zh-CN"/>
        </w:rPr>
        <w:t xml:space="preserve">        </w:t>
      </w:r>
      <w:r>
        <w:rPr>
          <w:rFonts w:hint="eastAsia" w:ascii="宋体" w:hAnsi="宋体" w:cs="仿宋_GB2312"/>
          <w:color w:val="auto"/>
          <w:sz w:val="24"/>
          <w:highlight w:val="none"/>
        </w:rPr>
        <w:t xml:space="preserve">   年    月    日</w:t>
      </w:r>
    </w:p>
    <w:p w14:paraId="030A6BE3">
      <w:pPr>
        <w:spacing w:line="360" w:lineRule="auto"/>
        <w:rPr>
          <w:rFonts w:ascii="宋体" w:hAnsi="宋体" w:cs="仿宋_GB2312"/>
          <w:color w:val="auto"/>
          <w:sz w:val="24"/>
          <w:highlight w:val="none"/>
        </w:rPr>
      </w:pPr>
    </w:p>
    <w:p w14:paraId="08BB330B">
      <w:pPr>
        <w:spacing w:line="360" w:lineRule="auto"/>
        <w:rPr>
          <w:rFonts w:ascii="宋体" w:hAnsi="宋体" w:cs="仿宋_GB2312"/>
          <w:color w:val="auto"/>
          <w:sz w:val="24"/>
          <w:highlight w:val="none"/>
        </w:rPr>
      </w:pPr>
      <w:r>
        <w:rPr>
          <w:rFonts w:hint="eastAsia" w:ascii="宋体" w:hAnsi="宋体" w:cs="仿宋_GB2312"/>
          <w:color w:val="auto"/>
          <w:sz w:val="24"/>
          <w:highlight w:val="none"/>
        </w:rPr>
        <w:t>注：1. 法定代表人必须在授权委托书上签字或者盖章</w:t>
      </w:r>
      <w:r>
        <w:rPr>
          <w:rFonts w:hint="eastAsia" w:ascii="宋体" w:hAnsi="宋体"/>
          <w:color w:val="auto"/>
          <w:sz w:val="24"/>
          <w:highlight w:val="none"/>
        </w:rPr>
        <w:t>或者电子签名</w:t>
      </w:r>
      <w:r>
        <w:rPr>
          <w:rFonts w:hint="eastAsia" w:ascii="宋体" w:hAnsi="宋体" w:cs="仿宋_GB2312"/>
          <w:color w:val="auto"/>
          <w:sz w:val="24"/>
          <w:highlight w:val="none"/>
        </w:rPr>
        <w:t>，委托代理人必须在授权委托书上签字或者电子签名，</w:t>
      </w:r>
      <w:r>
        <w:rPr>
          <w:rFonts w:hint="eastAsia" w:ascii="宋体" w:hAnsi="宋体" w:cs="仿宋_GB2312"/>
          <w:b/>
          <w:color w:val="auto"/>
          <w:sz w:val="24"/>
          <w:highlight w:val="none"/>
        </w:rPr>
        <w:t>否则其响应文件按无效响应处理。</w:t>
      </w:r>
    </w:p>
    <w:p w14:paraId="3FC3AF9E">
      <w:pPr>
        <w:spacing w:line="360" w:lineRule="auto"/>
        <w:ind w:firstLine="480" w:firstLineChars="200"/>
        <w:jc w:val="left"/>
        <w:rPr>
          <w:rFonts w:ascii="宋体" w:hAnsi="宋体" w:cs="仿宋_GB2312"/>
          <w:color w:val="auto"/>
          <w:sz w:val="24"/>
          <w:highlight w:val="none"/>
        </w:rPr>
      </w:pPr>
      <w:r>
        <w:rPr>
          <w:rFonts w:ascii="宋体" w:hAnsi="宋体" w:cs="仿宋_GB2312"/>
          <w:color w:val="auto"/>
          <w:sz w:val="24"/>
          <w:highlight w:val="none"/>
        </w:rPr>
        <w:t>2.</w:t>
      </w:r>
      <w:bookmarkStart w:id="329" w:name="_Hlk65853109"/>
      <w:bookmarkStart w:id="330" w:name="_Hlk65853542"/>
      <w:r>
        <w:rPr>
          <w:rFonts w:hint="eastAsia" w:ascii="宋体" w:hAnsi="宋体" w:cs="仿宋_GB2312"/>
          <w:color w:val="auto"/>
          <w:sz w:val="24"/>
          <w:highlight w:val="none"/>
        </w:rPr>
        <w:t>法人、其他组织竞标时“我方”是指“我单位”，自然人竞标时“我方”是指“本人”。</w:t>
      </w:r>
      <w:bookmarkEnd w:id="329"/>
    </w:p>
    <w:bookmarkEnd w:id="330"/>
    <w:p w14:paraId="2BB95247">
      <w:pPr>
        <w:spacing w:line="360" w:lineRule="auto"/>
        <w:ind w:firstLine="482" w:firstLineChars="200"/>
        <w:rPr>
          <w:rFonts w:ascii="宋体" w:hAnsi="宋体" w:cs="仿宋_GB2312"/>
          <w:b/>
          <w:bCs/>
          <w:color w:val="auto"/>
          <w:sz w:val="24"/>
          <w:highlight w:val="none"/>
        </w:rPr>
      </w:pPr>
      <w:r>
        <w:rPr>
          <w:rFonts w:hint="eastAsia" w:ascii="宋体" w:hAnsi="宋体" w:cs="仿宋_GB2312"/>
          <w:b/>
          <w:bCs/>
          <w:color w:val="auto"/>
          <w:sz w:val="24"/>
          <w:highlight w:val="none"/>
          <w:lang w:val="en-US" w:eastAsia="zh-CN"/>
        </w:rPr>
        <w:t>3.</w:t>
      </w:r>
      <w:r>
        <w:rPr>
          <w:rFonts w:hint="eastAsia" w:ascii="宋体" w:hAnsi="宋体" w:cs="仿宋_GB2312"/>
          <w:b/>
          <w:bCs/>
          <w:color w:val="auto"/>
          <w:sz w:val="24"/>
          <w:highlight w:val="none"/>
        </w:rPr>
        <w:t>附法定代表人身份证明书及委托代理人有效身份证正反面复印件</w:t>
      </w:r>
    </w:p>
    <w:p w14:paraId="52703890">
      <w:pPr>
        <w:spacing w:line="360" w:lineRule="auto"/>
        <w:ind w:firstLine="420" w:firstLineChars="200"/>
        <w:jc w:val="left"/>
        <w:rPr>
          <w:rFonts w:ascii="仿宋_GB2312" w:hAnsi="仿宋_GB2312" w:eastAsia="仿宋_GB2312" w:cs="仿宋_GB2312"/>
          <w:color w:val="auto"/>
          <w:szCs w:val="21"/>
          <w:highlight w:val="none"/>
        </w:rPr>
      </w:pPr>
    </w:p>
    <w:p w14:paraId="43F6CD28">
      <w:pPr>
        <w:spacing w:line="500" w:lineRule="exact"/>
        <w:jc w:val="center"/>
        <w:rPr>
          <w:rFonts w:hint="eastAsia" w:asciiTheme="minorEastAsia" w:hAnsiTheme="minorEastAsia" w:eastAsiaTheme="minorEastAsia" w:cstheme="minorEastAsia"/>
          <w:b/>
          <w:bCs w:val="0"/>
          <w:color w:val="auto"/>
          <w:sz w:val="32"/>
          <w:szCs w:val="32"/>
          <w:highlight w:val="none"/>
        </w:rPr>
      </w:pPr>
      <w:r>
        <w:rPr>
          <w:rFonts w:ascii="仿宋_GB2312" w:hAnsi="仿宋_GB2312" w:eastAsia="仿宋_GB2312" w:cs="仿宋_GB2312"/>
          <w:color w:val="auto"/>
          <w:szCs w:val="21"/>
          <w:highlight w:val="none"/>
        </w:rPr>
        <w:br w:type="page"/>
      </w:r>
      <w:bookmarkEnd w:id="328"/>
      <w:r>
        <w:rPr>
          <w:rFonts w:hint="eastAsia" w:asciiTheme="minorEastAsia" w:hAnsiTheme="minorEastAsia" w:eastAsiaTheme="minorEastAsia" w:cstheme="minorEastAsia"/>
          <w:b/>
          <w:bCs w:val="0"/>
          <w:color w:val="auto"/>
          <w:sz w:val="32"/>
          <w:szCs w:val="32"/>
          <w:highlight w:val="none"/>
        </w:rPr>
        <w:t>商务要求偏离表格式</w:t>
      </w:r>
    </w:p>
    <w:p w14:paraId="0F3DF403">
      <w:pPr>
        <w:spacing w:line="500" w:lineRule="exact"/>
        <w:jc w:val="center"/>
        <w:rPr>
          <w:rFonts w:ascii="宋体" w:hAnsi="宋体"/>
          <w:b/>
          <w:i/>
          <w:color w:val="auto"/>
          <w:sz w:val="32"/>
          <w:szCs w:val="32"/>
          <w:highlight w:val="none"/>
        </w:rPr>
      </w:pPr>
    </w:p>
    <w:p w14:paraId="283F90D8">
      <w:pPr>
        <w:spacing w:line="360" w:lineRule="auto"/>
        <w:contextualSpacing/>
        <w:jc w:val="left"/>
        <w:rPr>
          <w:rFonts w:ascii="宋体" w:hAnsi="宋体"/>
          <w:color w:val="auto"/>
          <w:sz w:val="24"/>
          <w:highlight w:val="none"/>
        </w:rPr>
      </w:pPr>
    </w:p>
    <w:p w14:paraId="62F621B3">
      <w:pPr>
        <w:spacing w:line="360" w:lineRule="auto"/>
        <w:contextualSpacing/>
        <w:rPr>
          <w:rFonts w:ascii="宋体" w:hAnsi="宋体" w:cs="仿宋_GB2312"/>
          <w:color w:val="auto"/>
          <w:sz w:val="24"/>
          <w:highlight w:val="none"/>
          <w:u w:val="single"/>
        </w:rPr>
      </w:pPr>
      <w:r>
        <w:rPr>
          <w:rFonts w:hint="eastAsia" w:ascii="宋体" w:hAnsi="宋体" w:cs="仿宋_GB2312"/>
          <w:color w:val="auto"/>
          <w:sz w:val="24"/>
          <w:highlight w:val="none"/>
        </w:rPr>
        <w:t>采购项目编号：</w:t>
      </w:r>
      <w:r>
        <w:rPr>
          <w:rFonts w:hint="eastAsia" w:ascii="宋体" w:hAnsi="宋体" w:cs="仿宋_GB2312"/>
          <w:color w:val="auto"/>
          <w:sz w:val="24"/>
          <w:highlight w:val="none"/>
          <w:u w:val="single"/>
        </w:rPr>
        <w:t xml:space="preserve">                 </w:t>
      </w:r>
    </w:p>
    <w:p w14:paraId="266B7D4B">
      <w:pPr>
        <w:spacing w:line="360" w:lineRule="auto"/>
        <w:contextualSpacing/>
        <w:rPr>
          <w:rFonts w:ascii="宋体" w:hAnsi="宋体" w:cs="仿宋_GB2312"/>
          <w:color w:val="auto"/>
          <w:sz w:val="24"/>
          <w:highlight w:val="none"/>
        </w:rPr>
      </w:pPr>
      <w:r>
        <w:rPr>
          <w:rFonts w:hint="eastAsia" w:ascii="宋体" w:hAnsi="宋体" w:cs="仿宋_GB2312"/>
          <w:color w:val="auto"/>
          <w:sz w:val="24"/>
          <w:highlight w:val="none"/>
        </w:rPr>
        <w:t>采购项目名称：</w:t>
      </w:r>
      <w:r>
        <w:rPr>
          <w:rFonts w:hint="eastAsia" w:ascii="宋体" w:hAnsi="宋体" w:cs="仿宋_GB2312"/>
          <w:color w:val="auto"/>
          <w:sz w:val="24"/>
          <w:highlight w:val="none"/>
          <w:u w:val="single"/>
        </w:rPr>
        <w:t xml:space="preserve">                 </w:t>
      </w:r>
    </w:p>
    <w:p w14:paraId="64777278">
      <w:pPr>
        <w:spacing w:line="360" w:lineRule="auto"/>
        <w:contextualSpacing/>
        <w:rPr>
          <w:rFonts w:ascii="宋体" w:hAnsi="宋体" w:cs="仿宋_GB2312"/>
          <w:color w:val="auto"/>
          <w:sz w:val="24"/>
          <w:highlight w:val="none"/>
          <w:u w:val="single"/>
        </w:rPr>
      </w:pPr>
      <w:r>
        <w:rPr>
          <w:rFonts w:hint="eastAsia" w:ascii="宋体" w:hAnsi="宋体" w:cs="仿宋_GB2312"/>
          <w:color w:val="auto"/>
          <w:sz w:val="24"/>
          <w:highlight w:val="none"/>
        </w:rPr>
        <w:t>分标号：</w:t>
      </w:r>
      <w:r>
        <w:rPr>
          <w:rFonts w:hint="eastAsia" w:ascii="宋体" w:hAnsi="宋体" w:cs="仿宋_GB2312"/>
          <w:color w:val="auto"/>
          <w:sz w:val="24"/>
          <w:highlight w:val="none"/>
          <w:u w:val="single"/>
        </w:rPr>
        <w:t xml:space="preserve">                       </w:t>
      </w:r>
    </w:p>
    <w:p w14:paraId="3D833539">
      <w:pPr>
        <w:spacing w:line="360" w:lineRule="auto"/>
        <w:contextualSpacing/>
        <w:jc w:val="left"/>
        <w:rPr>
          <w:rFonts w:ascii="宋体" w:hAnsi="宋体" w:cs="仿宋_GB2312"/>
          <w:color w:val="auto"/>
          <w:sz w:val="24"/>
          <w:highlight w:val="none"/>
          <w:u w:val="single"/>
        </w:rPr>
      </w:pPr>
    </w:p>
    <w:tbl>
      <w:tblPr>
        <w:tblStyle w:val="50"/>
        <w:tblpPr w:leftFromText="180" w:rightFromText="180" w:vertAnchor="text" w:horzAnchor="margin" w:tblpY="-9"/>
        <w:tblOverlap w:val="never"/>
        <w:tblW w:w="930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78"/>
        <w:gridCol w:w="2668"/>
        <w:gridCol w:w="2350"/>
        <w:gridCol w:w="2112"/>
      </w:tblGrid>
      <w:tr w14:paraId="73D480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2178" w:type="dxa"/>
            <w:tcBorders>
              <w:top w:val="single" w:color="auto" w:sz="4" w:space="0"/>
              <w:left w:val="single" w:color="auto" w:sz="4" w:space="0"/>
              <w:bottom w:val="single" w:color="auto" w:sz="4" w:space="0"/>
              <w:right w:val="single" w:color="auto" w:sz="4" w:space="0"/>
            </w:tcBorders>
            <w:vAlign w:val="center"/>
          </w:tcPr>
          <w:p w14:paraId="3E9BEC2D">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rPr>
              <w:t>项目</w:t>
            </w:r>
          </w:p>
        </w:tc>
        <w:tc>
          <w:tcPr>
            <w:tcW w:w="2668" w:type="dxa"/>
            <w:tcBorders>
              <w:top w:val="single" w:color="auto" w:sz="4" w:space="0"/>
              <w:left w:val="single" w:color="auto" w:sz="4" w:space="0"/>
              <w:bottom w:val="single" w:color="auto" w:sz="4" w:space="0"/>
              <w:right w:val="single" w:color="auto" w:sz="4" w:space="0"/>
            </w:tcBorders>
            <w:vAlign w:val="center"/>
          </w:tcPr>
          <w:p w14:paraId="5D70400A">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rPr>
              <w:t>磋商文件商务要求</w:t>
            </w:r>
          </w:p>
        </w:tc>
        <w:tc>
          <w:tcPr>
            <w:tcW w:w="2350" w:type="dxa"/>
            <w:tcBorders>
              <w:top w:val="single" w:color="auto" w:sz="4" w:space="0"/>
              <w:left w:val="single" w:color="auto" w:sz="4" w:space="0"/>
              <w:bottom w:val="single" w:color="auto" w:sz="4" w:space="0"/>
              <w:right w:val="single" w:color="auto" w:sz="4" w:space="0"/>
            </w:tcBorders>
            <w:vAlign w:val="center"/>
          </w:tcPr>
          <w:p w14:paraId="2C40C216">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rPr>
              <w:t>供应商的响应</w:t>
            </w:r>
          </w:p>
        </w:tc>
        <w:tc>
          <w:tcPr>
            <w:tcW w:w="2112" w:type="dxa"/>
            <w:tcBorders>
              <w:top w:val="single" w:color="auto" w:sz="4" w:space="0"/>
              <w:left w:val="single" w:color="auto" w:sz="4" w:space="0"/>
              <w:bottom w:val="single" w:color="auto" w:sz="4" w:space="0"/>
              <w:right w:val="single" w:color="auto" w:sz="4" w:space="0"/>
            </w:tcBorders>
            <w:vAlign w:val="center"/>
          </w:tcPr>
          <w:p w14:paraId="452AA3BB">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rPr>
              <w:t>偏离说明</w:t>
            </w:r>
          </w:p>
        </w:tc>
      </w:tr>
      <w:tr w14:paraId="644E4B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2178" w:type="dxa"/>
            <w:tcBorders>
              <w:top w:val="single" w:color="auto" w:sz="4" w:space="0"/>
              <w:left w:val="single" w:color="auto" w:sz="4" w:space="0"/>
              <w:bottom w:val="single" w:color="auto" w:sz="4" w:space="0"/>
              <w:right w:val="single" w:color="auto" w:sz="4" w:space="0"/>
            </w:tcBorders>
            <w:vAlign w:val="center"/>
          </w:tcPr>
          <w:p w14:paraId="3FB671BA">
            <w:pPr>
              <w:jc w:val="center"/>
              <w:rPr>
                <w:rFonts w:ascii="宋体" w:hAnsi="宋体"/>
                <w:color w:val="auto"/>
                <w:sz w:val="24"/>
                <w:highlight w:val="none"/>
              </w:rPr>
            </w:pPr>
          </w:p>
        </w:tc>
        <w:tc>
          <w:tcPr>
            <w:tcW w:w="2668" w:type="dxa"/>
            <w:tcBorders>
              <w:top w:val="single" w:color="auto" w:sz="4" w:space="0"/>
              <w:left w:val="single" w:color="auto" w:sz="4" w:space="0"/>
              <w:bottom w:val="single" w:color="auto" w:sz="4" w:space="0"/>
              <w:right w:val="single" w:color="auto" w:sz="4" w:space="0"/>
            </w:tcBorders>
            <w:vAlign w:val="center"/>
          </w:tcPr>
          <w:p w14:paraId="462E9BE1">
            <w:pPr>
              <w:spacing w:line="360" w:lineRule="auto"/>
              <w:contextualSpacing/>
              <w:jc w:val="center"/>
              <w:rPr>
                <w:rFonts w:ascii="宋体" w:hAnsi="宋体" w:cs="仿宋_GB2312"/>
                <w:color w:val="auto"/>
                <w:sz w:val="24"/>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14:paraId="4E3DA312">
            <w:pPr>
              <w:spacing w:line="360" w:lineRule="auto"/>
              <w:contextualSpacing/>
              <w:jc w:val="center"/>
              <w:rPr>
                <w:rFonts w:ascii="宋体" w:hAnsi="宋体" w:cs="仿宋_GB2312"/>
                <w:color w:val="auto"/>
                <w:sz w:val="24"/>
                <w:highlight w:val="none"/>
              </w:rPr>
            </w:pPr>
          </w:p>
        </w:tc>
        <w:tc>
          <w:tcPr>
            <w:tcW w:w="2112" w:type="dxa"/>
            <w:tcBorders>
              <w:top w:val="single" w:color="auto" w:sz="4" w:space="0"/>
              <w:left w:val="single" w:color="auto" w:sz="4" w:space="0"/>
              <w:bottom w:val="single" w:color="auto" w:sz="4" w:space="0"/>
              <w:right w:val="single" w:color="auto" w:sz="4" w:space="0"/>
            </w:tcBorders>
            <w:vAlign w:val="center"/>
          </w:tcPr>
          <w:p w14:paraId="32B5ED83">
            <w:pPr>
              <w:spacing w:line="360" w:lineRule="auto"/>
              <w:contextualSpacing/>
              <w:jc w:val="center"/>
              <w:rPr>
                <w:rFonts w:ascii="宋体" w:hAnsi="宋体" w:cs="仿宋_GB2312"/>
                <w:color w:val="auto"/>
                <w:sz w:val="24"/>
                <w:highlight w:val="none"/>
              </w:rPr>
            </w:pPr>
          </w:p>
        </w:tc>
      </w:tr>
      <w:tr w14:paraId="1DFEA8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2178" w:type="dxa"/>
            <w:tcBorders>
              <w:top w:val="single" w:color="auto" w:sz="4" w:space="0"/>
              <w:left w:val="single" w:color="auto" w:sz="4" w:space="0"/>
              <w:bottom w:val="single" w:color="auto" w:sz="4" w:space="0"/>
              <w:right w:val="single" w:color="auto" w:sz="4" w:space="0"/>
            </w:tcBorders>
            <w:vAlign w:val="center"/>
          </w:tcPr>
          <w:p w14:paraId="59FE5004">
            <w:pPr>
              <w:jc w:val="center"/>
              <w:rPr>
                <w:rFonts w:ascii="宋体" w:hAnsi="宋体"/>
                <w:color w:val="auto"/>
                <w:sz w:val="24"/>
                <w:highlight w:val="none"/>
              </w:rPr>
            </w:pPr>
          </w:p>
        </w:tc>
        <w:tc>
          <w:tcPr>
            <w:tcW w:w="2668" w:type="dxa"/>
            <w:tcBorders>
              <w:top w:val="single" w:color="auto" w:sz="4" w:space="0"/>
              <w:left w:val="single" w:color="auto" w:sz="4" w:space="0"/>
              <w:bottom w:val="single" w:color="auto" w:sz="4" w:space="0"/>
              <w:right w:val="single" w:color="auto" w:sz="4" w:space="0"/>
            </w:tcBorders>
            <w:vAlign w:val="center"/>
          </w:tcPr>
          <w:p w14:paraId="5A8A0A47">
            <w:pPr>
              <w:spacing w:line="360" w:lineRule="auto"/>
              <w:contextualSpacing/>
              <w:jc w:val="center"/>
              <w:rPr>
                <w:rFonts w:ascii="宋体" w:hAnsi="宋体" w:cs="仿宋_GB2312"/>
                <w:color w:val="auto"/>
                <w:sz w:val="24"/>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14:paraId="6131203B">
            <w:pPr>
              <w:spacing w:line="360" w:lineRule="auto"/>
              <w:ind w:left="43"/>
              <w:contextualSpacing/>
              <w:jc w:val="center"/>
              <w:rPr>
                <w:rFonts w:ascii="宋体" w:hAnsi="宋体" w:cs="仿宋_GB2312"/>
                <w:color w:val="auto"/>
                <w:sz w:val="24"/>
                <w:highlight w:val="none"/>
              </w:rPr>
            </w:pPr>
          </w:p>
        </w:tc>
        <w:tc>
          <w:tcPr>
            <w:tcW w:w="2112" w:type="dxa"/>
            <w:tcBorders>
              <w:top w:val="single" w:color="auto" w:sz="4" w:space="0"/>
              <w:left w:val="single" w:color="auto" w:sz="4" w:space="0"/>
              <w:bottom w:val="single" w:color="auto" w:sz="4" w:space="0"/>
              <w:right w:val="single" w:color="auto" w:sz="4" w:space="0"/>
            </w:tcBorders>
            <w:vAlign w:val="center"/>
          </w:tcPr>
          <w:p w14:paraId="39073870">
            <w:pPr>
              <w:spacing w:line="360" w:lineRule="auto"/>
              <w:ind w:left="43"/>
              <w:contextualSpacing/>
              <w:jc w:val="center"/>
              <w:rPr>
                <w:rFonts w:ascii="宋体" w:hAnsi="宋体" w:cs="仿宋_GB2312"/>
                <w:color w:val="auto"/>
                <w:sz w:val="24"/>
                <w:highlight w:val="none"/>
              </w:rPr>
            </w:pPr>
          </w:p>
        </w:tc>
      </w:tr>
      <w:tr w14:paraId="5BEE48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178" w:type="dxa"/>
            <w:tcBorders>
              <w:top w:val="single" w:color="auto" w:sz="4" w:space="0"/>
              <w:left w:val="single" w:color="auto" w:sz="4" w:space="0"/>
              <w:bottom w:val="single" w:color="auto" w:sz="4" w:space="0"/>
              <w:right w:val="single" w:color="auto" w:sz="4" w:space="0"/>
            </w:tcBorders>
            <w:vAlign w:val="center"/>
          </w:tcPr>
          <w:p w14:paraId="5AF4BF9B">
            <w:pPr>
              <w:spacing w:line="360" w:lineRule="auto"/>
              <w:contextualSpacing/>
              <w:jc w:val="center"/>
              <w:rPr>
                <w:rFonts w:ascii="宋体" w:hAnsi="宋体" w:cs="仿宋_GB2312"/>
                <w:color w:val="auto"/>
                <w:sz w:val="24"/>
                <w:highlight w:val="none"/>
              </w:rPr>
            </w:pPr>
          </w:p>
        </w:tc>
        <w:tc>
          <w:tcPr>
            <w:tcW w:w="2668" w:type="dxa"/>
            <w:tcBorders>
              <w:top w:val="single" w:color="auto" w:sz="4" w:space="0"/>
              <w:left w:val="single" w:color="auto" w:sz="4" w:space="0"/>
              <w:bottom w:val="single" w:color="auto" w:sz="4" w:space="0"/>
              <w:right w:val="single" w:color="auto" w:sz="4" w:space="0"/>
            </w:tcBorders>
            <w:vAlign w:val="center"/>
          </w:tcPr>
          <w:p w14:paraId="56AAAAE4">
            <w:pPr>
              <w:spacing w:line="360" w:lineRule="auto"/>
              <w:contextualSpacing/>
              <w:jc w:val="center"/>
              <w:rPr>
                <w:rFonts w:ascii="宋体" w:hAnsi="宋体" w:cs="仿宋_GB2312"/>
                <w:color w:val="auto"/>
                <w:sz w:val="24"/>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14:paraId="28AC5A48">
            <w:pPr>
              <w:spacing w:line="360" w:lineRule="auto"/>
              <w:contextualSpacing/>
              <w:jc w:val="center"/>
              <w:rPr>
                <w:rFonts w:ascii="宋体" w:hAnsi="宋体" w:cs="仿宋_GB2312"/>
                <w:color w:val="auto"/>
                <w:sz w:val="24"/>
                <w:highlight w:val="none"/>
              </w:rPr>
            </w:pPr>
          </w:p>
        </w:tc>
        <w:tc>
          <w:tcPr>
            <w:tcW w:w="2112" w:type="dxa"/>
            <w:tcBorders>
              <w:top w:val="single" w:color="auto" w:sz="4" w:space="0"/>
              <w:left w:val="single" w:color="auto" w:sz="4" w:space="0"/>
              <w:bottom w:val="single" w:color="auto" w:sz="4" w:space="0"/>
              <w:right w:val="single" w:color="auto" w:sz="4" w:space="0"/>
            </w:tcBorders>
            <w:vAlign w:val="center"/>
          </w:tcPr>
          <w:p w14:paraId="1F8C6701">
            <w:pPr>
              <w:spacing w:line="360" w:lineRule="auto"/>
              <w:contextualSpacing/>
              <w:jc w:val="center"/>
              <w:rPr>
                <w:rFonts w:ascii="宋体" w:hAnsi="宋体" w:cs="仿宋_GB2312"/>
                <w:color w:val="auto"/>
                <w:sz w:val="24"/>
                <w:highlight w:val="none"/>
              </w:rPr>
            </w:pPr>
          </w:p>
        </w:tc>
      </w:tr>
    </w:tbl>
    <w:p w14:paraId="71AB983E">
      <w:pPr>
        <w:pStyle w:val="17"/>
        <w:spacing w:after="0" w:line="360" w:lineRule="auto"/>
        <w:contextualSpacing/>
        <w:rPr>
          <w:rFonts w:ascii="宋体" w:hAnsi="宋体"/>
          <w:color w:val="auto"/>
          <w:kern w:val="0"/>
          <w:sz w:val="24"/>
          <w:szCs w:val="24"/>
          <w:highlight w:val="none"/>
        </w:rPr>
      </w:pPr>
      <w:r>
        <w:rPr>
          <w:rFonts w:hint="eastAsia" w:ascii="宋体" w:hAnsi="宋体"/>
          <w:color w:val="auto"/>
          <w:kern w:val="0"/>
          <w:sz w:val="24"/>
          <w:szCs w:val="24"/>
          <w:highlight w:val="none"/>
        </w:rPr>
        <w:t>注：</w:t>
      </w:r>
    </w:p>
    <w:p w14:paraId="223DB69C">
      <w:pPr>
        <w:pStyle w:val="17"/>
        <w:spacing w:after="0" w:line="360" w:lineRule="auto"/>
        <w:contextualSpacing/>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 说明：应对照磋商文件“第</w:t>
      </w:r>
      <w:r>
        <w:rPr>
          <w:rFonts w:hint="eastAsia" w:ascii="宋体" w:hAnsi="宋体" w:eastAsia="宋体" w:cs="宋体"/>
          <w:color w:val="auto"/>
          <w:kern w:val="0"/>
          <w:sz w:val="24"/>
          <w:szCs w:val="24"/>
          <w:highlight w:val="none"/>
          <w:lang w:eastAsia="zh-CN"/>
        </w:rPr>
        <w:t>二</w:t>
      </w:r>
      <w:r>
        <w:rPr>
          <w:rFonts w:hint="eastAsia" w:ascii="宋体" w:hAnsi="宋体" w:eastAsia="宋体" w:cs="宋体"/>
          <w:color w:val="auto"/>
          <w:kern w:val="0"/>
          <w:sz w:val="24"/>
          <w:szCs w:val="24"/>
          <w:highlight w:val="none"/>
        </w:rPr>
        <w:t>章 采购需求”中的</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商务要求</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逐条作出明确响应，并作出偏离说明。</w:t>
      </w:r>
    </w:p>
    <w:p w14:paraId="15DF896A">
      <w:pPr>
        <w:spacing w:line="360" w:lineRule="auto"/>
        <w:contextualSpacing/>
        <w:jc w:val="left"/>
        <w:rPr>
          <w:rFonts w:ascii="宋体" w:hAnsi="宋体" w:cs="仿宋_GB2312"/>
          <w:color w:val="auto"/>
          <w:sz w:val="24"/>
          <w:highlight w:val="none"/>
          <w:u w:val="single"/>
        </w:rPr>
      </w:pPr>
      <w:r>
        <w:rPr>
          <w:rFonts w:hint="eastAsia" w:ascii="宋体" w:hAnsi="宋体"/>
          <w:color w:val="auto"/>
          <w:kern w:val="0"/>
          <w:sz w:val="24"/>
          <w:highlight w:val="none"/>
        </w:rPr>
        <w:t>2.供应商应根据自身的承诺，对照磋商文件要求在“偏离说明”中注明“正偏离”、“负偏离”或者“无偏离”。既不属于“正偏离”也不属于“负偏离”即为“无偏离”。</w:t>
      </w:r>
    </w:p>
    <w:p w14:paraId="5216DF21">
      <w:pPr>
        <w:spacing w:line="360" w:lineRule="auto"/>
        <w:ind w:right="-817" w:rightChars="-389"/>
        <w:contextualSpacing/>
        <w:rPr>
          <w:rFonts w:ascii="宋体" w:hAnsi="宋体" w:cs="仿宋_GB2312"/>
          <w:color w:val="auto"/>
          <w:sz w:val="24"/>
          <w:highlight w:val="none"/>
        </w:rPr>
      </w:pPr>
    </w:p>
    <w:p w14:paraId="74B78094">
      <w:pPr>
        <w:spacing w:line="360" w:lineRule="auto"/>
        <w:ind w:right="-817" w:rightChars="-389"/>
        <w:contextualSpacing/>
        <w:jc w:val="center"/>
        <w:rPr>
          <w:rFonts w:ascii="宋体" w:hAnsi="宋体" w:cs="仿宋_GB2312"/>
          <w:color w:val="auto"/>
          <w:sz w:val="24"/>
          <w:highlight w:val="none"/>
        </w:rPr>
      </w:pPr>
      <w:r>
        <w:rPr>
          <w:rFonts w:hint="eastAsia" w:ascii="宋体" w:hAnsi="宋体" w:cs="仿宋_GB2312"/>
          <w:color w:val="auto"/>
          <w:sz w:val="24"/>
          <w:highlight w:val="none"/>
          <w:lang w:val="en-US" w:eastAsia="zh-CN"/>
        </w:rPr>
        <w:t xml:space="preserve">          </w:t>
      </w:r>
      <w:r>
        <w:rPr>
          <w:rFonts w:hint="eastAsia" w:ascii="宋体" w:hAnsi="宋体" w:cs="仿宋_GB2312"/>
          <w:color w:val="auto"/>
          <w:sz w:val="24"/>
          <w:highlight w:val="none"/>
        </w:rPr>
        <w:t>法定代表人或者委托代理人（签字或者电子签名）：</w:t>
      </w:r>
    </w:p>
    <w:p w14:paraId="20121DAC">
      <w:pPr>
        <w:spacing w:line="360" w:lineRule="auto"/>
        <w:ind w:right="-817" w:rightChars="-389" w:firstLine="4080" w:firstLineChars="1700"/>
        <w:contextualSpacing/>
        <w:rPr>
          <w:rFonts w:ascii="宋体" w:hAnsi="宋体" w:cs="仿宋_GB2312"/>
          <w:color w:val="auto"/>
          <w:sz w:val="24"/>
          <w:highlight w:val="none"/>
        </w:rPr>
      </w:pPr>
      <w:r>
        <w:rPr>
          <w:rFonts w:hint="eastAsia" w:ascii="宋体" w:hAnsi="宋体" w:cs="仿宋_GB2312"/>
          <w:color w:val="auto"/>
          <w:sz w:val="24"/>
          <w:highlight w:val="none"/>
        </w:rPr>
        <w:t xml:space="preserve">供应商（电子签章）：      </w:t>
      </w:r>
    </w:p>
    <w:p w14:paraId="75CD42B7">
      <w:pPr>
        <w:spacing w:line="360" w:lineRule="auto"/>
        <w:ind w:right="-817" w:rightChars="-389" w:firstLine="4080" w:firstLineChars="1700"/>
        <w:contextualSpacing/>
        <w:rPr>
          <w:rFonts w:hint="default" w:ascii="仿宋_GB2312" w:hAnsi="仿宋_GB2312" w:eastAsia="宋体" w:cs="仿宋_GB2312"/>
          <w:b/>
          <w:color w:val="auto"/>
          <w:sz w:val="32"/>
          <w:szCs w:val="32"/>
          <w:highlight w:val="none"/>
          <w:lang w:val="en-US" w:eastAsia="zh-CN"/>
        </w:rPr>
      </w:pPr>
      <w:r>
        <w:rPr>
          <w:rFonts w:hint="eastAsia" w:ascii="宋体" w:hAnsi="宋体" w:cs="仿宋_GB2312"/>
          <w:color w:val="auto"/>
          <w:sz w:val="24"/>
          <w:highlight w:val="none"/>
        </w:rPr>
        <w:t>日期：   年   月   日</w:t>
      </w:r>
    </w:p>
    <w:p w14:paraId="429443C6">
      <w:pPr>
        <w:adjustRightInd w:val="0"/>
        <w:snapToGrid w:val="0"/>
        <w:spacing w:line="520" w:lineRule="exact"/>
        <w:ind w:firstLine="7040" w:firstLineChars="1600"/>
        <w:jc w:val="center"/>
        <w:rPr>
          <w:rFonts w:ascii="方正小标宋简体" w:hAnsi="方正小标宋简体" w:eastAsia="方正小标宋简体" w:cs="方正小标宋简体"/>
          <w:bCs/>
          <w:color w:val="auto"/>
          <w:sz w:val="44"/>
          <w:szCs w:val="44"/>
          <w:highlight w:val="none"/>
        </w:rPr>
      </w:pPr>
    </w:p>
    <w:p w14:paraId="1D91C650">
      <w:pPr>
        <w:adjustRightInd w:val="0"/>
        <w:snapToGrid w:val="0"/>
        <w:spacing w:line="520" w:lineRule="exact"/>
        <w:ind w:firstLine="7040" w:firstLineChars="1600"/>
        <w:jc w:val="center"/>
        <w:rPr>
          <w:rFonts w:ascii="方正小标宋简体" w:hAnsi="方正小标宋简体" w:eastAsia="方正小标宋简体" w:cs="方正小标宋简体"/>
          <w:bCs/>
          <w:color w:val="auto"/>
          <w:sz w:val="44"/>
          <w:szCs w:val="44"/>
          <w:highlight w:val="none"/>
        </w:rPr>
      </w:pPr>
    </w:p>
    <w:p w14:paraId="5168B2E4">
      <w:pPr>
        <w:adjustRightInd w:val="0"/>
        <w:snapToGrid w:val="0"/>
        <w:spacing w:line="520" w:lineRule="exact"/>
        <w:ind w:firstLine="7040" w:firstLineChars="1600"/>
        <w:jc w:val="center"/>
        <w:rPr>
          <w:rFonts w:ascii="方正小标宋简体" w:hAnsi="方正小标宋简体" w:eastAsia="方正小标宋简体" w:cs="方正小标宋简体"/>
          <w:bCs/>
          <w:color w:val="auto"/>
          <w:sz w:val="44"/>
          <w:szCs w:val="44"/>
          <w:highlight w:val="none"/>
        </w:rPr>
      </w:pPr>
    </w:p>
    <w:p w14:paraId="386FFBEC">
      <w:pPr>
        <w:adjustRightInd w:val="0"/>
        <w:snapToGrid w:val="0"/>
        <w:spacing w:line="520" w:lineRule="exact"/>
        <w:ind w:firstLine="7040" w:firstLineChars="1600"/>
        <w:jc w:val="center"/>
        <w:rPr>
          <w:rFonts w:ascii="方正小标宋简体" w:hAnsi="方正小标宋简体" w:eastAsia="方正小标宋简体" w:cs="方正小标宋简体"/>
          <w:bCs/>
          <w:color w:val="auto"/>
          <w:sz w:val="44"/>
          <w:szCs w:val="44"/>
          <w:highlight w:val="none"/>
        </w:rPr>
      </w:pPr>
    </w:p>
    <w:p w14:paraId="6DD252D0">
      <w:pPr>
        <w:adjustRightInd w:val="0"/>
        <w:snapToGrid w:val="0"/>
        <w:spacing w:line="520" w:lineRule="exact"/>
        <w:rPr>
          <w:rFonts w:ascii="宋体" w:hAnsi="宋体"/>
          <w:color w:val="auto"/>
          <w:szCs w:val="21"/>
          <w:highlight w:val="none"/>
          <w:u w:val="single"/>
        </w:rPr>
      </w:pPr>
    </w:p>
    <w:p w14:paraId="5CA0D195">
      <w:pPr>
        <w:adjustRightInd w:val="0"/>
        <w:snapToGrid w:val="0"/>
        <w:spacing w:line="300" w:lineRule="auto"/>
        <w:jc w:val="center"/>
        <w:rPr>
          <w:rFonts w:hint="eastAsia" w:asciiTheme="minorEastAsia" w:hAnsiTheme="minorEastAsia" w:eastAsiaTheme="minorEastAsia" w:cstheme="minorEastAsia"/>
          <w:b/>
          <w:bCs w:val="0"/>
          <w:color w:val="auto"/>
          <w:sz w:val="32"/>
          <w:szCs w:val="32"/>
          <w:highlight w:val="none"/>
        </w:rPr>
      </w:pPr>
      <w:r>
        <w:rPr>
          <w:rFonts w:ascii="方正小标宋简体" w:hAnsi="方正小标宋简体" w:eastAsia="方正小标宋简体" w:cs="方正小标宋简体"/>
          <w:bCs/>
          <w:color w:val="auto"/>
          <w:sz w:val="44"/>
          <w:szCs w:val="44"/>
          <w:highlight w:val="none"/>
        </w:rPr>
        <w:br w:type="page"/>
      </w:r>
      <w:r>
        <w:rPr>
          <w:rFonts w:hint="eastAsia" w:asciiTheme="minorEastAsia" w:hAnsiTheme="minorEastAsia" w:eastAsiaTheme="minorEastAsia" w:cstheme="minorEastAsia"/>
          <w:b/>
          <w:bCs w:val="0"/>
          <w:color w:val="auto"/>
          <w:sz w:val="32"/>
          <w:szCs w:val="32"/>
          <w:highlight w:val="none"/>
        </w:rPr>
        <w:t>技术要求偏离表</w:t>
      </w:r>
    </w:p>
    <w:p w14:paraId="50DC9E5A">
      <w:pPr>
        <w:spacing w:line="520" w:lineRule="exact"/>
        <w:rPr>
          <w:rFonts w:ascii="仿宋_GB2312" w:hAnsi="仿宋_GB2312" w:eastAsia="仿宋_GB2312" w:cs="仿宋_GB2312"/>
          <w:color w:val="auto"/>
          <w:sz w:val="32"/>
          <w:szCs w:val="32"/>
          <w:highlight w:val="none"/>
        </w:rPr>
      </w:pPr>
    </w:p>
    <w:p w14:paraId="14590C29">
      <w:pPr>
        <w:spacing w:line="360" w:lineRule="auto"/>
        <w:contextualSpacing/>
        <w:rPr>
          <w:rFonts w:ascii="宋体" w:hAnsi="宋体" w:cs="仿宋_GB2312"/>
          <w:color w:val="auto"/>
          <w:sz w:val="24"/>
          <w:highlight w:val="none"/>
          <w:u w:val="single"/>
        </w:rPr>
      </w:pPr>
      <w:r>
        <w:rPr>
          <w:rFonts w:hint="eastAsia" w:ascii="宋体" w:hAnsi="宋体" w:cs="仿宋_GB2312"/>
          <w:color w:val="auto"/>
          <w:sz w:val="24"/>
          <w:highlight w:val="none"/>
        </w:rPr>
        <w:t>采购项目编号：</w:t>
      </w:r>
      <w:r>
        <w:rPr>
          <w:rFonts w:hint="eastAsia" w:ascii="宋体" w:hAnsi="宋体" w:cs="仿宋_GB2312"/>
          <w:color w:val="auto"/>
          <w:sz w:val="24"/>
          <w:highlight w:val="none"/>
          <w:u w:val="single"/>
        </w:rPr>
        <w:t xml:space="preserve">                 </w:t>
      </w:r>
    </w:p>
    <w:p w14:paraId="1715523A">
      <w:pPr>
        <w:spacing w:line="360" w:lineRule="auto"/>
        <w:contextualSpacing/>
        <w:rPr>
          <w:rFonts w:ascii="宋体" w:hAnsi="宋体" w:cs="仿宋_GB2312"/>
          <w:color w:val="auto"/>
          <w:sz w:val="24"/>
          <w:highlight w:val="none"/>
        </w:rPr>
      </w:pPr>
      <w:r>
        <w:rPr>
          <w:rFonts w:hint="eastAsia" w:ascii="宋体" w:hAnsi="宋体" w:cs="仿宋_GB2312"/>
          <w:color w:val="auto"/>
          <w:sz w:val="24"/>
          <w:highlight w:val="none"/>
        </w:rPr>
        <w:t>采购项目名称：</w:t>
      </w:r>
      <w:r>
        <w:rPr>
          <w:rFonts w:hint="eastAsia" w:ascii="宋体" w:hAnsi="宋体" w:cs="仿宋_GB2312"/>
          <w:color w:val="auto"/>
          <w:sz w:val="24"/>
          <w:highlight w:val="none"/>
          <w:u w:val="single"/>
        </w:rPr>
        <w:t xml:space="preserve">                 </w:t>
      </w:r>
    </w:p>
    <w:p w14:paraId="65A10122">
      <w:pPr>
        <w:spacing w:line="360" w:lineRule="auto"/>
        <w:contextualSpacing/>
        <w:rPr>
          <w:rFonts w:ascii="宋体" w:hAnsi="宋体" w:cs="仿宋_GB2312"/>
          <w:color w:val="auto"/>
          <w:sz w:val="24"/>
          <w:highlight w:val="none"/>
          <w:u w:val="single"/>
        </w:rPr>
      </w:pPr>
      <w:r>
        <w:rPr>
          <w:rFonts w:hint="eastAsia" w:ascii="宋体" w:hAnsi="宋体" w:cs="仿宋_GB2312"/>
          <w:color w:val="auto"/>
          <w:sz w:val="24"/>
          <w:highlight w:val="none"/>
        </w:rPr>
        <w:t>分标号：</w:t>
      </w:r>
      <w:r>
        <w:rPr>
          <w:rFonts w:hint="eastAsia" w:ascii="宋体" w:hAnsi="宋体" w:cs="仿宋_GB2312"/>
          <w:color w:val="auto"/>
          <w:sz w:val="24"/>
          <w:highlight w:val="none"/>
          <w:u w:val="single"/>
        </w:rPr>
        <w:t xml:space="preserve">                       </w:t>
      </w:r>
    </w:p>
    <w:tbl>
      <w:tblPr>
        <w:tblStyle w:val="50"/>
        <w:tblW w:w="9095"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6"/>
        <w:gridCol w:w="915"/>
        <w:gridCol w:w="3038"/>
        <w:gridCol w:w="2734"/>
        <w:gridCol w:w="1492"/>
      </w:tblGrid>
      <w:tr w14:paraId="577AF41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16" w:type="dxa"/>
            <w:vAlign w:val="center"/>
          </w:tcPr>
          <w:p w14:paraId="6138D371">
            <w:pPr>
              <w:pStyle w:val="19"/>
              <w:spacing w:line="360" w:lineRule="auto"/>
              <w:ind w:firstLine="0" w:firstLineChars="0"/>
              <w:contextualSpacing/>
              <w:jc w:val="center"/>
              <w:rPr>
                <w:rFonts w:ascii="宋体" w:hAnsi="宋体" w:eastAsia="宋体" w:cs="仿宋_GB2312"/>
                <w:color w:val="auto"/>
                <w:kern w:val="2"/>
                <w:sz w:val="24"/>
                <w:szCs w:val="24"/>
                <w:highlight w:val="none"/>
              </w:rPr>
            </w:pPr>
            <w:bookmarkStart w:id="331" w:name="_Toc254970729"/>
            <w:bookmarkStart w:id="332" w:name="_Toc301781611"/>
            <w:bookmarkStart w:id="333" w:name="_Toc373333689"/>
            <w:bookmarkStart w:id="334" w:name="_Toc383699906"/>
            <w:bookmarkStart w:id="335" w:name="_Toc173066401"/>
            <w:bookmarkStart w:id="336" w:name="_Toc254970588"/>
            <w:bookmarkStart w:id="337" w:name="_Toc297193185"/>
            <w:bookmarkStart w:id="338" w:name="_Toc295404981"/>
            <w:bookmarkStart w:id="339" w:name="_Toc173211900"/>
            <w:r>
              <w:rPr>
                <w:rFonts w:hint="eastAsia" w:ascii="宋体" w:hAnsi="宋体" w:eastAsia="宋体" w:cs="仿宋_GB2312"/>
                <w:color w:val="auto"/>
                <w:kern w:val="2"/>
                <w:sz w:val="24"/>
                <w:szCs w:val="24"/>
                <w:highlight w:val="none"/>
              </w:rPr>
              <w:t>序号</w:t>
            </w:r>
            <w:bookmarkEnd w:id="331"/>
            <w:bookmarkEnd w:id="332"/>
            <w:bookmarkEnd w:id="333"/>
            <w:bookmarkEnd w:id="334"/>
            <w:bookmarkEnd w:id="335"/>
            <w:bookmarkEnd w:id="336"/>
            <w:bookmarkEnd w:id="337"/>
            <w:bookmarkEnd w:id="338"/>
            <w:bookmarkEnd w:id="339"/>
          </w:p>
        </w:tc>
        <w:tc>
          <w:tcPr>
            <w:tcW w:w="915" w:type="dxa"/>
            <w:tcBorders>
              <w:right w:val="single" w:color="auto" w:sz="4" w:space="0"/>
            </w:tcBorders>
            <w:vAlign w:val="center"/>
          </w:tcPr>
          <w:p w14:paraId="42E96FB2">
            <w:pPr>
              <w:pStyle w:val="19"/>
              <w:spacing w:line="360" w:lineRule="auto"/>
              <w:ind w:firstLine="0" w:firstLineChars="0"/>
              <w:contextualSpacing/>
              <w:jc w:val="center"/>
              <w:rPr>
                <w:rFonts w:ascii="宋体" w:hAnsi="宋体" w:eastAsia="宋体" w:cs="仿宋_GB2312"/>
                <w:color w:val="auto"/>
                <w:kern w:val="2"/>
                <w:sz w:val="24"/>
                <w:szCs w:val="24"/>
                <w:highlight w:val="none"/>
              </w:rPr>
            </w:pPr>
            <w:r>
              <w:rPr>
                <w:rFonts w:hint="eastAsia" w:ascii="宋体" w:hAnsi="宋体" w:eastAsia="宋体" w:cs="仿宋_GB2312"/>
                <w:color w:val="auto"/>
                <w:kern w:val="2"/>
                <w:sz w:val="24"/>
                <w:szCs w:val="24"/>
                <w:highlight w:val="none"/>
              </w:rPr>
              <w:t>名称</w:t>
            </w:r>
          </w:p>
        </w:tc>
        <w:tc>
          <w:tcPr>
            <w:tcW w:w="3038" w:type="dxa"/>
            <w:tcBorders>
              <w:left w:val="single" w:color="auto" w:sz="4" w:space="0"/>
            </w:tcBorders>
            <w:vAlign w:val="center"/>
          </w:tcPr>
          <w:p w14:paraId="0E0ADE29">
            <w:pPr>
              <w:pStyle w:val="19"/>
              <w:spacing w:line="360" w:lineRule="auto"/>
              <w:ind w:firstLine="0" w:firstLineChars="0"/>
              <w:contextualSpacing/>
              <w:jc w:val="center"/>
              <w:rPr>
                <w:rFonts w:ascii="宋体" w:hAnsi="宋体" w:eastAsia="宋体" w:cs="仿宋_GB2312"/>
                <w:color w:val="auto"/>
                <w:kern w:val="2"/>
                <w:sz w:val="24"/>
                <w:szCs w:val="24"/>
                <w:highlight w:val="none"/>
              </w:rPr>
            </w:pPr>
            <w:r>
              <w:rPr>
                <w:rFonts w:hint="eastAsia" w:ascii="宋体" w:hAnsi="宋体" w:eastAsia="宋体" w:cs="仿宋_GB2312"/>
                <w:color w:val="auto"/>
                <w:kern w:val="2"/>
                <w:sz w:val="24"/>
                <w:szCs w:val="24"/>
                <w:highlight w:val="none"/>
              </w:rPr>
              <w:t>磋商文件技术要求</w:t>
            </w:r>
          </w:p>
        </w:tc>
        <w:tc>
          <w:tcPr>
            <w:tcW w:w="2734" w:type="dxa"/>
            <w:vAlign w:val="center"/>
          </w:tcPr>
          <w:p w14:paraId="0B4B8585">
            <w:pPr>
              <w:pStyle w:val="19"/>
              <w:spacing w:line="360" w:lineRule="auto"/>
              <w:ind w:firstLine="0" w:firstLineChars="0"/>
              <w:contextualSpacing/>
              <w:jc w:val="center"/>
              <w:rPr>
                <w:rFonts w:ascii="宋体" w:hAnsi="宋体" w:eastAsia="宋体" w:cs="仿宋_GB2312"/>
                <w:color w:val="auto"/>
                <w:kern w:val="2"/>
                <w:sz w:val="24"/>
                <w:szCs w:val="24"/>
                <w:highlight w:val="none"/>
              </w:rPr>
            </w:pPr>
            <w:bookmarkStart w:id="340" w:name="_Toc173211902"/>
            <w:bookmarkStart w:id="341" w:name="_Toc254970731"/>
            <w:bookmarkStart w:id="342" w:name="_Toc301781613"/>
            <w:bookmarkStart w:id="343" w:name="_Toc295404983"/>
            <w:bookmarkStart w:id="344" w:name="_Toc173066403"/>
            <w:bookmarkStart w:id="345" w:name="_Toc383699908"/>
            <w:bookmarkStart w:id="346" w:name="_Toc373333691"/>
            <w:bookmarkStart w:id="347" w:name="_Toc254970590"/>
            <w:bookmarkStart w:id="348" w:name="_Toc297193187"/>
            <w:r>
              <w:rPr>
                <w:rFonts w:hint="eastAsia" w:ascii="宋体" w:hAnsi="宋体" w:eastAsia="宋体" w:cs="仿宋_GB2312"/>
                <w:color w:val="auto"/>
                <w:kern w:val="2"/>
                <w:sz w:val="24"/>
                <w:szCs w:val="24"/>
                <w:highlight w:val="none"/>
              </w:rPr>
              <w:t>竞标响应</w:t>
            </w:r>
            <w:bookmarkEnd w:id="340"/>
            <w:bookmarkEnd w:id="341"/>
            <w:bookmarkEnd w:id="342"/>
            <w:bookmarkEnd w:id="343"/>
            <w:bookmarkEnd w:id="344"/>
            <w:bookmarkEnd w:id="345"/>
            <w:bookmarkEnd w:id="346"/>
            <w:bookmarkEnd w:id="347"/>
            <w:bookmarkEnd w:id="348"/>
          </w:p>
        </w:tc>
        <w:tc>
          <w:tcPr>
            <w:tcW w:w="1492" w:type="dxa"/>
            <w:vAlign w:val="center"/>
          </w:tcPr>
          <w:p w14:paraId="78300472">
            <w:pPr>
              <w:pStyle w:val="19"/>
              <w:spacing w:line="360" w:lineRule="auto"/>
              <w:ind w:firstLine="0" w:firstLineChars="0"/>
              <w:contextualSpacing/>
              <w:jc w:val="center"/>
              <w:rPr>
                <w:rFonts w:ascii="宋体" w:hAnsi="宋体" w:eastAsia="宋体" w:cs="仿宋_GB2312"/>
                <w:color w:val="auto"/>
                <w:kern w:val="2"/>
                <w:sz w:val="24"/>
                <w:szCs w:val="24"/>
                <w:highlight w:val="none"/>
              </w:rPr>
            </w:pPr>
            <w:bookmarkStart w:id="349" w:name="_Toc297193188"/>
            <w:bookmarkStart w:id="350" w:name="_Toc373333692"/>
            <w:bookmarkStart w:id="351" w:name="_Toc173211903"/>
            <w:bookmarkStart w:id="352" w:name="_Toc254970732"/>
            <w:bookmarkStart w:id="353" w:name="_Toc295404984"/>
            <w:bookmarkStart w:id="354" w:name="_Toc254970591"/>
            <w:bookmarkStart w:id="355" w:name="_Toc301781614"/>
            <w:bookmarkStart w:id="356" w:name="_Toc383699909"/>
            <w:bookmarkStart w:id="357" w:name="_Toc173066404"/>
            <w:r>
              <w:rPr>
                <w:rFonts w:hint="eastAsia" w:ascii="宋体" w:hAnsi="宋体" w:eastAsia="宋体" w:cs="仿宋_GB2312"/>
                <w:color w:val="auto"/>
                <w:kern w:val="2"/>
                <w:sz w:val="24"/>
                <w:szCs w:val="24"/>
                <w:highlight w:val="none"/>
              </w:rPr>
              <w:t>偏离</w:t>
            </w:r>
            <w:bookmarkEnd w:id="349"/>
            <w:bookmarkEnd w:id="350"/>
            <w:bookmarkEnd w:id="351"/>
            <w:bookmarkEnd w:id="352"/>
            <w:bookmarkEnd w:id="353"/>
            <w:bookmarkEnd w:id="354"/>
            <w:bookmarkEnd w:id="355"/>
            <w:bookmarkEnd w:id="356"/>
            <w:bookmarkEnd w:id="357"/>
            <w:bookmarkStart w:id="358" w:name="_Toc301781615"/>
            <w:bookmarkStart w:id="359" w:name="_Toc373333693"/>
            <w:bookmarkStart w:id="360" w:name="_Toc254970592"/>
            <w:bookmarkStart w:id="361" w:name="_Toc295404985"/>
            <w:bookmarkStart w:id="362" w:name="_Toc297193189"/>
            <w:bookmarkStart w:id="363" w:name="_Toc383699910"/>
            <w:bookmarkStart w:id="364" w:name="_Toc254970733"/>
            <w:bookmarkStart w:id="365" w:name="_Toc173211904"/>
            <w:bookmarkStart w:id="366" w:name="_Toc173066405"/>
            <w:r>
              <w:rPr>
                <w:rFonts w:hint="eastAsia" w:ascii="宋体" w:hAnsi="宋体" w:eastAsia="宋体" w:cs="仿宋_GB2312"/>
                <w:color w:val="auto"/>
                <w:kern w:val="2"/>
                <w:sz w:val="24"/>
                <w:szCs w:val="24"/>
                <w:highlight w:val="none"/>
              </w:rPr>
              <w:t>说明</w:t>
            </w:r>
            <w:bookmarkEnd w:id="358"/>
            <w:bookmarkEnd w:id="359"/>
            <w:bookmarkEnd w:id="360"/>
            <w:bookmarkEnd w:id="361"/>
            <w:bookmarkEnd w:id="362"/>
            <w:bookmarkEnd w:id="363"/>
            <w:bookmarkEnd w:id="364"/>
            <w:bookmarkEnd w:id="365"/>
            <w:bookmarkEnd w:id="366"/>
          </w:p>
        </w:tc>
      </w:tr>
      <w:tr w14:paraId="612B9CF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16" w:type="dxa"/>
            <w:vAlign w:val="center"/>
          </w:tcPr>
          <w:p w14:paraId="7599FF5E">
            <w:pPr>
              <w:pStyle w:val="19"/>
              <w:spacing w:line="360" w:lineRule="auto"/>
              <w:ind w:firstLine="0" w:firstLineChars="0"/>
              <w:contextualSpacing/>
              <w:jc w:val="center"/>
              <w:rPr>
                <w:rFonts w:ascii="宋体" w:hAnsi="宋体" w:eastAsia="宋体" w:cs="仿宋_GB2312"/>
                <w:color w:val="auto"/>
                <w:kern w:val="2"/>
                <w:sz w:val="24"/>
                <w:szCs w:val="24"/>
                <w:highlight w:val="none"/>
              </w:rPr>
            </w:pPr>
            <w:bookmarkStart w:id="367" w:name="_Toc173066406"/>
            <w:bookmarkStart w:id="368" w:name="_Toc301781616"/>
            <w:bookmarkStart w:id="369" w:name="_Toc295404986"/>
            <w:bookmarkStart w:id="370" w:name="_Toc254970734"/>
            <w:bookmarkStart w:id="371" w:name="_Toc383699911"/>
            <w:bookmarkStart w:id="372" w:name="_Toc173211905"/>
            <w:bookmarkStart w:id="373" w:name="_Toc254970593"/>
            <w:bookmarkStart w:id="374" w:name="_Toc297193190"/>
            <w:bookmarkStart w:id="375" w:name="_Toc373333694"/>
            <w:r>
              <w:rPr>
                <w:rFonts w:hint="eastAsia" w:ascii="宋体" w:hAnsi="宋体" w:eastAsia="宋体" w:cs="仿宋_GB2312"/>
                <w:color w:val="auto"/>
                <w:kern w:val="2"/>
                <w:sz w:val="24"/>
                <w:szCs w:val="24"/>
                <w:highlight w:val="none"/>
              </w:rPr>
              <w:t>1</w:t>
            </w:r>
            <w:bookmarkEnd w:id="367"/>
            <w:bookmarkEnd w:id="368"/>
            <w:bookmarkEnd w:id="369"/>
            <w:bookmarkEnd w:id="370"/>
            <w:bookmarkEnd w:id="371"/>
            <w:bookmarkEnd w:id="372"/>
            <w:bookmarkEnd w:id="373"/>
            <w:bookmarkEnd w:id="374"/>
            <w:bookmarkEnd w:id="375"/>
          </w:p>
        </w:tc>
        <w:tc>
          <w:tcPr>
            <w:tcW w:w="915" w:type="dxa"/>
            <w:tcBorders>
              <w:right w:val="single" w:color="auto" w:sz="4" w:space="0"/>
            </w:tcBorders>
            <w:vAlign w:val="center"/>
          </w:tcPr>
          <w:p w14:paraId="27D36FAE">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c>
          <w:tcPr>
            <w:tcW w:w="3038" w:type="dxa"/>
            <w:tcBorders>
              <w:left w:val="single" w:color="auto" w:sz="4" w:space="0"/>
            </w:tcBorders>
            <w:vAlign w:val="center"/>
          </w:tcPr>
          <w:p w14:paraId="3FDCD1FE">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c>
          <w:tcPr>
            <w:tcW w:w="2734" w:type="dxa"/>
            <w:vAlign w:val="center"/>
          </w:tcPr>
          <w:p w14:paraId="2A56AF2C">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c>
          <w:tcPr>
            <w:tcW w:w="1492" w:type="dxa"/>
            <w:vAlign w:val="center"/>
          </w:tcPr>
          <w:p w14:paraId="0DA20970">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r>
      <w:tr w14:paraId="192117F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16" w:type="dxa"/>
            <w:vAlign w:val="center"/>
          </w:tcPr>
          <w:p w14:paraId="6C1286D8">
            <w:pPr>
              <w:pStyle w:val="19"/>
              <w:spacing w:line="360" w:lineRule="auto"/>
              <w:ind w:firstLine="0" w:firstLineChars="0"/>
              <w:contextualSpacing/>
              <w:jc w:val="center"/>
              <w:rPr>
                <w:rFonts w:ascii="宋体" w:hAnsi="宋体" w:eastAsia="宋体" w:cs="仿宋_GB2312"/>
                <w:color w:val="auto"/>
                <w:kern w:val="2"/>
                <w:sz w:val="24"/>
                <w:szCs w:val="24"/>
                <w:highlight w:val="none"/>
              </w:rPr>
            </w:pPr>
            <w:bookmarkStart w:id="376" w:name="_Toc373333695"/>
            <w:bookmarkStart w:id="377" w:name="_Toc173211906"/>
            <w:bookmarkStart w:id="378" w:name="_Toc295404987"/>
            <w:bookmarkStart w:id="379" w:name="_Toc301781617"/>
            <w:bookmarkStart w:id="380" w:name="_Toc254970594"/>
            <w:bookmarkStart w:id="381" w:name="_Toc383699912"/>
            <w:bookmarkStart w:id="382" w:name="_Toc173066407"/>
            <w:bookmarkStart w:id="383" w:name="_Toc254970735"/>
            <w:bookmarkStart w:id="384" w:name="_Toc297193191"/>
            <w:r>
              <w:rPr>
                <w:rFonts w:hint="eastAsia" w:ascii="宋体" w:hAnsi="宋体" w:eastAsia="宋体" w:cs="仿宋_GB2312"/>
                <w:color w:val="auto"/>
                <w:kern w:val="2"/>
                <w:sz w:val="24"/>
                <w:szCs w:val="24"/>
                <w:highlight w:val="none"/>
              </w:rPr>
              <w:t>2</w:t>
            </w:r>
            <w:bookmarkEnd w:id="376"/>
            <w:bookmarkEnd w:id="377"/>
            <w:bookmarkEnd w:id="378"/>
            <w:bookmarkEnd w:id="379"/>
            <w:bookmarkEnd w:id="380"/>
            <w:bookmarkEnd w:id="381"/>
            <w:bookmarkEnd w:id="382"/>
            <w:bookmarkEnd w:id="383"/>
            <w:bookmarkEnd w:id="384"/>
          </w:p>
        </w:tc>
        <w:tc>
          <w:tcPr>
            <w:tcW w:w="915" w:type="dxa"/>
            <w:tcBorders>
              <w:right w:val="single" w:color="auto" w:sz="4" w:space="0"/>
            </w:tcBorders>
            <w:vAlign w:val="center"/>
          </w:tcPr>
          <w:p w14:paraId="1401D042">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c>
          <w:tcPr>
            <w:tcW w:w="3038" w:type="dxa"/>
            <w:tcBorders>
              <w:left w:val="single" w:color="auto" w:sz="4" w:space="0"/>
            </w:tcBorders>
            <w:vAlign w:val="center"/>
          </w:tcPr>
          <w:p w14:paraId="2FF6B578">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c>
          <w:tcPr>
            <w:tcW w:w="2734" w:type="dxa"/>
            <w:vAlign w:val="center"/>
          </w:tcPr>
          <w:p w14:paraId="5D02ADD3">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c>
          <w:tcPr>
            <w:tcW w:w="1492" w:type="dxa"/>
            <w:vAlign w:val="center"/>
          </w:tcPr>
          <w:p w14:paraId="64F2DD29">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r>
      <w:tr w14:paraId="7D235B4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16" w:type="dxa"/>
            <w:vAlign w:val="center"/>
          </w:tcPr>
          <w:p w14:paraId="5F18907D">
            <w:pPr>
              <w:pStyle w:val="19"/>
              <w:spacing w:line="360" w:lineRule="auto"/>
              <w:ind w:firstLine="0" w:firstLineChars="0"/>
              <w:contextualSpacing/>
              <w:jc w:val="center"/>
              <w:rPr>
                <w:rFonts w:ascii="宋体" w:hAnsi="宋体" w:eastAsia="宋体" w:cs="仿宋_GB2312"/>
                <w:color w:val="auto"/>
                <w:kern w:val="2"/>
                <w:sz w:val="24"/>
                <w:szCs w:val="24"/>
                <w:highlight w:val="none"/>
              </w:rPr>
            </w:pPr>
            <w:bookmarkStart w:id="385" w:name="_Toc254970595"/>
            <w:bookmarkStart w:id="386" w:name="_Toc173211907"/>
            <w:bookmarkStart w:id="387" w:name="_Toc383699913"/>
            <w:bookmarkStart w:id="388" w:name="_Toc301781618"/>
            <w:bookmarkStart w:id="389" w:name="_Toc373333696"/>
            <w:bookmarkStart w:id="390" w:name="_Toc254970736"/>
            <w:bookmarkStart w:id="391" w:name="_Toc173066408"/>
            <w:bookmarkStart w:id="392" w:name="_Toc295404988"/>
            <w:bookmarkStart w:id="393" w:name="_Toc297193192"/>
            <w:r>
              <w:rPr>
                <w:rFonts w:hint="eastAsia" w:ascii="宋体" w:hAnsi="宋体" w:eastAsia="宋体" w:cs="仿宋_GB2312"/>
                <w:color w:val="auto"/>
                <w:kern w:val="2"/>
                <w:sz w:val="24"/>
                <w:szCs w:val="24"/>
                <w:highlight w:val="none"/>
              </w:rPr>
              <w:t>3</w:t>
            </w:r>
            <w:bookmarkEnd w:id="385"/>
            <w:bookmarkEnd w:id="386"/>
            <w:bookmarkEnd w:id="387"/>
            <w:bookmarkEnd w:id="388"/>
            <w:bookmarkEnd w:id="389"/>
            <w:bookmarkEnd w:id="390"/>
            <w:bookmarkEnd w:id="391"/>
            <w:bookmarkEnd w:id="392"/>
            <w:bookmarkEnd w:id="393"/>
          </w:p>
        </w:tc>
        <w:tc>
          <w:tcPr>
            <w:tcW w:w="915" w:type="dxa"/>
            <w:tcBorders>
              <w:right w:val="single" w:color="auto" w:sz="4" w:space="0"/>
            </w:tcBorders>
            <w:vAlign w:val="center"/>
          </w:tcPr>
          <w:p w14:paraId="4F060918">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c>
          <w:tcPr>
            <w:tcW w:w="3038" w:type="dxa"/>
            <w:tcBorders>
              <w:left w:val="single" w:color="auto" w:sz="4" w:space="0"/>
            </w:tcBorders>
            <w:vAlign w:val="center"/>
          </w:tcPr>
          <w:p w14:paraId="27326A78">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c>
          <w:tcPr>
            <w:tcW w:w="2734" w:type="dxa"/>
            <w:vAlign w:val="center"/>
          </w:tcPr>
          <w:p w14:paraId="1801F584">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c>
          <w:tcPr>
            <w:tcW w:w="1492" w:type="dxa"/>
            <w:vAlign w:val="center"/>
          </w:tcPr>
          <w:p w14:paraId="61AC3F91">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r>
      <w:tr w14:paraId="07A1170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16" w:type="dxa"/>
            <w:vAlign w:val="center"/>
          </w:tcPr>
          <w:p w14:paraId="50093BB1">
            <w:pPr>
              <w:pStyle w:val="19"/>
              <w:spacing w:line="360" w:lineRule="auto"/>
              <w:ind w:firstLine="0" w:firstLineChars="0"/>
              <w:contextualSpacing/>
              <w:jc w:val="center"/>
              <w:rPr>
                <w:rFonts w:ascii="宋体" w:hAnsi="宋体" w:eastAsia="宋体" w:cs="仿宋_GB2312"/>
                <w:color w:val="auto"/>
                <w:kern w:val="2"/>
                <w:sz w:val="24"/>
                <w:szCs w:val="24"/>
                <w:highlight w:val="none"/>
              </w:rPr>
            </w:pPr>
            <w:bookmarkStart w:id="394" w:name="_Toc295404989"/>
            <w:bookmarkStart w:id="395" w:name="_Toc383699914"/>
            <w:bookmarkStart w:id="396" w:name="_Toc173211908"/>
            <w:bookmarkStart w:id="397" w:name="_Toc301781619"/>
            <w:bookmarkStart w:id="398" w:name="_Toc173066409"/>
            <w:bookmarkStart w:id="399" w:name="_Toc297193193"/>
            <w:bookmarkStart w:id="400" w:name="_Toc373333697"/>
            <w:bookmarkStart w:id="401" w:name="_Toc254970737"/>
            <w:bookmarkStart w:id="402" w:name="_Toc254970596"/>
            <w:r>
              <w:rPr>
                <w:rFonts w:hint="eastAsia" w:ascii="宋体" w:hAnsi="宋体" w:eastAsia="宋体" w:cs="仿宋_GB2312"/>
                <w:color w:val="auto"/>
                <w:kern w:val="2"/>
                <w:sz w:val="24"/>
                <w:szCs w:val="24"/>
                <w:highlight w:val="none"/>
              </w:rPr>
              <w:t>4</w:t>
            </w:r>
            <w:bookmarkEnd w:id="394"/>
            <w:bookmarkEnd w:id="395"/>
            <w:bookmarkEnd w:id="396"/>
            <w:bookmarkEnd w:id="397"/>
            <w:bookmarkEnd w:id="398"/>
            <w:bookmarkEnd w:id="399"/>
            <w:bookmarkEnd w:id="400"/>
            <w:bookmarkEnd w:id="401"/>
            <w:bookmarkEnd w:id="402"/>
          </w:p>
        </w:tc>
        <w:tc>
          <w:tcPr>
            <w:tcW w:w="915" w:type="dxa"/>
            <w:tcBorders>
              <w:right w:val="single" w:color="auto" w:sz="4" w:space="0"/>
            </w:tcBorders>
            <w:vAlign w:val="center"/>
          </w:tcPr>
          <w:p w14:paraId="0A5F58B3">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c>
          <w:tcPr>
            <w:tcW w:w="3038" w:type="dxa"/>
            <w:tcBorders>
              <w:left w:val="single" w:color="auto" w:sz="4" w:space="0"/>
            </w:tcBorders>
            <w:vAlign w:val="center"/>
          </w:tcPr>
          <w:p w14:paraId="583D0381">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c>
          <w:tcPr>
            <w:tcW w:w="2734" w:type="dxa"/>
            <w:vAlign w:val="center"/>
          </w:tcPr>
          <w:p w14:paraId="2895CD9C">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c>
          <w:tcPr>
            <w:tcW w:w="1492" w:type="dxa"/>
            <w:vAlign w:val="center"/>
          </w:tcPr>
          <w:p w14:paraId="0E5D2B64">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r>
      <w:tr w14:paraId="1AB0685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16" w:type="dxa"/>
            <w:vAlign w:val="center"/>
          </w:tcPr>
          <w:p w14:paraId="0A1C7031">
            <w:pPr>
              <w:pStyle w:val="19"/>
              <w:spacing w:line="360" w:lineRule="auto"/>
              <w:ind w:firstLine="0" w:firstLineChars="0"/>
              <w:contextualSpacing/>
              <w:jc w:val="center"/>
              <w:rPr>
                <w:rFonts w:ascii="宋体" w:hAnsi="宋体" w:eastAsia="宋体" w:cs="仿宋_GB2312"/>
                <w:color w:val="auto"/>
                <w:kern w:val="2"/>
                <w:sz w:val="24"/>
                <w:szCs w:val="24"/>
                <w:highlight w:val="none"/>
              </w:rPr>
            </w:pPr>
            <w:bookmarkStart w:id="403" w:name="_Toc173066410"/>
            <w:bookmarkStart w:id="404" w:name="_Toc254970597"/>
            <w:bookmarkStart w:id="405" w:name="_Toc297193194"/>
            <w:bookmarkStart w:id="406" w:name="_Toc295404990"/>
            <w:bookmarkStart w:id="407" w:name="_Toc373333698"/>
            <w:bookmarkStart w:id="408" w:name="_Toc173211909"/>
            <w:bookmarkStart w:id="409" w:name="_Toc383699915"/>
            <w:bookmarkStart w:id="410" w:name="_Toc254970738"/>
            <w:bookmarkStart w:id="411" w:name="_Toc301781620"/>
            <w:r>
              <w:rPr>
                <w:rFonts w:hint="eastAsia" w:ascii="宋体" w:hAnsi="宋体" w:eastAsia="宋体" w:cs="仿宋_GB2312"/>
                <w:color w:val="auto"/>
                <w:kern w:val="2"/>
                <w:sz w:val="24"/>
                <w:szCs w:val="24"/>
                <w:highlight w:val="none"/>
              </w:rPr>
              <w:t>5</w:t>
            </w:r>
            <w:bookmarkEnd w:id="403"/>
            <w:bookmarkEnd w:id="404"/>
            <w:bookmarkEnd w:id="405"/>
            <w:bookmarkEnd w:id="406"/>
            <w:bookmarkEnd w:id="407"/>
            <w:bookmarkEnd w:id="408"/>
            <w:bookmarkEnd w:id="409"/>
            <w:bookmarkEnd w:id="410"/>
            <w:bookmarkEnd w:id="411"/>
          </w:p>
        </w:tc>
        <w:tc>
          <w:tcPr>
            <w:tcW w:w="915" w:type="dxa"/>
            <w:tcBorders>
              <w:right w:val="single" w:color="auto" w:sz="4" w:space="0"/>
            </w:tcBorders>
            <w:vAlign w:val="center"/>
          </w:tcPr>
          <w:p w14:paraId="062D9B8A">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c>
          <w:tcPr>
            <w:tcW w:w="3038" w:type="dxa"/>
            <w:tcBorders>
              <w:left w:val="single" w:color="auto" w:sz="4" w:space="0"/>
            </w:tcBorders>
            <w:vAlign w:val="center"/>
          </w:tcPr>
          <w:p w14:paraId="0ED83DB4">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c>
          <w:tcPr>
            <w:tcW w:w="2734" w:type="dxa"/>
            <w:vAlign w:val="center"/>
          </w:tcPr>
          <w:p w14:paraId="35D4F48A">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c>
          <w:tcPr>
            <w:tcW w:w="1492" w:type="dxa"/>
            <w:vAlign w:val="center"/>
          </w:tcPr>
          <w:p w14:paraId="1BA15389">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r>
      <w:tr w14:paraId="0AE47DA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916" w:type="dxa"/>
            <w:vAlign w:val="center"/>
          </w:tcPr>
          <w:p w14:paraId="7166DD76">
            <w:pPr>
              <w:pStyle w:val="19"/>
              <w:spacing w:line="360" w:lineRule="auto"/>
              <w:ind w:firstLine="0" w:firstLineChars="0"/>
              <w:contextualSpacing/>
              <w:jc w:val="center"/>
              <w:rPr>
                <w:rFonts w:ascii="宋体" w:hAnsi="宋体" w:eastAsia="宋体" w:cs="仿宋_GB2312"/>
                <w:color w:val="auto"/>
                <w:kern w:val="2"/>
                <w:sz w:val="24"/>
                <w:szCs w:val="24"/>
                <w:highlight w:val="none"/>
              </w:rPr>
            </w:pPr>
            <w:bookmarkStart w:id="412" w:name="_Toc254970743"/>
            <w:bookmarkStart w:id="413" w:name="_Toc173211914"/>
            <w:bookmarkStart w:id="414" w:name="_Toc373333699"/>
            <w:bookmarkStart w:id="415" w:name="_Toc254970602"/>
            <w:bookmarkStart w:id="416" w:name="_Toc173066415"/>
            <w:bookmarkStart w:id="417" w:name="_Toc297193195"/>
            <w:bookmarkStart w:id="418" w:name="_Toc301781621"/>
            <w:bookmarkStart w:id="419" w:name="_Toc295404991"/>
            <w:bookmarkStart w:id="420" w:name="_Toc383699916"/>
            <w:r>
              <w:rPr>
                <w:rFonts w:hint="eastAsia" w:ascii="宋体" w:hAnsi="宋体" w:eastAsia="宋体" w:cs="仿宋_GB2312"/>
                <w:color w:val="auto"/>
                <w:kern w:val="2"/>
                <w:sz w:val="24"/>
                <w:szCs w:val="24"/>
                <w:highlight w:val="none"/>
              </w:rPr>
              <w:t>…</w:t>
            </w:r>
            <w:bookmarkEnd w:id="412"/>
            <w:bookmarkEnd w:id="413"/>
            <w:bookmarkEnd w:id="414"/>
            <w:bookmarkEnd w:id="415"/>
            <w:bookmarkEnd w:id="416"/>
            <w:bookmarkEnd w:id="417"/>
            <w:bookmarkEnd w:id="418"/>
            <w:bookmarkEnd w:id="419"/>
            <w:bookmarkEnd w:id="420"/>
          </w:p>
        </w:tc>
        <w:tc>
          <w:tcPr>
            <w:tcW w:w="915" w:type="dxa"/>
            <w:tcBorders>
              <w:right w:val="single" w:color="auto" w:sz="4" w:space="0"/>
            </w:tcBorders>
            <w:vAlign w:val="center"/>
          </w:tcPr>
          <w:p w14:paraId="5FF83D89">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c>
          <w:tcPr>
            <w:tcW w:w="3038" w:type="dxa"/>
            <w:tcBorders>
              <w:left w:val="single" w:color="auto" w:sz="4" w:space="0"/>
            </w:tcBorders>
            <w:vAlign w:val="center"/>
          </w:tcPr>
          <w:p w14:paraId="452F3CA0">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c>
          <w:tcPr>
            <w:tcW w:w="2734" w:type="dxa"/>
            <w:vAlign w:val="center"/>
          </w:tcPr>
          <w:p w14:paraId="1162356E">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c>
          <w:tcPr>
            <w:tcW w:w="1492" w:type="dxa"/>
            <w:tcBorders>
              <w:right w:val="single" w:color="auto" w:sz="4" w:space="0"/>
            </w:tcBorders>
            <w:vAlign w:val="center"/>
          </w:tcPr>
          <w:p w14:paraId="286493C8">
            <w:pPr>
              <w:pStyle w:val="19"/>
              <w:spacing w:line="360" w:lineRule="auto"/>
              <w:ind w:firstLine="0" w:firstLineChars="0"/>
              <w:contextualSpacing/>
              <w:jc w:val="center"/>
              <w:rPr>
                <w:rFonts w:ascii="宋体" w:hAnsi="宋体" w:eastAsia="宋体" w:cs="仿宋_GB2312"/>
                <w:color w:val="auto"/>
                <w:kern w:val="2"/>
                <w:sz w:val="24"/>
                <w:szCs w:val="24"/>
                <w:highlight w:val="none"/>
              </w:rPr>
            </w:pPr>
          </w:p>
        </w:tc>
      </w:tr>
    </w:tbl>
    <w:p w14:paraId="4A54B68C">
      <w:pPr>
        <w:adjustRightInd w:val="0"/>
        <w:spacing w:line="360" w:lineRule="auto"/>
        <w:contextualSpacing/>
        <w:rPr>
          <w:rFonts w:ascii="宋体" w:hAnsi="宋体" w:cs="仿宋_GB2312"/>
          <w:color w:val="auto"/>
          <w:sz w:val="24"/>
          <w:highlight w:val="none"/>
        </w:rPr>
      </w:pPr>
    </w:p>
    <w:p w14:paraId="49FE2DF2">
      <w:pPr>
        <w:pStyle w:val="19"/>
        <w:spacing w:line="360" w:lineRule="auto"/>
        <w:ind w:firstLine="0" w:firstLineChars="0"/>
        <w:contextualSpacing/>
        <w:rPr>
          <w:rFonts w:ascii="宋体" w:hAnsi="宋体" w:eastAsia="宋体" w:cs="仿宋_GB2312"/>
          <w:color w:val="auto"/>
          <w:sz w:val="24"/>
          <w:szCs w:val="24"/>
          <w:highlight w:val="none"/>
        </w:rPr>
      </w:pPr>
      <w:r>
        <w:rPr>
          <w:rFonts w:hint="eastAsia" w:ascii="宋体" w:hAnsi="宋体" w:eastAsia="宋体" w:cs="仿宋_GB2312"/>
          <w:color w:val="auto"/>
          <w:sz w:val="24"/>
          <w:szCs w:val="24"/>
          <w:highlight w:val="none"/>
        </w:rPr>
        <w:t>注：</w:t>
      </w:r>
    </w:p>
    <w:p w14:paraId="4DF1E526">
      <w:pPr>
        <w:pStyle w:val="19"/>
        <w:spacing w:line="360" w:lineRule="auto"/>
        <w:ind w:firstLine="0" w:firstLineChars="0"/>
        <w:contextualSpacing/>
        <w:rPr>
          <w:rFonts w:ascii="宋体" w:hAnsi="宋体" w:eastAsia="宋体" w:cs="仿宋_GB2312"/>
          <w:color w:val="auto"/>
          <w:sz w:val="24"/>
          <w:szCs w:val="24"/>
          <w:highlight w:val="none"/>
        </w:rPr>
      </w:pPr>
      <w:r>
        <w:rPr>
          <w:rFonts w:hint="eastAsia" w:ascii="宋体" w:hAnsi="宋体" w:eastAsia="宋体" w:cs="仿宋_GB2312"/>
          <w:color w:val="auto"/>
          <w:sz w:val="24"/>
          <w:szCs w:val="24"/>
          <w:highlight w:val="none"/>
        </w:rPr>
        <w:t>1. 说明：应对照磋商文件“第</w:t>
      </w:r>
      <w:r>
        <w:rPr>
          <w:rFonts w:hint="eastAsia" w:ascii="宋体" w:hAnsi="宋体" w:eastAsia="宋体" w:cs="仿宋_GB2312"/>
          <w:color w:val="auto"/>
          <w:sz w:val="24"/>
          <w:szCs w:val="24"/>
          <w:highlight w:val="none"/>
          <w:lang w:eastAsia="zh-CN"/>
        </w:rPr>
        <w:t>二</w:t>
      </w:r>
      <w:r>
        <w:rPr>
          <w:rFonts w:hint="eastAsia" w:ascii="宋体" w:hAnsi="宋体" w:eastAsia="宋体" w:cs="仿宋_GB2312"/>
          <w:color w:val="auto"/>
          <w:sz w:val="24"/>
          <w:szCs w:val="24"/>
          <w:highlight w:val="none"/>
        </w:rPr>
        <w:t>章 采购需求”中的</w:t>
      </w:r>
      <w:r>
        <w:rPr>
          <w:rFonts w:hint="eastAsia" w:hAnsi="宋体" w:eastAsia="宋体" w:cs="仿宋_GB2312"/>
          <w:color w:val="auto"/>
          <w:sz w:val="24"/>
          <w:szCs w:val="24"/>
          <w:highlight w:val="none"/>
          <w:lang w:eastAsia="zh-CN"/>
        </w:rPr>
        <w:t>“</w:t>
      </w:r>
      <w:r>
        <w:rPr>
          <w:rFonts w:hint="eastAsia" w:ascii="宋体" w:hAnsi="宋体" w:cs="宋体"/>
          <w:b/>
          <w:bCs/>
          <w:color w:val="auto"/>
          <w:sz w:val="24"/>
          <w:szCs w:val="24"/>
          <w:highlight w:val="none"/>
          <w:lang w:val="en-US" w:eastAsia="zh-CN"/>
        </w:rPr>
        <w:t>服务内容及</w:t>
      </w:r>
      <w:r>
        <w:rPr>
          <w:rFonts w:hint="eastAsia" w:ascii="宋体" w:hAnsi="宋体" w:cs="宋体"/>
          <w:b/>
          <w:bCs/>
          <w:color w:val="auto"/>
          <w:sz w:val="24"/>
          <w:szCs w:val="24"/>
          <w:highlight w:val="none"/>
        </w:rPr>
        <w:t>要求</w:t>
      </w:r>
      <w:r>
        <w:rPr>
          <w:rFonts w:hint="eastAsia" w:hAnsi="宋体" w:eastAsia="宋体" w:cs="仿宋_GB2312"/>
          <w:color w:val="auto"/>
          <w:sz w:val="24"/>
          <w:szCs w:val="24"/>
          <w:highlight w:val="none"/>
          <w:lang w:eastAsia="zh-CN"/>
        </w:rPr>
        <w:t>”</w:t>
      </w:r>
      <w:r>
        <w:rPr>
          <w:rFonts w:hint="eastAsia" w:ascii="宋体" w:hAnsi="宋体" w:eastAsia="宋体" w:cs="仿宋_GB2312"/>
          <w:color w:val="auto"/>
          <w:sz w:val="24"/>
          <w:szCs w:val="24"/>
          <w:highlight w:val="none"/>
        </w:rPr>
        <w:t>逐条作出明确响应，并作出偏离说明。</w:t>
      </w:r>
    </w:p>
    <w:p w14:paraId="7E5BACCE">
      <w:pPr>
        <w:pStyle w:val="19"/>
        <w:spacing w:line="360" w:lineRule="auto"/>
        <w:ind w:firstLine="0" w:firstLineChars="0"/>
        <w:contextualSpacing/>
        <w:rPr>
          <w:rFonts w:ascii="宋体" w:hAnsi="宋体" w:eastAsia="宋体" w:cs="仿宋_GB2312"/>
          <w:color w:val="auto"/>
          <w:sz w:val="24"/>
          <w:szCs w:val="24"/>
          <w:highlight w:val="none"/>
        </w:rPr>
      </w:pPr>
      <w:r>
        <w:rPr>
          <w:rFonts w:hint="eastAsia" w:ascii="宋体" w:hAnsi="宋体" w:eastAsia="宋体" w:cs="仿宋_GB2312"/>
          <w:color w:val="auto"/>
          <w:sz w:val="24"/>
          <w:szCs w:val="24"/>
          <w:highlight w:val="none"/>
        </w:rPr>
        <w:t>2.供应商应根据自身的承诺，对照磋商文件要求，在“偏离说明”中注明“正偏离”、“负偏离”或者“无偏离”。既不属于“正偏离”也不属于“负偏离”即为“无偏离”。</w:t>
      </w:r>
    </w:p>
    <w:p w14:paraId="5EC15AFD">
      <w:pPr>
        <w:spacing w:line="360" w:lineRule="auto"/>
        <w:ind w:right="-817" w:rightChars="-389"/>
        <w:contextualSpacing/>
        <w:rPr>
          <w:rFonts w:ascii="宋体" w:hAnsi="宋体" w:cs="仿宋_GB2312"/>
          <w:color w:val="auto"/>
          <w:sz w:val="24"/>
          <w:highlight w:val="none"/>
        </w:rPr>
      </w:pPr>
    </w:p>
    <w:p w14:paraId="2F623281">
      <w:pPr>
        <w:spacing w:line="360" w:lineRule="auto"/>
        <w:ind w:right="-817" w:rightChars="-389"/>
        <w:contextualSpacing/>
        <w:jc w:val="center"/>
        <w:rPr>
          <w:rFonts w:ascii="宋体" w:hAnsi="宋体" w:cs="仿宋_GB2312"/>
          <w:color w:val="auto"/>
          <w:sz w:val="24"/>
          <w:highlight w:val="none"/>
        </w:rPr>
      </w:pPr>
      <w:r>
        <w:rPr>
          <w:rFonts w:hint="eastAsia" w:ascii="宋体" w:hAnsi="宋体" w:cs="仿宋_GB2312"/>
          <w:color w:val="auto"/>
          <w:sz w:val="24"/>
          <w:highlight w:val="none"/>
          <w:lang w:val="en-US" w:eastAsia="zh-CN"/>
        </w:rPr>
        <w:t xml:space="preserve">    </w:t>
      </w:r>
      <w:r>
        <w:rPr>
          <w:rFonts w:hint="eastAsia" w:ascii="宋体" w:hAnsi="宋体" w:cs="仿宋_GB2312"/>
          <w:color w:val="auto"/>
          <w:sz w:val="24"/>
          <w:highlight w:val="none"/>
        </w:rPr>
        <w:t>法定代表人或者委托代理人（签字或者电子签名）：</w:t>
      </w:r>
    </w:p>
    <w:p w14:paraId="16BB08DD">
      <w:pPr>
        <w:spacing w:line="360" w:lineRule="auto"/>
        <w:ind w:right="-817" w:rightChars="-389" w:firstLine="4080" w:firstLineChars="1700"/>
        <w:contextualSpacing/>
        <w:rPr>
          <w:rFonts w:ascii="宋体" w:hAnsi="宋体" w:cs="仿宋_GB2312"/>
          <w:color w:val="auto"/>
          <w:sz w:val="24"/>
          <w:highlight w:val="none"/>
        </w:rPr>
      </w:pPr>
      <w:r>
        <w:rPr>
          <w:rFonts w:hint="eastAsia" w:ascii="宋体" w:hAnsi="宋体" w:cs="仿宋_GB2312"/>
          <w:color w:val="auto"/>
          <w:sz w:val="24"/>
          <w:highlight w:val="none"/>
        </w:rPr>
        <w:t xml:space="preserve">供应商（电子签章）：      </w:t>
      </w:r>
    </w:p>
    <w:p w14:paraId="52C7E485">
      <w:pPr>
        <w:spacing w:line="360" w:lineRule="auto"/>
        <w:ind w:right="-817" w:rightChars="-389" w:firstLine="4080" w:firstLineChars="1700"/>
        <w:contextualSpacing/>
        <w:rPr>
          <w:rFonts w:ascii="宋体" w:hAnsi="宋体" w:cs="仿宋_GB2312"/>
          <w:color w:val="auto"/>
          <w:sz w:val="24"/>
          <w:highlight w:val="none"/>
        </w:rPr>
      </w:pPr>
      <w:r>
        <w:rPr>
          <w:rFonts w:hint="eastAsia" w:ascii="宋体" w:hAnsi="宋体" w:cs="仿宋_GB2312"/>
          <w:color w:val="auto"/>
          <w:sz w:val="24"/>
          <w:highlight w:val="none"/>
        </w:rPr>
        <w:t>日期：   年   月   日</w:t>
      </w:r>
    </w:p>
    <w:p w14:paraId="1069B722">
      <w:pPr>
        <w:snapToGrid w:val="0"/>
        <w:spacing w:beforeLines="50" w:after="50"/>
        <w:ind w:left="142"/>
        <w:jc w:val="left"/>
        <w:rPr>
          <w:rFonts w:ascii="宋体" w:hAnsi="宋体"/>
          <w:b/>
          <w:color w:val="auto"/>
          <w:sz w:val="24"/>
          <w:highlight w:val="none"/>
        </w:rPr>
      </w:pPr>
      <w:r>
        <w:rPr>
          <w:rFonts w:ascii="宋体" w:hAnsi="宋体" w:cs="仿宋_GB2312"/>
          <w:color w:val="auto"/>
          <w:sz w:val="24"/>
          <w:highlight w:val="none"/>
        </w:rPr>
        <w:br w:type="page"/>
      </w:r>
      <w:r>
        <w:rPr>
          <w:rFonts w:hint="eastAsia" w:ascii="宋体" w:hAnsi="宋体"/>
          <w:b/>
          <w:color w:val="auto"/>
          <w:sz w:val="24"/>
          <w:highlight w:val="none"/>
        </w:rPr>
        <w:t>项目实施人员一览表格式</w:t>
      </w:r>
    </w:p>
    <w:p w14:paraId="6F08EBDF">
      <w:pPr>
        <w:snapToGrid w:val="0"/>
        <w:spacing w:beforeLines="50" w:after="50"/>
        <w:ind w:left="142"/>
        <w:jc w:val="left"/>
        <w:rPr>
          <w:rFonts w:ascii="宋体" w:hAnsi="宋体"/>
          <w:b/>
          <w:color w:val="auto"/>
          <w:sz w:val="24"/>
          <w:highlight w:val="none"/>
        </w:rPr>
      </w:pPr>
    </w:p>
    <w:p w14:paraId="524CCBB0">
      <w:pPr>
        <w:spacing w:line="360" w:lineRule="auto"/>
        <w:ind w:left="142"/>
        <w:contextualSpacing/>
        <w:jc w:val="center"/>
        <w:rPr>
          <w:rFonts w:ascii="宋体" w:hAnsi="宋体"/>
          <w:b/>
          <w:color w:val="auto"/>
          <w:sz w:val="32"/>
          <w:szCs w:val="32"/>
          <w:highlight w:val="none"/>
        </w:rPr>
      </w:pPr>
      <w:r>
        <w:rPr>
          <w:rFonts w:hint="eastAsia" w:ascii="宋体" w:hAnsi="宋体"/>
          <w:b/>
          <w:color w:val="auto"/>
          <w:sz w:val="32"/>
          <w:szCs w:val="32"/>
          <w:highlight w:val="none"/>
        </w:rPr>
        <w:t>项目实施人员一览表</w:t>
      </w:r>
    </w:p>
    <w:p w14:paraId="43A066B5">
      <w:pPr>
        <w:spacing w:line="360" w:lineRule="auto"/>
        <w:contextualSpacing/>
        <w:rPr>
          <w:rFonts w:ascii="宋体" w:hAnsi="宋体" w:cs="仿宋_GB2312"/>
          <w:color w:val="auto"/>
          <w:sz w:val="24"/>
          <w:highlight w:val="none"/>
          <w:u w:val="single"/>
        </w:rPr>
      </w:pPr>
      <w:r>
        <w:rPr>
          <w:rFonts w:hint="eastAsia" w:ascii="宋体" w:hAnsi="宋体" w:cs="仿宋_GB2312"/>
          <w:color w:val="auto"/>
          <w:sz w:val="24"/>
          <w:highlight w:val="none"/>
        </w:rPr>
        <w:t>采购项目编号：</w:t>
      </w:r>
      <w:r>
        <w:rPr>
          <w:rFonts w:hint="eastAsia" w:ascii="宋体" w:hAnsi="宋体" w:cs="仿宋_GB2312"/>
          <w:color w:val="auto"/>
          <w:sz w:val="24"/>
          <w:highlight w:val="none"/>
          <w:u w:val="single"/>
        </w:rPr>
        <w:t xml:space="preserve">                 </w:t>
      </w:r>
    </w:p>
    <w:p w14:paraId="6EE3E7DD">
      <w:pPr>
        <w:spacing w:line="360" w:lineRule="auto"/>
        <w:contextualSpacing/>
        <w:rPr>
          <w:rFonts w:ascii="宋体" w:hAnsi="宋体" w:cs="仿宋_GB2312"/>
          <w:color w:val="auto"/>
          <w:sz w:val="24"/>
          <w:highlight w:val="none"/>
        </w:rPr>
      </w:pPr>
      <w:r>
        <w:rPr>
          <w:rFonts w:hint="eastAsia" w:ascii="宋体" w:hAnsi="宋体" w:cs="仿宋_GB2312"/>
          <w:color w:val="auto"/>
          <w:sz w:val="24"/>
          <w:highlight w:val="none"/>
        </w:rPr>
        <w:t>采购项目名称：</w:t>
      </w:r>
      <w:r>
        <w:rPr>
          <w:rFonts w:hint="eastAsia" w:ascii="宋体" w:hAnsi="宋体" w:cs="仿宋_GB2312"/>
          <w:color w:val="auto"/>
          <w:sz w:val="24"/>
          <w:highlight w:val="none"/>
          <w:u w:val="single"/>
        </w:rPr>
        <w:t xml:space="preserve">                 </w:t>
      </w:r>
    </w:p>
    <w:p w14:paraId="7659A5D9">
      <w:pPr>
        <w:spacing w:line="360" w:lineRule="auto"/>
        <w:contextualSpacing/>
        <w:rPr>
          <w:rFonts w:ascii="宋体" w:hAnsi="宋体" w:cs="仿宋_GB2312"/>
          <w:color w:val="auto"/>
          <w:sz w:val="24"/>
          <w:highlight w:val="none"/>
          <w:u w:val="single"/>
        </w:rPr>
      </w:pPr>
      <w:r>
        <w:rPr>
          <w:rFonts w:hint="eastAsia" w:ascii="宋体" w:hAnsi="宋体" w:cs="仿宋_GB2312"/>
          <w:color w:val="auto"/>
          <w:sz w:val="24"/>
          <w:highlight w:val="none"/>
        </w:rPr>
        <w:t>分标号：</w:t>
      </w:r>
      <w:r>
        <w:rPr>
          <w:rFonts w:hint="eastAsia" w:ascii="宋体" w:hAnsi="宋体" w:cs="仿宋_GB2312"/>
          <w:color w:val="auto"/>
          <w:sz w:val="24"/>
          <w:highlight w:val="none"/>
          <w:u w:val="single"/>
        </w:rPr>
        <w:t xml:space="preserve">                       </w:t>
      </w:r>
    </w:p>
    <w:tbl>
      <w:tblPr>
        <w:tblStyle w:val="50"/>
        <w:tblW w:w="93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779"/>
        <w:gridCol w:w="705"/>
        <w:gridCol w:w="795"/>
        <w:gridCol w:w="1944"/>
        <w:gridCol w:w="1208"/>
        <w:gridCol w:w="1231"/>
        <w:gridCol w:w="1152"/>
      </w:tblGrid>
      <w:tr w14:paraId="14044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6391942E">
            <w:pPr>
              <w:spacing w:line="360" w:lineRule="auto"/>
              <w:contextualSpacing/>
              <w:jc w:val="center"/>
              <w:rPr>
                <w:rFonts w:ascii="宋体" w:hAnsi="宋体"/>
                <w:color w:val="auto"/>
                <w:sz w:val="24"/>
                <w:szCs w:val="20"/>
                <w:highlight w:val="none"/>
              </w:rPr>
            </w:pPr>
            <w:r>
              <w:rPr>
                <w:rFonts w:hint="eastAsia" w:ascii="宋体" w:hAnsi="宋体"/>
                <w:color w:val="auto"/>
                <w:sz w:val="24"/>
                <w:szCs w:val="20"/>
                <w:highlight w:val="none"/>
              </w:rPr>
              <w:t>姓名</w:t>
            </w:r>
          </w:p>
        </w:tc>
        <w:tc>
          <w:tcPr>
            <w:tcW w:w="709" w:type="dxa"/>
            <w:vAlign w:val="center"/>
          </w:tcPr>
          <w:p w14:paraId="791675B6">
            <w:pPr>
              <w:spacing w:line="360" w:lineRule="auto"/>
              <w:contextualSpacing/>
              <w:jc w:val="center"/>
              <w:rPr>
                <w:rFonts w:ascii="宋体" w:hAnsi="宋体"/>
                <w:color w:val="auto"/>
                <w:sz w:val="24"/>
                <w:szCs w:val="20"/>
                <w:highlight w:val="none"/>
              </w:rPr>
            </w:pPr>
            <w:r>
              <w:rPr>
                <w:rFonts w:hint="eastAsia" w:ascii="宋体" w:hAnsi="宋体"/>
                <w:color w:val="auto"/>
                <w:sz w:val="24"/>
                <w:szCs w:val="20"/>
                <w:highlight w:val="none"/>
                <w:lang w:eastAsia="zh-CN"/>
              </w:rPr>
              <w:t>拟任岗位</w:t>
            </w:r>
          </w:p>
        </w:tc>
        <w:tc>
          <w:tcPr>
            <w:tcW w:w="779" w:type="dxa"/>
            <w:vAlign w:val="center"/>
          </w:tcPr>
          <w:p w14:paraId="687A871B">
            <w:pPr>
              <w:spacing w:line="360" w:lineRule="auto"/>
              <w:contextualSpacing/>
              <w:jc w:val="center"/>
              <w:rPr>
                <w:rFonts w:hint="eastAsia" w:ascii="宋体" w:hAnsi="宋体" w:eastAsia="宋体"/>
                <w:color w:val="auto"/>
                <w:sz w:val="24"/>
                <w:szCs w:val="20"/>
                <w:highlight w:val="none"/>
                <w:lang w:eastAsia="zh-CN"/>
              </w:rPr>
            </w:pPr>
            <w:r>
              <w:rPr>
                <w:rFonts w:hint="eastAsia" w:ascii="宋体" w:hAnsi="宋体"/>
                <w:color w:val="auto"/>
                <w:sz w:val="24"/>
                <w:szCs w:val="20"/>
                <w:highlight w:val="none"/>
                <w:lang w:eastAsia="zh-CN"/>
              </w:rPr>
              <w:t>年龄</w:t>
            </w:r>
          </w:p>
        </w:tc>
        <w:tc>
          <w:tcPr>
            <w:tcW w:w="705" w:type="dxa"/>
            <w:vAlign w:val="center"/>
          </w:tcPr>
          <w:p w14:paraId="40EBC0E9">
            <w:pPr>
              <w:spacing w:line="360" w:lineRule="auto"/>
              <w:contextualSpacing/>
              <w:jc w:val="center"/>
              <w:rPr>
                <w:rFonts w:hint="eastAsia" w:ascii="宋体" w:hAnsi="宋体"/>
                <w:color w:val="auto"/>
                <w:sz w:val="24"/>
                <w:szCs w:val="20"/>
                <w:highlight w:val="none"/>
                <w:lang w:eastAsia="zh-CN"/>
              </w:rPr>
            </w:pPr>
            <w:r>
              <w:rPr>
                <w:rFonts w:hint="eastAsia" w:ascii="宋体" w:hAnsi="宋体"/>
                <w:color w:val="auto"/>
                <w:sz w:val="24"/>
                <w:szCs w:val="20"/>
                <w:highlight w:val="none"/>
                <w:lang w:eastAsia="zh-CN"/>
              </w:rPr>
              <w:t>性别</w:t>
            </w:r>
          </w:p>
        </w:tc>
        <w:tc>
          <w:tcPr>
            <w:tcW w:w="795" w:type="dxa"/>
            <w:vAlign w:val="center"/>
          </w:tcPr>
          <w:p w14:paraId="1334BC04">
            <w:pPr>
              <w:spacing w:line="360" w:lineRule="auto"/>
              <w:contextualSpacing/>
              <w:jc w:val="center"/>
              <w:rPr>
                <w:rFonts w:hint="eastAsia" w:ascii="宋体" w:hAnsi="宋体"/>
                <w:color w:val="auto"/>
                <w:sz w:val="24"/>
                <w:szCs w:val="20"/>
                <w:highlight w:val="none"/>
                <w:lang w:eastAsia="zh-CN"/>
              </w:rPr>
            </w:pPr>
            <w:r>
              <w:rPr>
                <w:rFonts w:hint="eastAsia" w:ascii="宋体" w:hAnsi="宋体"/>
                <w:color w:val="auto"/>
                <w:sz w:val="24"/>
                <w:szCs w:val="20"/>
                <w:highlight w:val="none"/>
                <w:lang w:eastAsia="zh-CN"/>
              </w:rPr>
              <w:t>学历</w:t>
            </w:r>
          </w:p>
        </w:tc>
        <w:tc>
          <w:tcPr>
            <w:tcW w:w="1944" w:type="dxa"/>
            <w:vAlign w:val="center"/>
          </w:tcPr>
          <w:p w14:paraId="5CCB2AB9">
            <w:pPr>
              <w:spacing w:line="360" w:lineRule="auto"/>
              <w:contextualSpacing/>
              <w:jc w:val="center"/>
              <w:rPr>
                <w:rFonts w:hint="eastAsia" w:ascii="宋体" w:hAnsi="宋体" w:eastAsia="宋体"/>
                <w:color w:val="auto"/>
                <w:sz w:val="24"/>
                <w:szCs w:val="20"/>
                <w:highlight w:val="none"/>
                <w:lang w:eastAsia="zh-CN"/>
              </w:rPr>
            </w:pPr>
            <w:r>
              <w:rPr>
                <w:rFonts w:hint="eastAsia" w:ascii="宋体" w:hAnsi="宋体"/>
                <w:color w:val="auto"/>
                <w:sz w:val="24"/>
                <w:szCs w:val="20"/>
                <w:highlight w:val="none"/>
              </w:rPr>
              <w:t>专业技术资格（职称）或者职业资格或者执业资格证或者其他证书</w:t>
            </w:r>
            <w:r>
              <w:rPr>
                <w:rFonts w:hint="eastAsia" w:ascii="宋体" w:hAnsi="宋体"/>
                <w:color w:val="auto"/>
                <w:sz w:val="24"/>
                <w:szCs w:val="20"/>
                <w:highlight w:val="none"/>
                <w:lang w:eastAsia="zh-CN"/>
              </w:rPr>
              <w:t>等</w:t>
            </w:r>
          </w:p>
        </w:tc>
        <w:tc>
          <w:tcPr>
            <w:tcW w:w="1208" w:type="dxa"/>
            <w:vAlign w:val="center"/>
          </w:tcPr>
          <w:p w14:paraId="22011FC6">
            <w:pPr>
              <w:spacing w:line="360" w:lineRule="auto"/>
              <w:contextualSpacing/>
              <w:jc w:val="center"/>
              <w:rPr>
                <w:rFonts w:hint="eastAsia" w:ascii="宋体" w:hAnsi="宋体" w:eastAsia="宋体"/>
                <w:color w:val="auto"/>
                <w:sz w:val="24"/>
                <w:szCs w:val="20"/>
                <w:highlight w:val="none"/>
                <w:lang w:eastAsia="zh-CN"/>
              </w:rPr>
            </w:pPr>
            <w:r>
              <w:rPr>
                <w:rFonts w:hint="eastAsia" w:ascii="宋体" w:hAnsi="宋体"/>
                <w:color w:val="auto"/>
                <w:sz w:val="24"/>
                <w:szCs w:val="20"/>
                <w:highlight w:val="none"/>
              </w:rPr>
              <w:t>证书编号</w:t>
            </w:r>
          </w:p>
        </w:tc>
        <w:tc>
          <w:tcPr>
            <w:tcW w:w="1231" w:type="dxa"/>
            <w:vAlign w:val="center"/>
          </w:tcPr>
          <w:p w14:paraId="431C6238">
            <w:pPr>
              <w:spacing w:line="360" w:lineRule="auto"/>
              <w:contextualSpacing/>
              <w:jc w:val="center"/>
              <w:rPr>
                <w:rFonts w:hint="eastAsia" w:ascii="宋体" w:hAnsi="宋体" w:eastAsia="宋体"/>
                <w:color w:val="auto"/>
                <w:sz w:val="24"/>
                <w:szCs w:val="20"/>
                <w:highlight w:val="none"/>
                <w:lang w:eastAsia="zh-CN"/>
              </w:rPr>
            </w:pPr>
            <w:r>
              <w:rPr>
                <w:rFonts w:hint="eastAsia" w:ascii="宋体" w:hAnsi="宋体" w:eastAsia="宋体"/>
                <w:color w:val="auto"/>
                <w:sz w:val="24"/>
                <w:szCs w:val="20"/>
                <w:highlight w:val="none"/>
                <w:lang w:eastAsia="zh-CN"/>
              </w:rPr>
              <w:t>项目</w:t>
            </w:r>
          </w:p>
          <w:p w14:paraId="78139AFD">
            <w:pPr>
              <w:spacing w:line="360" w:lineRule="auto"/>
              <w:contextualSpacing/>
              <w:jc w:val="center"/>
              <w:rPr>
                <w:rFonts w:ascii="宋体" w:hAnsi="宋体"/>
                <w:color w:val="auto"/>
                <w:sz w:val="24"/>
                <w:szCs w:val="20"/>
                <w:highlight w:val="none"/>
              </w:rPr>
            </w:pPr>
            <w:r>
              <w:rPr>
                <w:rFonts w:hint="eastAsia" w:ascii="宋体" w:hAnsi="宋体" w:eastAsia="宋体"/>
                <w:color w:val="auto"/>
                <w:sz w:val="24"/>
                <w:szCs w:val="20"/>
                <w:highlight w:val="none"/>
                <w:lang w:eastAsia="zh-CN"/>
              </w:rPr>
              <w:t>经历</w:t>
            </w:r>
          </w:p>
        </w:tc>
        <w:tc>
          <w:tcPr>
            <w:tcW w:w="1152" w:type="dxa"/>
            <w:vAlign w:val="center"/>
          </w:tcPr>
          <w:p w14:paraId="55AAC85D">
            <w:pPr>
              <w:spacing w:line="360" w:lineRule="auto"/>
              <w:contextualSpacing/>
              <w:jc w:val="center"/>
              <w:rPr>
                <w:rFonts w:hint="eastAsia" w:ascii="宋体" w:hAnsi="宋体" w:eastAsia="宋体"/>
                <w:color w:val="auto"/>
                <w:sz w:val="24"/>
                <w:szCs w:val="20"/>
                <w:highlight w:val="none"/>
                <w:lang w:eastAsia="zh-CN"/>
              </w:rPr>
            </w:pPr>
            <w:r>
              <w:rPr>
                <w:rFonts w:hint="eastAsia" w:ascii="宋体" w:hAnsi="宋体"/>
                <w:color w:val="auto"/>
                <w:sz w:val="24"/>
                <w:szCs w:val="20"/>
                <w:highlight w:val="none"/>
                <w:lang w:eastAsia="zh-CN"/>
              </w:rPr>
              <w:t>备注</w:t>
            </w:r>
          </w:p>
        </w:tc>
      </w:tr>
      <w:tr w14:paraId="62B5E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656404CE">
            <w:pPr>
              <w:spacing w:line="360" w:lineRule="auto"/>
              <w:contextualSpacing/>
              <w:jc w:val="center"/>
              <w:rPr>
                <w:rFonts w:ascii="宋体" w:hAnsi="宋体"/>
                <w:color w:val="auto"/>
                <w:sz w:val="24"/>
                <w:szCs w:val="20"/>
                <w:highlight w:val="none"/>
              </w:rPr>
            </w:pPr>
          </w:p>
        </w:tc>
        <w:tc>
          <w:tcPr>
            <w:tcW w:w="709" w:type="dxa"/>
            <w:vAlign w:val="center"/>
          </w:tcPr>
          <w:p w14:paraId="21CF52AC">
            <w:pPr>
              <w:spacing w:line="360" w:lineRule="auto"/>
              <w:contextualSpacing/>
              <w:jc w:val="center"/>
              <w:rPr>
                <w:rFonts w:ascii="宋体" w:hAnsi="宋体"/>
                <w:color w:val="auto"/>
                <w:sz w:val="24"/>
                <w:szCs w:val="20"/>
                <w:highlight w:val="none"/>
              </w:rPr>
            </w:pPr>
          </w:p>
        </w:tc>
        <w:tc>
          <w:tcPr>
            <w:tcW w:w="779" w:type="dxa"/>
            <w:vAlign w:val="center"/>
          </w:tcPr>
          <w:p w14:paraId="40C9CD09">
            <w:pPr>
              <w:spacing w:line="360" w:lineRule="auto"/>
              <w:contextualSpacing/>
              <w:jc w:val="center"/>
              <w:rPr>
                <w:rFonts w:ascii="宋体" w:hAnsi="宋体"/>
                <w:color w:val="auto"/>
                <w:sz w:val="24"/>
                <w:szCs w:val="20"/>
                <w:highlight w:val="none"/>
              </w:rPr>
            </w:pPr>
          </w:p>
        </w:tc>
        <w:tc>
          <w:tcPr>
            <w:tcW w:w="705" w:type="dxa"/>
            <w:vAlign w:val="center"/>
          </w:tcPr>
          <w:p w14:paraId="68048239">
            <w:pPr>
              <w:spacing w:line="360" w:lineRule="auto"/>
              <w:contextualSpacing/>
              <w:jc w:val="center"/>
              <w:rPr>
                <w:rFonts w:ascii="宋体" w:hAnsi="宋体"/>
                <w:color w:val="auto"/>
                <w:sz w:val="24"/>
                <w:szCs w:val="20"/>
                <w:highlight w:val="none"/>
              </w:rPr>
            </w:pPr>
          </w:p>
        </w:tc>
        <w:tc>
          <w:tcPr>
            <w:tcW w:w="795" w:type="dxa"/>
            <w:vAlign w:val="center"/>
          </w:tcPr>
          <w:p w14:paraId="511F0AB2">
            <w:pPr>
              <w:spacing w:line="360" w:lineRule="auto"/>
              <w:contextualSpacing/>
              <w:jc w:val="center"/>
              <w:rPr>
                <w:rFonts w:ascii="宋体" w:hAnsi="宋体"/>
                <w:color w:val="auto"/>
                <w:sz w:val="24"/>
                <w:szCs w:val="20"/>
                <w:highlight w:val="none"/>
              </w:rPr>
            </w:pPr>
          </w:p>
        </w:tc>
        <w:tc>
          <w:tcPr>
            <w:tcW w:w="1944" w:type="dxa"/>
            <w:vAlign w:val="center"/>
          </w:tcPr>
          <w:p w14:paraId="7794310D">
            <w:pPr>
              <w:spacing w:line="360" w:lineRule="auto"/>
              <w:contextualSpacing/>
              <w:jc w:val="center"/>
              <w:rPr>
                <w:rFonts w:ascii="宋体" w:hAnsi="宋体"/>
                <w:color w:val="auto"/>
                <w:sz w:val="24"/>
                <w:szCs w:val="20"/>
                <w:highlight w:val="none"/>
              </w:rPr>
            </w:pPr>
          </w:p>
        </w:tc>
        <w:tc>
          <w:tcPr>
            <w:tcW w:w="1208" w:type="dxa"/>
            <w:vAlign w:val="center"/>
          </w:tcPr>
          <w:p w14:paraId="010823D6">
            <w:pPr>
              <w:spacing w:line="360" w:lineRule="auto"/>
              <w:contextualSpacing/>
              <w:jc w:val="center"/>
              <w:rPr>
                <w:rFonts w:ascii="宋体" w:hAnsi="宋体"/>
                <w:color w:val="auto"/>
                <w:sz w:val="24"/>
                <w:szCs w:val="20"/>
                <w:highlight w:val="none"/>
              </w:rPr>
            </w:pPr>
          </w:p>
        </w:tc>
        <w:tc>
          <w:tcPr>
            <w:tcW w:w="1231" w:type="dxa"/>
            <w:vAlign w:val="center"/>
          </w:tcPr>
          <w:p w14:paraId="3CCEB977">
            <w:pPr>
              <w:spacing w:line="360" w:lineRule="auto"/>
              <w:contextualSpacing/>
              <w:jc w:val="center"/>
              <w:rPr>
                <w:rFonts w:ascii="宋体" w:hAnsi="宋体"/>
                <w:color w:val="auto"/>
                <w:sz w:val="24"/>
                <w:szCs w:val="20"/>
                <w:highlight w:val="none"/>
              </w:rPr>
            </w:pPr>
          </w:p>
        </w:tc>
        <w:tc>
          <w:tcPr>
            <w:tcW w:w="1152" w:type="dxa"/>
            <w:vAlign w:val="center"/>
          </w:tcPr>
          <w:p w14:paraId="1882CB40">
            <w:pPr>
              <w:spacing w:line="360" w:lineRule="auto"/>
              <w:contextualSpacing/>
              <w:jc w:val="center"/>
              <w:rPr>
                <w:rFonts w:ascii="宋体" w:hAnsi="宋体"/>
                <w:color w:val="auto"/>
                <w:sz w:val="24"/>
                <w:szCs w:val="20"/>
                <w:highlight w:val="none"/>
              </w:rPr>
            </w:pPr>
          </w:p>
        </w:tc>
      </w:tr>
      <w:tr w14:paraId="5EA48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183FBFB5">
            <w:pPr>
              <w:spacing w:line="360" w:lineRule="auto"/>
              <w:contextualSpacing/>
              <w:jc w:val="center"/>
              <w:rPr>
                <w:rFonts w:ascii="宋体" w:hAnsi="宋体"/>
                <w:color w:val="auto"/>
                <w:sz w:val="24"/>
                <w:szCs w:val="20"/>
                <w:highlight w:val="none"/>
              </w:rPr>
            </w:pPr>
          </w:p>
        </w:tc>
        <w:tc>
          <w:tcPr>
            <w:tcW w:w="709" w:type="dxa"/>
            <w:vAlign w:val="center"/>
          </w:tcPr>
          <w:p w14:paraId="080B36A5">
            <w:pPr>
              <w:spacing w:line="360" w:lineRule="auto"/>
              <w:contextualSpacing/>
              <w:jc w:val="center"/>
              <w:rPr>
                <w:rFonts w:ascii="宋体" w:hAnsi="宋体"/>
                <w:color w:val="auto"/>
                <w:sz w:val="24"/>
                <w:szCs w:val="20"/>
                <w:highlight w:val="none"/>
              </w:rPr>
            </w:pPr>
          </w:p>
        </w:tc>
        <w:tc>
          <w:tcPr>
            <w:tcW w:w="779" w:type="dxa"/>
            <w:vAlign w:val="center"/>
          </w:tcPr>
          <w:p w14:paraId="56BCB906">
            <w:pPr>
              <w:spacing w:line="360" w:lineRule="auto"/>
              <w:contextualSpacing/>
              <w:jc w:val="center"/>
              <w:rPr>
                <w:rFonts w:ascii="宋体" w:hAnsi="宋体"/>
                <w:color w:val="auto"/>
                <w:sz w:val="24"/>
                <w:szCs w:val="20"/>
                <w:highlight w:val="none"/>
              </w:rPr>
            </w:pPr>
          </w:p>
        </w:tc>
        <w:tc>
          <w:tcPr>
            <w:tcW w:w="705" w:type="dxa"/>
            <w:vAlign w:val="center"/>
          </w:tcPr>
          <w:p w14:paraId="78C4A562">
            <w:pPr>
              <w:spacing w:line="360" w:lineRule="auto"/>
              <w:contextualSpacing/>
              <w:jc w:val="center"/>
              <w:rPr>
                <w:rFonts w:ascii="宋体" w:hAnsi="宋体"/>
                <w:color w:val="auto"/>
                <w:sz w:val="24"/>
                <w:szCs w:val="20"/>
                <w:highlight w:val="none"/>
              </w:rPr>
            </w:pPr>
          </w:p>
        </w:tc>
        <w:tc>
          <w:tcPr>
            <w:tcW w:w="795" w:type="dxa"/>
            <w:vAlign w:val="center"/>
          </w:tcPr>
          <w:p w14:paraId="41317E1F">
            <w:pPr>
              <w:spacing w:line="360" w:lineRule="auto"/>
              <w:contextualSpacing/>
              <w:jc w:val="center"/>
              <w:rPr>
                <w:rFonts w:ascii="宋体" w:hAnsi="宋体"/>
                <w:color w:val="auto"/>
                <w:sz w:val="24"/>
                <w:szCs w:val="20"/>
                <w:highlight w:val="none"/>
              </w:rPr>
            </w:pPr>
          </w:p>
        </w:tc>
        <w:tc>
          <w:tcPr>
            <w:tcW w:w="1944" w:type="dxa"/>
            <w:vAlign w:val="center"/>
          </w:tcPr>
          <w:p w14:paraId="6392B567">
            <w:pPr>
              <w:spacing w:line="360" w:lineRule="auto"/>
              <w:contextualSpacing/>
              <w:jc w:val="center"/>
              <w:rPr>
                <w:rFonts w:ascii="宋体" w:hAnsi="宋体"/>
                <w:color w:val="auto"/>
                <w:sz w:val="24"/>
                <w:szCs w:val="20"/>
                <w:highlight w:val="none"/>
              </w:rPr>
            </w:pPr>
          </w:p>
        </w:tc>
        <w:tc>
          <w:tcPr>
            <w:tcW w:w="1208" w:type="dxa"/>
            <w:vAlign w:val="center"/>
          </w:tcPr>
          <w:p w14:paraId="70A4979E">
            <w:pPr>
              <w:spacing w:line="360" w:lineRule="auto"/>
              <w:contextualSpacing/>
              <w:jc w:val="center"/>
              <w:rPr>
                <w:rFonts w:ascii="宋体" w:hAnsi="宋体"/>
                <w:color w:val="auto"/>
                <w:sz w:val="24"/>
                <w:szCs w:val="20"/>
                <w:highlight w:val="none"/>
              </w:rPr>
            </w:pPr>
          </w:p>
        </w:tc>
        <w:tc>
          <w:tcPr>
            <w:tcW w:w="1231" w:type="dxa"/>
            <w:vAlign w:val="center"/>
          </w:tcPr>
          <w:p w14:paraId="6F85220A">
            <w:pPr>
              <w:spacing w:line="360" w:lineRule="auto"/>
              <w:contextualSpacing/>
              <w:jc w:val="center"/>
              <w:rPr>
                <w:rFonts w:ascii="宋体" w:hAnsi="宋体"/>
                <w:color w:val="auto"/>
                <w:sz w:val="24"/>
                <w:szCs w:val="20"/>
                <w:highlight w:val="none"/>
              </w:rPr>
            </w:pPr>
          </w:p>
        </w:tc>
        <w:tc>
          <w:tcPr>
            <w:tcW w:w="1152" w:type="dxa"/>
            <w:vAlign w:val="center"/>
          </w:tcPr>
          <w:p w14:paraId="4377C901">
            <w:pPr>
              <w:spacing w:line="360" w:lineRule="auto"/>
              <w:contextualSpacing/>
              <w:jc w:val="center"/>
              <w:rPr>
                <w:rFonts w:ascii="宋体" w:hAnsi="宋体"/>
                <w:color w:val="auto"/>
                <w:sz w:val="24"/>
                <w:szCs w:val="20"/>
                <w:highlight w:val="none"/>
              </w:rPr>
            </w:pPr>
          </w:p>
        </w:tc>
      </w:tr>
      <w:tr w14:paraId="40894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541F0EF2">
            <w:pPr>
              <w:spacing w:line="360" w:lineRule="auto"/>
              <w:contextualSpacing/>
              <w:jc w:val="center"/>
              <w:rPr>
                <w:rFonts w:ascii="宋体" w:hAnsi="宋体"/>
                <w:color w:val="auto"/>
                <w:sz w:val="24"/>
                <w:szCs w:val="20"/>
                <w:highlight w:val="none"/>
              </w:rPr>
            </w:pPr>
          </w:p>
        </w:tc>
        <w:tc>
          <w:tcPr>
            <w:tcW w:w="709" w:type="dxa"/>
            <w:vAlign w:val="center"/>
          </w:tcPr>
          <w:p w14:paraId="0372977A">
            <w:pPr>
              <w:spacing w:line="360" w:lineRule="auto"/>
              <w:contextualSpacing/>
              <w:jc w:val="center"/>
              <w:rPr>
                <w:rFonts w:ascii="宋体" w:hAnsi="宋体"/>
                <w:color w:val="auto"/>
                <w:sz w:val="24"/>
                <w:szCs w:val="20"/>
                <w:highlight w:val="none"/>
              </w:rPr>
            </w:pPr>
          </w:p>
        </w:tc>
        <w:tc>
          <w:tcPr>
            <w:tcW w:w="779" w:type="dxa"/>
            <w:vAlign w:val="center"/>
          </w:tcPr>
          <w:p w14:paraId="40C5706B">
            <w:pPr>
              <w:spacing w:line="360" w:lineRule="auto"/>
              <w:contextualSpacing/>
              <w:jc w:val="center"/>
              <w:rPr>
                <w:rFonts w:ascii="宋体" w:hAnsi="宋体"/>
                <w:color w:val="auto"/>
                <w:sz w:val="24"/>
                <w:szCs w:val="20"/>
                <w:highlight w:val="none"/>
              </w:rPr>
            </w:pPr>
          </w:p>
        </w:tc>
        <w:tc>
          <w:tcPr>
            <w:tcW w:w="705" w:type="dxa"/>
            <w:vAlign w:val="center"/>
          </w:tcPr>
          <w:p w14:paraId="5334992F">
            <w:pPr>
              <w:spacing w:line="360" w:lineRule="auto"/>
              <w:contextualSpacing/>
              <w:jc w:val="center"/>
              <w:rPr>
                <w:rFonts w:ascii="宋体" w:hAnsi="宋体"/>
                <w:color w:val="auto"/>
                <w:sz w:val="24"/>
                <w:szCs w:val="20"/>
                <w:highlight w:val="none"/>
              </w:rPr>
            </w:pPr>
          </w:p>
        </w:tc>
        <w:tc>
          <w:tcPr>
            <w:tcW w:w="795" w:type="dxa"/>
            <w:vAlign w:val="center"/>
          </w:tcPr>
          <w:p w14:paraId="46DFD174">
            <w:pPr>
              <w:spacing w:line="360" w:lineRule="auto"/>
              <w:contextualSpacing/>
              <w:jc w:val="center"/>
              <w:rPr>
                <w:rFonts w:ascii="宋体" w:hAnsi="宋体"/>
                <w:color w:val="auto"/>
                <w:sz w:val="24"/>
                <w:szCs w:val="20"/>
                <w:highlight w:val="none"/>
              </w:rPr>
            </w:pPr>
          </w:p>
        </w:tc>
        <w:tc>
          <w:tcPr>
            <w:tcW w:w="1944" w:type="dxa"/>
            <w:vAlign w:val="center"/>
          </w:tcPr>
          <w:p w14:paraId="49300C85">
            <w:pPr>
              <w:spacing w:line="360" w:lineRule="auto"/>
              <w:contextualSpacing/>
              <w:jc w:val="center"/>
              <w:rPr>
                <w:rFonts w:ascii="宋体" w:hAnsi="宋体"/>
                <w:color w:val="auto"/>
                <w:sz w:val="24"/>
                <w:szCs w:val="20"/>
                <w:highlight w:val="none"/>
              </w:rPr>
            </w:pPr>
          </w:p>
        </w:tc>
        <w:tc>
          <w:tcPr>
            <w:tcW w:w="1208" w:type="dxa"/>
            <w:vAlign w:val="center"/>
          </w:tcPr>
          <w:p w14:paraId="6EF386CB">
            <w:pPr>
              <w:spacing w:line="360" w:lineRule="auto"/>
              <w:contextualSpacing/>
              <w:jc w:val="center"/>
              <w:rPr>
                <w:rFonts w:ascii="宋体" w:hAnsi="宋体"/>
                <w:color w:val="auto"/>
                <w:sz w:val="24"/>
                <w:szCs w:val="20"/>
                <w:highlight w:val="none"/>
              </w:rPr>
            </w:pPr>
          </w:p>
        </w:tc>
        <w:tc>
          <w:tcPr>
            <w:tcW w:w="1231" w:type="dxa"/>
            <w:vAlign w:val="center"/>
          </w:tcPr>
          <w:p w14:paraId="7ED30BE8">
            <w:pPr>
              <w:spacing w:line="360" w:lineRule="auto"/>
              <w:contextualSpacing/>
              <w:jc w:val="center"/>
              <w:rPr>
                <w:rFonts w:ascii="宋体" w:hAnsi="宋体"/>
                <w:color w:val="auto"/>
                <w:sz w:val="24"/>
                <w:szCs w:val="20"/>
                <w:highlight w:val="none"/>
              </w:rPr>
            </w:pPr>
          </w:p>
        </w:tc>
        <w:tc>
          <w:tcPr>
            <w:tcW w:w="1152" w:type="dxa"/>
            <w:vAlign w:val="center"/>
          </w:tcPr>
          <w:p w14:paraId="46B4BA27">
            <w:pPr>
              <w:spacing w:line="360" w:lineRule="auto"/>
              <w:contextualSpacing/>
              <w:jc w:val="center"/>
              <w:rPr>
                <w:rFonts w:ascii="宋体" w:hAnsi="宋体"/>
                <w:color w:val="auto"/>
                <w:sz w:val="24"/>
                <w:szCs w:val="20"/>
                <w:highlight w:val="none"/>
              </w:rPr>
            </w:pPr>
          </w:p>
        </w:tc>
      </w:tr>
      <w:tr w14:paraId="430B1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521D5F9D">
            <w:pPr>
              <w:spacing w:line="360" w:lineRule="auto"/>
              <w:contextualSpacing/>
              <w:jc w:val="center"/>
              <w:rPr>
                <w:rFonts w:ascii="宋体" w:hAnsi="宋体"/>
                <w:color w:val="auto"/>
                <w:sz w:val="24"/>
                <w:szCs w:val="20"/>
                <w:highlight w:val="none"/>
              </w:rPr>
            </w:pPr>
          </w:p>
        </w:tc>
        <w:tc>
          <w:tcPr>
            <w:tcW w:w="709" w:type="dxa"/>
            <w:vAlign w:val="center"/>
          </w:tcPr>
          <w:p w14:paraId="5CAEBAFB">
            <w:pPr>
              <w:spacing w:line="360" w:lineRule="auto"/>
              <w:contextualSpacing/>
              <w:jc w:val="center"/>
              <w:rPr>
                <w:rFonts w:ascii="宋体" w:hAnsi="宋体"/>
                <w:color w:val="auto"/>
                <w:sz w:val="24"/>
                <w:szCs w:val="20"/>
                <w:highlight w:val="none"/>
              </w:rPr>
            </w:pPr>
          </w:p>
        </w:tc>
        <w:tc>
          <w:tcPr>
            <w:tcW w:w="779" w:type="dxa"/>
            <w:vAlign w:val="center"/>
          </w:tcPr>
          <w:p w14:paraId="6CCDD8CB">
            <w:pPr>
              <w:spacing w:line="360" w:lineRule="auto"/>
              <w:contextualSpacing/>
              <w:jc w:val="center"/>
              <w:rPr>
                <w:rFonts w:ascii="宋体" w:hAnsi="宋体"/>
                <w:color w:val="auto"/>
                <w:sz w:val="24"/>
                <w:szCs w:val="20"/>
                <w:highlight w:val="none"/>
              </w:rPr>
            </w:pPr>
          </w:p>
        </w:tc>
        <w:tc>
          <w:tcPr>
            <w:tcW w:w="705" w:type="dxa"/>
            <w:vAlign w:val="center"/>
          </w:tcPr>
          <w:p w14:paraId="01626531">
            <w:pPr>
              <w:spacing w:line="360" w:lineRule="auto"/>
              <w:contextualSpacing/>
              <w:jc w:val="center"/>
              <w:rPr>
                <w:rFonts w:ascii="宋体" w:hAnsi="宋体"/>
                <w:color w:val="auto"/>
                <w:sz w:val="24"/>
                <w:szCs w:val="20"/>
                <w:highlight w:val="none"/>
              </w:rPr>
            </w:pPr>
          </w:p>
        </w:tc>
        <w:tc>
          <w:tcPr>
            <w:tcW w:w="795" w:type="dxa"/>
            <w:vAlign w:val="center"/>
          </w:tcPr>
          <w:p w14:paraId="0723BFC7">
            <w:pPr>
              <w:spacing w:line="360" w:lineRule="auto"/>
              <w:contextualSpacing/>
              <w:jc w:val="center"/>
              <w:rPr>
                <w:rFonts w:ascii="宋体" w:hAnsi="宋体"/>
                <w:color w:val="auto"/>
                <w:sz w:val="24"/>
                <w:szCs w:val="20"/>
                <w:highlight w:val="none"/>
              </w:rPr>
            </w:pPr>
          </w:p>
        </w:tc>
        <w:tc>
          <w:tcPr>
            <w:tcW w:w="1944" w:type="dxa"/>
            <w:vAlign w:val="center"/>
          </w:tcPr>
          <w:p w14:paraId="6EBC32A1">
            <w:pPr>
              <w:spacing w:line="360" w:lineRule="auto"/>
              <w:contextualSpacing/>
              <w:jc w:val="center"/>
              <w:rPr>
                <w:rFonts w:ascii="宋体" w:hAnsi="宋体"/>
                <w:color w:val="auto"/>
                <w:sz w:val="24"/>
                <w:szCs w:val="20"/>
                <w:highlight w:val="none"/>
              </w:rPr>
            </w:pPr>
          </w:p>
        </w:tc>
        <w:tc>
          <w:tcPr>
            <w:tcW w:w="1208" w:type="dxa"/>
            <w:vAlign w:val="center"/>
          </w:tcPr>
          <w:p w14:paraId="627971CF">
            <w:pPr>
              <w:spacing w:line="360" w:lineRule="auto"/>
              <w:contextualSpacing/>
              <w:jc w:val="center"/>
              <w:rPr>
                <w:rFonts w:ascii="宋体" w:hAnsi="宋体"/>
                <w:color w:val="auto"/>
                <w:sz w:val="24"/>
                <w:szCs w:val="20"/>
                <w:highlight w:val="none"/>
              </w:rPr>
            </w:pPr>
          </w:p>
        </w:tc>
        <w:tc>
          <w:tcPr>
            <w:tcW w:w="1231" w:type="dxa"/>
            <w:vAlign w:val="center"/>
          </w:tcPr>
          <w:p w14:paraId="3007F362">
            <w:pPr>
              <w:spacing w:line="360" w:lineRule="auto"/>
              <w:contextualSpacing/>
              <w:jc w:val="center"/>
              <w:rPr>
                <w:rFonts w:ascii="宋体" w:hAnsi="宋体"/>
                <w:color w:val="auto"/>
                <w:sz w:val="24"/>
                <w:szCs w:val="20"/>
                <w:highlight w:val="none"/>
              </w:rPr>
            </w:pPr>
          </w:p>
        </w:tc>
        <w:tc>
          <w:tcPr>
            <w:tcW w:w="1152" w:type="dxa"/>
            <w:vAlign w:val="center"/>
          </w:tcPr>
          <w:p w14:paraId="29BE99BC">
            <w:pPr>
              <w:spacing w:line="360" w:lineRule="auto"/>
              <w:contextualSpacing/>
              <w:jc w:val="center"/>
              <w:rPr>
                <w:rFonts w:ascii="宋体" w:hAnsi="宋体"/>
                <w:color w:val="auto"/>
                <w:sz w:val="24"/>
                <w:szCs w:val="20"/>
                <w:highlight w:val="none"/>
              </w:rPr>
            </w:pPr>
          </w:p>
        </w:tc>
      </w:tr>
      <w:tr w14:paraId="39EDC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3B59F2B5">
            <w:pPr>
              <w:spacing w:line="360" w:lineRule="auto"/>
              <w:contextualSpacing/>
              <w:jc w:val="center"/>
              <w:rPr>
                <w:rFonts w:ascii="宋体" w:hAnsi="宋体"/>
                <w:color w:val="auto"/>
                <w:sz w:val="24"/>
                <w:szCs w:val="20"/>
                <w:highlight w:val="none"/>
              </w:rPr>
            </w:pPr>
          </w:p>
        </w:tc>
        <w:tc>
          <w:tcPr>
            <w:tcW w:w="709" w:type="dxa"/>
            <w:vAlign w:val="center"/>
          </w:tcPr>
          <w:p w14:paraId="4ECFD15A">
            <w:pPr>
              <w:spacing w:line="360" w:lineRule="auto"/>
              <w:contextualSpacing/>
              <w:jc w:val="center"/>
              <w:rPr>
                <w:rFonts w:ascii="宋体" w:hAnsi="宋体"/>
                <w:color w:val="auto"/>
                <w:sz w:val="24"/>
                <w:szCs w:val="20"/>
                <w:highlight w:val="none"/>
              </w:rPr>
            </w:pPr>
          </w:p>
        </w:tc>
        <w:tc>
          <w:tcPr>
            <w:tcW w:w="779" w:type="dxa"/>
            <w:vAlign w:val="center"/>
          </w:tcPr>
          <w:p w14:paraId="4629CE17">
            <w:pPr>
              <w:spacing w:line="360" w:lineRule="auto"/>
              <w:contextualSpacing/>
              <w:jc w:val="center"/>
              <w:rPr>
                <w:rFonts w:ascii="宋体" w:hAnsi="宋体"/>
                <w:color w:val="auto"/>
                <w:sz w:val="24"/>
                <w:szCs w:val="20"/>
                <w:highlight w:val="none"/>
              </w:rPr>
            </w:pPr>
          </w:p>
        </w:tc>
        <w:tc>
          <w:tcPr>
            <w:tcW w:w="705" w:type="dxa"/>
            <w:vAlign w:val="center"/>
          </w:tcPr>
          <w:p w14:paraId="6DA2CF47">
            <w:pPr>
              <w:spacing w:line="360" w:lineRule="auto"/>
              <w:contextualSpacing/>
              <w:jc w:val="center"/>
              <w:rPr>
                <w:rFonts w:ascii="宋体" w:hAnsi="宋体"/>
                <w:color w:val="auto"/>
                <w:sz w:val="24"/>
                <w:szCs w:val="20"/>
                <w:highlight w:val="none"/>
              </w:rPr>
            </w:pPr>
          </w:p>
        </w:tc>
        <w:tc>
          <w:tcPr>
            <w:tcW w:w="795" w:type="dxa"/>
            <w:vAlign w:val="center"/>
          </w:tcPr>
          <w:p w14:paraId="5098389A">
            <w:pPr>
              <w:spacing w:line="360" w:lineRule="auto"/>
              <w:contextualSpacing/>
              <w:jc w:val="center"/>
              <w:rPr>
                <w:rFonts w:ascii="宋体" w:hAnsi="宋体"/>
                <w:color w:val="auto"/>
                <w:sz w:val="24"/>
                <w:szCs w:val="20"/>
                <w:highlight w:val="none"/>
              </w:rPr>
            </w:pPr>
          </w:p>
        </w:tc>
        <w:tc>
          <w:tcPr>
            <w:tcW w:w="1944" w:type="dxa"/>
            <w:vAlign w:val="center"/>
          </w:tcPr>
          <w:p w14:paraId="29778F7D">
            <w:pPr>
              <w:spacing w:line="360" w:lineRule="auto"/>
              <w:contextualSpacing/>
              <w:jc w:val="center"/>
              <w:rPr>
                <w:rFonts w:ascii="宋体" w:hAnsi="宋体"/>
                <w:color w:val="auto"/>
                <w:sz w:val="24"/>
                <w:szCs w:val="20"/>
                <w:highlight w:val="none"/>
              </w:rPr>
            </w:pPr>
          </w:p>
        </w:tc>
        <w:tc>
          <w:tcPr>
            <w:tcW w:w="1208" w:type="dxa"/>
            <w:vAlign w:val="center"/>
          </w:tcPr>
          <w:p w14:paraId="45A789A1">
            <w:pPr>
              <w:spacing w:line="360" w:lineRule="auto"/>
              <w:contextualSpacing/>
              <w:jc w:val="center"/>
              <w:rPr>
                <w:rFonts w:ascii="宋体" w:hAnsi="宋体"/>
                <w:color w:val="auto"/>
                <w:sz w:val="24"/>
                <w:szCs w:val="20"/>
                <w:highlight w:val="none"/>
              </w:rPr>
            </w:pPr>
          </w:p>
        </w:tc>
        <w:tc>
          <w:tcPr>
            <w:tcW w:w="1231" w:type="dxa"/>
            <w:vAlign w:val="center"/>
          </w:tcPr>
          <w:p w14:paraId="3084C8AC">
            <w:pPr>
              <w:spacing w:line="360" w:lineRule="auto"/>
              <w:contextualSpacing/>
              <w:jc w:val="center"/>
              <w:rPr>
                <w:rFonts w:ascii="宋体" w:hAnsi="宋体"/>
                <w:color w:val="auto"/>
                <w:sz w:val="24"/>
                <w:szCs w:val="20"/>
                <w:highlight w:val="none"/>
              </w:rPr>
            </w:pPr>
          </w:p>
        </w:tc>
        <w:tc>
          <w:tcPr>
            <w:tcW w:w="1152" w:type="dxa"/>
            <w:vAlign w:val="center"/>
          </w:tcPr>
          <w:p w14:paraId="243A4EAE">
            <w:pPr>
              <w:spacing w:line="360" w:lineRule="auto"/>
              <w:contextualSpacing/>
              <w:jc w:val="center"/>
              <w:rPr>
                <w:rFonts w:ascii="宋体" w:hAnsi="宋体"/>
                <w:color w:val="auto"/>
                <w:sz w:val="24"/>
                <w:szCs w:val="20"/>
                <w:highlight w:val="none"/>
              </w:rPr>
            </w:pPr>
          </w:p>
        </w:tc>
      </w:tr>
      <w:tr w14:paraId="06988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739F48FF">
            <w:pPr>
              <w:spacing w:line="360" w:lineRule="auto"/>
              <w:contextualSpacing/>
              <w:jc w:val="center"/>
              <w:rPr>
                <w:rFonts w:ascii="宋体" w:hAnsi="宋体"/>
                <w:color w:val="auto"/>
                <w:sz w:val="24"/>
                <w:szCs w:val="20"/>
                <w:highlight w:val="none"/>
              </w:rPr>
            </w:pPr>
          </w:p>
        </w:tc>
        <w:tc>
          <w:tcPr>
            <w:tcW w:w="709" w:type="dxa"/>
            <w:vAlign w:val="center"/>
          </w:tcPr>
          <w:p w14:paraId="5A758724">
            <w:pPr>
              <w:spacing w:line="360" w:lineRule="auto"/>
              <w:contextualSpacing/>
              <w:jc w:val="center"/>
              <w:rPr>
                <w:rFonts w:ascii="宋体" w:hAnsi="宋体"/>
                <w:color w:val="auto"/>
                <w:sz w:val="24"/>
                <w:szCs w:val="20"/>
                <w:highlight w:val="none"/>
              </w:rPr>
            </w:pPr>
          </w:p>
        </w:tc>
        <w:tc>
          <w:tcPr>
            <w:tcW w:w="779" w:type="dxa"/>
            <w:vAlign w:val="center"/>
          </w:tcPr>
          <w:p w14:paraId="1F3CBB2A">
            <w:pPr>
              <w:spacing w:line="360" w:lineRule="auto"/>
              <w:contextualSpacing/>
              <w:jc w:val="center"/>
              <w:rPr>
                <w:rFonts w:ascii="宋体" w:hAnsi="宋体"/>
                <w:color w:val="auto"/>
                <w:sz w:val="24"/>
                <w:szCs w:val="20"/>
                <w:highlight w:val="none"/>
              </w:rPr>
            </w:pPr>
          </w:p>
        </w:tc>
        <w:tc>
          <w:tcPr>
            <w:tcW w:w="705" w:type="dxa"/>
            <w:vAlign w:val="center"/>
          </w:tcPr>
          <w:p w14:paraId="3E8D35B6">
            <w:pPr>
              <w:spacing w:line="360" w:lineRule="auto"/>
              <w:contextualSpacing/>
              <w:jc w:val="center"/>
              <w:rPr>
                <w:rFonts w:ascii="宋体" w:hAnsi="宋体"/>
                <w:color w:val="auto"/>
                <w:sz w:val="24"/>
                <w:szCs w:val="20"/>
                <w:highlight w:val="none"/>
              </w:rPr>
            </w:pPr>
          </w:p>
        </w:tc>
        <w:tc>
          <w:tcPr>
            <w:tcW w:w="795" w:type="dxa"/>
            <w:vAlign w:val="center"/>
          </w:tcPr>
          <w:p w14:paraId="442418AB">
            <w:pPr>
              <w:spacing w:line="360" w:lineRule="auto"/>
              <w:contextualSpacing/>
              <w:jc w:val="center"/>
              <w:rPr>
                <w:rFonts w:ascii="宋体" w:hAnsi="宋体"/>
                <w:color w:val="auto"/>
                <w:sz w:val="24"/>
                <w:szCs w:val="20"/>
                <w:highlight w:val="none"/>
              </w:rPr>
            </w:pPr>
          </w:p>
        </w:tc>
        <w:tc>
          <w:tcPr>
            <w:tcW w:w="1944" w:type="dxa"/>
            <w:vAlign w:val="center"/>
          </w:tcPr>
          <w:p w14:paraId="355BE07A">
            <w:pPr>
              <w:spacing w:line="360" w:lineRule="auto"/>
              <w:contextualSpacing/>
              <w:jc w:val="center"/>
              <w:rPr>
                <w:rFonts w:ascii="宋体" w:hAnsi="宋体"/>
                <w:color w:val="auto"/>
                <w:sz w:val="24"/>
                <w:szCs w:val="20"/>
                <w:highlight w:val="none"/>
              </w:rPr>
            </w:pPr>
          </w:p>
        </w:tc>
        <w:tc>
          <w:tcPr>
            <w:tcW w:w="1208" w:type="dxa"/>
            <w:vAlign w:val="center"/>
          </w:tcPr>
          <w:p w14:paraId="263E71E9">
            <w:pPr>
              <w:spacing w:line="360" w:lineRule="auto"/>
              <w:contextualSpacing/>
              <w:jc w:val="center"/>
              <w:rPr>
                <w:rFonts w:ascii="宋体" w:hAnsi="宋体"/>
                <w:color w:val="auto"/>
                <w:sz w:val="24"/>
                <w:szCs w:val="20"/>
                <w:highlight w:val="none"/>
              </w:rPr>
            </w:pPr>
          </w:p>
        </w:tc>
        <w:tc>
          <w:tcPr>
            <w:tcW w:w="1231" w:type="dxa"/>
            <w:vAlign w:val="center"/>
          </w:tcPr>
          <w:p w14:paraId="40AEB2F7">
            <w:pPr>
              <w:spacing w:line="360" w:lineRule="auto"/>
              <w:contextualSpacing/>
              <w:jc w:val="center"/>
              <w:rPr>
                <w:rFonts w:ascii="宋体" w:hAnsi="宋体"/>
                <w:color w:val="auto"/>
                <w:sz w:val="24"/>
                <w:szCs w:val="20"/>
                <w:highlight w:val="none"/>
              </w:rPr>
            </w:pPr>
          </w:p>
        </w:tc>
        <w:tc>
          <w:tcPr>
            <w:tcW w:w="1152" w:type="dxa"/>
            <w:vAlign w:val="center"/>
          </w:tcPr>
          <w:p w14:paraId="2A8BE36E">
            <w:pPr>
              <w:spacing w:line="360" w:lineRule="auto"/>
              <w:contextualSpacing/>
              <w:jc w:val="center"/>
              <w:rPr>
                <w:rFonts w:ascii="宋体" w:hAnsi="宋体"/>
                <w:color w:val="auto"/>
                <w:sz w:val="24"/>
                <w:szCs w:val="20"/>
                <w:highlight w:val="none"/>
              </w:rPr>
            </w:pPr>
          </w:p>
        </w:tc>
      </w:tr>
      <w:tr w14:paraId="4ABB9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5412EB77">
            <w:pPr>
              <w:spacing w:line="360" w:lineRule="auto"/>
              <w:contextualSpacing/>
              <w:jc w:val="center"/>
              <w:rPr>
                <w:rFonts w:ascii="宋体" w:hAnsi="宋体"/>
                <w:color w:val="auto"/>
                <w:sz w:val="24"/>
                <w:szCs w:val="20"/>
                <w:highlight w:val="none"/>
              </w:rPr>
            </w:pPr>
          </w:p>
        </w:tc>
        <w:tc>
          <w:tcPr>
            <w:tcW w:w="709" w:type="dxa"/>
            <w:vAlign w:val="center"/>
          </w:tcPr>
          <w:p w14:paraId="5BCC322F">
            <w:pPr>
              <w:spacing w:line="360" w:lineRule="auto"/>
              <w:contextualSpacing/>
              <w:jc w:val="center"/>
              <w:rPr>
                <w:rFonts w:ascii="宋体" w:hAnsi="宋体"/>
                <w:color w:val="auto"/>
                <w:sz w:val="24"/>
                <w:szCs w:val="20"/>
                <w:highlight w:val="none"/>
              </w:rPr>
            </w:pPr>
          </w:p>
        </w:tc>
        <w:tc>
          <w:tcPr>
            <w:tcW w:w="779" w:type="dxa"/>
            <w:vAlign w:val="center"/>
          </w:tcPr>
          <w:p w14:paraId="570F2A0B">
            <w:pPr>
              <w:spacing w:line="360" w:lineRule="auto"/>
              <w:contextualSpacing/>
              <w:jc w:val="center"/>
              <w:rPr>
                <w:rFonts w:ascii="宋体" w:hAnsi="宋体"/>
                <w:color w:val="auto"/>
                <w:sz w:val="24"/>
                <w:szCs w:val="20"/>
                <w:highlight w:val="none"/>
              </w:rPr>
            </w:pPr>
          </w:p>
        </w:tc>
        <w:tc>
          <w:tcPr>
            <w:tcW w:w="705" w:type="dxa"/>
            <w:vAlign w:val="center"/>
          </w:tcPr>
          <w:p w14:paraId="42D8F8D1">
            <w:pPr>
              <w:spacing w:line="360" w:lineRule="auto"/>
              <w:contextualSpacing/>
              <w:jc w:val="center"/>
              <w:rPr>
                <w:rFonts w:ascii="宋体" w:hAnsi="宋体"/>
                <w:color w:val="auto"/>
                <w:sz w:val="24"/>
                <w:szCs w:val="20"/>
                <w:highlight w:val="none"/>
              </w:rPr>
            </w:pPr>
          </w:p>
        </w:tc>
        <w:tc>
          <w:tcPr>
            <w:tcW w:w="795" w:type="dxa"/>
            <w:vAlign w:val="center"/>
          </w:tcPr>
          <w:p w14:paraId="11C0DCE0">
            <w:pPr>
              <w:spacing w:line="360" w:lineRule="auto"/>
              <w:contextualSpacing/>
              <w:jc w:val="center"/>
              <w:rPr>
                <w:rFonts w:ascii="宋体" w:hAnsi="宋体"/>
                <w:color w:val="auto"/>
                <w:sz w:val="24"/>
                <w:szCs w:val="20"/>
                <w:highlight w:val="none"/>
              </w:rPr>
            </w:pPr>
          </w:p>
        </w:tc>
        <w:tc>
          <w:tcPr>
            <w:tcW w:w="1944" w:type="dxa"/>
            <w:vAlign w:val="center"/>
          </w:tcPr>
          <w:p w14:paraId="59612FCF">
            <w:pPr>
              <w:spacing w:line="360" w:lineRule="auto"/>
              <w:contextualSpacing/>
              <w:jc w:val="center"/>
              <w:rPr>
                <w:rFonts w:ascii="宋体" w:hAnsi="宋体"/>
                <w:color w:val="auto"/>
                <w:sz w:val="24"/>
                <w:szCs w:val="20"/>
                <w:highlight w:val="none"/>
              </w:rPr>
            </w:pPr>
          </w:p>
        </w:tc>
        <w:tc>
          <w:tcPr>
            <w:tcW w:w="1208" w:type="dxa"/>
            <w:vAlign w:val="center"/>
          </w:tcPr>
          <w:p w14:paraId="36A2ADEE">
            <w:pPr>
              <w:spacing w:line="360" w:lineRule="auto"/>
              <w:contextualSpacing/>
              <w:jc w:val="center"/>
              <w:rPr>
                <w:rFonts w:ascii="宋体" w:hAnsi="宋体"/>
                <w:color w:val="auto"/>
                <w:sz w:val="24"/>
                <w:szCs w:val="20"/>
                <w:highlight w:val="none"/>
              </w:rPr>
            </w:pPr>
          </w:p>
        </w:tc>
        <w:tc>
          <w:tcPr>
            <w:tcW w:w="1231" w:type="dxa"/>
            <w:vAlign w:val="center"/>
          </w:tcPr>
          <w:p w14:paraId="74BD56D3">
            <w:pPr>
              <w:spacing w:line="360" w:lineRule="auto"/>
              <w:contextualSpacing/>
              <w:jc w:val="center"/>
              <w:rPr>
                <w:rFonts w:ascii="宋体" w:hAnsi="宋体"/>
                <w:color w:val="auto"/>
                <w:sz w:val="24"/>
                <w:szCs w:val="20"/>
                <w:highlight w:val="none"/>
              </w:rPr>
            </w:pPr>
          </w:p>
        </w:tc>
        <w:tc>
          <w:tcPr>
            <w:tcW w:w="1152" w:type="dxa"/>
            <w:vAlign w:val="center"/>
          </w:tcPr>
          <w:p w14:paraId="5988DA9B">
            <w:pPr>
              <w:spacing w:line="360" w:lineRule="auto"/>
              <w:contextualSpacing/>
              <w:jc w:val="center"/>
              <w:rPr>
                <w:rFonts w:ascii="宋体" w:hAnsi="宋体"/>
                <w:color w:val="auto"/>
                <w:sz w:val="24"/>
                <w:szCs w:val="20"/>
                <w:highlight w:val="none"/>
              </w:rPr>
            </w:pPr>
          </w:p>
        </w:tc>
      </w:tr>
    </w:tbl>
    <w:p w14:paraId="336DFE8C">
      <w:pPr>
        <w:spacing w:line="360" w:lineRule="auto"/>
        <w:contextualSpacing/>
        <w:jc w:val="left"/>
        <w:rPr>
          <w:rFonts w:ascii="宋体" w:hAnsi="宋体"/>
          <w:color w:val="auto"/>
          <w:sz w:val="24"/>
          <w:szCs w:val="20"/>
          <w:highlight w:val="none"/>
        </w:rPr>
      </w:pPr>
      <w:r>
        <w:rPr>
          <w:rFonts w:hint="eastAsia" w:ascii="宋体" w:hAnsi="宋体"/>
          <w:color w:val="auto"/>
          <w:sz w:val="24"/>
          <w:szCs w:val="20"/>
          <w:highlight w:val="none"/>
        </w:rPr>
        <w:t>注：</w:t>
      </w:r>
    </w:p>
    <w:p w14:paraId="7786CD7B">
      <w:pPr>
        <w:spacing w:line="360" w:lineRule="auto"/>
        <w:contextualSpacing/>
        <w:jc w:val="left"/>
        <w:rPr>
          <w:rFonts w:ascii="宋体" w:hAnsi="宋体"/>
          <w:color w:val="auto"/>
          <w:sz w:val="24"/>
          <w:szCs w:val="20"/>
          <w:highlight w:val="none"/>
        </w:rPr>
      </w:pPr>
      <w:r>
        <w:rPr>
          <w:rFonts w:hint="eastAsia" w:ascii="宋体" w:hAnsi="宋体"/>
          <w:color w:val="auto"/>
          <w:sz w:val="24"/>
          <w:szCs w:val="20"/>
          <w:highlight w:val="none"/>
        </w:rPr>
        <w:t>1</w:t>
      </w:r>
      <w:r>
        <w:rPr>
          <w:rFonts w:ascii="宋体" w:hAnsi="宋体"/>
          <w:color w:val="auto"/>
          <w:sz w:val="24"/>
          <w:szCs w:val="20"/>
          <w:highlight w:val="none"/>
        </w:rPr>
        <w:t>.</w:t>
      </w:r>
      <w:r>
        <w:rPr>
          <w:rFonts w:hint="eastAsia" w:ascii="宋体" w:hAnsi="宋体"/>
          <w:color w:val="auto"/>
          <w:sz w:val="24"/>
          <w:szCs w:val="20"/>
          <w:highlight w:val="none"/>
        </w:rPr>
        <w:t>在填写时，如本表格不适合供应商的实际情况，可根据本表格式自行制表填写。</w:t>
      </w:r>
    </w:p>
    <w:p w14:paraId="6CF8A987">
      <w:pPr>
        <w:spacing w:line="360" w:lineRule="auto"/>
        <w:contextualSpacing/>
        <w:jc w:val="left"/>
        <w:rPr>
          <w:rFonts w:ascii="宋体" w:hAnsi="宋体"/>
          <w:color w:val="auto"/>
          <w:sz w:val="24"/>
          <w:szCs w:val="20"/>
          <w:highlight w:val="none"/>
        </w:rPr>
      </w:pPr>
      <w:r>
        <w:rPr>
          <w:rFonts w:ascii="宋体" w:hAnsi="宋体"/>
          <w:color w:val="auto"/>
          <w:sz w:val="24"/>
          <w:szCs w:val="20"/>
          <w:highlight w:val="none"/>
        </w:rPr>
        <w:t>2.</w:t>
      </w:r>
      <w:r>
        <w:rPr>
          <w:rFonts w:hint="eastAsia" w:ascii="宋体" w:hAnsi="宋体"/>
          <w:color w:val="auto"/>
          <w:sz w:val="24"/>
          <w:szCs w:val="20"/>
          <w:highlight w:val="none"/>
        </w:rPr>
        <w:t>供应商应当附本表所列证书</w:t>
      </w:r>
      <w:r>
        <w:rPr>
          <w:rFonts w:hint="eastAsia" w:ascii="宋体" w:hAnsi="宋体"/>
          <w:color w:val="auto"/>
          <w:sz w:val="24"/>
          <w:szCs w:val="20"/>
          <w:highlight w:val="none"/>
          <w:lang w:eastAsia="zh-CN"/>
        </w:rPr>
        <w:t>、身份证、退伍军人相关证</w:t>
      </w:r>
      <w:r>
        <w:rPr>
          <w:rFonts w:hint="eastAsia" w:ascii="宋体" w:hAnsi="宋体"/>
          <w:color w:val="auto"/>
          <w:sz w:val="24"/>
          <w:szCs w:val="20"/>
          <w:highlight w:val="none"/>
          <w:lang w:val="en-US" w:eastAsia="zh-CN"/>
        </w:rPr>
        <w:t>明</w:t>
      </w:r>
      <w:r>
        <w:rPr>
          <w:rFonts w:hint="eastAsia" w:ascii="宋体" w:hAnsi="宋体"/>
          <w:color w:val="auto"/>
          <w:sz w:val="24"/>
          <w:szCs w:val="20"/>
          <w:highlight w:val="none"/>
          <w:lang w:eastAsia="zh-CN"/>
        </w:rPr>
        <w:t>或学历、保安</w:t>
      </w:r>
      <w:r>
        <w:rPr>
          <w:rFonts w:hint="eastAsia" w:ascii="宋体" w:hAnsi="宋体"/>
          <w:color w:val="auto"/>
          <w:sz w:val="24"/>
          <w:szCs w:val="20"/>
          <w:highlight w:val="none"/>
          <w:lang w:val="en-US" w:eastAsia="zh-CN"/>
        </w:rPr>
        <w:t>员</w:t>
      </w:r>
      <w:r>
        <w:rPr>
          <w:rFonts w:hint="eastAsia" w:ascii="宋体" w:hAnsi="宋体"/>
          <w:color w:val="auto"/>
          <w:sz w:val="24"/>
          <w:szCs w:val="20"/>
          <w:highlight w:val="none"/>
          <w:lang w:eastAsia="zh-CN"/>
        </w:rPr>
        <w:t>证、供应商与拟投入服务人员签订的劳动合同等材料的</w:t>
      </w:r>
      <w:r>
        <w:rPr>
          <w:rFonts w:hint="eastAsia" w:ascii="宋体" w:hAnsi="宋体"/>
          <w:color w:val="auto"/>
          <w:sz w:val="24"/>
          <w:szCs w:val="20"/>
          <w:highlight w:val="none"/>
        </w:rPr>
        <w:t>复印件并加盖供应商电子签章。</w:t>
      </w:r>
    </w:p>
    <w:p w14:paraId="0A61BB1D">
      <w:pPr>
        <w:spacing w:line="360" w:lineRule="auto"/>
        <w:ind w:right="-817" w:rightChars="-389"/>
        <w:contextualSpacing/>
        <w:jc w:val="center"/>
        <w:rPr>
          <w:rFonts w:hint="eastAsia" w:ascii="宋体" w:hAnsi="宋体" w:cs="仿宋_GB2312"/>
          <w:color w:val="auto"/>
          <w:sz w:val="24"/>
          <w:highlight w:val="none"/>
        </w:rPr>
      </w:pPr>
    </w:p>
    <w:p w14:paraId="67E6FE35">
      <w:pPr>
        <w:spacing w:line="360" w:lineRule="auto"/>
        <w:ind w:right="-817" w:rightChars="-389"/>
        <w:contextualSpacing/>
        <w:jc w:val="center"/>
        <w:rPr>
          <w:rFonts w:ascii="宋体" w:hAnsi="宋体" w:cs="仿宋_GB2312"/>
          <w:color w:val="auto"/>
          <w:sz w:val="24"/>
          <w:highlight w:val="none"/>
        </w:rPr>
      </w:pPr>
      <w:r>
        <w:rPr>
          <w:rFonts w:hint="eastAsia" w:ascii="宋体" w:hAnsi="宋体" w:cs="仿宋_GB2312"/>
          <w:color w:val="auto"/>
          <w:sz w:val="24"/>
          <w:highlight w:val="none"/>
        </w:rPr>
        <w:t>法定代表人或者委托代理人（签字或者电子签名）：</w:t>
      </w:r>
    </w:p>
    <w:p w14:paraId="2766B792">
      <w:pPr>
        <w:spacing w:line="360" w:lineRule="auto"/>
        <w:ind w:right="-817" w:rightChars="-389" w:firstLine="2640" w:firstLineChars="1100"/>
        <w:contextualSpacing/>
        <w:rPr>
          <w:rFonts w:ascii="宋体" w:hAnsi="宋体" w:cs="仿宋_GB2312"/>
          <w:color w:val="auto"/>
          <w:sz w:val="24"/>
          <w:highlight w:val="none"/>
        </w:rPr>
      </w:pPr>
      <w:r>
        <w:rPr>
          <w:rFonts w:hint="eastAsia" w:ascii="宋体" w:hAnsi="宋体" w:cs="仿宋_GB2312"/>
          <w:color w:val="auto"/>
          <w:sz w:val="24"/>
          <w:highlight w:val="none"/>
        </w:rPr>
        <w:t xml:space="preserve">供应商（电子签章）：      </w:t>
      </w:r>
    </w:p>
    <w:p w14:paraId="21012180">
      <w:pPr>
        <w:spacing w:line="360" w:lineRule="auto"/>
        <w:ind w:right="-817" w:rightChars="-389" w:firstLine="4080" w:firstLineChars="1700"/>
        <w:contextualSpacing/>
        <w:rPr>
          <w:rFonts w:ascii="宋体" w:hAnsi="宋体" w:cs="仿宋_GB2312"/>
          <w:color w:val="auto"/>
          <w:sz w:val="24"/>
          <w:highlight w:val="none"/>
        </w:rPr>
      </w:pPr>
      <w:r>
        <w:rPr>
          <w:rFonts w:hint="eastAsia" w:ascii="宋体" w:hAnsi="宋体" w:cs="仿宋_GB2312"/>
          <w:color w:val="auto"/>
          <w:sz w:val="24"/>
          <w:highlight w:val="none"/>
        </w:rPr>
        <w:t>日期：   年   月   日</w:t>
      </w:r>
    </w:p>
    <w:p w14:paraId="5078A735">
      <w:pPr>
        <w:spacing w:line="360" w:lineRule="auto"/>
        <w:contextualSpacing/>
        <w:jc w:val="left"/>
        <w:rPr>
          <w:rFonts w:ascii="宋体" w:hAnsi="宋体"/>
          <w:color w:val="auto"/>
          <w:sz w:val="24"/>
          <w:szCs w:val="20"/>
          <w:highlight w:val="none"/>
        </w:rPr>
      </w:pPr>
    </w:p>
    <w:p w14:paraId="477B1225">
      <w:pPr>
        <w:snapToGrid w:val="0"/>
        <w:spacing w:before="50" w:afterLines="50"/>
        <w:jc w:val="left"/>
        <w:rPr>
          <w:rFonts w:ascii="宋体" w:hAnsi="宋体"/>
          <w:color w:val="auto"/>
          <w:sz w:val="24"/>
          <w:szCs w:val="20"/>
          <w:highlight w:val="none"/>
        </w:rPr>
      </w:pPr>
    </w:p>
    <w:p w14:paraId="19A9455F">
      <w:pPr>
        <w:spacing w:line="300" w:lineRule="auto"/>
        <w:rPr>
          <w:rFonts w:ascii="宋体" w:hAnsi="宋体"/>
          <w:color w:val="auto"/>
          <w:szCs w:val="21"/>
          <w:highlight w:val="none"/>
        </w:rPr>
      </w:pPr>
      <w:r>
        <w:rPr>
          <w:rFonts w:ascii="宋体" w:hAnsi="宋体"/>
          <w:b/>
          <w:bCs/>
          <w:color w:val="auto"/>
          <w:sz w:val="24"/>
          <w:highlight w:val="none"/>
        </w:rPr>
        <w:br w:type="page"/>
      </w:r>
      <w:r>
        <w:rPr>
          <w:rFonts w:hint="eastAsia" w:ascii="宋体" w:hAnsi="宋体"/>
          <w:b/>
          <w:bCs/>
          <w:color w:val="auto"/>
          <w:sz w:val="24"/>
          <w:highlight w:val="none"/>
        </w:rPr>
        <w:t>其他文书、文件格式</w:t>
      </w:r>
    </w:p>
    <w:p w14:paraId="31607978">
      <w:pPr>
        <w:jc w:val="center"/>
        <w:rPr>
          <w:rFonts w:hint="eastAsia" w:asciiTheme="majorEastAsia" w:hAnsiTheme="majorEastAsia" w:eastAsiaTheme="majorEastAsia" w:cstheme="majorEastAsia"/>
          <w:b/>
          <w:bCs/>
          <w:color w:val="auto"/>
          <w:sz w:val="44"/>
          <w:szCs w:val="44"/>
          <w:highlight w:val="none"/>
        </w:rPr>
      </w:pPr>
      <w:bookmarkStart w:id="421" w:name="_Toc71365926"/>
      <w:r>
        <w:rPr>
          <w:rFonts w:hint="eastAsia" w:asciiTheme="majorEastAsia" w:hAnsiTheme="majorEastAsia" w:eastAsiaTheme="majorEastAsia" w:cstheme="majorEastAsia"/>
          <w:b/>
          <w:bCs/>
          <w:color w:val="auto"/>
          <w:sz w:val="44"/>
          <w:szCs w:val="44"/>
          <w:highlight w:val="none"/>
        </w:rPr>
        <w:t>中小企业声明函（服务）</w:t>
      </w:r>
      <w:bookmarkEnd w:id="421"/>
    </w:p>
    <w:p w14:paraId="19BCCC04">
      <w:pPr>
        <w:spacing w:before="2" w:line="500" w:lineRule="exact"/>
        <w:ind w:firstLine="708" w:firstLineChars="294"/>
        <w:rPr>
          <w:rFonts w:ascii="宋体" w:hAnsi="宋体" w:cs="宋体"/>
          <w:b/>
          <w:bCs/>
          <w:color w:val="auto"/>
          <w:sz w:val="24"/>
          <w:highlight w:val="none"/>
        </w:rPr>
      </w:pPr>
    </w:p>
    <w:p w14:paraId="28F7A0B2">
      <w:pPr>
        <w:pStyle w:val="18"/>
        <w:spacing w:line="500" w:lineRule="exact"/>
        <w:ind w:right="142" w:firstLine="705" w:firstLineChars="294"/>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本公司（联合体）郑重声明，根据《政府采购促进中小企业发展管理办法》（财库﹝2020﹞46号）的规定，本公司（联合体）参加</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u w:val="single"/>
          <w:lang w:eastAsia="zh-CN"/>
        </w:rPr>
        <w:t>采购人</w:t>
      </w:r>
      <w:r>
        <w:rPr>
          <w:rFonts w:hint="eastAsia" w:ascii="宋体" w:hAnsi="宋体" w:eastAsia="宋体" w:cs="宋体"/>
          <w:color w:val="auto"/>
          <w:sz w:val="24"/>
          <w:szCs w:val="24"/>
          <w:highlight w:val="none"/>
          <w:u w:val="single"/>
        </w:rPr>
        <w:t>名称）</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（项目名称）</w:t>
      </w:r>
      <w:r>
        <w:rPr>
          <w:rFonts w:hint="eastAsia" w:ascii="宋体" w:hAnsi="宋体" w:eastAsia="宋体" w:cs="宋体"/>
          <w:color w:val="auto"/>
          <w:sz w:val="24"/>
          <w:szCs w:val="24"/>
          <w:highlight w:val="none"/>
        </w:rPr>
        <w:t>采购活动，服务全部由符合政策要求的中小企业承接。相关企业（含联合体中的中小企业、签订分包意向协议的中小企业）的具体情况如下：</w:t>
      </w:r>
    </w:p>
    <w:p w14:paraId="6CCB11E5">
      <w:pPr>
        <w:tabs>
          <w:tab w:val="left" w:pos="1384"/>
          <w:tab w:val="left" w:pos="4562"/>
          <w:tab w:val="left" w:pos="6803"/>
        </w:tabs>
        <w:spacing w:before="13" w:line="500" w:lineRule="exact"/>
        <w:ind w:right="142" w:firstLine="772" w:firstLineChars="32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u w:val="single"/>
          <w:lang w:eastAsia="zh-CN"/>
        </w:rPr>
        <w:t>2026年校园安全保卫及学生管理服务采购</w:t>
      </w:r>
      <w:r>
        <w:rPr>
          <w:rFonts w:hint="eastAsia" w:ascii="宋体" w:hAnsi="宋体" w:eastAsia="宋体" w:cs="宋体"/>
          <w:color w:val="auto"/>
          <w:sz w:val="24"/>
          <w:szCs w:val="24"/>
          <w:highlight w:val="none"/>
          <w:u w:val="single"/>
        </w:rPr>
        <w:t>（标的名称）</w:t>
      </w:r>
      <w:r>
        <w:rPr>
          <w:rFonts w:hint="eastAsia" w:ascii="宋体" w:hAnsi="宋体" w:eastAsia="宋体" w:cs="宋体"/>
          <w:color w:val="auto"/>
          <w:sz w:val="24"/>
          <w:szCs w:val="24"/>
          <w:highlight w:val="none"/>
        </w:rPr>
        <w:t>，属于</w:t>
      </w:r>
      <w:r>
        <w:rPr>
          <w:rFonts w:hint="eastAsia" w:ascii="宋体" w:hAnsi="宋体" w:eastAsia="宋体" w:cs="宋体"/>
          <w:color w:val="auto"/>
          <w:sz w:val="24"/>
          <w:szCs w:val="24"/>
          <w:highlight w:val="none"/>
          <w:u w:val="single"/>
        </w:rPr>
        <w:t>租赁和商务服务业（</w:t>
      </w:r>
      <w:r>
        <w:rPr>
          <w:rFonts w:hint="eastAsia" w:ascii="宋体" w:hAnsi="宋体" w:cs="宋体"/>
          <w:color w:val="auto"/>
          <w:sz w:val="24"/>
          <w:szCs w:val="24"/>
          <w:highlight w:val="none"/>
          <w:u w:val="single"/>
          <w:lang w:eastAsia="zh-CN"/>
        </w:rPr>
        <w:t>磋商</w:t>
      </w:r>
      <w:r>
        <w:rPr>
          <w:rFonts w:hint="eastAsia" w:ascii="宋体" w:hAnsi="宋体" w:eastAsia="宋体" w:cs="宋体"/>
          <w:color w:val="auto"/>
          <w:sz w:val="24"/>
          <w:szCs w:val="24"/>
          <w:highlight w:val="none"/>
          <w:u w:val="single"/>
        </w:rPr>
        <w:t>文件中明确的所属行业）</w:t>
      </w:r>
      <w:r>
        <w:rPr>
          <w:rFonts w:hint="eastAsia" w:ascii="宋体" w:hAnsi="宋体" w:eastAsia="宋体" w:cs="宋体"/>
          <w:color w:val="auto"/>
          <w:sz w:val="24"/>
          <w:szCs w:val="24"/>
          <w:highlight w:val="none"/>
        </w:rPr>
        <w:t>；承接企业为</w:t>
      </w:r>
      <w:r>
        <w:rPr>
          <w:rFonts w:hint="eastAsia" w:ascii="宋体" w:hAnsi="宋体" w:eastAsia="宋体" w:cs="宋体"/>
          <w:color w:val="auto"/>
          <w:sz w:val="24"/>
          <w:szCs w:val="24"/>
          <w:highlight w:val="none"/>
          <w:u w:val="single"/>
        </w:rPr>
        <w:t>（企业名称）</w:t>
      </w:r>
      <w:r>
        <w:rPr>
          <w:rFonts w:hint="eastAsia" w:ascii="宋体" w:hAnsi="宋体" w:eastAsia="宋体" w:cs="宋体"/>
          <w:color w:val="auto"/>
          <w:sz w:val="24"/>
          <w:szCs w:val="24"/>
          <w:highlight w:val="none"/>
        </w:rPr>
        <w:t>，从业人员</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人，营业收入为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万元，资产总额为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万元，属于</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（中型企业、小型企业、微型企业）</w:t>
      </w:r>
      <w:r>
        <w:rPr>
          <w:rFonts w:hint="eastAsia" w:ascii="宋体" w:hAnsi="宋体" w:eastAsia="宋体" w:cs="宋体"/>
          <w:color w:val="auto"/>
          <w:sz w:val="24"/>
          <w:szCs w:val="24"/>
          <w:highlight w:val="none"/>
        </w:rPr>
        <w:t>；</w:t>
      </w:r>
    </w:p>
    <w:p w14:paraId="5CD05542">
      <w:pPr>
        <w:tabs>
          <w:tab w:val="left" w:pos="1065"/>
          <w:tab w:val="left" w:pos="4262"/>
          <w:tab w:val="left" w:pos="6477"/>
        </w:tabs>
        <w:spacing w:before="20" w:line="500" w:lineRule="exact"/>
        <w:ind w:right="84" w:firstLine="772" w:firstLineChars="322"/>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u w:val="single"/>
        </w:rPr>
        <w:t>（标的名称）</w:t>
      </w:r>
      <w:r>
        <w:rPr>
          <w:rFonts w:hint="eastAsia" w:ascii="宋体" w:hAnsi="宋体" w:eastAsia="宋体" w:cs="宋体"/>
          <w:color w:val="auto"/>
          <w:sz w:val="24"/>
          <w:szCs w:val="24"/>
          <w:highlight w:val="none"/>
        </w:rPr>
        <w:t>，属于</w:t>
      </w:r>
      <w:r>
        <w:rPr>
          <w:rFonts w:hint="eastAsia" w:ascii="宋体" w:hAnsi="宋体" w:eastAsia="宋体" w:cs="宋体"/>
          <w:color w:val="auto"/>
          <w:sz w:val="24"/>
          <w:szCs w:val="24"/>
          <w:highlight w:val="none"/>
          <w:u w:val="single"/>
        </w:rPr>
        <w:t>（</w:t>
      </w:r>
      <w:r>
        <w:rPr>
          <w:rFonts w:hint="eastAsia" w:ascii="宋体" w:hAnsi="宋体" w:cs="宋体"/>
          <w:color w:val="auto"/>
          <w:sz w:val="24"/>
          <w:szCs w:val="24"/>
          <w:highlight w:val="none"/>
          <w:u w:val="single"/>
          <w:lang w:eastAsia="zh-CN"/>
        </w:rPr>
        <w:t>磋商</w:t>
      </w:r>
      <w:r>
        <w:rPr>
          <w:rFonts w:hint="eastAsia" w:ascii="宋体" w:hAnsi="宋体" w:eastAsia="宋体" w:cs="宋体"/>
          <w:color w:val="auto"/>
          <w:sz w:val="24"/>
          <w:szCs w:val="24"/>
          <w:highlight w:val="none"/>
          <w:u w:val="single"/>
        </w:rPr>
        <w:t>文件中明确的所属行业）</w:t>
      </w:r>
      <w:r>
        <w:rPr>
          <w:rFonts w:hint="eastAsia" w:ascii="宋体" w:hAnsi="宋体" w:eastAsia="宋体" w:cs="宋体"/>
          <w:color w:val="auto"/>
          <w:sz w:val="24"/>
          <w:szCs w:val="24"/>
          <w:highlight w:val="none"/>
        </w:rPr>
        <w:t>；承接企业为</w:t>
      </w:r>
      <w:r>
        <w:rPr>
          <w:rFonts w:hint="eastAsia" w:ascii="宋体" w:hAnsi="宋体" w:eastAsia="宋体" w:cs="宋体"/>
          <w:color w:val="auto"/>
          <w:sz w:val="24"/>
          <w:szCs w:val="24"/>
          <w:highlight w:val="none"/>
          <w:u w:val="single"/>
        </w:rPr>
        <w:t>（企业名称）</w:t>
      </w:r>
      <w:r>
        <w:rPr>
          <w:rFonts w:hint="eastAsia" w:ascii="宋体" w:hAnsi="宋体" w:eastAsia="宋体" w:cs="宋体"/>
          <w:color w:val="auto"/>
          <w:sz w:val="24"/>
          <w:szCs w:val="24"/>
          <w:highlight w:val="none"/>
        </w:rPr>
        <w:t>，从业人员</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人，营业收入为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万元，资产总额为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万元，属于</w:t>
      </w:r>
      <w:r>
        <w:rPr>
          <w:rFonts w:hint="eastAsia" w:ascii="宋体" w:hAnsi="宋体" w:eastAsia="宋体" w:cs="宋体"/>
          <w:color w:val="auto"/>
          <w:sz w:val="24"/>
          <w:szCs w:val="24"/>
          <w:highlight w:val="none"/>
          <w:u w:val="single"/>
        </w:rPr>
        <w:t>（中型企业、小型企业、微型企业）</w:t>
      </w:r>
      <w:r>
        <w:rPr>
          <w:rFonts w:hint="eastAsia" w:ascii="宋体" w:hAnsi="宋体" w:eastAsia="宋体" w:cs="宋体"/>
          <w:color w:val="auto"/>
          <w:sz w:val="24"/>
          <w:szCs w:val="24"/>
          <w:highlight w:val="none"/>
        </w:rPr>
        <w:t>；</w:t>
      </w:r>
    </w:p>
    <w:p w14:paraId="4CC030E1">
      <w:pPr>
        <w:pStyle w:val="18"/>
        <w:spacing w:before="34" w:line="500" w:lineRule="exact"/>
        <w:ind w:right="142" w:firstLine="705" w:firstLineChars="294"/>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755E5BAF">
      <w:pPr>
        <w:pStyle w:val="18"/>
        <w:spacing w:before="34" w:line="500" w:lineRule="exact"/>
        <w:ind w:right="142" w:firstLine="705" w:firstLineChars="294"/>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以上企业，不属于大企业的分支机构，不存在控股股东为大企业的情形，也不存在与大企业的负责人为同一人的情形。</w:t>
      </w:r>
    </w:p>
    <w:p w14:paraId="0AD913F8">
      <w:pPr>
        <w:pStyle w:val="18"/>
        <w:spacing w:before="25" w:line="500" w:lineRule="exact"/>
        <w:ind w:right="142" w:firstLine="705" w:firstLineChars="294"/>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本企业对上述声明内容的真实性负责。如有虚假，将依法承担相应责任。</w:t>
      </w:r>
    </w:p>
    <w:p w14:paraId="55262A2E">
      <w:pPr>
        <w:pStyle w:val="18"/>
        <w:spacing w:before="56" w:line="500" w:lineRule="exact"/>
        <w:ind w:right="1808" w:firstLine="705" w:firstLineChars="294"/>
        <w:rPr>
          <w:rFonts w:hint="eastAsia" w:ascii="宋体" w:hAnsi="宋体" w:eastAsia="宋体" w:cs="宋体"/>
          <w:color w:val="auto"/>
          <w:sz w:val="24"/>
          <w:szCs w:val="24"/>
          <w:highlight w:val="none"/>
        </w:rPr>
      </w:pPr>
    </w:p>
    <w:p w14:paraId="63AE0E0C">
      <w:pPr>
        <w:pStyle w:val="18"/>
        <w:spacing w:before="56" w:line="500" w:lineRule="exact"/>
        <w:ind w:right="650" w:firstLine="5625" w:firstLineChars="2344"/>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供应商（电子签章）： </w:t>
      </w:r>
    </w:p>
    <w:p w14:paraId="304929AB">
      <w:pPr>
        <w:pStyle w:val="18"/>
        <w:spacing w:before="56" w:line="500" w:lineRule="exact"/>
        <w:ind w:right="1808" w:firstLine="5625" w:firstLineChars="2344"/>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 期：</w:t>
      </w:r>
    </w:p>
    <w:p w14:paraId="321188AF">
      <w:pPr>
        <w:spacing w:line="52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享受《政府采购促进中小企业发展管理办法》（财库〔2020〕46号）规定的中小企业扶持政策的，采购人、采购代理机构应当随成交结果公开成交供应商的《中小企业声明函》。从业人员、营业收入、资产总额填报上一年度数据，无上一年度数据的新成立企业可不填报。</w:t>
      </w:r>
    </w:p>
    <w:p w14:paraId="34E2DF77">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cs="宋体"/>
          <w:b/>
          <w:bCs/>
          <w:color w:val="auto"/>
          <w:sz w:val="28"/>
          <w:szCs w:val="28"/>
          <w:highlight w:val="none"/>
        </w:rPr>
      </w:pPr>
      <w:r>
        <w:rPr>
          <w:rFonts w:hint="eastAsia" w:ascii="宋体" w:hAnsi="宋体" w:eastAsia="宋体" w:cs="宋体"/>
          <w:color w:val="auto"/>
          <w:sz w:val="24"/>
          <w:szCs w:val="24"/>
          <w:highlight w:val="none"/>
        </w:rPr>
        <w:br w:type="page"/>
      </w:r>
      <w:r>
        <w:rPr>
          <w:rFonts w:hint="eastAsia" w:ascii="宋体" w:hAnsi="宋体" w:cs="宋体"/>
          <w:b/>
          <w:bCs/>
          <w:color w:val="auto"/>
          <w:sz w:val="28"/>
          <w:szCs w:val="28"/>
          <w:highlight w:val="none"/>
        </w:rPr>
        <w:t>附件：</w:t>
      </w:r>
    </w:p>
    <w:p w14:paraId="37832D8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s="宋体"/>
          <w:b/>
          <w:color w:val="auto"/>
          <w:sz w:val="28"/>
          <w:szCs w:val="28"/>
          <w:highlight w:val="none"/>
        </w:rPr>
      </w:pPr>
      <w:r>
        <w:rPr>
          <w:rFonts w:hint="eastAsia" w:ascii="宋体" w:hAnsi="宋体" w:cs="宋体"/>
          <w:b/>
          <w:color w:val="auto"/>
          <w:sz w:val="28"/>
          <w:szCs w:val="28"/>
          <w:highlight w:val="none"/>
        </w:rPr>
        <w:t>中小微企业划型标准</w:t>
      </w:r>
    </w:p>
    <w:tbl>
      <w:tblPr>
        <w:tblStyle w:val="50"/>
        <w:tblW w:w="4996" w:type="pct"/>
        <w:tblInd w:w="0" w:type="dxa"/>
        <w:tblLayout w:type="autofit"/>
        <w:tblCellMar>
          <w:top w:w="0" w:type="dxa"/>
          <w:left w:w="108" w:type="dxa"/>
          <w:bottom w:w="0" w:type="dxa"/>
          <w:right w:w="108" w:type="dxa"/>
        </w:tblCellMar>
      </w:tblPr>
      <w:tblGrid>
        <w:gridCol w:w="1463"/>
        <w:gridCol w:w="1715"/>
        <w:gridCol w:w="1284"/>
        <w:gridCol w:w="2002"/>
        <w:gridCol w:w="1728"/>
        <w:gridCol w:w="1089"/>
      </w:tblGrid>
      <w:tr w14:paraId="3BCB1980">
        <w:tblPrEx>
          <w:tblCellMar>
            <w:top w:w="0" w:type="dxa"/>
            <w:left w:w="108" w:type="dxa"/>
            <w:bottom w:w="0" w:type="dxa"/>
            <w:right w:w="108" w:type="dxa"/>
          </w:tblCellMar>
        </w:tblPrEx>
        <w:trPr>
          <w:trHeight w:val="285" w:hRule="atLeast"/>
        </w:trPr>
        <w:tc>
          <w:tcPr>
            <w:tcW w:w="788" w:type="pct"/>
            <w:tcBorders>
              <w:top w:val="single" w:color="auto" w:sz="4" w:space="0"/>
              <w:left w:val="single" w:color="auto" w:sz="4" w:space="0"/>
              <w:bottom w:val="single" w:color="auto" w:sz="4" w:space="0"/>
              <w:right w:val="single" w:color="auto" w:sz="4" w:space="0"/>
            </w:tcBorders>
            <w:noWrap w:val="0"/>
            <w:vAlign w:val="center"/>
          </w:tcPr>
          <w:p w14:paraId="1AD1B87F">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行业名称</w:t>
            </w:r>
          </w:p>
        </w:tc>
        <w:tc>
          <w:tcPr>
            <w:tcW w:w="923" w:type="pct"/>
            <w:tcBorders>
              <w:top w:val="single" w:color="auto" w:sz="4" w:space="0"/>
              <w:left w:val="nil"/>
              <w:bottom w:val="single" w:color="auto" w:sz="4" w:space="0"/>
              <w:right w:val="single" w:color="auto" w:sz="4" w:space="0"/>
            </w:tcBorders>
            <w:noWrap w:val="0"/>
            <w:vAlign w:val="center"/>
          </w:tcPr>
          <w:p w14:paraId="4B6299FE">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指标名称</w:t>
            </w:r>
          </w:p>
        </w:tc>
        <w:tc>
          <w:tcPr>
            <w:tcW w:w="691" w:type="pct"/>
            <w:tcBorders>
              <w:top w:val="single" w:color="auto" w:sz="4" w:space="0"/>
              <w:left w:val="nil"/>
              <w:bottom w:val="single" w:color="auto" w:sz="4" w:space="0"/>
              <w:right w:val="single" w:color="auto" w:sz="4" w:space="0"/>
            </w:tcBorders>
            <w:noWrap w:val="0"/>
            <w:vAlign w:val="center"/>
          </w:tcPr>
          <w:p w14:paraId="516F2595">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计量单位</w:t>
            </w:r>
          </w:p>
        </w:tc>
        <w:tc>
          <w:tcPr>
            <w:tcW w:w="1078" w:type="pct"/>
            <w:tcBorders>
              <w:top w:val="single" w:color="auto" w:sz="4" w:space="0"/>
              <w:left w:val="nil"/>
              <w:bottom w:val="single" w:color="auto" w:sz="4" w:space="0"/>
              <w:right w:val="single" w:color="auto" w:sz="4" w:space="0"/>
            </w:tcBorders>
            <w:noWrap w:val="0"/>
            <w:vAlign w:val="center"/>
          </w:tcPr>
          <w:p w14:paraId="59EC0C09">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中型</w:t>
            </w:r>
          </w:p>
        </w:tc>
        <w:tc>
          <w:tcPr>
            <w:tcW w:w="930" w:type="pct"/>
            <w:tcBorders>
              <w:top w:val="single" w:color="auto" w:sz="4" w:space="0"/>
              <w:left w:val="nil"/>
              <w:bottom w:val="single" w:color="auto" w:sz="4" w:space="0"/>
              <w:right w:val="single" w:color="auto" w:sz="4" w:space="0"/>
            </w:tcBorders>
            <w:noWrap w:val="0"/>
            <w:vAlign w:val="center"/>
          </w:tcPr>
          <w:p w14:paraId="3C30E296">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小型</w:t>
            </w:r>
          </w:p>
        </w:tc>
        <w:tc>
          <w:tcPr>
            <w:tcW w:w="586" w:type="pct"/>
            <w:tcBorders>
              <w:top w:val="single" w:color="auto" w:sz="4" w:space="0"/>
              <w:left w:val="nil"/>
              <w:bottom w:val="single" w:color="auto" w:sz="4" w:space="0"/>
              <w:right w:val="single" w:color="auto" w:sz="4" w:space="0"/>
            </w:tcBorders>
            <w:noWrap w:val="0"/>
            <w:vAlign w:val="center"/>
          </w:tcPr>
          <w:p w14:paraId="41F7BD78">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微型</w:t>
            </w:r>
          </w:p>
        </w:tc>
      </w:tr>
      <w:tr w14:paraId="765FD04B">
        <w:tblPrEx>
          <w:tblCellMar>
            <w:top w:w="0" w:type="dxa"/>
            <w:left w:w="108" w:type="dxa"/>
            <w:bottom w:w="0" w:type="dxa"/>
            <w:right w:w="108" w:type="dxa"/>
          </w:tblCellMar>
        </w:tblPrEx>
        <w:trPr>
          <w:trHeight w:val="225" w:hRule="atLeast"/>
        </w:trPr>
        <w:tc>
          <w:tcPr>
            <w:tcW w:w="788" w:type="pct"/>
            <w:tcBorders>
              <w:top w:val="nil"/>
              <w:left w:val="single" w:color="auto" w:sz="4" w:space="0"/>
              <w:bottom w:val="single" w:color="auto" w:sz="4" w:space="0"/>
              <w:right w:val="single" w:color="auto" w:sz="4" w:space="0"/>
            </w:tcBorders>
            <w:noWrap w:val="0"/>
            <w:vAlign w:val="center"/>
          </w:tcPr>
          <w:p w14:paraId="27AA2075">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农、林、牧、渔</w:t>
            </w:r>
          </w:p>
        </w:tc>
        <w:tc>
          <w:tcPr>
            <w:tcW w:w="923" w:type="pct"/>
            <w:tcBorders>
              <w:top w:val="nil"/>
              <w:left w:val="nil"/>
              <w:bottom w:val="single" w:color="auto" w:sz="4" w:space="0"/>
              <w:right w:val="single" w:color="auto" w:sz="4" w:space="0"/>
            </w:tcBorders>
            <w:noWrap w:val="0"/>
            <w:vAlign w:val="center"/>
          </w:tcPr>
          <w:p w14:paraId="6EB3C74D">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营业收入（Y）</w:t>
            </w:r>
          </w:p>
        </w:tc>
        <w:tc>
          <w:tcPr>
            <w:tcW w:w="691" w:type="pct"/>
            <w:tcBorders>
              <w:top w:val="nil"/>
              <w:left w:val="nil"/>
              <w:bottom w:val="single" w:color="auto" w:sz="4" w:space="0"/>
              <w:right w:val="single" w:color="auto" w:sz="4" w:space="0"/>
            </w:tcBorders>
            <w:noWrap w:val="0"/>
            <w:vAlign w:val="center"/>
          </w:tcPr>
          <w:p w14:paraId="1880E886">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万元</w:t>
            </w:r>
          </w:p>
        </w:tc>
        <w:tc>
          <w:tcPr>
            <w:tcW w:w="1078" w:type="pct"/>
            <w:tcBorders>
              <w:top w:val="nil"/>
              <w:left w:val="nil"/>
              <w:bottom w:val="single" w:color="auto" w:sz="4" w:space="0"/>
              <w:right w:val="single" w:color="auto" w:sz="4" w:space="0"/>
            </w:tcBorders>
            <w:noWrap w:val="0"/>
            <w:vAlign w:val="center"/>
          </w:tcPr>
          <w:p w14:paraId="503FBDC1">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500≤Y＜20000</w:t>
            </w:r>
          </w:p>
        </w:tc>
        <w:tc>
          <w:tcPr>
            <w:tcW w:w="930" w:type="pct"/>
            <w:tcBorders>
              <w:top w:val="nil"/>
              <w:left w:val="nil"/>
              <w:bottom w:val="single" w:color="auto" w:sz="4" w:space="0"/>
              <w:right w:val="single" w:color="auto" w:sz="4" w:space="0"/>
            </w:tcBorders>
            <w:noWrap w:val="0"/>
            <w:vAlign w:val="center"/>
          </w:tcPr>
          <w:p w14:paraId="426181D8">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50≤Y＜500</w:t>
            </w:r>
          </w:p>
        </w:tc>
        <w:tc>
          <w:tcPr>
            <w:tcW w:w="586" w:type="pct"/>
            <w:tcBorders>
              <w:top w:val="nil"/>
              <w:left w:val="nil"/>
              <w:bottom w:val="single" w:color="auto" w:sz="4" w:space="0"/>
              <w:right w:val="single" w:color="auto" w:sz="4" w:space="0"/>
            </w:tcBorders>
            <w:noWrap w:val="0"/>
            <w:vAlign w:val="center"/>
          </w:tcPr>
          <w:p w14:paraId="16FAFD08">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Y＜50</w:t>
            </w:r>
          </w:p>
        </w:tc>
      </w:tr>
      <w:tr w14:paraId="4EBE17CF">
        <w:tblPrEx>
          <w:tblCellMar>
            <w:top w:w="0" w:type="dxa"/>
            <w:left w:w="108" w:type="dxa"/>
            <w:bottom w:w="0" w:type="dxa"/>
            <w:right w:w="108" w:type="dxa"/>
          </w:tblCellMar>
        </w:tblPrEx>
        <w:trPr>
          <w:trHeight w:val="225" w:hRule="atLeast"/>
        </w:trPr>
        <w:tc>
          <w:tcPr>
            <w:tcW w:w="788" w:type="pct"/>
            <w:vMerge w:val="restart"/>
            <w:tcBorders>
              <w:top w:val="nil"/>
              <w:left w:val="single" w:color="auto" w:sz="4" w:space="0"/>
              <w:bottom w:val="single" w:color="auto" w:sz="4" w:space="0"/>
              <w:right w:val="single" w:color="auto" w:sz="4" w:space="0"/>
            </w:tcBorders>
            <w:noWrap w:val="0"/>
            <w:vAlign w:val="center"/>
          </w:tcPr>
          <w:p w14:paraId="4CD4EDF1">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工业</w:t>
            </w:r>
          </w:p>
        </w:tc>
        <w:tc>
          <w:tcPr>
            <w:tcW w:w="923" w:type="pct"/>
            <w:tcBorders>
              <w:top w:val="nil"/>
              <w:left w:val="nil"/>
              <w:bottom w:val="single" w:color="auto" w:sz="4" w:space="0"/>
              <w:right w:val="single" w:color="auto" w:sz="4" w:space="0"/>
            </w:tcBorders>
            <w:noWrap w:val="0"/>
            <w:vAlign w:val="center"/>
          </w:tcPr>
          <w:p w14:paraId="4F10297C">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从业人员（X）</w:t>
            </w:r>
          </w:p>
        </w:tc>
        <w:tc>
          <w:tcPr>
            <w:tcW w:w="691" w:type="pct"/>
            <w:tcBorders>
              <w:top w:val="nil"/>
              <w:left w:val="nil"/>
              <w:bottom w:val="single" w:color="auto" w:sz="4" w:space="0"/>
              <w:right w:val="single" w:color="auto" w:sz="4" w:space="0"/>
            </w:tcBorders>
            <w:noWrap w:val="0"/>
            <w:vAlign w:val="center"/>
          </w:tcPr>
          <w:p w14:paraId="644D29A7">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人</w:t>
            </w:r>
          </w:p>
        </w:tc>
        <w:tc>
          <w:tcPr>
            <w:tcW w:w="1078" w:type="pct"/>
            <w:tcBorders>
              <w:top w:val="nil"/>
              <w:left w:val="nil"/>
              <w:bottom w:val="single" w:color="auto" w:sz="4" w:space="0"/>
              <w:right w:val="single" w:color="auto" w:sz="4" w:space="0"/>
            </w:tcBorders>
            <w:noWrap w:val="0"/>
            <w:vAlign w:val="center"/>
          </w:tcPr>
          <w:p w14:paraId="6597DC6D">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300≤X＜1000</w:t>
            </w:r>
          </w:p>
        </w:tc>
        <w:tc>
          <w:tcPr>
            <w:tcW w:w="930" w:type="pct"/>
            <w:tcBorders>
              <w:top w:val="nil"/>
              <w:left w:val="nil"/>
              <w:bottom w:val="single" w:color="auto" w:sz="4" w:space="0"/>
              <w:right w:val="single" w:color="auto" w:sz="4" w:space="0"/>
            </w:tcBorders>
            <w:noWrap w:val="0"/>
            <w:vAlign w:val="center"/>
          </w:tcPr>
          <w:p w14:paraId="2109DC70">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20≤X＜300</w:t>
            </w:r>
          </w:p>
        </w:tc>
        <w:tc>
          <w:tcPr>
            <w:tcW w:w="586" w:type="pct"/>
            <w:tcBorders>
              <w:top w:val="nil"/>
              <w:left w:val="nil"/>
              <w:bottom w:val="single" w:color="auto" w:sz="4" w:space="0"/>
              <w:right w:val="single" w:color="auto" w:sz="4" w:space="0"/>
            </w:tcBorders>
            <w:noWrap w:val="0"/>
            <w:vAlign w:val="center"/>
          </w:tcPr>
          <w:p w14:paraId="1DABB780">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X＜20</w:t>
            </w:r>
          </w:p>
        </w:tc>
      </w:tr>
      <w:tr w14:paraId="6146484B">
        <w:tblPrEx>
          <w:tblCellMar>
            <w:top w:w="0" w:type="dxa"/>
            <w:left w:w="108" w:type="dxa"/>
            <w:bottom w:w="0" w:type="dxa"/>
            <w:right w:w="108" w:type="dxa"/>
          </w:tblCellMar>
        </w:tblPrEx>
        <w:trPr>
          <w:trHeight w:val="225" w:hRule="atLeast"/>
        </w:trPr>
        <w:tc>
          <w:tcPr>
            <w:tcW w:w="788" w:type="pct"/>
            <w:vMerge w:val="continue"/>
            <w:tcBorders>
              <w:top w:val="nil"/>
              <w:left w:val="single" w:color="auto" w:sz="4" w:space="0"/>
              <w:bottom w:val="single" w:color="auto" w:sz="4" w:space="0"/>
              <w:right w:val="single" w:color="auto" w:sz="4" w:space="0"/>
            </w:tcBorders>
            <w:noWrap w:val="0"/>
            <w:vAlign w:val="center"/>
          </w:tcPr>
          <w:p w14:paraId="41D30D63">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p>
        </w:tc>
        <w:tc>
          <w:tcPr>
            <w:tcW w:w="923" w:type="pct"/>
            <w:tcBorders>
              <w:top w:val="nil"/>
              <w:left w:val="nil"/>
              <w:bottom w:val="single" w:color="auto" w:sz="4" w:space="0"/>
              <w:right w:val="single" w:color="auto" w:sz="4" w:space="0"/>
            </w:tcBorders>
            <w:noWrap w:val="0"/>
            <w:vAlign w:val="center"/>
          </w:tcPr>
          <w:p w14:paraId="5991B4E3">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营业收入（Y）</w:t>
            </w:r>
          </w:p>
        </w:tc>
        <w:tc>
          <w:tcPr>
            <w:tcW w:w="691" w:type="pct"/>
            <w:tcBorders>
              <w:top w:val="nil"/>
              <w:left w:val="nil"/>
              <w:bottom w:val="single" w:color="auto" w:sz="4" w:space="0"/>
              <w:right w:val="single" w:color="auto" w:sz="4" w:space="0"/>
            </w:tcBorders>
            <w:noWrap w:val="0"/>
            <w:vAlign w:val="center"/>
          </w:tcPr>
          <w:p w14:paraId="271CF1ED">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万元</w:t>
            </w:r>
          </w:p>
        </w:tc>
        <w:tc>
          <w:tcPr>
            <w:tcW w:w="1078" w:type="pct"/>
            <w:tcBorders>
              <w:top w:val="nil"/>
              <w:left w:val="nil"/>
              <w:bottom w:val="single" w:color="auto" w:sz="4" w:space="0"/>
              <w:right w:val="single" w:color="auto" w:sz="4" w:space="0"/>
            </w:tcBorders>
            <w:noWrap w:val="0"/>
            <w:vAlign w:val="center"/>
          </w:tcPr>
          <w:p w14:paraId="037F1AD7">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2000≤Y＜40000</w:t>
            </w:r>
          </w:p>
        </w:tc>
        <w:tc>
          <w:tcPr>
            <w:tcW w:w="930" w:type="pct"/>
            <w:tcBorders>
              <w:top w:val="nil"/>
              <w:left w:val="nil"/>
              <w:bottom w:val="single" w:color="auto" w:sz="4" w:space="0"/>
              <w:right w:val="single" w:color="auto" w:sz="4" w:space="0"/>
            </w:tcBorders>
            <w:noWrap w:val="0"/>
            <w:vAlign w:val="center"/>
          </w:tcPr>
          <w:p w14:paraId="109CDF97">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300≤Y＜2000</w:t>
            </w:r>
          </w:p>
        </w:tc>
        <w:tc>
          <w:tcPr>
            <w:tcW w:w="586" w:type="pct"/>
            <w:tcBorders>
              <w:top w:val="nil"/>
              <w:left w:val="nil"/>
              <w:bottom w:val="single" w:color="auto" w:sz="4" w:space="0"/>
              <w:right w:val="single" w:color="auto" w:sz="4" w:space="0"/>
            </w:tcBorders>
            <w:noWrap w:val="0"/>
            <w:vAlign w:val="center"/>
          </w:tcPr>
          <w:p w14:paraId="0CEEF372">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Y＜300</w:t>
            </w:r>
          </w:p>
        </w:tc>
      </w:tr>
      <w:tr w14:paraId="2CD73386">
        <w:tblPrEx>
          <w:tblCellMar>
            <w:top w:w="0" w:type="dxa"/>
            <w:left w:w="108" w:type="dxa"/>
            <w:bottom w:w="0" w:type="dxa"/>
            <w:right w:w="108" w:type="dxa"/>
          </w:tblCellMar>
        </w:tblPrEx>
        <w:trPr>
          <w:trHeight w:val="225" w:hRule="atLeast"/>
        </w:trPr>
        <w:tc>
          <w:tcPr>
            <w:tcW w:w="788" w:type="pct"/>
            <w:vMerge w:val="restart"/>
            <w:tcBorders>
              <w:top w:val="nil"/>
              <w:left w:val="single" w:color="auto" w:sz="4" w:space="0"/>
              <w:bottom w:val="single" w:color="auto" w:sz="4" w:space="0"/>
              <w:right w:val="single" w:color="auto" w:sz="4" w:space="0"/>
            </w:tcBorders>
            <w:noWrap w:val="0"/>
            <w:vAlign w:val="center"/>
          </w:tcPr>
          <w:p w14:paraId="0689590B">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建筑业</w:t>
            </w:r>
          </w:p>
        </w:tc>
        <w:tc>
          <w:tcPr>
            <w:tcW w:w="923" w:type="pct"/>
            <w:tcBorders>
              <w:top w:val="nil"/>
              <w:left w:val="nil"/>
              <w:bottom w:val="single" w:color="auto" w:sz="4" w:space="0"/>
              <w:right w:val="single" w:color="auto" w:sz="4" w:space="0"/>
            </w:tcBorders>
            <w:noWrap w:val="0"/>
            <w:vAlign w:val="center"/>
          </w:tcPr>
          <w:p w14:paraId="2C32E240">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营业收入（Y）</w:t>
            </w:r>
          </w:p>
        </w:tc>
        <w:tc>
          <w:tcPr>
            <w:tcW w:w="691" w:type="pct"/>
            <w:tcBorders>
              <w:top w:val="nil"/>
              <w:left w:val="nil"/>
              <w:bottom w:val="single" w:color="auto" w:sz="4" w:space="0"/>
              <w:right w:val="single" w:color="auto" w:sz="4" w:space="0"/>
            </w:tcBorders>
            <w:noWrap w:val="0"/>
            <w:vAlign w:val="center"/>
          </w:tcPr>
          <w:p w14:paraId="6BB6E220">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万元</w:t>
            </w:r>
          </w:p>
        </w:tc>
        <w:tc>
          <w:tcPr>
            <w:tcW w:w="1078" w:type="pct"/>
            <w:tcBorders>
              <w:top w:val="nil"/>
              <w:left w:val="nil"/>
              <w:bottom w:val="single" w:color="auto" w:sz="4" w:space="0"/>
              <w:right w:val="single" w:color="auto" w:sz="4" w:space="0"/>
            </w:tcBorders>
            <w:noWrap w:val="0"/>
            <w:vAlign w:val="center"/>
          </w:tcPr>
          <w:p w14:paraId="415E150A">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6000≤Y＜80000</w:t>
            </w:r>
          </w:p>
        </w:tc>
        <w:tc>
          <w:tcPr>
            <w:tcW w:w="930" w:type="pct"/>
            <w:tcBorders>
              <w:top w:val="nil"/>
              <w:left w:val="nil"/>
              <w:bottom w:val="single" w:color="auto" w:sz="4" w:space="0"/>
              <w:right w:val="single" w:color="auto" w:sz="4" w:space="0"/>
            </w:tcBorders>
            <w:noWrap w:val="0"/>
            <w:vAlign w:val="center"/>
          </w:tcPr>
          <w:p w14:paraId="0F385B9D">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300≤Y＜6000</w:t>
            </w:r>
          </w:p>
        </w:tc>
        <w:tc>
          <w:tcPr>
            <w:tcW w:w="586" w:type="pct"/>
            <w:tcBorders>
              <w:top w:val="nil"/>
              <w:left w:val="nil"/>
              <w:bottom w:val="single" w:color="auto" w:sz="4" w:space="0"/>
              <w:right w:val="single" w:color="auto" w:sz="4" w:space="0"/>
            </w:tcBorders>
            <w:noWrap w:val="0"/>
            <w:vAlign w:val="center"/>
          </w:tcPr>
          <w:p w14:paraId="23D2DC11">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Y＜300</w:t>
            </w:r>
          </w:p>
        </w:tc>
      </w:tr>
      <w:tr w14:paraId="07A6121F">
        <w:tblPrEx>
          <w:tblCellMar>
            <w:top w:w="0" w:type="dxa"/>
            <w:left w:w="108" w:type="dxa"/>
            <w:bottom w:w="0" w:type="dxa"/>
            <w:right w:w="108" w:type="dxa"/>
          </w:tblCellMar>
        </w:tblPrEx>
        <w:trPr>
          <w:trHeight w:val="225" w:hRule="atLeast"/>
        </w:trPr>
        <w:tc>
          <w:tcPr>
            <w:tcW w:w="788" w:type="pct"/>
            <w:vMerge w:val="continue"/>
            <w:tcBorders>
              <w:top w:val="nil"/>
              <w:left w:val="single" w:color="auto" w:sz="4" w:space="0"/>
              <w:bottom w:val="single" w:color="auto" w:sz="4" w:space="0"/>
              <w:right w:val="single" w:color="auto" w:sz="4" w:space="0"/>
            </w:tcBorders>
            <w:noWrap w:val="0"/>
            <w:vAlign w:val="center"/>
          </w:tcPr>
          <w:p w14:paraId="6F8A7304">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p>
        </w:tc>
        <w:tc>
          <w:tcPr>
            <w:tcW w:w="923" w:type="pct"/>
            <w:tcBorders>
              <w:top w:val="nil"/>
              <w:left w:val="nil"/>
              <w:bottom w:val="single" w:color="auto" w:sz="4" w:space="0"/>
              <w:right w:val="single" w:color="auto" w:sz="4" w:space="0"/>
            </w:tcBorders>
            <w:noWrap w:val="0"/>
            <w:vAlign w:val="center"/>
          </w:tcPr>
          <w:p w14:paraId="177C9881">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资产总额（Z）</w:t>
            </w:r>
          </w:p>
        </w:tc>
        <w:tc>
          <w:tcPr>
            <w:tcW w:w="691" w:type="pct"/>
            <w:tcBorders>
              <w:top w:val="nil"/>
              <w:left w:val="nil"/>
              <w:bottom w:val="single" w:color="auto" w:sz="4" w:space="0"/>
              <w:right w:val="single" w:color="auto" w:sz="4" w:space="0"/>
            </w:tcBorders>
            <w:noWrap w:val="0"/>
            <w:vAlign w:val="center"/>
          </w:tcPr>
          <w:p w14:paraId="683C523A">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万元</w:t>
            </w:r>
          </w:p>
        </w:tc>
        <w:tc>
          <w:tcPr>
            <w:tcW w:w="1078" w:type="pct"/>
            <w:tcBorders>
              <w:top w:val="nil"/>
              <w:left w:val="nil"/>
              <w:bottom w:val="single" w:color="auto" w:sz="4" w:space="0"/>
              <w:right w:val="single" w:color="auto" w:sz="4" w:space="0"/>
            </w:tcBorders>
            <w:noWrap w:val="0"/>
            <w:vAlign w:val="center"/>
          </w:tcPr>
          <w:p w14:paraId="05004E04">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5000≤Z＜80000</w:t>
            </w:r>
          </w:p>
        </w:tc>
        <w:tc>
          <w:tcPr>
            <w:tcW w:w="930" w:type="pct"/>
            <w:tcBorders>
              <w:top w:val="nil"/>
              <w:left w:val="nil"/>
              <w:bottom w:val="single" w:color="auto" w:sz="4" w:space="0"/>
              <w:right w:val="single" w:color="auto" w:sz="4" w:space="0"/>
            </w:tcBorders>
            <w:noWrap w:val="0"/>
            <w:vAlign w:val="center"/>
          </w:tcPr>
          <w:p w14:paraId="64AA9335">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300≤Z＜5000</w:t>
            </w:r>
          </w:p>
        </w:tc>
        <w:tc>
          <w:tcPr>
            <w:tcW w:w="586" w:type="pct"/>
            <w:tcBorders>
              <w:top w:val="nil"/>
              <w:left w:val="nil"/>
              <w:bottom w:val="single" w:color="auto" w:sz="4" w:space="0"/>
              <w:right w:val="single" w:color="auto" w:sz="4" w:space="0"/>
            </w:tcBorders>
            <w:noWrap w:val="0"/>
            <w:vAlign w:val="center"/>
          </w:tcPr>
          <w:p w14:paraId="34B10A74">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Z＜300</w:t>
            </w:r>
          </w:p>
        </w:tc>
      </w:tr>
      <w:tr w14:paraId="26F6C760">
        <w:tblPrEx>
          <w:tblCellMar>
            <w:top w:w="0" w:type="dxa"/>
            <w:left w:w="108" w:type="dxa"/>
            <w:bottom w:w="0" w:type="dxa"/>
            <w:right w:w="108" w:type="dxa"/>
          </w:tblCellMar>
        </w:tblPrEx>
        <w:trPr>
          <w:trHeight w:val="225" w:hRule="atLeast"/>
        </w:trPr>
        <w:tc>
          <w:tcPr>
            <w:tcW w:w="788" w:type="pct"/>
            <w:vMerge w:val="restart"/>
            <w:tcBorders>
              <w:top w:val="nil"/>
              <w:left w:val="single" w:color="auto" w:sz="4" w:space="0"/>
              <w:bottom w:val="single" w:color="auto" w:sz="4" w:space="0"/>
              <w:right w:val="single" w:color="auto" w:sz="4" w:space="0"/>
            </w:tcBorders>
            <w:noWrap w:val="0"/>
            <w:vAlign w:val="center"/>
          </w:tcPr>
          <w:p w14:paraId="2F6A464B">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批发业</w:t>
            </w:r>
          </w:p>
        </w:tc>
        <w:tc>
          <w:tcPr>
            <w:tcW w:w="923" w:type="pct"/>
            <w:tcBorders>
              <w:top w:val="nil"/>
              <w:left w:val="nil"/>
              <w:bottom w:val="single" w:color="auto" w:sz="4" w:space="0"/>
              <w:right w:val="single" w:color="auto" w:sz="4" w:space="0"/>
            </w:tcBorders>
            <w:noWrap w:val="0"/>
            <w:vAlign w:val="center"/>
          </w:tcPr>
          <w:p w14:paraId="2F212481">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从业人员（X）</w:t>
            </w:r>
          </w:p>
        </w:tc>
        <w:tc>
          <w:tcPr>
            <w:tcW w:w="691" w:type="pct"/>
            <w:tcBorders>
              <w:top w:val="nil"/>
              <w:left w:val="nil"/>
              <w:bottom w:val="single" w:color="auto" w:sz="4" w:space="0"/>
              <w:right w:val="single" w:color="auto" w:sz="4" w:space="0"/>
            </w:tcBorders>
            <w:noWrap w:val="0"/>
            <w:vAlign w:val="center"/>
          </w:tcPr>
          <w:p w14:paraId="39C0BD4C">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人</w:t>
            </w:r>
          </w:p>
        </w:tc>
        <w:tc>
          <w:tcPr>
            <w:tcW w:w="1078" w:type="pct"/>
            <w:tcBorders>
              <w:top w:val="nil"/>
              <w:left w:val="nil"/>
              <w:bottom w:val="single" w:color="auto" w:sz="4" w:space="0"/>
              <w:right w:val="single" w:color="auto" w:sz="4" w:space="0"/>
            </w:tcBorders>
            <w:noWrap w:val="0"/>
            <w:vAlign w:val="center"/>
          </w:tcPr>
          <w:p w14:paraId="2A17500A">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20≤X＜200</w:t>
            </w:r>
          </w:p>
        </w:tc>
        <w:tc>
          <w:tcPr>
            <w:tcW w:w="930" w:type="pct"/>
            <w:tcBorders>
              <w:top w:val="nil"/>
              <w:left w:val="nil"/>
              <w:bottom w:val="single" w:color="auto" w:sz="4" w:space="0"/>
              <w:right w:val="single" w:color="auto" w:sz="4" w:space="0"/>
            </w:tcBorders>
            <w:noWrap w:val="0"/>
            <w:vAlign w:val="center"/>
          </w:tcPr>
          <w:p w14:paraId="285CED52">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5≤X＜20</w:t>
            </w:r>
          </w:p>
        </w:tc>
        <w:tc>
          <w:tcPr>
            <w:tcW w:w="586" w:type="pct"/>
            <w:tcBorders>
              <w:top w:val="nil"/>
              <w:left w:val="nil"/>
              <w:bottom w:val="single" w:color="auto" w:sz="4" w:space="0"/>
              <w:right w:val="single" w:color="auto" w:sz="4" w:space="0"/>
            </w:tcBorders>
            <w:noWrap w:val="0"/>
            <w:vAlign w:val="center"/>
          </w:tcPr>
          <w:p w14:paraId="650DF8F8">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X＜5</w:t>
            </w:r>
          </w:p>
        </w:tc>
      </w:tr>
      <w:tr w14:paraId="685F67E4">
        <w:tblPrEx>
          <w:tblCellMar>
            <w:top w:w="0" w:type="dxa"/>
            <w:left w:w="108" w:type="dxa"/>
            <w:bottom w:w="0" w:type="dxa"/>
            <w:right w:w="108" w:type="dxa"/>
          </w:tblCellMar>
        </w:tblPrEx>
        <w:trPr>
          <w:trHeight w:val="225" w:hRule="atLeast"/>
        </w:trPr>
        <w:tc>
          <w:tcPr>
            <w:tcW w:w="788" w:type="pct"/>
            <w:vMerge w:val="continue"/>
            <w:tcBorders>
              <w:top w:val="nil"/>
              <w:left w:val="single" w:color="auto" w:sz="4" w:space="0"/>
              <w:bottom w:val="single" w:color="auto" w:sz="4" w:space="0"/>
              <w:right w:val="single" w:color="auto" w:sz="4" w:space="0"/>
            </w:tcBorders>
            <w:noWrap w:val="0"/>
            <w:vAlign w:val="center"/>
          </w:tcPr>
          <w:p w14:paraId="05274C6D">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p>
        </w:tc>
        <w:tc>
          <w:tcPr>
            <w:tcW w:w="923" w:type="pct"/>
            <w:tcBorders>
              <w:top w:val="nil"/>
              <w:left w:val="nil"/>
              <w:bottom w:val="single" w:color="auto" w:sz="4" w:space="0"/>
              <w:right w:val="single" w:color="auto" w:sz="4" w:space="0"/>
            </w:tcBorders>
            <w:noWrap w:val="0"/>
            <w:vAlign w:val="center"/>
          </w:tcPr>
          <w:p w14:paraId="1D76C9E7">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营业收入（Y）</w:t>
            </w:r>
          </w:p>
        </w:tc>
        <w:tc>
          <w:tcPr>
            <w:tcW w:w="691" w:type="pct"/>
            <w:tcBorders>
              <w:top w:val="nil"/>
              <w:left w:val="nil"/>
              <w:bottom w:val="single" w:color="auto" w:sz="4" w:space="0"/>
              <w:right w:val="single" w:color="auto" w:sz="4" w:space="0"/>
            </w:tcBorders>
            <w:noWrap w:val="0"/>
            <w:vAlign w:val="center"/>
          </w:tcPr>
          <w:p w14:paraId="0593F04E">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万元</w:t>
            </w:r>
          </w:p>
        </w:tc>
        <w:tc>
          <w:tcPr>
            <w:tcW w:w="1078" w:type="pct"/>
            <w:tcBorders>
              <w:top w:val="nil"/>
              <w:left w:val="nil"/>
              <w:bottom w:val="single" w:color="auto" w:sz="4" w:space="0"/>
              <w:right w:val="single" w:color="auto" w:sz="4" w:space="0"/>
            </w:tcBorders>
            <w:noWrap w:val="0"/>
            <w:vAlign w:val="center"/>
          </w:tcPr>
          <w:p w14:paraId="7382255F">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5000≤Y＜40000</w:t>
            </w:r>
          </w:p>
        </w:tc>
        <w:tc>
          <w:tcPr>
            <w:tcW w:w="930" w:type="pct"/>
            <w:tcBorders>
              <w:top w:val="nil"/>
              <w:left w:val="nil"/>
              <w:bottom w:val="single" w:color="auto" w:sz="4" w:space="0"/>
              <w:right w:val="single" w:color="auto" w:sz="4" w:space="0"/>
            </w:tcBorders>
            <w:noWrap w:val="0"/>
            <w:vAlign w:val="center"/>
          </w:tcPr>
          <w:p w14:paraId="147E5EAF">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1000≤Y＜5000</w:t>
            </w:r>
          </w:p>
        </w:tc>
        <w:tc>
          <w:tcPr>
            <w:tcW w:w="586" w:type="pct"/>
            <w:tcBorders>
              <w:top w:val="nil"/>
              <w:left w:val="nil"/>
              <w:bottom w:val="single" w:color="auto" w:sz="4" w:space="0"/>
              <w:right w:val="single" w:color="auto" w:sz="4" w:space="0"/>
            </w:tcBorders>
            <w:noWrap w:val="0"/>
            <w:vAlign w:val="center"/>
          </w:tcPr>
          <w:p w14:paraId="11495687">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Y＜1000</w:t>
            </w:r>
          </w:p>
        </w:tc>
      </w:tr>
      <w:tr w14:paraId="4C8ECCCD">
        <w:tblPrEx>
          <w:tblCellMar>
            <w:top w:w="0" w:type="dxa"/>
            <w:left w:w="108" w:type="dxa"/>
            <w:bottom w:w="0" w:type="dxa"/>
            <w:right w:w="108" w:type="dxa"/>
          </w:tblCellMar>
        </w:tblPrEx>
        <w:trPr>
          <w:trHeight w:val="225" w:hRule="atLeast"/>
        </w:trPr>
        <w:tc>
          <w:tcPr>
            <w:tcW w:w="788" w:type="pct"/>
            <w:vMerge w:val="restart"/>
            <w:tcBorders>
              <w:top w:val="nil"/>
              <w:left w:val="single" w:color="auto" w:sz="4" w:space="0"/>
              <w:bottom w:val="single" w:color="auto" w:sz="4" w:space="0"/>
              <w:right w:val="single" w:color="auto" w:sz="4" w:space="0"/>
            </w:tcBorders>
            <w:noWrap w:val="0"/>
            <w:vAlign w:val="center"/>
          </w:tcPr>
          <w:p w14:paraId="5CD3B6EB">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零售业</w:t>
            </w:r>
          </w:p>
        </w:tc>
        <w:tc>
          <w:tcPr>
            <w:tcW w:w="923" w:type="pct"/>
            <w:tcBorders>
              <w:top w:val="nil"/>
              <w:left w:val="nil"/>
              <w:bottom w:val="single" w:color="auto" w:sz="4" w:space="0"/>
              <w:right w:val="single" w:color="auto" w:sz="4" w:space="0"/>
            </w:tcBorders>
            <w:noWrap w:val="0"/>
            <w:vAlign w:val="center"/>
          </w:tcPr>
          <w:p w14:paraId="65CB17E7">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从业人员（X）</w:t>
            </w:r>
          </w:p>
        </w:tc>
        <w:tc>
          <w:tcPr>
            <w:tcW w:w="691" w:type="pct"/>
            <w:tcBorders>
              <w:top w:val="nil"/>
              <w:left w:val="nil"/>
              <w:bottom w:val="single" w:color="auto" w:sz="4" w:space="0"/>
              <w:right w:val="single" w:color="auto" w:sz="4" w:space="0"/>
            </w:tcBorders>
            <w:noWrap w:val="0"/>
            <w:vAlign w:val="center"/>
          </w:tcPr>
          <w:p w14:paraId="6A5AD481">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人</w:t>
            </w:r>
          </w:p>
        </w:tc>
        <w:tc>
          <w:tcPr>
            <w:tcW w:w="1078" w:type="pct"/>
            <w:tcBorders>
              <w:top w:val="nil"/>
              <w:left w:val="nil"/>
              <w:bottom w:val="single" w:color="auto" w:sz="4" w:space="0"/>
              <w:right w:val="single" w:color="auto" w:sz="4" w:space="0"/>
            </w:tcBorders>
            <w:noWrap w:val="0"/>
            <w:vAlign w:val="center"/>
          </w:tcPr>
          <w:p w14:paraId="77F2081C">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50≤X＜300</w:t>
            </w:r>
          </w:p>
        </w:tc>
        <w:tc>
          <w:tcPr>
            <w:tcW w:w="930" w:type="pct"/>
            <w:tcBorders>
              <w:top w:val="nil"/>
              <w:left w:val="nil"/>
              <w:bottom w:val="single" w:color="auto" w:sz="4" w:space="0"/>
              <w:right w:val="single" w:color="auto" w:sz="4" w:space="0"/>
            </w:tcBorders>
            <w:noWrap w:val="0"/>
            <w:vAlign w:val="center"/>
          </w:tcPr>
          <w:p w14:paraId="6FE068E1">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10≤X＜50</w:t>
            </w:r>
          </w:p>
        </w:tc>
        <w:tc>
          <w:tcPr>
            <w:tcW w:w="586" w:type="pct"/>
            <w:tcBorders>
              <w:top w:val="nil"/>
              <w:left w:val="nil"/>
              <w:bottom w:val="single" w:color="auto" w:sz="4" w:space="0"/>
              <w:right w:val="single" w:color="auto" w:sz="4" w:space="0"/>
            </w:tcBorders>
            <w:noWrap w:val="0"/>
            <w:vAlign w:val="center"/>
          </w:tcPr>
          <w:p w14:paraId="55449D43">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X＜10</w:t>
            </w:r>
          </w:p>
        </w:tc>
      </w:tr>
      <w:tr w14:paraId="6FE0633F">
        <w:tblPrEx>
          <w:tblCellMar>
            <w:top w:w="0" w:type="dxa"/>
            <w:left w:w="108" w:type="dxa"/>
            <w:bottom w:w="0" w:type="dxa"/>
            <w:right w:w="108" w:type="dxa"/>
          </w:tblCellMar>
        </w:tblPrEx>
        <w:trPr>
          <w:trHeight w:val="225" w:hRule="atLeast"/>
        </w:trPr>
        <w:tc>
          <w:tcPr>
            <w:tcW w:w="788" w:type="pct"/>
            <w:vMerge w:val="continue"/>
            <w:tcBorders>
              <w:top w:val="nil"/>
              <w:left w:val="single" w:color="auto" w:sz="4" w:space="0"/>
              <w:bottom w:val="single" w:color="auto" w:sz="4" w:space="0"/>
              <w:right w:val="single" w:color="auto" w:sz="4" w:space="0"/>
            </w:tcBorders>
            <w:noWrap w:val="0"/>
            <w:vAlign w:val="center"/>
          </w:tcPr>
          <w:p w14:paraId="425EDB17">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p>
        </w:tc>
        <w:tc>
          <w:tcPr>
            <w:tcW w:w="923" w:type="pct"/>
            <w:tcBorders>
              <w:top w:val="nil"/>
              <w:left w:val="nil"/>
              <w:bottom w:val="single" w:color="auto" w:sz="4" w:space="0"/>
              <w:right w:val="single" w:color="auto" w:sz="4" w:space="0"/>
            </w:tcBorders>
            <w:noWrap w:val="0"/>
            <w:vAlign w:val="center"/>
          </w:tcPr>
          <w:p w14:paraId="0485D214">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营业收入（Y）</w:t>
            </w:r>
          </w:p>
        </w:tc>
        <w:tc>
          <w:tcPr>
            <w:tcW w:w="691" w:type="pct"/>
            <w:tcBorders>
              <w:top w:val="nil"/>
              <w:left w:val="nil"/>
              <w:bottom w:val="single" w:color="auto" w:sz="4" w:space="0"/>
              <w:right w:val="single" w:color="auto" w:sz="4" w:space="0"/>
            </w:tcBorders>
            <w:noWrap w:val="0"/>
            <w:vAlign w:val="center"/>
          </w:tcPr>
          <w:p w14:paraId="4327AB1E">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万元</w:t>
            </w:r>
          </w:p>
        </w:tc>
        <w:tc>
          <w:tcPr>
            <w:tcW w:w="1078" w:type="pct"/>
            <w:tcBorders>
              <w:top w:val="nil"/>
              <w:left w:val="nil"/>
              <w:bottom w:val="single" w:color="auto" w:sz="4" w:space="0"/>
              <w:right w:val="single" w:color="auto" w:sz="4" w:space="0"/>
            </w:tcBorders>
            <w:noWrap w:val="0"/>
            <w:vAlign w:val="center"/>
          </w:tcPr>
          <w:p w14:paraId="3DB612E3">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500≤Y＜20000</w:t>
            </w:r>
          </w:p>
        </w:tc>
        <w:tc>
          <w:tcPr>
            <w:tcW w:w="930" w:type="pct"/>
            <w:tcBorders>
              <w:top w:val="nil"/>
              <w:left w:val="nil"/>
              <w:bottom w:val="single" w:color="auto" w:sz="4" w:space="0"/>
              <w:right w:val="single" w:color="auto" w:sz="4" w:space="0"/>
            </w:tcBorders>
            <w:noWrap w:val="0"/>
            <w:vAlign w:val="center"/>
          </w:tcPr>
          <w:p w14:paraId="6C83B28C">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100≤Y＜500</w:t>
            </w:r>
          </w:p>
        </w:tc>
        <w:tc>
          <w:tcPr>
            <w:tcW w:w="586" w:type="pct"/>
            <w:tcBorders>
              <w:top w:val="nil"/>
              <w:left w:val="nil"/>
              <w:bottom w:val="single" w:color="auto" w:sz="4" w:space="0"/>
              <w:right w:val="single" w:color="auto" w:sz="4" w:space="0"/>
            </w:tcBorders>
            <w:noWrap w:val="0"/>
            <w:vAlign w:val="center"/>
          </w:tcPr>
          <w:p w14:paraId="63453D90">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Y＜100</w:t>
            </w:r>
          </w:p>
        </w:tc>
      </w:tr>
      <w:tr w14:paraId="67C7B102">
        <w:tblPrEx>
          <w:tblCellMar>
            <w:top w:w="0" w:type="dxa"/>
            <w:left w:w="108" w:type="dxa"/>
            <w:bottom w:w="0" w:type="dxa"/>
            <w:right w:w="108" w:type="dxa"/>
          </w:tblCellMar>
        </w:tblPrEx>
        <w:trPr>
          <w:trHeight w:val="225" w:hRule="atLeast"/>
        </w:trPr>
        <w:tc>
          <w:tcPr>
            <w:tcW w:w="788" w:type="pct"/>
            <w:vMerge w:val="restart"/>
            <w:tcBorders>
              <w:top w:val="nil"/>
              <w:left w:val="single" w:color="auto" w:sz="4" w:space="0"/>
              <w:bottom w:val="single" w:color="auto" w:sz="4" w:space="0"/>
              <w:right w:val="single" w:color="auto" w:sz="4" w:space="0"/>
            </w:tcBorders>
            <w:noWrap w:val="0"/>
            <w:vAlign w:val="center"/>
          </w:tcPr>
          <w:p w14:paraId="008753BC">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交通运输业</w:t>
            </w:r>
          </w:p>
        </w:tc>
        <w:tc>
          <w:tcPr>
            <w:tcW w:w="923" w:type="pct"/>
            <w:tcBorders>
              <w:top w:val="nil"/>
              <w:left w:val="nil"/>
              <w:bottom w:val="single" w:color="auto" w:sz="4" w:space="0"/>
              <w:right w:val="single" w:color="auto" w:sz="4" w:space="0"/>
            </w:tcBorders>
            <w:noWrap w:val="0"/>
            <w:vAlign w:val="center"/>
          </w:tcPr>
          <w:p w14:paraId="72781D14">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从业人员（X）</w:t>
            </w:r>
          </w:p>
        </w:tc>
        <w:tc>
          <w:tcPr>
            <w:tcW w:w="691" w:type="pct"/>
            <w:tcBorders>
              <w:top w:val="nil"/>
              <w:left w:val="nil"/>
              <w:bottom w:val="single" w:color="auto" w:sz="4" w:space="0"/>
              <w:right w:val="single" w:color="auto" w:sz="4" w:space="0"/>
            </w:tcBorders>
            <w:noWrap w:val="0"/>
            <w:vAlign w:val="center"/>
          </w:tcPr>
          <w:p w14:paraId="3982F8D9">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人</w:t>
            </w:r>
          </w:p>
        </w:tc>
        <w:tc>
          <w:tcPr>
            <w:tcW w:w="1078" w:type="pct"/>
            <w:tcBorders>
              <w:top w:val="nil"/>
              <w:left w:val="nil"/>
              <w:bottom w:val="single" w:color="auto" w:sz="4" w:space="0"/>
              <w:right w:val="single" w:color="auto" w:sz="4" w:space="0"/>
            </w:tcBorders>
            <w:noWrap w:val="0"/>
            <w:vAlign w:val="center"/>
          </w:tcPr>
          <w:p w14:paraId="0DD1EB22">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300≤X＜1000</w:t>
            </w:r>
          </w:p>
        </w:tc>
        <w:tc>
          <w:tcPr>
            <w:tcW w:w="930" w:type="pct"/>
            <w:tcBorders>
              <w:top w:val="nil"/>
              <w:left w:val="nil"/>
              <w:bottom w:val="single" w:color="auto" w:sz="4" w:space="0"/>
              <w:right w:val="single" w:color="auto" w:sz="4" w:space="0"/>
            </w:tcBorders>
            <w:noWrap w:val="0"/>
            <w:vAlign w:val="center"/>
          </w:tcPr>
          <w:p w14:paraId="4F04E308">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20≤X＜300</w:t>
            </w:r>
          </w:p>
        </w:tc>
        <w:tc>
          <w:tcPr>
            <w:tcW w:w="586" w:type="pct"/>
            <w:tcBorders>
              <w:top w:val="nil"/>
              <w:left w:val="nil"/>
              <w:bottom w:val="single" w:color="auto" w:sz="4" w:space="0"/>
              <w:right w:val="single" w:color="auto" w:sz="4" w:space="0"/>
            </w:tcBorders>
            <w:noWrap w:val="0"/>
            <w:vAlign w:val="center"/>
          </w:tcPr>
          <w:p w14:paraId="7FC53F1C">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X＜20</w:t>
            </w:r>
          </w:p>
        </w:tc>
      </w:tr>
      <w:tr w14:paraId="6222E715">
        <w:tblPrEx>
          <w:tblCellMar>
            <w:top w:w="0" w:type="dxa"/>
            <w:left w:w="108" w:type="dxa"/>
            <w:bottom w:w="0" w:type="dxa"/>
            <w:right w:w="108" w:type="dxa"/>
          </w:tblCellMar>
        </w:tblPrEx>
        <w:trPr>
          <w:trHeight w:val="225" w:hRule="atLeast"/>
        </w:trPr>
        <w:tc>
          <w:tcPr>
            <w:tcW w:w="788" w:type="pct"/>
            <w:vMerge w:val="continue"/>
            <w:tcBorders>
              <w:top w:val="nil"/>
              <w:left w:val="single" w:color="auto" w:sz="4" w:space="0"/>
              <w:bottom w:val="single" w:color="auto" w:sz="4" w:space="0"/>
              <w:right w:val="single" w:color="auto" w:sz="4" w:space="0"/>
            </w:tcBorders>
            <w:noWrap w:val="0"/>
            <w:vAlign w:val="center"/>
          </w:tcPr>
          <w:p w14:paraId="2319ED0C">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p>
        </w:tc>
        <w:tc>
          <w:tcPr>
            <w:tcW w:w="923" w:type="pct"/>
            <w:tcBorders>
              <w:top w:val="nil"/>
              <w:left w:val="nil"/>
              <w:bottom w:val="single" w:color="auto" w:sz="4" w:space="0"/>
              <w:right w:val="single" w:color="auto" w:sz="4" w:space="0"/>
            </w:tcBorders>
            <w:noWrap w:val="0"/>
            <w:vAlign w:val="center"/>
          </w:tcPr>
          <w:p w14:paraId="7D3DFE6F">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营业收入（Y）</w:t>
            </w:r>
          </w:p>
        </w:tc>
        <w:tc>
          <w:tcPr>
            <w:tcW w:w="691" w:type="pct"/>
            <w:tcBorders>
              <w:top w:val="nil"/>
              <w:left w:val="nil"/>
              <w:bottom w:val="single" w:color="auto" w:sz="4" w:space="0"/>
              <w:right w:val="single" w:color="auto" w:sz="4" w:space="0"/>
            </w:tcBorders>
            <w:noWrap w:val="0"/>
            <w:vAlign w:val="center"/>
          </w:tcPr>
          <w:p w14:paraId="0520B6CD">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万元</w:t>
            </w:r>
          </w:p>
        </w:tc>
        <w:tc>
          <w:tcPr>
            <w:tcW w:w="1078" w:type="pct"/>
            <w:tcBorders>
              <w:top w:val="nil"/>
              <w:left w:val="nil"/>
              <w:bottom w:val="single" w:color="auto" w:sz="4" w:space="0"/>
              <w:right w:val="single" w:color="auto" w:sz="4" w:space="0"/>
            </w:tcBorders>
            <w:noWrap w:val="0"/>
            <w:vAlign w:val="center"/>
          </w:tcPr>
          <w:p w14:paraId="0E3A5526">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3000≤Y＜30000</w:t>
            </w:r>
          </w:p>
        </w:tc>
        <w:tc>
          <w:tcPr>
            <w:tcW w:w="930" w:type="pct"/>
            <w:tcBorders>
              <w:top w:val="nil"/>
              <w:left w:val="nil"/>
              <w:bottom w:val="single" w:color="auto" w:sz="4" w:space="0"/>
              <w:right w:val="single" w:color="auto" w:sz="4" w:space="0"/>
            </w:tcBorders>
            <w:noWrap w:val="0"/>
            <w:vAlign w:val="center"/>
          </w:tcPr>
          <w:p w14:paraId="5C6833FD">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200≤Y＜3000</w:t>
            </w:r>
          </w:p>
        </w:tc>
        <w:tc>
          <w:tcPr>
            <w:tcW w:w="586" w:type="pct"/>
            <w:tcBorders>
              <w:top w:val="nil"/>
              <w:left w:val="nil"/>
              <w:bottom w:val="single" w:color="auto" w:sz="4" w:space="0"/>
              <w:right w:val="single" w:color="auto" w:sz="4" w:space="0"/>
            </w:tcBorders>
            <w:noWrap w:val="0"/>
            <w:vAlign w:val="center"/>
          </w:tcPr>
          <w:p w14:paraId="11AB1B3D">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Y＜200</w:t>
            </w:r>
          </w:p>
        </w:tc>
      </w:tr>
      <w:tr w14:paraId="7181A97C">
        <w:tblPrEx>
          <w:tblCellMar>
            <w:top w:w="0" w:type="dxa"/>
            <w:left w:w="108" w:type="dxa"/>
            <w:bottom w:w="0" w:type="dxa"/>
            <w:right w:w="108" w:type="dxa"/>
          </w:tblCellMar>
        </w:tblPrEx>
        <w:trPr>
          <w:trHeight w:val="225" w:hRule="atLeast"/>
        </w:trPr>
        <w:tc>
          <w:tcPr>
            <w:tcW w:w="788" w:type="pct"/>
            <w:vMerge w:val="restart"/>
            <w:tcBorders>
              <w:top w:val="nil"/>
              <w:left w:val="single" w:color="auto" w:sz="4" w:space="0"/>
              <w:bottom w:val="single" w:color="auto" w:sz="4" w:space="0"/>
              <w:right w:val="single" w:color="auto" w:sz="4" w:space="0"/>
            </w:tcBorders>
            <w:noWrap w:val="0"/>
            <w:vAlign w:val="center"/>
          </w:tcPr>
          <w:p w14:paraId="10491B11">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仓储业</w:t>
            </w:r>
          </w:p>
        </w:tc>
        <w:tc>
          <w:tcPr>
            <w:tcW w:w="923" w:type="pct"/>
            <w:tcBorders>
              <w:top w:val="nil"/>
              <w:left w:val="nil"/>
              <w:bottom w:val="single" w:color="auto" w:sz="4" w:space="0"/>
              <w:right w:val="single" w:color="auto" w:sz="4" w:space="0"/>
            </w:tcBorders>
            <w:noWrap w:val="0"/>
            <w:vAlign w:val="center"/>
          </w:tcPr>
          <w:p w14:paraId="4646AFB5">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从业人员（X）</w:t>
            </w:r>
          </w:p>
        </w:tc>
        <w:tc>
          <w:tcPr>
            <w:tcW w:w="691" w:type="pct"/>
            <w:tcBorders>
              <w:top w:val="nil"/>
              <w:left w:val="nil"/>
              <w:bottom w:val="single" w:color="auto" w:sz="4" w:space="0"/>
              <w:right w:val="single" w:color="auto" w:sz="4" w:space="0"/>
            </w:tcBorders>
            <w:noWrap w:val="0"/>
            <w:vAlign w:val="center"/>
          </w:tcPr>
          <w:p w14:paraId="1D184742">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人</w:t>
            </w:r>
          </w:p>
        </w:tc>
        <w:tc>
          <w:tcPr>
            <w:tcW w:w="1078" w:type="pct"/>
            <w:tcBorders>
              <w:top w:val="nil"/>
              <w:left w:val="nil"/>
              <w:bottom w:val="single" w:color="auto" w:sz="4" w:space="0"/>
              <w:right w:val="single" w:color="auto" w:sz="4" w:space="0"/>
            </w:tcBorders>
            <w:noWrap w:val="0"/>
            <w:vAlign w:val="center"/>
          </w:tcPr>
          <w:p w14:paraId="09D9747C">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100≤X＜200</w:t>
            </w:r>
          </w:p>
        </w:tc>
        <w:tc>
          <w:tcPr>
            <w:tcW w:w="930" w:type="pct"/>
            <w:tcBorders>
              <w:top w:val="nil"/>
              <w:left w:val="nil"/>
              <w:bottom w:val="single" w:color="auto" w:sz="4" w:space="0"/>
              <w:right w:val="single" w:color="auto" w:sz="4" w:space="0"/>
            </w:tcBorders>
            <w:noWrap w:val="0"/>
            <w:vAlign w:val="center"/>
          </w:tcPr>
          <w:p w14:paraId="39CEB446">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20≤X＜100</w:t>
            </w:r>
          </w:p>
        </w:tc>
        <w:tc>
          <w:tcPr>
            <w:tcW w:w="586" w:type="pct"/>
            <w:tcBorders>
              <w:top w:val="nil"/>
              <w:left w:val="nil"/>
              <w:bottom w:val="single" w:color="auto" w:sz="4" w:space="0"/>
              <w:right w:val="single" w:color="auto" w:sz="4" w:space="0"/>
            </w:tcBorders>
            <w:noWrap w:val="0"/>
            <w:vAlign w:val="center"/>
          </w:tcPr>
          <w:p w14:paraId="4942DD38">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X＜20</w:t>
            </w:r>
          </w:p>
        </w:tc>
      </w:tr>
      <w:tr w14:paraId="3CA1F161">
        <w:tblPrEx>
          <w:tblCellMar>
            <w:top w:w="0" w:type="dxa"/>
            <w:left w:w="108" w:type="dxa"/>
            <w:bottom w:w="0" w:type="dxa"/>
            <w:right w:w="108" w:type="dxa"/>
          </w:tblCellMar>
        </w:tblPrEx>
        <w:trPr>
          <w:trHeight w:val="225" w:hRule="atLeast"/>
        </w:trPr>
        <w:tc>
          <w:tcPr>
            <w:tcW w:w="788" w:type="pct"/>
            <w:vMerge w:val="continue"/>
            <w:tcBorders>
              <w:top w:val="nil"/>
              <w:left w:val="single" w:color="auto" w:sz="4" w:space="0"/>
              <w:bottom w:val="single" w:color="auto" w:sz="4" w:space="0"/>
              <w:right w:val="single" w:color="auto" w:sz="4" w:space="0"/>
            </w:tcBorders>
            <w:noWrap w:val="0"/>
            <w:vAlign w:val="center"/>
          </w:tcPr>
          <w:p w14:paraId="1800F737">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p>
        </w:tc>
        <w:tc>
          <w:tcPr>
            <w:tcW w:w="923" w:type="pct"/>
            <w:tcBorders>
              <w:top w:val="nil"/>
              <w:left w:val="nil"/>
              <w:bottom w:val="single" w:color="auto" w:sz="4" w:space="0"/>
              <w:right w:val="single" w:color="auto" w:sz="4" w:space="0"/>
            </w:tcBorders>
            <w:noWrap w:val="0"/>
            <w:vAlign w:val="center"/>
          </w:tcPr>
          <w:p w14:paraId="70D510BF">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营业收入（Y）</w:t>
            </w:r>
          </w:p>
        </w:tc>
        <w:tc>
          <w:tcPr>
            <w:tcW w:w="691" w:type="pct"/>
            <w:tcBorders>
              <w:top w:val="nil"/>
              <w:left w:val="nil"/>
              <w:bottom w:val="single" w:color="auto" w:sz="4" w:space="0"/>
              <w:right w:val="single" w:color="auto" w:sz="4" w:space="0"/>
            </w:tcBorders>
            <w:noWrap w:val="0"/>
            <w:vAlign w:val="center"/>
          </w:tcPr>
          <w:p w14:paraId="34942E67">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万元</w:t>
            </w:r>
          </w:p>
        </w:tc>
        <w:tc>
          <w:tcPr>
            <w:tcW w:w="1078" w:type="pct"/>
            <w:tcBorders>
              <w:top w:val="nil"/>
              <w:left w:val="nil"/>
              <w:bottom w:val="single" w:color="auto" w:sz="4" w:space="0"/>
              <w:right w:val="single" w:color="auto" w:sz="4" w:space="0"/>
            </w:tcBorders>
            <w:noWrap w:val="0"/>
            <w:vAlign w:val="center"/>
          </w:tcPr>
          <w:p w14:paraId="20E28B72">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1000≤Y＜30000</w:t>
            </w:r>
          </w:p>
        </w:tc>
        <w:tc>
          <w:tcPr>
            <w:tcW w:w="930" w:type="pct"/>
            <w:tcBorders>
              <w:top w:val="nil"/>
              <w:left w:val="nil"/>
              <w:bottom w:val="single" w:color="auto" w:sz="4" w:space="0"/>
              <w:right w:val="single" w:color="auto" w:sz="4" w:space="0"/>
            </w:tcBorders>
            <w:noWrap w:val="0"/>
            <w:vAlign w:val="center"/>
          </w:tcPr>
          <w:p w14:paraId="1A2EE8F0">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100≤Y＜1000</w:t>
            </w:r>
          </w:p>
        </w:tc>
        <w:tc>
          <w:tcPr>
            <w:tcW w:w="586" w:type="pct"/>
            <w:tcBorders>
              <w:top w:val="nil"/>
              <w:left w:val="nil"/>
              <w:bottom w:val="single" w:color="auto" w:sz="4" w:space="0"/>
              <w:right w:val="single" w:color="auto" w:sz="4" w:space="0"/>
            </w:tcBorders>
            <w:noWrap w:val="0"/>
            <w:vAlign w:val="center"/>
          </w:tcPr>
          <w:p w14:paraId="35F4110B">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Y＜100</w:t>
            </w:r>
          </w:p>
        </w:tc>
      </w:tr>
      <w:tr w14:paraId="06D760B8">
        <w:tblPrEx>
          <w:tblCellMar>
            <w:top w:w="0" w:type="dxa"/>
            <w:left w:w="108" w:type="dxa"/>
            <w:bottom w:w="0" w:type="dxa"/>
            <w:right w:w="108" w:type="dxa"/>
          </w:tblCellMar>
        </w:tblPrEx>
        <w:trPr>
          <w:trHeight w:val="225" w:hRule="atLeast"/>
        </w:trPr>
        <w:tc>
          <w:tcPr>
            <w:tcW w:w="788" w:type="pct"/>
            <w:vMerge w:val="restart"/>
            <w:tcBorders>
              <w:top w:val="nil"/>
              <w:left w:val="single" w:color="auto" w:sz="4" w:space="0"/>
              <w:bottom w:val="single" w:color="auto" w:sz="4" w:space="0"/>
              <w:right w:val="single" w:color="auto" w:sz="4" w:space="0"/>
            </w:tcBorders>
            <w:noWrap w:val="0"/>
            <w:vAlign w:val="center"/>
          </w:tcPr>
          <w:p w14:paraId="30147815">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邮政业</w:t>
            </w:r>
          </w:p>
        </w:tc>
        <w:tc>
          <w:tcPr>
            <w:tcW w:w="923" w:type="pct"/>
            <w:tcBorders>
              <w:top w:val="nil"/>
              <w:left w:val="nil"/>
              <w:bottom w:val="single" w:color="auto" w:sz="4" w:space="0"/>
              <w:right w:val="single" w:color="auto" w:sz="4" w:space="0"/>
            </w:tcBorders>
            <w:noWrap w:val="0"/>
            <w:vAlign w:val="center"/>
          </w:tcPr>
          <w:p w14:paraId="44C316B6">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从业人员（X）</w:t>
            </w:r>
          </w:p>
        </w:tc>
        <w:tc>
          <w:tcPr>
            <w:tcW w:w="691" w:type="pct"/>
            <w:tcBorders>
              <w:top w:val="nil"/>
              <w:left w:val="nil"/>
              <w:bottom w:val="single" w:color="auto" w:sz="4" w:space="0"/>
              <w:right w:val="single" w:color="auto" w:sz="4" w:space="0"/>
            </w:tcBorders>
            <w:noWrap w:val="0"/>
            <w:vAlign w:val="center"/>
          </w:tcPr>
          <w:p w14:paraId="7B0A38B2">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人</w:t>
            </w:r>
          </w:p>
        </w:tc>
        <w:tc>
          <w:tcPr>
            <w:tcW w:w="1078" w:type="pct"/>
            <w:tcBorders>
              <w:top w:val="nil"/>
              <w:left w:val="nil"/>
              <w:bottom w:val="single" w:color="auto" w:sz="4" w:space="0"/>
              <w:right w:val="single" w:color="auto" w:sz="4" w:space="0"/>
            </w:tcBorders>
            <w:noWrap w:val="0"/>
            <w:vAlign w:val="center"/>
          </w:tcPr>
          <w:p w14:paraId="3BB4F5B8">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300≤X＜1000</w:t>
            </w:r>
          </w:p>
        </w:tc>
        <w:tc>
          <w:tcPr>
            <w:tcW w:w="930" w:type="pct"/>
            <w:tcBorders>
              <w:top w:val="nil"/>
              <w:left w:val="nil"/>
              <w:bottom w:val="single" w:color="auto" w:sz="4" w:space="0"/>
              <w:right w:val="single" w:color="auto" w:sz="4" w:space="0"/>
            </w:tcBorders>
            <w:noWrap w:val="0"/>
            <w:vAlign w:val="center"/>
          </w:tcPr>
          <w:p w14:paraId="56886DC3">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20≤X＜300</w:t>
            </w:r>
          </w:p>
        </w:tc>
        <w:tc>
          <w:tcPr>
            <w:tcW w:w="586" w:type="pct"/>
            <w:tcBorders>
              <w:top w:val="nil"/>
              <w:left w:val="nil"/>
              <w:bottom w:val="single" w:color="auto" w:sz="4" w:space="0"/>
              <w:right w:val="single" w:color="auto" w:sz="4" w:space="0"/>
            </w:tcBorders>
            <w:noWrap w:val="0"/>
            <w:vAlign w:val="center"/>
          </w:tcPr>
          <w:p w14:paraId="22C2E1BD">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X＜20</w:t>
            </w:r>
          </w:p>
        </w:tc>
      </w:tr>
      <w:tr w14:paraId="6AD0CD30">
        <w:tblPrEx>
          <w:tblCellMar>
            <w:top w:w="0" w:type="dxa"/>
            <w:left w:w="108" w:type="dxa"/>
            <w:bottom w:w="0" w:type="dxa"/>
            <w:right w:w="108" w:type="dxa"/>
          </w:tblCellMar>
        </w:tblPrEx>
        <w:trPr>
          <w:trHeight w:val="225" w:hRule="atLeast"/>
        </w:trPr>
        <w:tc>
          <w:tcPr>
            <w:tcW w:w="788" w:type="pct"/>
            <w:vMerge w:val="continue"/>
            <w:tcBorders>
              <w:top w:val="nil"/>
              <w:left w:val="single" w:color="auto" w:sz="4" w:space="0"/>
              <w:bottom w:val="single" w:color="auto" w:sz="4" w:space="0"/>
              <w:right w:val="single" w:color="auto" w:sz="4" w:space="0"/>
            </w:tcBorders>
            <w:noWrap w:val="0"/>
            <w:vAlign w:val="center"/>
          </w:tcPr>
          <w:p w14:paraId="588C3FC3">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p>
        </w:tc>
        <w:tc>
          <w:tcPr>
            <w:tcW w:w="923" w:type="pct"/>
            <w:tcBorders>
              <w:top w:val="nil"/>
              <w:left w:val="nil"/>
              <w:bottom w:val="single" w:color="auto" w:sz="4" w:space="0"/>
              <w:right w:val="single" w:color="auto" w:sz="4" w:space="0"/>
            </w:tcBorders>
            <w:noWrap w:val="0"/>
            <w:vAlign w:val="center"/>
          </w:tcPr>
          <w:p w14:paraId="12FBC973">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营业收入（Y）</w:t>
            </w:r>
          </w:p>
        </w:tc>
        <w:tc>
          <w:tcPr>
            <w:tcW w:w="691" w:type="pct"/>
            <w:tcBorders>
              <w:top w:val="nil"/>
              <w:left w:val="nil"/>
              <w:bottom w:val="single" w:color="auto" w:sz="4" w:space="0"/>
              <w:right w:val="single" w:color="auto" w:sz="4" w:space="0"/>
            </w:tcBorders>
            <w:noWrap w:val="0"/>
            <w:vAlign w:val="center"/>
          </w:tcPr>
          <w:p w14:paraId="1CEA5597">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万元</w:t>
            </w:r>
          </w:p>
        </w:tc>
        <w:tc>
          <w:tcPr>
            <w:tcW w:w="1078" w:type="pct"/>
            <w:tcBorders>
              <w:top w:val="nil"/>
              <w:left w:val="nil"/>
              <w:bottom w:val="single" w:color="auto" w:sz="4" w:space="0"/>
              <w:right w:val="single" w:color="auto" w:sz="4" w:space="0"/>
            </w:tcBorders>
            <w:noWrap w:val="0"/>
            <w:vAlign w:val="center"/>
          </w:tcPr>
          <w:p w14:paraId="4A3ED0B9">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2000≤Y＜30000</w:t>
            </w:r>
          </w:p>
        </w:tc>
        <w:tc>
          <w:tcPr>
            <w:tcW w:w="930" w:type="pct"/>
            <w:tcBorders>
              <w:top w:val="nil"/>
              <w:left w:val="nil"/>
              <w:bottom w:val="single" w:color="auto" w:sz="4" w:space="0"/>
              <w:right w:val="single" w:color="auto" w:sz="4" w:space="0"/>
            </w:tcBorders>
            <w:noWrap w:val="0"/>
            <w:vAlign w:val="center"/>
          </w:tcPr>
          <w:p w14:paraId="28F28FD6">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100≤Y＜2000</w:t>
            </w:r>
          </w:p>
        </w:tc>
        <w:tc>
          <w:tcPr>
            <w:tcW w:w="586" w:type="pct"/>
            <w:tcBorders>
              <w:top w:val="nil"/>
              <w:left w:val="nil"/>
              <w:bottom w:val="single" w:color="auto" w:sz="4" w:space="0"/>
              <w:right w:val="single" w:color="auto" w:sz="4" w:space="0"/>
            </w:tcBorders>
            <w:noWrap w:val="0"/>
            <w:vAlign w:val="center"/>
          </w:tcPr>
          <w:p w14:paraId="74FCD6D3">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Y＜100</w:t>
            </w:r>
          </w:p>
        </w:tc>
      </w:tr>
      <w:tr w14:paraId="5079371F">
        <w:tblPrEx>
          <w:tblCellMar>
            <w:top w:w="0" w:type="dxa"/>
            <w:left w:w="108" w:type="dxa"/>
            <w:bottom w:w="0" w:type="dxa"/>
            <w:right w:w="108" w:type="dxa"/>
          </w:tblCellMar>
        </w:tblPrEx>
        <w:trPr>
          <w:trHeight w:val="225" w:hRule="atLeast"/>
        </w:trPr>
        <w:tc>
          <w:tcPr>
            <w:tcW w:w="788" w:type="pct"/>
            <w:vMerge w:val="restart"/>
            <w:tcBorders>
              <w:top w:val="nil"/>
              <w:left w:val="single" w:color="auto" w:sz="4" w:space="0"/>
              <w:bottom w:val="single" w:color="auto" w:sz="4" w:space="0"/>
              <w:right w:val="single" w:color="auto" w:sz="4" w:space="0"/>
            </w:tcBorders>
            <w:noWrap w:val="0"/>
            <w:vAlign w:val="center"/>
          </w:tcPr>
          <w:p w14:paraId="7E2ED35F">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住宿业</w:t>
            </w:r>
          </w:p>
        </w:tc>
        <w:tc>
          <w:tcPr>
            <w:tcW w:w="923" w:type="pct"/>
            <w:tcBorders>
              <w:top w:val="nil"/>
              <w:left w:val="nil"/>
              <w:bottom w:val="single" w:color="auto" w:sz="4" w:space="0"/>
              <w:right w:val="single" w:color="auto" w:sz="4" w:space="0"/>
            </w:tcBorders>
            <w:noWrap w:val="0"/>
            <w:vAlign w:val="center"/>
          </w:tcPr>
          <w:p w14:paraId="0A8558E6">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从业人员（X）</w:t>
            </w:r>
          </w:p>
        </w:tc>
        <w:tc>
          <w:tcPr>
            <w:tcW w:w="691" w:type="pct"/>
            <w:tcBorders>
              <w:top w:val="nil"/>
              <w:left w:val="nil"/>
              <w:bottom w:val="single" w:color="auto" w:sz="4" w:space="0"/>
              <w:right w:val="single" w:color="auto" w:sz="4" w:space="0"/>
            </w:tcBorders>
            <w:noWrap w:val="0"/>
            <w:vAlign w:val="center"/>
          </w:tcPr>
          <w:p w14:paraId="6A0B402F">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人</w:t>
            </w:r>
          </w:p>
        </w:tc>
        <w:tc>
          <w:tcPr>
            <w:tcW w:w="1078" w:type="pct"/>
            <w:tcBorders>
              <w:top w:val="nil"/>
              <w:left w:val="nil"/>
              <w:bottom w:val="single" w:color="auto" w:sz="4" w:space="0"/>
              <w:right w:val="single" w:color="auto" w:sz="4" w:space="0"/>
            </w:tcBorders>
            <w:noWrap w:val="0"/>
            <w:vAlign w:val="center"/>
          </w:tcPr>
          <w:p w14:paraId="269C54E1">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100≤X＜300</w:t>
            </w:r>
          </w:p>
        </w:tc>
        <w:tc>
          <w:tcPr>
            <w:tcW w:w="930" w:type="pct"/>
            <w:tcBorders>
              <w:top w:val="nil"/>
              <w:left w:val="nil"/>
              <w:bottom w:val="single" w:color="auto" w:sz="4" w:space="0"/>
              <w:right w:val="single" w:color="auto" w:sz="4" w:space="0"/>
            </w:tcBorders>
            <w:noWrap w:val="0"/>
            <w:vAlign w:val="center"/>
          </w:tcPr>
          <w:p w14:paraId="09664D77">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10≤X＜100</w:t>
            </w:r>
          </w:p>
        </w:tc>
        <w:tc>
          <w:tcPr>
            <w:tcW w:w="586" w:type="pct"/>
            <w:tcBorders>
              <w:top w:val="nil"/>
              <w:left w:val="nil"/>
              <w:bottom w:val="single" w:color="auto" w:sz="4" w:space="0"/>
              <w:right w:val="single" w:color="auto" w:sz="4" w:space="0"/>
            </w:tcBorders>
            <w:noWrap w:val="0"/>
            <w:vAlign w:val="center"/>
          </w:tcPr>
          <w:p w14:paraId="6903488D">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X＜10</w:t>
            </w:r>
          </w:p>
        </w:tc>
      </w:tr>
      <w:tr w14:paraId="44D8132B">
        <w:tblPrEx>
          <w:tblCellMar>
            <w:top w:w="0" w:type="dxa"/>
            <w:left w:w="108" w:type="dxa"/>
            <w:bottom w:w="0" w:type="dxa"/>
            <w:right w:w="108" w:type="dxa"/>
          </w:tblCellMar>
        </w:tblPrEx>
        <w:trPr>
          <w:trHeight w:val="225" w:hRule="atLeast"/>
        </w:trPr>
        <w:tc>
          <w:tcPr>
            <w:tcW w:w="788" w:type="pct"/>
            <w:vMerge w:val="continue"/>
            <w:tcBorders>
              <w:top w:val="nil"/>
              <w:left w:val="single" w:color="auto" w:sz="4" w:space="0"/>
              <w:bottom w:val="single" w:color="auto" w:sz="4" w:space="0"/>
              <w:right w:val="single" w:color="auto" w:sz="4" w:space="0"/>
            </w:tcBorders>
            <w:noWrap w:val="0"/>
            <w:vAlign w:val="center"/>
          </w:tcPr>
          <w:p w14:paraId="34108587">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p>
        </w:tc>
        <w:tc>
          <w:tcPr>
            <w:tcW w:w="923" w:type="pct"/>
            <w:tcBorders>
              <w:top w:val="nil"/>
              <w:left w:val="nil"/>
              <w:bottom w:val="single" w:color="auto" w:sz="4" w:space="0"/>
              <w:right w:val="single" w:color="auto" w:sz="4" w:space="0"/>
            </w:tcBorders>
            <w:noWrap w:val="0"/>
            <w:vAlign w:val="center"/>
          </w:tcPr>
          <w:p w14:paraId="4610E738">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营业收入（Y）</w:t>
            </w:r>
          </w:p>
        </w:tc>
        <w:tc>
          <w:tcPr>
            <w:tcW w:w="691" w:type="pct"/>
            <w:tcBorders>
              <w:top w:val="nil"/>
              <w:left w:val="nil"/>
              <w:bottom w:val="single" w:color="auto" w:sz="4" w:space="0"/>
              <w:right w:val="single" w:color="auto" w:sz="4" w:space="0"/>
            </w:tcBorders>
            <w:noWrap w:val="0"/>
            <w:vAlign w:val="center"/>
          </w:tcPr>
          <w:p w14:paraId="18532438">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万元</w:t>
            </w:r>
          </w:p>
        </w:tc>
        <w:tc>
          <w:tcPr>
            <w:tcW w:w="1078" w:type="pct"/>
            <w:tcBorders>
              <w:top w:val="nil"/>
              <w:left w:val="nil"/>
              <w:bottom w:val="single" w:color="auto" w:sz="4" w:space="0"/>
              <w:right w:val="single" w:color="auto" w:sz="4" w:space="0"/>
            </w:tcBorders>
            <w:noWrap w:val="0"/>
            <w:vAlign w:val="center"/>
          </w:tcPr>
          <w:p w14:paraId="1ADC7E0E">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2000≤Y＜10000</w:t>
            </w:r>
          </w:p>
        </w:tc>
        <w:tc>
          <w:tcPr>
            <w:tcW w:w="930" w:type="pct"/>
            <w:tcBorders>
              <w:top w:val="nil"/>
              <w:left w:val="nil"/>
              <w:bottom w:val="single" w:color="auto" w:sz="4" w:space="0"/>
              <w:right w:val="single" w:color="auto" w:sz="4" w:space="0"/>
            </w:tcBorders>
            <w:noWrap w:val="0"/>
            <w:vAlign w:val="center"/>
          </w:tcPr>
          <w:p w14:paraId="38ADAB33">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100≤Y＜2000</w:t>
            </w:r>
          </w:p>
        </w:tc>
        <w:tc>
          <w:tcPr>
            <w:tcW w:w="586" w:type="pct"/>
            <w:tcBorders>
              <w:top w:val="nil"/>
              <w:left w:val="nil"/>
              <w:bottom w:val="single" w:color="auto" w:sz="4" w:space="0"/>
              <w:right w:val="single" w:color="auto" w:sz="4" w:space="0"/>
            </w:tcBorders>
            <w:noWrap w:val="0"/>
            <w:vAlign w:val="center"/>
          </w:tcPr>
          <w:p w14:paraId="49805CAB">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Y＜100</w:t>
            </w:r>
          </w:p>
        </w:tc>
      </w:tr>
      <w:tr w14:paraId="576E1A03">
        <w:tblPrEx>
          <w:tblCellMar>
            <w:top w:w="0" w:type="dxa"/>
            <w:left w:w="108" w:type="dxa"/>
            <w:bottom w:w="0" w:type="dxa"/>
            <w:right w:w="108" w:type="dxa"/>
          </w:tblCellMar>
        </w:tblPrEx>
        <w:trPr>
          <w:trHeight w:val="225" w:hRule="atLeast"/>
        </w:trPr>
        <w:tc>
          <w:tcPr>
            <w:tcW w:w="788" w:type="pct"/>
            <w:vMerge w:val="restart"/>
            <w:tcBorders>
              <w:top w:val="nil"/>
              <w:left w:val="single" w:color="auto" w:sz="4" w:space="0"/>
              <w:bottom w:val="single" w:color="auto" w:sz="4" w:space="0"/>
              <w:right w:val="single" w:color="auto" w:sz="4" w:space="0"/>
            </w:tcBorders>
            <w:noWrap w:val="0"/>
            <w:vAlign w:val="center"/>
          </w:tcPr>
          <w:p w14:paraId="3F3E4FE0">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餐饮业</w:t>
            </w:r>
          </w:p>
        </w:tc>
        <w:tc>
          <w:tcPr>
            <w:tcW w:w="923" w:type="pct"/>
            <w:tcBorders>
              <w:top w:val="nil"/>
              <w:left w:val="nil"/>
              <w:bottom w:val="single" w:color="auto" w:sz="4" w:space="0"/>
              <w:right w:val="single" w:color="auto" w:sz="4" w:space="0"/>
            </w:tcBorders>
            <w:noWrap w:val="0"/>
            <w:vAlign w:val="center"/>
          </w:tcPr>
          <w:p w14:paraId="37A1B31D">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从业人员（X）</w:t>
            </w:r>
          </w:p>
        </w:tc>
        <w:tc>
          <w:tcPr>
            <w:tcW w:w="691" w:type="pct"/>
            <w:tcBorders>
              <w:top w:val="nil"/>
              <w:left w:val="nil"/>
              <w:bottom w:val="single" w:color="auto" w:sz="4" w:space="0"/>
              <w:right w:val="single" w:color="auto" w:sz="4" w:space="0"/>
            </w:tcBorders>
            <w:noWrap w:val="0"/>
            <w:vAlign w:val="center"/>
          </w:tcPr>
          <w:p w14:paraId="3072546F">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人</w:t>
            </w:r>
          </w:p>
        </w:tc>
        <w:tc>
          <w:tcPr>
            <w:tcW w:w="1078" w:type="pct"/>
            <w:tcBorders>
              <w:top w:val="nil"/>
              <w:left w:val="nil"/>
              <w:bottom w:val="single" w:color="auto" w:sz="4" w:space="0"/>
              <w:right w:val="single" w:color="auto" w:sz="4" w:space="0"/>
            </w:tcBorders>
            <w:noWrap w:val="0"/>
            <w:vAlign w:val="center"/>
          </w:tcPr>
          <w:p w14:paraId="19038936">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100≤X＜300</w:t>
            </w:r>
          </w:p>
        </w:tc>
        <w:tc>
          <w:tcPr>
            <w:tcW w:w="930" w:type="pct"/>
            <w:tcBorders>
              <w:top w:val="nil"/>
              <w:left w:val="nil"/>
              <w:bottom w:val="single" w:color="auto" w:sz="4" w:space="0"/>
              <w:right w:val="single" w:color="auto" w:sz="4" w:space="0"/>
            </w:tcBorders>
            <w:noWrap w:val="0"/>
            <w:vAlign w:val="center"/>
          </w:tcPr>
          <w:p w14:paraId="205E66AE">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10≤X＜100</w:t>
            </w:r>
          </w:p>
        </w:tc>
        <w:tc>
          <w:tcPr>
            <w:tcW w:w="586" w:type="pct"/>
            <w:tcBorders>
              <w:top w:val="nil"/>
              <w:left w:val="nil"/>
              <w:bottom w:val="single" w:color="auto" w:sz="4" w:space="0"/>
              <w:right w:val="single" w:color="auto" w:sz="4" w:space="0"/>
            </w:tcBorders>
            <w:noWrap w:val="0"/>
            <w:vAlign w:val="center"/>
          </w:tcPr>
          <w:p w14:paraId="436C1F60">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X＜10</w:t>
            </w:r>
          </w:p>
        </w:tc>
      </w:tr>
      <w:tr w14:paraId="5DCDE12D">
        <w:tblPrEx>
          <w:tblCellMar>
            <w:top w:w="0" w:type="dxa"/>
            <w:left w:w="108" w:type="dxa"/>
            <w:bottom w:w="0" w:type="dxa"/>
            <w:right w:w="108" w:type="dxa"/>
          </w:tblCellMar>
        </w:tblPrEx>
        <w:trPr>
          <w:trHeight w:val="225" w:hRule="atLeast"/>
        </w:trPr>
        <w:tc>
          <w:tcPr>
            <w:tcW w:w="788" w:type="pct"/>
            <w:vMerge w:val="continue"/>
            <w:tcBorders>
              <w:top w:val="nil"/>
              <w:left w:val="single" w:color="auto" w:sz="4" w:space="0"/>
              <w:bottom w:val="single" w:color="auto" w:sz="4" w:space="0"/>
              <w:right w:val="single" w:color="auto" w:sz="4" w:space="0"/>
            </w:tcBorders>
            <w:noWrap w:val="0"/>
            <w:vAlign w:val="center"/>
          </w:tcPr>
          <w:p w14:paraId="0850516C">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p>
        </w:tc>
        <w:tc>
          <w:tcPr>
            <w:tcW w:w="923" w:type="pct"/>
            <w:tcBorders>
              <w:top w:val="nil"/>
              <w:left w:val="nil"/>
              <w:bottom w:val="single" w:color="auto" w:sz="4" w:space="0"/>
              <w:right w:val="single" w:color="auto" w:sz="4" w:space="0"/>
            </w:tcBorders>
            <w:noWrap w:val="0"/>
            <w:vAlign w:val="center"/>
          </w:tcPr>
          <w:p w14:paraId="51BB8EA8">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营业收入（Y）</w:t>
            </w:r>
          </w:p>
        </w:tc>
        <w:tc>
          <w:tcPr>
            <w:tcW w:w="691" w:type="pct"/>
            <w:tcBorders>
              <w:top w:val="nil"/>
              <w:left w:val="nil"/>
              <w:bottom w:val="single" w:color="auto" w:sz="4" w:space="0"/>
              <w:right w:val="single" w:color="auto" w:sz="4" w:space="0"/>
            </w:tcBorders>
            <w:noWrap w:val="0"/>
            <w:vAlign w:val="center"/>
          </w:tcPr>
          <w:p w14:paraId="47187B79">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万元</w:t>
            </w:r>
          </w:p>
        </w:tc>
        <w:tc>
          <w:tcPr>
            <w:tcW w:w="1078" w:type="pct"/>
            <w:tcBorders>
              <w:top w:val="nil"/>
              <w:left w:val="nil"/>
              <w:bottom w:val="single" w:color="auto" w:sz="4" w:space="0"/>
              <w:right w:val="single" w:color="auto" w:sz="4" w:space="0"/>
            </w:tcBorders>
            <w:noWrap w:val="0"/>
            <w:vAlign w:val="center"/>
          </w:tcPr>
          <w:p w14:paraId="1A0E665F">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2000≤Y＜10000</w:t>
            </w:r>
          </w:p>
        </w:tc>
        <w:tc>
          <w:tcPr>
            <w:tcW w:w="930" w:type="pct"/>
            <w:tcBorders>
              <w:top w:val="nil"/>
              <w:left w:val="nil"/>
              <w:bottom w:val="single" w:color="auto" w:sz="4" w:space="0"/>
              <w:right w:val="single" w:color="auto" w:sz="4" w:space="0"/>
            </w:tcBorders>
            <w:noWrap w:val="0"/>
            <w:vAlign w:val="center"/>
          </w:tcPr>
          <w:p w14:paraId="3245C7FA">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100≤Y＜2000</w:t>
            </w:r>
          </w:p>
        </w:tc>
        <w:tc>
          <w:tcPr>
            <w:tcW w:w="586" w:type="pct"/>
            <w:tcBorders>
              <w:top w:val="nil"/>
              <w:left w:val="nil"/>
              <w:bottom w:val="single" w:color="auto" w:sz="4" w:space="0"/>
              <w:right w:val="single" w:color="auto" w:sz="4" w:space="0"/>
            </w:tcBorders>
            <w:noWrap w:val="0"/>
            <w:vAlign w:val="center"/>
          </w:tcPr>
          <w:p w14:paraId="50192DD0">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Y＜100</w:t>
            </w:r>
          </w:p>
        </w:tc>
      </w:tr>
      <w:tr w14:paraId="0CBE7488">
        <w:tblPrEx>
          <w:tblCellMar>
            <w:top w:w="0" w:type="dxa"/>
            <w:left w:w="108" w:type="dxa"/>
            <w:bottom w:w="0" w:type="dxa"/>
            <w:right w:w="108" w:type="dxa"/>
          </w:tblCellMar>
        </w:tblPrEx>
        <w:trPr>
          <w:trHeight w:val="225" w:hRule="atLeast"/>
        </w:trPr>
        <w:tc>
          <w:tcPr>
            <w:tcW w:w="788" w:type="pct"/>
            <w:vMerge w:val="restart"/>
            <w:tcBorders>
              <w:top w:val="nil"/>
              <w:left w:val="single" w:color="auto" w:sz="4" w:space="0"/>
              <w:bottom w:val="single" w:color="auto" w:sz="4" w:space="0"/>
              <w:right w:val="single" w:color="auto" w:sz="4" w:space="0"/>
            </w:tcBorders>
            <w:noWrap w:val="0"/>
            <w:vAlign w:val="center"/>
          </w:tcPr>
          <w:p w14:paraId="1FE73E88">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信息传输业</w:t>
            </w:r>
          </w:p>
        </w:tc>
        <w:tc>
          <w:tcPr>
            <w:tcW w:w="923" w:type="pct"/>
            <w:tcBorders>
              <w:top w:val="nil"/>
              <w:left w:val="nil"/>
              <w:bottom w:val="single" w:color="auto" w:sz="4" w:space="0"/>
              <w:right w:val="single" w:color="auto" w:sz="4" w:space="0"/>
            </w:tcBorders>
            <w:noWrap w:val="0"/>
            <w:vAlign w:val="center"/>
          </w:tcPr>
          <w:p w14:paraId="383F9196">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从业人员（X）</w:t>
            </w:r>
          </w:p>
        </w:tc>
        <w:tc>
          <w:tcPr>
            <w:tcW w:w="691" w:type="pct"/>
            <w:tcBorders>
              <w:top w:val="nil"/>
              <w:left w:val="nil"/>
              <w:bottom w:val="single" w:color="auto" w:sz="4" w:space="0"/>
              <w:right w:val="single" w:color="auto" w:sz="4" w:space="0"/>
            </w:tcBorders>
            <w:noWrap w:val="0"/>
            <w:vAlign w:val="center"/>
          </w:tcPr>
          <w:p w14:paraId="58B870F1">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人</w:t>
            </w:r>
          </w:p>
        </w:tc>
        <w:tc>
          <w:tcPr>
            <w:tcW w:w="1078" w:type="pct"/>
            <w:tcBorders>
              <w:top w:val="nil"/>
              <w:left w:val="nil"/>
              <w:bottom w:val="single" w:color="auto" w:sz="4" w:space="0"/>
              <w:right w:val="single" w:color="auto" w:sz="4" w:space="0"/>
            </w:tcBorders>
            <w:noWrap w:val="0"/>
            <w:vAlign w:val="center"/>
          </w:tcPr>
          <w:p w14:paraId="7DC7093E">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100≤X＜2000</w:t>
            </w:r>
          </w:p>
        </w:tc>
        <w:tc>
          <w:tcPr>
            <w:tcW w:w="930" w:type="pct"/>
            <w:tcBorders>
              <w:top w:val="nil"/>
              <w:left w:val="nil"/>
              <w:bottom w:val="single" w:color="auto" w:sz="4" w:space="0"/>
              <w:right w:val="single" w:color="auto" w:sz="4" w:space="0"/>
            </w:tcBorders>
            <w:noWrap w:val="0"/>
            <w:vAlign w:val="center"/>
          </w:tcPr>
          <w:p w14:paraId="6CD0AD1A">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10≤X＜100</w:t>
            </w:r>
          </w:p>
        </w:tc>
        <w:tc>
          <w:tcPr>
            <w:tcW w:w="586" w:type="pct"/>
            <w:tcBorders>
              <w:top w:val="nil"/>
              <w:left w:val="nil"/>
              <w:bottom w:val="single" w:color="auto" w:sz="4" w:space="0"/>
              <w:right w:val="single" w:color="auto" w:sz="4" w:space="0"/>
            </w:tcBorders>
            <w:noWrap w:val="0"/>
            <w:vAlign w:val="center"/>
          </w:tcPr>
          <w:p w14:paraId="4055D036">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X＜10</w:t>
            </w:r>
          </w:p>
        </w:tc>
      </w:tr>
      <w:tr w14:paraId="57447A46">
        <w:tblPrEx>
          <w:tblCellMar>
            <w:top w:w="0" w:type="dxa"/>
            <w:left w:w="108" w:type="dxa"/>
            <w:bottom w:w="0" w:type="dxa"/>
            <w:right w:w="108" w:type="dxa"/>
          </w:tblCellMar>
        </w:tblPrEx>
        <w:trPr>
          <w:trHeight w:val="225" w:hRule="atLeast"/>
        </w:trPr>
        <w:tc>
          <w:tcPr>
            <w:tcW w:w="788" w:type="pct"/>
            <w:vMerge w:val="continue"/>
            <w:tcBorders>
              <w:top w:val="nil"/>
              <w:left w:val="single" w:color="auto" w:sz="4" w:space="0"/>
              <w:bottom w:val="single" w:color="auto" w:sz="4" w:space="0"/>
              <w:right w:val="single" w:color="auto" w:sz="4" w:space="0"/>
            </w:tcBorders>
            <w:noWrap w:val="0"/>
            <w:vAlign w:val="center"/>
          </w:tcPr>
          <w:p w14:paraId="79E30A9D">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p>
        </w:tc>
        <w:tc>
          <w:tcPr>
            <w:tcW w:w="923" w:type="pct"/>
            <w:tcBorders>
              <w:top w:val="nil"/>
              <w:left w:val="nil"/>
              <w:bottom w:val="single" w:color="auto" w:sz="4" w:space="0"/>
              <w:right w:val="single" w:color="auto" w:sz="4" w:space="0"/>
            </w:tcBorders>
            <w:noWrap w:val="0"/>
            <w:vAlign w:val="center"/>
          </w:tcPr>
          <w:p w14:paraId="78B8FAE6">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营业收入（Y）</w:t>
            </w:r>
          </w:p>
        </w:tc>
        <w:tc>
          <w:tcPr>
            <w:tcW w:w="691" w:type="pct"/>
            <w:tcBorders>
              <w:top w:val="nil"/>
              <w:left w:val="nil"/>
              <w:bottom w:val="single" w:color="auto" w:sz="4" w:space="0"/>
              <w:right w:val="single" w:color="auto" w:sz="4" w:space="0"/>
            </w:tcBorders>
            <w:noWrap w:val="0"/>
            <w:vAlign w:val="center"/>
          </w:tcPr>
          <w:p w14:paraId="7E5534EC">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万元</w:t>
            </w:r>
          </w:p>
        </w:tc>
        <w:tc>
          <w:tcPr>
            <w:tcW w:w="1078" w:type="pct"/>
            <w:tcBorders>
              <w:top w:val="nil"/>
              <w:left w:val="nil"/>
              <w:bottom w:val="single" w:color="auto" w:sz="4" w:space="0"/>
              <w:right w:val="single" w:color="auto" w:sz="4" w:space="0"/>
            </w:tcBorders>
            <w:noWrap w:val="0"/>
            <w:vAlign w:val="center"/>
          </w:tcPr>
          <w:p w14:paraId="0D3ACA0C">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1000≤Y＜100000</w:t>
            </w:r>
          </w:p>
        </w:tc>
        <w:tc>
          <w:tcPr>
            <w:tcW w:w="930" w:type="pct"/>
            <w:tcBorders>
              <w:top w:val="nil"/>
              <w:left w:val="nil"/>
              <w:bottom w:val="single" w:color="auto" w:sz="4" w:space="0"/>
              <w:right w:val="single" w:color="auto" w:sz="4" w:space="0"/>
            </w:tcBorders>
            <w:noWrap w:val="0"/>
            <w:vAlign w:val="center"/>
          </w:tcPr>
          <w:p w14:paraId="282EC321">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100≤Y＜1000</w:t>
            </w:r>
          </w:p>
        </w:tc>
        <w:tc>
          <w:tcPr>
            <w:tcW w:w="586" w:type="pct"/>
            <w:tcBorders>
              <w:top w:val="nil"/>
              <w:left w:val="nil"/>
              <w:bottom w:val="single" w:color="auto" w:sz="4" w:space="0"/>
              <w:right w:val="single" w:color="auto" w:sz="4" w:space="0"/>
            </w:tcBorders>
            <w:noWrap w:val="0"/>
            <w:vAlign w:val="center"/>
          </w:tcPr>
          <w:p w14:paraId="433FFE31">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Y＜100</w:t>
            </w:r>
          </w:p>
        </w:tc>
      </w:tr>
      <w:tr w14:paraId="30962151">
        <w:tblPrEx>
          <w:tblCellMar>
            <w:top w:w="0" w:type="dxa"/>
            <w:left w:w="108" w:type="dxa"/>
            <w:bottom w:w="0" w:type="dxa"/>
            <w:right w:w="108" w:type="dxa"/>
          </w:tblCellMar>
        </w:tblPrEx>
        <w:trPr>
          <w:trHeight w:val="225" w:hRule="atLeast"/>
        </w:trPr>
        <w:tc>
          <w:tcPr>
            <w:tcW w:w="788" w:type="pct"/>
            <w:vMerge w:val="restart"/>
            <w:tcBorders>
              <w:top w:val="nil"/>
              <w:left w:val="single" w:color="auto" w:sz="4" w:space="0"/>
              <w:bottom w:val="single" w:color="auto" w:sz="4" w:space="0"/>
              <w:right w:val="single" w:color="auto" w:sz="4" w:space="0"/>
            </w:tcBorders>
            <w:noWrap w:val="0"/>
            <w:vAlign w:val="center"/>
          </w:tcPr>
          <w:p w14:paraId="1B7CF158">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软件和信息技术服务业</w:t>
            </w:r>
          </w:p>
        </w:tc>
        <w:tc>
          <w:tcPr>
            <w:tcW w:w="923" w:type="pct"/>
            <w:tcBorders>
              <w:top w:val="nil"/>
              <w:left w:val="nil"/>
              <w:bottom w:val="single" w:color="auto" w:sz="4" w:space="0"/>
              <w:right w:val="single" w:color="auto" w:sz="4" w:space="0"/>
            </w:tcBorders>
            <w:noWrap w:val="0"/>
            <w:vAlign w:val="center"/>
          </w:tcPr>
          <w:p w14:paraId="505F6BED">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从业人员（X）</w:t>
            </w:r>
          </w:p>
        </w:tc>
        <w:tc>
          <w:tcPr>
            <w:tcW w:w="691" w:type="pct"/>
            <w:tcBorders>
              <w:top w:val="nil"/>
              <w:left w:val="nil"/>
              <w:bottom w:val="single" w:color="auto" w:sz="4" w:space="0"/>
              <w:right w:val="single" w:color="auto" w:sz="4" w:space="0"/>
            </w:tcBorders>
            <w:noWrap w:val="0"/>
            <w:vAlign w:val="center"/>
          </w:tcPr>
          <w:p w14:paraId="7B02FF7B">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人</w:t>
            </w:r>
          </w:p>
        </w:tc>
        <w:tc>
          <w:tcPr>
            <w:tcW w:w="1078" w:type="pct"/>
            <w:tcBorders>
              <w:top w:val="nil"/>
              <w:left w:val="nil"/>
              <w:bottom w:val="single" w:color="auto" w:sz="4" w:space="0"/>
              <w:right w:val="single" w:color="auto" w:sz="4" w:space="0"/>
            </w:tcBorders>
            <w:noWrap w:val="0"/>
            <w:vAlign w:val="center"/>
          </w:tcPr>
          <w:p w14:paraId="7963F108">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100≤X＜300</w:t>
            </w:r>
          </w:p>
        </w:tc>
        <w:tc>
          <w:tcPr>
            <w:tcW w:w="930" w:type="pct"/>
            <w:tcBorders>
              <w:top w:val="nil"/>
              <w:left w:val="nil"/>
              <w:bottom w:val="single" w:color="auto" w:sz="4" w:space="0"/>
              <w:right w:val="single" w:color="auto" w:sz="4" w:space="0"/>
            </w:tcBorders>
            <w:noWrap w:val="0"/>
            <w:vAlign w:val="center"/>
          </w:tcPr>
          <w:p w14:paraId="044ACE91">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10≤X＜100</w:t>
            </w:r>
          </w:p>
        </w:tc>
        <w:tc>
          <w:tcPr>
            <w:tcW w:w="586" w:type="pct"/>
            <w:tcBorders>
              <w:top w:val="nil"/>
              <w:left w:val="nil"/>
              <w:bottom w:val="single" w:color="auto" w:sz="4" w:space="0"/>
              <w:right w:val="single" w:color="auto" w:sz="4" w:space="0"/>
            </w:tcBorders>
            <w:noWrap w:val="0"/>
            <w:vAlign w:val="center"/>
          </w:tcPr>
          <w:p w14:paraId="3455A286">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X＜10</w:t>
            </w:r>
          </w:p>
        </w:tc>
      </w:tr>
      <w:tr w14:paraId="1BDD5DE1">
        <w:tblPrEx>
          <w:tblCellMar>
            <w:top w:w="0" w:type="dxa"/>
            <w:left w:w="108" w:type="dxa"/>
            <w:bottom w:w="0" w:type="dxa"/>
            <w:right w:w="108" w:type="dxa"/>
          </w:tblCellMar>
        </w:tblPrEx>
        <w:trPr>
          <w:trHeight w:val="225" w:hRule="atLeast"/>
        </w:trPr>
        <w:tc>
          <w:tcPr>
            <w:tcW w:w="788" w:type="pct"/>
            <w:vMerge w:val="continue"/>
            <w:tcBorders>
              <w:top w:val="nil"/>
              <w:left w:val="single" w:color="auto" w:sz="4" w:space="0"/>
              <w:bottom w:val="single" w:color="auto" w:sz="4" w:space="0"/>
              <w:right w:val="single" w:color="auto" w:sz="4" w:space="0"/>
            </w:tcBorders>
            <w:noWrap w:val="0"/>
            <w:vAlign w:val="center"/>
          </w:tcPr>
          <w:p w14:paraId="1A0B40C5">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p>
        </w:tc>
        <w:tc>
          <w:tcPr>
            <w:tcW w:w="923" w:type="pct"/>
            <w:tcBorders>
              <w:top w:val="nil"/>
              <w:left w:val="nil"/>
              <w:bottom w:val="single" w:color="auto" w:sz="4" w:space="0"/>
              <w:right w:val="single" w:color="auto" w:sz="4" w:space="0"/>
            </w:tcBorders>
            <w:noWrap w:val="0"/>
            <w:vAlign w:val="center"/>
          </w:tcPr>
          <w:p w14:paraId="1BC56C7B">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营业收入（Y）</w:t>
            </w:r>
          </w:p>
        </w:tc>
        <w:tc>
          <w:tcPr>
            <w:tcW w:w="691" w:type="pct"/>
            <w:tcBorders>
              <w:top w:val="nil"/>
              <w:left w:val="nil"/>
              <w:bottom w:val="single" w:color="auto" w:sz="4" w:space="0"/>
              <w:right w:val="single" w:color="auto" w:sz="4" w:space="0"/>
            </w:tcBorders>
            <w:noWrap w:val="0"/>
            <w:vAlign w:val="center"/>
          </w:tcPr>
          <w:p w14:paraId="6C03DF59">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万元</w:t>
            </w:r>
          </w:p>
        </w:tc>
        <w:tc>
          <w:tcPr>
            <w:tcW w:w="1078" w:type="pct"/>
            <w:tcBorders>
              <w:top w:val="nil"/>
              <w:left w:val="nil"/>
              <w:bottom w:val="single" w:color="auto" w:sz="4" w:space="0"/>
              <w:right w:val="single" w:color="auto" w:sz="4" w:space="0"/>
            </w:tcBorders>
            <w:noWrap w:val="0"/>
            <w:vAlign w:val="center"/>
          </w:tcPr>
          <w:p w14:paraId="2C588621">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1000≤Y＜10000</w:t>
            </w:r>
          </w:p>
        </w:tc>
        <w:tc>
          <w:tcPr>
            <w:tcW w:w="930" w:type="pct"/>
            <w:tcBorders>
              <w:top w:val="nil"/>
              <w:left w:val="nil"/>
              <w:bottom w:val="single" w:color="auto" w:sz="4" w:space="0"/>
              <w:right w:val="single" w:color="auto" w:sz="4" w:space="0"/>
            </w:tcBorders>
            <w:noWrap w:val="0"/>
            <w:vAlign w:val="center"/>
          </w:tcPr>
          <w:p w14:paraId="6563D066">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50≤Y＜1000</w:t>
            </w:r>
          </w:p>
        </w:tc>
        <w:tc>
          <w:tcPr>
            <w:tcW w:w="586" w:type="pct"/>
            <w:tcBorders>
              <w:top w:val="nil"/>
              <w:left w:val="nil"/>
              <w:bottom w:val="single" w:color="auto" w:sz="4" w:space="0"/>
              <w:right w:val="single" w:color="auto" w:sz="4" w:space="0"/>
            </w:tcBorders>
            <w:noWrap w:val="0"/>
            <w:vAlign w:val="center"/>
          </w:tcPr>
          <w:p w14:paraId="090832B2">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Y＜50</w:t>
            </w:r>
          </w:p>
        </w:tc>
      </w:tr>
      <w:tr w14:paraId="138BF789">
        <w:tblPrEx>
          <w:tblCellMar>
            <w:top w:w="0" w:type="dxa"/>
            <w:left w:w="108" w:type="dxa"/>
            <w:bottom w:w="0" w:type="dxa"/>
            <w:right w:w="108" w:type="dxa"/>
          </w:tblCellMar>
        </w:tblPrEx>
        <w:trPr>
          <w:trHeight w:val="225" w:hRule="atLeast"/>
        </w:trPr>
        <w:tc>
          <w:tcPr>
            <w:tcW w:w="788" w:type="pct"/>
            <w:vMerge w:val="restart"/>
            <w:tcBorders>
              <w:top w:val="nil"/>
              <w:left w:val="single" w:color="auto" w:sz="4" w:space="0"/>
              <w:bottom w:val="single" w:color="auto" w:sz="4" w:space="0"/>
              <w:right w:val="single" w:color="auto" w:sz="4" w:space="0"/>
            </w:tcBorders>
            <w:noWrap w:val="0"/>
            <w:vAlign w:val="center"/>
          </w:tcPr>
          <w:p w14:paraId="2CC3388F">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房地产开发经营</w:t>
            </w:r>
          </w:p>
        </w:tc>
        <w:tc>
          <w:tcPr>
            <w:tcW w:w="923" w:type="pct"/>
            <w:tcBorders>
              <w:top w:val="nil"/>
              <w:left w:val="nil"/>
              <w:bottom w:val="single" w:color="auto" w:sz="4" w:space="0"/>
              <w:right w:val="single" w:color="auto" w:sz="4" w:space="0"/>
            </w:tcBorders>
            <w:noWrap w:val="0"/>
            <w:vAlign w:val="center"/>
          </w:tcPr>
          <w:p w14:paraId="6062A714">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营业收入（Y）</w:t>
            </w:r>
          </w:p>
        </w:tc>
        <w:tc>
          <w:tcPr>
            <w:tcW w:w="691" w:type="pct"/>
            <w:tcBorders>
              <w:top w:val="nil"/>
              <w:left w:val="nil"/>
              <w:bottom w:val="single" w:color="auto" w:sz="4" w:space="0"/>
              <w:right w:val="single" w:color="auto" w:sz="4" w:space="0"/>
            </w:tcBorders>
            <w:noWrap w:val="0"/>
            <w:vAlign w:val="center"/>
          </w:tcPr>
          <w:p w14:paraId="5F63F484">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万元</w:t>
            </w:r>
          </w:p>
        </w:tc>
        <w:tc>
          <w:tcPr>
            <w:tcW w:w="1078" w:type="pct"/>
            <w:tcBorders>
              <w:top w:val="nil"/>
              <w:left w:val="nil"/>
              <w:bottom w:val="single" w:color="auto" w:sz="4" w:space="0"/>
              <w:right w:val="single" w:color="auto" w:sz="4" w:space="0"/>
            </w:tcBorders>
            <w:noWrap w:val="0"/>
            <w:vAlign w:val="center"/>
          </w:tcPr>
          <w:p w14:paraId="73676EFD">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1000≤Y＜200000</w:t>
            </w:r>
          </w:p>
        </w:tc>
        <w:tc>
          <w:tcPr>
            <w:tcW w:w="930" w:type="pct"/>
            <w:tcBorders>
              <w:top w:val="nil"/>
              <w:left w:val="nil"/>
              <w:bottom w:val="single" w:color="auto" w:sz="4" w:space="0"/>
              <w:right w:val="single" w:color="auto" w:sz="4" w:space="0"/>
            </w:tcBorders>
            <w:noWrap w:val="0"/>
            <w:vAlign w:val="center"/>
          </w:tcPr>
          <w:p w14:paraId="5EB3663C">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100≤X＜1000</w:t>
            </w:r>
          </w:p>
        </w:tc>
        <w:tc>
          <w:tcPr>
            <w:tcW w:w="586" w:type="pct"/>
            <w:tcBorders>
              <w:top w:val="nil"/>
              <w:left w:val="nil"/>
              <w:bottom w:val="single" w:color="auto" w:sz="4" w:space="0"/>
              <w:right w:val="single" w:color="auto" w:sz="4" w:space="0"/>
            </w:tcBorders>
            <w:noWrap w:val="0"/>
            <w:vAlign w:val="center"/>
          </w:tcPr>
          <w:p w14:paraId="4BC79D3C">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X＜100</w:t>
            </w:r>
          </w:p>
        </w:tc>
      </w:tr>
      <w:tr w14:paraId="60A984FF">
        <w:tblPrEx>
          <w:tblCellMar>
            <w:top w:w="0" w:type="dxa"/>
            <w:left w:w="108" w:type="dxa"/>
            <w:bottom w:w="0" w:type="dxa"/>
            <w:right w:w="108" w:type="dxa"/>
          </w:tblCellMar>
        </w:tblPrEx>
        <w:trPr>
          <w:trHeight w:val="225" w:hRule="atLeast"/>
        </w:trPr>
        <w:tc>
          <w:tcPr>
            <w:tcW w:w="788" w:type="pct"/>
            <w:vMerge w:val="continue"/>
            <w:tcBorders>
              <w:top w:val="nil"/>
              <w:left w:val="single" w:color="auto" w:sz="4" w:space="0"/>
              <w:bottom w:val="single" w:color="auto" w:sz="4" w:space="0"/>
              <w:right w:val="single" w:color="auto" w:sz="4" w:space="0"/>
            </w:tcBorders>
            <w:noWrap w:val="0"/>
            <w:vAlign w:val="center"/>
          </w:tcPr>
          <w:p w14:paraId="607A09F7">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p>
        </w:tc>
        <w:tc>
          <w:tcPr>
            <w:tcW w:w="923" w:type="pct"/>
            <w:tcBorders>
              <w:top w:val="nil"/>
              <w:left w:val="nil"/>
              <w:bottom w:val="single" w:color="auto" w:sz="4" w:space="0"/>
              <w:right w:val="single" w:color="auto" w:sz="4" w:space="0"/>
            </w:tcBorders>
            <w:noWrap w:val="0"/>
            <w:vAlign w:val="center"/>
          </w:tcPr>
          <w:p w14:paraId="524DCEF3">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资产总额（Z）</w:t>
            </w:r>
          </w:p>
        </w:tc>
        <w:tc>
          <w:tcPr>
            <w:tcW w:w="691" w:type="pct"/>
            <w:tcBorders>
              <w:top w:val="nil"/>
              <w:left w:val="nil"/>
              <w:bottom w:val="single" w:color="auto" w:sz="4" w:space="0"/>
              <w:right w:val="single" w:color="auto" w:sz="4" w:space="0"/>
            </w:tcBorders>
            <w:noWrap w:val="0"/>
            <w:vAlign w:val="center"/>
          </w:tcPr>
          <w:p w14:paraId="1F1CC030">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万元</w:t>
            </w:r>
          </w:p>
        </w:tc>
        <w:tc>
          <w:tcPr>
            <w:tcW w:w="1078" w:type="pct"/>
            <w:tcBorders>
              <w:top w:val="nil"/>
              <w:left w:val="nil"/>
              <w:bottom w:val="single" w:color="auto" w:sz="4" w:space="0"/>
              <w:right w:val="single" w:color="auto" w:sz="4" w:space="0"/>
            </w:tcBorders>
            <w:noWrap w:val="0"/>
            <w:vAlign w:val="center"/>
          </w:tcPr>
          <w:p w14:paraId="1EBDDA50">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5000≤Z＜10000</w:t>
            </w:r>
          </w:p>
        </w:tc>
        <w:tc>
          <w:tcPr>
            <w:tcW w:w="930" w:type="pct"/>
            <w:tcBorders>
              <w:top w:val="nil"/>
              <w:left w:val="nil"/>
              <w:bottom w:val="single" w:color="auto" w:sz="4" w:space="0"/>
              <w:right w:val="single" w:color="auto" w:sz="4" w:space="0"/>
            </w:tcBorders>
            <w:noWrap w:val="0"/>
            <w:vAlign w:val="center"/>
          </w:tcPr>
          <w:p w14:paraId="1A2FC288">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2000≤Y＜5000</w:t>
            </w:r>
          </w:p>
        </w:tc>
        <w:tc>
          <w:tcPr>
            <w:tcW w:w="586" w:type="pct"/>
            <w:tcBorders>
              <w:top w:val="nil"/>
              <w:left w:val="nil"/>
              <w:bottom w:val="single" w:color="auto" w:sz="4" w:space="0"/>
              <w:right w:val="single" w:color="auto" w:sz="4" w:space="0"/>
            </w:tcBorders>
            <w:noWrap w:val="0"/>
            <w:vAlign w:val="center"/>
          </w:tcPr>
          <w:p w14:paraId="119A11A1">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Y＜2000</w:t>
            </w:r>
          </w:p>
        </w:tc>
      </w:tr>
      <w:tr w14:paraId="17AB3B92">
        <w:tblPrEx>
          <w:tblCellMar>
            <w:top w:w="0" w:type="dxa"/>
            <w:left w:w="108" w:type="dxa"/>
            <w:bottom w:w="0" w:type="dxa"/>
            <w:right w:w="108" w:type="dxa"/>
          </w:tblCellMar>
        </w:tblPrEx>
        <w:trPr>
          <w:trHeight w:val="225" w:hRule="atLeast"/>
        </w:trPr>
        <w:tc>
          <w:tcPr>
            <w:tcW w:w="788" w:type="pct"/>
            <w:vMerge w:val="restart"/>
            <w:tcBorders>
              <w:top w:val="nil"/>
              <w:left w:val="single" w:color="auto" w:sz="4" w:space="0"/>
              <w:bottom w:val="single" w:color="auto" w:sz="4" w:space="0"/>
              <w:right w:val="single" w:color="auto" w:sz="4" w:space="0"/>
            </w:tcBorders>
            <w:noWrap w:val="0"/>
            <w:vAlign w:val="center"/>
          </w:tcPr>
          <w:p w14:paraId="23BB50C2">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物业管理</w:t>
            </w:r>
          </w:p>
        </w:tc>
        <w:tc>
          <w:tcPr>
            <w:tcW w:w="923" w:type="pct"/>
            <w:tcBorders>
              <w:top w:val="nil"/>
              <w:left w:val="nil"/>
              <w:bottom w:val="single" w:color="auto" w:sz="4" w:space="0"/>
              <w:right w:val="single" w:color="auto" w:sz="4" w:space="0"/>
            </w:tcBorders>
            <w:noWrap w:val="0"/>
            <w:vAlign w:val="center"/>
          </w:tcPr>
          <w:p w14:paraId="2FB328D9">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从业人员（X）</w:t>
            </w:r>
          </w:p>
        </w:tc>
        <w:tc>
          <w:tcPr>
            <w:tcW w:w="691" w:type="pct"/>
            <w:tcBorders>
              <w:top w:val="nil"/>
              <w:left w:val="nil"/>
              <w:bottom w:val="single" w:color="auto" w:sz="4" w:space="0"/>
              <w:right w:val="single" w:color="auto" w:sz="4" w:space="0"/>
            </w:tcBorders>
            <w:noWrap w:val="0"/>
            <w:vAlign w:val="center"/>
          </w:tcPr>
          <w:p w14:paraId="74BD28EA">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人</w:t>
            </w:r>
          </w:p>
        </w:tc>
        <w:tc>
          <w:tcPr>
            <w:tcW w:w="1078" w:type="pct"/>
            <w:tcBorders>
              <w:top w:val="nil"/>
              <w:left w:val="nil"/>
              <w:bottom w:val="single" w:color="auto" w:sz="4" w:space="0"/>
              <w:right w:val="single" w:color="auto" w:sz="4" w:space="0"/>
            </w:tcBorders>
            <w:noWrap w:val="0"/>
            <w:vAlign w:val="center"/>
          </w:tcPr>
          <w:p w14:paraId="4C544907">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300≤X＜1000</w:t>
            </w:r>
          </w:p>
        </w:tc>
        <w:tc>
          <w:tcPr>
            <w:tcW w:w="930" w:type="pct"/>
            <w:tcBorders>
              <w:top w:val="nil"/>
              <w:left w:val="nil"/>
              <w:bottom w:val="single" w:color="auto" w:sz="4" w:space="0"/>
              <w:right w:val="single" w:color="auto" w:sz="4" w:space="0"/>
            </w:tcBorders>
            <w:noWrap w:val="0"/>
            <w:vAlign w:val="center"/>
          </w:tcPr>
          <w:p w14:paraId="4B29C6E4">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100≤X＜300</w:t>
            </w:r>
          </w:p>
        </w:tc>
        <w:tc>
          <w:tcPr>
            <w:tcW w:w="586" w:type="pct"/>
            <w:tcBorders>
              <w:top w:val="nil"/>
              <w:left w:val="nil"/>
              <w:bottom w:val="single" w:color="auto" w:sz="4" w:space="0"/>
              <w:right w:val="single" w:color="auto" w:sz="4" w:space="0"/>
            </w:tcBorders>
            <w:noWrap w:val="0"/>
            <w:vAlign w:val="center"/>
          </w:tcPr>
          <w:p w14:paraId="5A318AAA">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X＜100</w:t>
            </w:r>
          </w:p>
        </w:tc>
      </w:tr>
      <w:tr w14:paraId="012B0BDB">
        <w:tblPrEx>
          <w:tblCellMar>
            <w:top w:w="0" w:type="dxa"/>
            <w:left w:w="108" w:type="dxa"/>
            <w:bottom w:w="0" w:type="dxa"/>
            <w:right w:w="108" w:type="dxa"/>
          </w:tblCellMar>
        </w:tblPrEx>
        <w:trPr>
          <w:trHeight w:val="225" w:hRule="atLeast"/>
        </w:trPr>
        <w:tc>
          <w:tcPr>
            <w:tcW w:w="788" w:type="pct"/>
            <w:vMerge w:val="continue"/>
            <w:tcBorders>
              <w:top w:val="nil"/>
              <w:left w:val="single" w:color="auto" w:sz="4" w:space="0"/>
              <w:bottom w:val="single" w:color="auto" w:sz="4" w:space="0"/>
              <w:right w:val="single" w:color="auto" w:sz="4" w:space="0"/>
            </w:tcBorders>
            <w:noWrap w:val="0"/>
            <w:vAlign w:val="center"/>
          </w:tcPr>
          <w:p w14:paraId="314C4585">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p>
        </w:tc>
        <w:tc>
          <w:tcPr>
            <w:tcW w:w="923" w:type="pct"/>
            <w:tcBorders>
              <w:top w:val="nil"/>
              <w:left w:val="nil"/>
              <w:bottom w:val="single" w:color="auto" w:sz="4" w:space="0"/>
              <w:right w:val="single" w:color="auto" w:sz="4" w:space="0"/>
            </w:tcBorders>
            <w:noWrap w:val="0"/>
            <w:vAlign w:val="center"/>
          </w:tcPr>
          <w:p w14:paraId="4713B5EA">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营业收入（Y）</w:t>
            </w:r>
          </w:p>
        </w:tc>
        <w:tc>
          <w:tcPr>
            <w:tcW w:w="691" w:type="pct"/>
            <w:tcBorders>
              <w:top w:val="nil"/>
              <w:left w:val="nil"/>
              <w:bottom w:val="single" w:color="auto" w:sz="4" w:space="0"/>
              <w:right w:val="single" w:color="auto" w:sz="4" w:space="0"/>
            </w:tcBorders>
            <w:noWrap w:val="0"/>
            <w:vAlign w:val="center"/>
          </w:tcPr>
          <w:p w14:paraId="0306D570">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万元</w:t>
            </w:r>
          </w:p>
        </w:tc>
        <w:tc>
          <w:tcPr>
            <w:tcW w:w="1078" w:type="pct"/>
            <w:tcBorders>
              <w:top w:val="nil"/>
              <w:left w:val="nil"/>
              <w:bottom w:val="single" w:color="auto" w:sz="4" w:space="0"/>
              <w:right w:val="single" w:color="auto" w:sz="4" w:space="0"/>
            </w:tcBorders>
            <w:noWrap w:val="0"/>
            <w:vAlign w:val="center"/>
          </w:tcPr>
          <w:p w14:paraId="6B33D78E">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1000≤Y＜5000</w:t>
            </w:r>
          </w:p>
        </w:tc>
        <w:tc>
          <w:tcPr>
            <w:tcW w:w="930" w:type="pct"/>
            <w:tcBorders>
              <w:top w:val="nil"/>
              <w:left w:val="nil"/>
              <w:bottom w:val="single" w:color="auto" w:sz="4" w:space="0"/>
              <w:right w:val="single" w:color="auto" w:sz="4" w:space="0"/>
            </w:tcBorders>
            <w:noWrap w:val="0"/>
            <w:vAlign w:val="center"/>
          </w:tcPr>
          <w:p w14:paraId="1E90F3A4">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500≤Y＜1000</w:t>
            </w:r>
          </w:p>
        </w:tc>
        <w:tc>
          <w:tcPr>
            <w:tcW w:w="586" w:type="pct"/>
            <w:tcBorders>
              <w:top w:val="nil"/>
              <w:left w:val="nil"/>
              <w:bottom w:val="single" w:color="auto" w:sz="4" w:space="0"/>
              <w:right w:val="single" w:color="auto" w:sz="4" w:space="0"/>
            </w:tcBorders>
            <w:noWrap w:val="0"/>
            <w:vAlign w:val="center"/>
          </w:tcPr>
          <w:p w14:paraId="4E10B950">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Y＜500</w:t>
            </w:r>
          </w:p>
        </w:tc>
      </w:tr>
      <w:tr w14:paraId="3AAE0794">
        <w:tblPrEx>
          <w:tblCellMar>
            <w:top w:w="0" w:type="dxa"/>
            <w:left w:w="108" w:type="dxa"/>
            <w:bottom w:w="0" w:type="dxa"/>
            <w:right w:w="108" w:type="dxa"/>
          </w:tblCellMar>
        </w:tblPrEx>
        <w:trPr>
          <w:trHeight w:val="225" w:hRule="atLeast"/>
        </w:trPr>
        <w:tc>
          <w:tcPr>
            <w:tcW w:w="788" w:type="pct"/>
            <w:vMerge w:val="restart"/>
            <w:tcBorders>
              <w:top w:val="nil"/>
              <w:left w:val="single" w:color="auto" w:sz="4" w:space="0"/>
              <w:bottom w:val="single" w:color="auto" w:sz="4" w:space="0"/>
              <w:right w:val="single" w:color="auto" w:sz="4" w:space="0"/>
            </w:tcBorders>
            <w:noWrap w:val="0"/>
            <w:vAlign w:val="center"/>
          </w:tcPr>
          <w:p w14:paraId="220AC7D9">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租赁和商务服务业</w:t>
            </w:r>
          </w:p>
        </w:tc>
        <w:tc>
          <w:tcPr>
            <w:tcW w:w="923" w:type="pct"/>
            <w:tcBorders>
              <w:top w:val="nil"/>
              <w:left w:val="nil"/>
              <w:bottom w:val="single" w:color="auto" w:sz="4" w:space="0"/>
              <w:right w:val="single" w:color="auto" w:sz="4" w:space="0"/>
            </w:tcBorders>
            <w:noWrap w:val="0"/>
            <w:vAlign w:val="center"/>
          </w:tcPr>
          <w:p w14:paraId="6F941217">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从业人员（X）</w:t>
            </w:r>
          </w:p>
        </w:tc>
        <w:tc>
          <w:tcPr>
            <w:tcW w:w="691" w:type="pct"/>
            <w:tcBorders>
              <w:top w:val="nil"/>
              <w:left w:val="nil"/>
              <w:bottom w:val="single" w:color="auto" w:sz="4" w:space="0"/>
              <w:right w:val="single" w:color="auto" w:sz="4" w:space="0"/>
            </w:tcBorders>
            <w:noWrap w:val="0"/>
            <w:vAlign w:val="center"/>
          </w:tcPr>
          <w:p w14:paraId="4AF3EDF9">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人</w:t>
            </w:r>
          </w:p>
        </w:tc>
        <w:tc>
          <w:tcPr>
            <w:tcW w:w="1078" w:type="pct"/>
            <w:tcBorders>
              <w:top w:val="nil"/>
              <w:left w:val="nil"/>
              <w:bottom w:val="single" w:color="auto" w:sz="4" w:space="0"/>
              <w:right w:val="single" w:color="auto" w:sz="4" w:space="0"/>
            </w:tcBorders>
            <w:noWrap w:val="0"/>
            <w:vAlign w:val="center"/>
          </w:tcPr>
          <w:p w14:paraId="34687031">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100≤X＜300</w:t>
            </w:r>
          </w:p>
        </w:tc>
        <w:tc>
          <w:tcPr>
            <w:tcW w:w="930" w:type="pct"/>
            <w:tcBorders>
              <w:top w:val="nil"/>
              <w:left w:val="nil"/>
              <w:bottom w:val="single" w:color="auto" w:sz="4" w:space="0"/>
              <w:right w:val="single" w:color="auto" w:sz="4" w:space="0"/>
            </w:tcBorders>
            <w:noWrap w:val="0"/>
            <w:vAlign w:val="center"/>
          </w:tcPr>
          <w:p w14:paraId="4E1C7C9C">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10≤X＜100</w:t>
            </w:r>
          </w:p>
        </w:tc>
        <w:tc>
          <w:tcPr>
            <w:tcW w:w="586" w:type="pct"/>
            <w:tcBorders>
              <w:top w:val="nil"/>
              <w:left w:val="nil"/>
              <w:bottom w:val="single" w:color="auto" w:sz="4" w:space="0"/>
              <w:right w:val="single" w:color="auto" w:sz="4" w:space="0"/>
            </w:tcBorders>
            <w:noWrap w:val="0"/>
            <w:vAlign w:val="center"/>
          </w:tcPr>
          <w:p w14:paraId="418024A7">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X＜10</w:t>
            </w:r>
          </w:p>
        </w:tc>
      </w:tr>
      <w:tr w14:paraId="6F8253C3">
        <w:tblPrEx>
          <w:tblCellMar>
            <w:top w:w="0" w:type="dxa"/>
            <w:left w:w="108" w:type="dxa"/>
            <w:bottom w:w="0" w:type="dxa"/>
            <w:right w:w="108" w:type="dxa"/>
          </w:tblCellMar>
        </w:tblPrEx>
        <w:trPr>
          <w:trHeight w:val="225" w:hRule="atLeast"/>
        </w:trPr>
        <w:tc>
          <w:tcPr>
            <w:tcW w:w="788" w:type="pct"/>
            <w:vMerge w:val="continue"/>
            <w:tcBorders>
              <w:top w:val="nil"/>
              <w:left w:val="single" w:color="auto" w:sz="4" w:space="0"/>
              <w:bottom w:val="single" w:color="auto" w:sz="4" w:space="0"/>
              <w:right w:val="single" w:color="auto" w:sz="4" w:space="0"/>
            </w:tcBorders>
            <w:noWrap w:val="0"/>
            <w:vAlign w:val="center"/>
          </w:tcPr>
          <w:p w14:paraId="6211E93D">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p>
        </w:tc>
        <w:tc>
          <w:tcPr>
            <w:tcW w:w="923" w:type="pct"/>
            <w:tcBorders>
              <w:top w:val="nil"/>
              <w:left w:val="nil"/>
              <w:bottom w:val="single" w:color="auto" w:sz="4" w:space="0"/>
              <w:right w:val="single" w:color="auto" w:sz="4" w:space="0"/>
            </w:tcBorders>
            <w:noWrap w:val="0"/>
            <w:vAlign w:val="center"/>
          </w:tcPr>
          <w:p w14:paraId="405B16DC">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资产总额（Z）</w:t>
            </w:r>
          </w:p>
        </w:tc>
        <w:tc>
          <w:tcPr>
            <w:tcW w:w="691" w:type="pct"/>
            <w:tcBorders>
              <w:top w:val="nil"/>
              <w:left w:val="nil"/>
              <w:bottom w:val="single" w:color="auto" w:sz="4" w:space="0"/>
              <w:right w:val="single" w:color="auto" w:sz="4" w:space="0"/>
            </w:tcBorders>
            <w:noWrap w:val="0"/>
            <w:vAlign w:val="center"/>
          </w:tcPr>
          <w:p w14:paraId="3B09D0BC">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万元</w:t>
            </w:r>
          </w:p>
        </w:tc>
        <w:tc>
          <w:tcPr>
            <w:tcW w:w="1078" w:type="pct"/>
            <w:tcBorders>
              <w:top w:val="nil"/>
              <w:left w:val="nil"/>
              <w:bottom w:val="single" w:color="auto" w:sz="4" w:space="0"/>
              <w:right w:val="single" w:color="auto" w:sz="4" w:space="0"/>
            </w:tcBorders>
            <w:noWrap w:val="0"/>
            <w:vAlign w:val="center"/>
          </w:tcPr>
          <w:p w14:paraId="40D9BC40">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8000≤Z＜120000</w:t>
            </w:r>
          </w:p>
        </w:tc>
        <w:tc>
          <w:tcPr>
            <w:tcW w:w="930" w:type="pct"/>
            <w:tcBorders>
              <w:top w:val="nil"/>
              <w:left w:val="nil"/>
              <w:bottom w:val="single" w:color="auto" w:sz="4" w:space="0"/>
              <w:right w:val="single" w:color="auto" w:sz="4" w:space="0"/>
            </w:tcBorders>
            <w:noWrap w:val="0"/>
            <w:vAlign w:val="center"/>
          </w:tcPr>
          <w:p w14:paraId="696D6406">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100≤Z＜8000</w:t>
            </w:r>
          </w:p>
        </w:tc>
        <w:tc>
          <w:tcPr>
            <w:tcW w:w="586" w:type="pct"/>
            <w:tcBorders>
              <w:top w:val="nil"/>
              <w:left w:val="nil"/>
              <w:bottom w:val="single" w:color="auto" w:sz="4" w:space="0"/>
              <w:right w:val="single" w:color="auto" w:sz="4" w:space="0"/>
            </w:tcBorders>
            <w:noWrap w:val="0"/>
            <w:vAlign w:val="center"/>
          </w:tcPr>
          <w:p w14:paraId="0D5795FF">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Y＜100</w:t>
            </w:r>
          </w:p>
        </w:tc>
      </w:tr>
      <w:tr w14:paraId="632B515B">
        <w:tblPrEx>
          <w:tblCellMar>
            <w:top w:w="0" w:type="dxa"/>
            <w:left w:w="108" w:type="dxa"/>
            <w:bottom w:w="0" w:type="dxa"/>
            <w:right w:w="108" w:type="dxa"/>
          </w:tblCellMar>
        </w:tblPrEx>
        <w:trPr>
          <w:trHeight w:val="225" w:hRule="atLeast"/>
        </w:trPr>
        <w:tc>
          <w:tcPr>
            <w:tcW w:w="788" w:type="pct"/>
            <w:tcBorders>
              <w:top w:val="nil"/>
              <w:left w:val="single" w:color="auto" w:sz="4" w:space="0"/>
              <w:bottom w:val="single" w:color="auto" w:sz="4" w:space="0"/>
              <w:right w:val="single" w:color="auto" w:sz="4" w:space="0"/>
            </w:tcBorders>
            <w:noWrap w:val="0"/>
            <w:vAlign w:val="center"/>
          </w:tcPr>
          <w:p w14:paraId="035FB3C2">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其他未列明行业</w:t>
            </w:r>
          </w:p>
        </w:tc>
        <w:tc>
          <w:tcPr>
            <w:tcW w:w="923" w:type="pct"/>
            <w:tcBorders>
              <w:top w:val="nil"/>
              <w:left w:val="nil"/>
              <w:bottom w:val="single" w:color="auto" w:sz="4" w:space="0"/>
              <w:right w:val="single" w:color="auto" w:sz="4" w:space="0"/>
            </w:tcBorders>
            <w:noWrap w:val="0"/>
            <w:vAlign w:val="center"/>
          </w:tcPr>
          <w:p w14:paraId="0FC4EA45">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从业人员（X）</w:t>
            </w:r>
          </w:p>
        </w:tc>
        <w:tc>
          <w:tcPr>
            <w:tcW w:w="691" w:type="pct"/>
            <w:tcBorders>
              <w:top w:val="nil"/>
              <w:left w:val="nil"/>
              <w:bottom w:val="single" w:color="auto" w:sz="4" w:space="0"/>
              <w:right w:val="single" w:color="auto" w:sz="4" w:space="0"/>
            </w:tcBorders>
            <w:noWrap w:val="0"/>
            <w:vAlign w:val="center"/>
          </w:tcPr>
          <w:p w14:paraId="79206153">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人</w:t>
            </w:r>
          </w:p>
        </w:tc>
        <w:tc>
          <w:tcPr>
            <w:tcW w:w="1078" w:type="pct"/>
            <w:tcBorders>
              <w:top w:val="nil"/>
              <w:left w:val="nil"/>
              <w:bottom w:val="single" w:color="auto" w:sz="4" w:space="0"/>
              <w:right w:val="single" w:color="auto" w:sz="4" w:space="0"/>
            </w:tcBorders>
            <w:noWrap w:val="0"/>
            <w:vAlign w:val="center"/>
          </w:tcPr>
          <w:p w14:paraId="235F461B">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100≤X＜300</w:t>
            </w:r>
          </w:p>
        </w:tc>
        <w:tc>
          <w:tcPr>
            <w:tcW w:w="930" w:type="pct"/>
            <w:tcBorders>
              <w:top w:val="nil"/>
              <w:left w:val="nil"/>
              <w:bottom w:val="single" w:color="auto" w:sz="4" w:space="0"/>
              <w:right w:val="single" w:color="auto" w:sz="4" w:space="0"/>
            </w:tcBorders>
            <w:noWrap w:val="0"/>
            <w:vAlign w:val="center"/>
          </w:tcPr>
          <w:p w14:paraId="4A7A08D3">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10≤X＜100</w:t>
            </w:r>
          </w:p>
        </w:tc>
        <w:tc>
          <w:tcPr>
            <w:tcW w:w="586" w:type="pct"/>
            <w:tcBorders>
              <w:top w:val="nil"/>
              <w:left w:val="nil"/>
              <w:bottom w:val="single" w:color="auto" w:sz="4" w:space="0"/>
              <w:right w:val="single" w:color="auto" w:sz="4" w:space="0"/>
            </w:tcBorders>
            <w:noWrap w:val="0"/>
            <w:vAlign w:val="center"/>
          </w:tcPr>
          <w:p w14:paraId="41871050">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X＜10</w:t>
            </w:r>
          </w:p>
        </w:tc>
      </w:tr>
    </w:tbl>
    <w:p w14:paraId="4E0D0DAB">
      <w:pPr>
        <w:keepNext w:val="0"/>
        <w:keepLines w:val="0"/>
        <w:pageBreakBefore w:val="0"/>
        <w:widowControl w:val="0"/>
        <w:kinsoku/>
        <w:wordWrap/>
        <w:overflowPunct/>
        <w:topLinePunct w:val="0"/>
        <w:autoSpaceDE/>
        <w:autoSpaceDN/>
        <w:bidi w:val="0"/>
        <w:adjustRightInd/>
        <w:snapToGrid/>
        <w:spacing w:line="400" w:lineRule="exact"/>
        <w:ind w:firstLine="525" w:firstLineChars="250"/>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说明</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上述标准参照《关于印发中小企业划型标准规定的通知》（工信部联企业[2011]300号），大型、中型和小型企业须同时满足所列指标的下限，否则下划一档；微型企业只须满足所列指标中的一项即可。</w:t>
      </w:r>
    </w:p>
    <w:p w14:paraId="35FAC867">
      <w:pPr>
        <w:rPr>
          <w:rFonts w:hint="eastAsia"/>
          <w:color w:val="auto"/>
          <w:sz w:val="21"/>
          <w:szCs w:val="21"/>
          <w:highlight w:val="none"/>
        </w:rPr>
        <w:sectPr>
          <w:pgSz w:w="11906" w:h="16838"/>
          <w:pgMar w:top="1417" w:right="1417" w:bottom="1417" w:left="1417" w:header="720" w:footer="720" w:gutter="0"/>
          <w:cols w:space="720" w:num="1"/>
          <w:rtlGutter w:val="1"/>
          <w:docGrid w:type="lines" w:linePitch="312" w:charSpace="0"/>
        </w:sectPr>
      </w:pPr>
    </w:p>
    <w:p w14:paraId="53F60F57">
      <w:pPr>
        <w:spacing w:line="520" w:lineRule="exact"/>
        <w:jc w:val="center"/>
        <w:rPr>
          <w:rFonts w:hint="eastAsia" w:ascii="宋体" w:hAnsi="宋体" w:eastAsia="宋体" w:cs="宋体"/>
          <w:color w:val="auto"/>
          <w:sz w:val="24"/>
          <w:szCs w:val="24"/>
          <w:highlight w:val="none"/>
        </w:rPr>
      </w:pPr>
    </w:p>
    <w:p w14:paraId="4D9A1DB7">
      <w:pPr>
        <w:spacing w:line="520" w:lineRule="exact"/>
        <w:jc w:val="center"/>
        <w:rPr>
          <w:rFonts w:hint="eastAsia" w:asciiTheme="minorEastAsia" w:hAnsiTheme="minorEastAsia" w:eastAsiaTheme="minorEastAsia" w:cstheme="minorEastAsia"/>
          <w:b/>
          <w:bCs/>
          <w:color w:val="auto"/>
          <w:sz w:val="32"/>
          <w:szCs w:val="32"/>
          <w:highlight w:val="none"/>
        </w:rPr>
      </w:pPr>
      <w:r>
        <w:rPr>
          <w:rFonts w:hint="eastAsia" w:asciiTheme="minorEastAsia" w:hAnsiTheme="minorEastAsia" w:eastAsiaTheme="minorEastAsia" w:cstheme="minorEastAsia"/>
          <w:b/>
          <w:bCs/>
          <w:color w:val="auto"/>
          <w:sz w:val="44"/>
          <w:szCs w:val="44"/>
          <w:highlight w:val="none"/>
        </w:rPr>
        <w:t>残疾人福利性单位声明函</w:t>
      </w:r>
    </w:p>
    <w:p w14:paraId="409C82EE">
      <w:pPr>
        <w:spacing w:line="360" w:lineRule="auto"/>
        <w:contextualSpacing/>
        <w:rPr>
          <w:rFonts w:ascii="仿宋_GB2312" w:hAnsi="仿宋_GB2312" w:eastAsia="仿宋_GB2312" w:cs="仿宋_GB2312"/>
          <w:color w:val="auto"/>
          <w:sz w:val="32"/>
          <w:szCs w:val="32"/>
          <w:highlight w:val="none"/>
        </w:rPr>
      </w:pPr>
    </w:p>
    <w:p w14:paraId="6BAB5111">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本单位郑重声明，根据《财政部 民政部 中国残疾人联合会关于促进残疾人就业政府采购政策的通知》（财库〔2017〕141号）的规定，本单位为符合条件的残疾人福利性单位，且本单位参加</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单位的</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项目采购活动提供本单位制造的货物（由本单位承担工程/提供服务），或者提供其他残疾人福利性单位制造的货物（不包括使用非残疾人福利性单位注册商标的货物）。</w:t>
      </w:r>
    </w:p>
    <w:p w14:paraId="3C898072">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本单位对上述声明的真实性负责。如有虚假，将依法承担相应责任。</w:t>
      </w:r>
    </w:p>
    <w:p w14:paraId="08B0BA05">
      <w:pPr>
        <w:spacing w:line="360" w:lineRule="auto"/>
        <w:contextualSpacing/>
        <w:rPr>
          <w:rFonts w:ascii="宋体" w:hAnsi="宋体" w:cs="仿宋_GB2312"/>
          <w:color w:val="auto"/>
          <w:sz w:val="24"/>
          <w:highlight w:val="none"/>
        </w:rPr>
      </w:pPr>
    </w:p>
    <w:p w14:paraId="6B8600D4">
      <w:pPr>
        <w:spacing w:line="360" w:lineRule="auto"/>
        <w:contextualSpacing/>
        <w:rPr>
          <w:rFonts w:ascii="宋体" w:hAnsi="宋体" w:cs="仿宋_GB2312"/>
          <w:color w:val="auto"/>
          <w:sz w:val="24"/>
          <w:highlight w:val="none"/>
        </w:rPr>
      </w:pPr>
    </w:p>
    <w:p w14:paraId="4343A60F">
      <w:pPr>
        <w:spacing w:line="360" w:lineRule="auto"/>
        <w:contextualSpacing/>
        <w:rPr>
          <w:rFonts w:ascii="宋体" w:hAnsi="宋体" w:cs="仿宋_GB2312"/>
          <w:color w:val="auto"/>
          <w:sz w:val="24"/>
          <w:highlight w:val="none"/>
        </w:rPr>
      </w:pPr>
    </w:p>
    <w:p w14:paraId="47880D2E">
      <w:pPr>
        <w:spacing w:line="360" w:lineRule="auto"/>
        <w:ind w:firstLine="5040" w:firstLineChars="2100"/>
        <w:contextualSpacing/>
        <w:rPr>
          <w:rFonts w:ascii="宋体" w:hAnsi="宋体" w:cs="仿宋_GB2312"/>
          <w:color w:val="auto"/>
          <w:sz w:val="24"/>
          <w:highlight w:val="none"/>
        </w:rPr>
      </w:pPr>
      <w:r>
        <w:rPr>
          <w:rFonts w:hint="eastAsia" w:ascii="宋体" w:hAnsi="宋体" w:cs="仿宋_GB2312"/>
          <w:color w:val="auto"/>
          <w:sz w:val="24"/>
          <w:highlight w:val="none"/>
        </w:rPr>
        <w:t>供应商（电子签章）：</w:t>
      </w:r>
    </w:p>
    <w:p w14:paraId="411BB314">
      <w:pPr>
        <w:spacing w:line="360" w:lineRule="auto"/>
        <w:ind w:firstLine="6000" w:firstLineChars="2500"/>
        <w:contextualSpacing/>
        <w:rPr>
          <w:rFonts w:ascii="宋体" w:hAnsi="宋体" w:cs="仿宋_GB2312"/>
          <w:color w:val="auto"/>
          <w:sz w:val="24"/>
          <w:highlight w:val="none"/>
        </w:rPr>
      </w:pPr>
      <w:r>
        <w:rPr>
          <w:rFonts w:hint="eastAsia" w:ascii="宋体" w:hAnsi="宋体" w:cs="仿宋_GB2312"/>
          <w:color w:val="auto"/>
          <w:sz w:val="24"/>
          <w:highlight w:val="none"/>
        </w:rPr>
        <w:t>日  期：</w:t>
      </w:r>
    </w:p>
    <w:p w14:paraId="25D6FBCA">
      <w:pPr>
        <w:spacing w:line="360" w:lineRule="auto"/>
        <w:contextualSpacing/>
        <w:rPr>
          <w:rFonts w:ascii="宋体" w:hAnsi="宋体" w:cs="仿宋_GB2312"/>
          <w:color w:val="auto"/>
          <w:sz w:val="24"/>
          <w:highlight w:val="none"/>
        </w:rPr>
      </w:pPr>
    </w:p>
    <w:p w14:paraId="4C6B3C2D">
      <w:pPr>
        <w:spacing w:line="360" w:lineRule="auto"/>
        <w:contextualSpacing/>
        <w:rPr>
          <w:rFonts w:ascii="宋体" w:hAnsi="宋体" w:cs="仿宋_GB2312"/>
          <w:color w:val="auto"/>
          <w:sz w:val="24"/>
          <w:highlight w:val="none"/>
        </w:rPr>
      </w:pPr>
    </w:p>
    <w:p w14:paraId="0A433C99">
      <w:pPr>
        <w:spacing w:line="360" w:lineRule="auto"/>
        <w:contextualSpacing/>
        <w:rPr>
          <w:rFonts w:ascii="宋体" w:hAnsi="宋体" w:cs="仿宋_GB2312"/>
          <w:color w:val="auto"/>
          <w:sz w:val="24"/>
          <w:highlight w:val="none"/>
        </w:rPr>
      </w:pPr>
    </w:p>
    <w:p w14:paraId="11E65793">
      <w:pPr>
        <w:spacing w:line="360" w:lineRule="auto"/>
        <w:contextualSpacing/>
        <w:rPr>
          <w:rFonts w:ascii="宋体" w:hAnsi="宋体" w:cs="仿宋_GB2312"/>
          <w:color w:val="auto"/>
          <w:sz w:val="24"/>
          <w:highlight w:val="none"/>
        </w:rPr>
      </w:pPr>
      <w:r>
        <w:rPr>
          <w:rFonts w:hint="eastAsia" w:ascii="宋体" w:hAnsi="宋体" w:cs="仿宋_GB2312"/>
          <w:color w:val="auto"/>
          <w:sz w:val="24"/>
          <w:highlight w:val="none"/>
        </w:rPr>
        <w:t>注：请根据自己的真实情况出具《残疾人福利性单位声明函》。依法享受中小企业优惠政策的，采购人或者采购代理机构在公告成交结果时，同时公告其《残疾人福利性单位声明函》，接受社会监督。</w:t>
      </w:r>
    </w:p>
    <w:p w14:paraId="0B9B6182">
      <w:pPr>
        <w:rPr>
          <w:rFonts w:ascii="宋体" w:hAnsi="宋体"/>
          <w:color w:val="auto"/>
          <w:highlight w:val="none"/>
        </w:rPr>
      </w:pPr>
    </w:p>
    <w:p w14:paraId="4131BE11">
      <w:pPr>
        <w:pStyle w:val="2"/>
        <w:jc w:val="center"/>
        <w:rPr>
          <w:rFonts w:ascii="宋体" w:hAnsi="宋体"/>
          <w:color w:val="auto"/>
          <w:highlight w:val="none"/>
        </w:rPr>
      </w:pPr>
      <w:r>
        <w:rPr>
          <w:rFonts w:ascii="宋体" w:hAnsi="宋体"/>
          <w:color w:val="auto"/>
          <w:highlight w:val="none"/>
        </w:rPr>
        <w:br w:type="page"/>
      </w:r>
      <w:bookmarkStart w:id="422" w:name="_Toc226"/>
      <w:r>
        <w:rPr>
          <w:rFonts w:hint="eastAsia"/>
          <w:color w:val="auto"/>
          <w:sz w:val="40"/>
          <w:szCs w:val="40"/>
          <w:highlight w:val="none"/>
        </w:rPr>
        <w:t>第七章　质疑、投诉证明材料格式</w:t>
      </w:r>
      <w:bookmarkEnd w:id="422"/>
    </w:p>
    <w:p w14:paraId="5A03C3B5">
      <w:pPr>
        <w:pStyle w:val="3"/>
        <w:jc w:val="center"/>
        <w:rPr>
          <w:rFonts w:ascii="宋体" w:hAnsi="宋体" w:eastAsia="宋体" w:cs="宋体"/>
          <w:b w:val="0"/>
          <w:bCs w:val="0"/>
          <w:color w:val="auto"/>
          <w:highlight w:val="none"/>
        </w:rPr>
      </w:pPr>
      <w:bookmarkStart w:id="423" w:name="_Toc17610"/>
      <w:r>
        <w:rPr>
          <w:rFonts w:hint="eastAsia" w:ascii="宋体" w:hAnsi="宋体" w:eastAsia="宋体" w:cs="宋体"/>
          <w:b w:val="0"/>
          <w:bCs w:val="0"/>
          <w:color w:val="auto"/>
          <w:highlight w:val="none"/>
        </w:rPr>
        <w:t>第一节 质疑函（格式）</w:t>
      </w:r>
      <w:bookmarkEnd w:id="423"/>
    </w:p>
    <w:p w14:paraId="1B4F5215">
      <w:pPr>
        <w:jc w:val="center"/>
        <w:rPr>
          <w:rFonts w:ascii="宋体" w:hAnsi="宋体" w:cs="宋体"/>
          <w:b/>
          <w:bCs/>
          <w:color w:val="auto"/>
          <w:sz w:val="24"/>
          <w:highlight w:val="none"/>
        </w:rPr>
      </w:pPr>
      <w:r>
        <w:rPr>
          <w:rFonts w:hint="eastAsia" w:ascii="宋体" w:hAnsi="宋体" w:cs="宋体"/>
          <w:b/>
          <w:bCs/>
          <w:color w:val="auto"/>
          <w:sz w:val="24"/>
          <w:highlight w:val="none"/>
        </w:rPr>
        <w:t>质疑函范本</w:t>
      </w:r>
    </w:p>
    <w:p w14:paraId="2B68E7AC">
      <w:pPr>
        <w:adjustRightInd w:val="0"/>
        <w:snapToGrid w:val="0"/>
        <w:spacing w:beforeLines="100" w:line="360" w:lineRule="auto"/>
        <w:rPr>
          <w:rFonts w:ascii="宋体" w:hAnsi="宋体" w:cs="宋体"/>
          <w:bCs/>
          <w:color w:val="auto"/>
          <w:sz w:val="24"/>
          <w:highlight w:val="none"/>
        </w:rPr>
      </w:pPr>
      <w:r>
        <w:rPr>
          <w:rFonts w:hint="eastAsia" w:ascii="宋体" w:hAnsi="宋体" w:cs="宋体"/>
          <w:bCs/>
          <w:color w:val="auto"/>
          <w:sz w:val="24"/>
          <w:highlight w:val="none"/>
        </w:rPr>
        <w:t>一、质疑供应商基本信息</w:t>
      </w:r>
    </w:p>
    <w:p w14:paraId="382C6BB7">
      <w:pPr>
        <w:adjustRightInd w:val="0"/>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质疑供应商：</w:t>
      </w:r>
    </w:p>
    <w:p w14:paraId="09E297ED">
      <w:pPr>
        <w:adjustRightInd w:val="0"/>
        <w:snapToGrid w:val="0"/>
        <w:spacing w:line="360" w:lineRule="auto"/>
        <w:rPr>
          <w:rFonts w:ascii="宋体" w:hAnsi="宋体" w:cs="宋体"/>
          <w:color w:val="auto"/>
          <w:sz w:val="24"/>
          <w:highlight w:val="none"/>
        </w:rPr>
      </w:pPr>
      <w:r>
        <w:rPr>
          <w:rFonts w:hint="eastAsia" w:ascii="宋体" w:hAnsi="宋体" w:cs="宋体"/>
          <w:color w:val="auto"/>
          <w:sz w:val="24"/>
          <w:highlight w:val="none"/>
        </w:rPr>
        <w:t>地址：邮编：</w:t>
      </w:r>
    </w:p>
    <w:p w14:paraId="51E2BB73">
      <w:pPr>
        <w:adjustRightInd w:val="0"/>
        <w:snapToGrid w:val="0"/>
        <w:spacing w:line="360" w:lineRule="auto"/>
        <w:rPr>
          <w:rFonts w:ascii="宋体" w:hAnsi="宋体" w:cs="宋体"/>
          <w:color w:val="auto"/>
          <w:sz w:val="24"/>
          <w:highlight w:val="none"/>
        </w:rPr>
      </w:pPr>
      <w:r>
        <w:rPr>
          <w:rFonts w:hint="eastAsia" w:ascii="宋体" w:hAnsi="宋体" w:cs="宋体"/>
          <w:color w:val="auto"/>
          <w:sz w:val="24"/>
          <w:highlight w:val="none"/>
        </w:rPr>
        <w:t>联系人：联系电话：</w:t>
      </w:r>
    </w:p>
    <w:p w14:paraId="76C89586">
      <w:pPr>
        <w:adjustRightInd w:val="0"/>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授权代表：</w:t>
      </w:r>
    </w:p>
    <w:p w14:paraId="7BA91D6A">
      <w:pPr>
        <w:adjustRightInd w:val="0"/>
        <w:snapToGrid w:val="0"/>
        <w:spacing w:line="360" w:lineRule="auto"/>
        <w:rPr>
          <w:rFonts w:ascii="宋体" w:hAnsi="宋体" w:cs="宋体"/>
          <w:color w:val="auto"/>
          <w:sz w:val="24"/>
          <w:highlight w:val="none"/>
        </w:rPr>
      </w:pPr>
      <w:r>
        <w:rPr>
          <w:rFonts w:hint="eastAsia" w:ascii="宋体" w:hAnsi="宋体" w:cs="宋体"/>
          <w:color w:val="auto"/>
          <w:sz w:val="24"/>
          <w:highlight w:val="none"/>
        </w:rPr>
        <w:t>联系电话：</w:t>
      </w:r>
    </w:p>
    <w:p w14:paraId="2B7E9B7C">
      <w:pPr>
        <w:adjustRightInd w:val="0"/>
        <w:snapToGrid w:val="0"/>
        <w:spacing w:line="360" w:lineRule="auto"/>
        <w:rPr>
          <w:rFonts w:ascii="宋体" w:hAnsi="宋体" w:cs="宋体"/>
          <w:color w:val="auto"/>
          <w:sz w:val="24"/>
          <w:highlight w:val="none"/>
        </w:rPr>
      </w:pPr>
      <w:r>
        <w:rPr>
          <w:rFonts w:hint="eastAsia" w:ascii="宋体" w:hAnsi="宋体" w:cs="宋体"/>
          <w:color w:val="auto"/>
          <w:sz w:val="24"/>
          <w:highlight w:val="none"/>
        </w:rPr>
        <w:t>地址： 邮编：</w:t>
      </w:r>
    </w:p>
    <w:p w14:paraId="54E41BD4">
      <w:pPr>
        <w:adjustRightInd w:val="0"/>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二、质疑项目基本情况</w:t>
      </w:r>
    </w:p>
    <w:p w14:paraId="5CE3E9D5">
      <w:pPr>
        <w:adjustRightInd w:val="0"/>
        <w:snapToGrid w:val="0"/>
        <w:spacing w:line="360" w:lineRule="auto"/>
        <w:rPr>
          <w:rFonts w:ascii="宋体" w:hAnsi="宋体" w:cs="宋体"/>
          <w:color w:val="auto"/>
          <w:sz w:val="24"/>
          <w:highlight w:val="none"/>
        </w:rPr>
      </w:pPr>
      <w:r>
        <w:rPr>
          <w:rFonts w:hint="eastAsia" w:ascii="宋体" w:hAnsi="宋体" w:cs="宋体"/>
          <w:color w:val="auto"/>
          <w:sz w:val="24"/>
          <w:highlight w:val="none"/>
        </w:rPr>
        <w:t>质疑项目的名称：</w:t>
      </w:r>
    </w:p>
    <w:p w14:paraId="45B8B9D7">
      <w:pPr>
        <w:adjustRightInd w:val="0"/>
        <w:snapToGrid w:val="0"/>
        <w:spacing w:line="360" w:lineRule="auto"/>
        <w:rPr>
          <w:rFonts w:ascii="宋体" w:hAnsi="宋体" w:cs="宋体"/>
          <w:color w:val="auto"/>
          <w:sz w:val="24"/>
          <w:highlight w:val="none"/>
        </w:rPr>
      </w:pPr>
      <w:r>
        <w:rPr>
          <w:rFonts w:hint="eastAsia" w:ascii="宋体" w:hAnsi="宋体" w:cs="宋体"/>
          <w:color w:val="auto"/>
          <w:sz w:val="24"/>
          <w:highlight w:val="none"/>
        </w:rPr>
        <w:t>质疑项目的编号：包号：</w:t>
      </w:r>
    </w:p>
    <w:p w14:paraId="3EC43D1C">
      <w:pPr>
        <w:adjustRightInd w:val="0"/>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采购人名称：</w:t>
      </w:r>
    </w:p>
    <w:p w14:paraId="1E7E00A1">
      <w:pPr>
        <w:adjustRightInd w:val="0"/>
        <w:snapToGrid w:val="0"/>
        <w:spacing w:line="360" w:lineRule="auto"/>
        <w:rPr>
          <w:rFonts w:ascii="宋体" w:hAnsi="宋体" w:cs="宋体"/>
          <w:color w:val="auto"/>
          <w:sz w:val="24"/>
          <w:highlight w:val="none"/>
        </w:rPr>
      </w:pPr>
      <w:r>
        <w:rPr>
          <w:rFonts w:hint="eastAsia" w:ascii="宋体" w:hAnsi="宋体" w:cs="宋体"/>
          <w:color w:val="auto"/>
          <w:sz w:val="24"/>
          <w:highlight w:val="none"/>
        </w:rPr>
        <w:t>磋商文件获取日期：</w:t>
      </w:r>
    </w:p>
    <w:p w14:paraId="5D27125E">
      <w:pPr>
        <w:adjustRightInd w:val="0"/>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三、质疑事项具体内容</w:t>
      </w:r>
    </w:p>
    <w:p w14:paraId="0A5F5B42">
      <w:pPr>
        <w:adjustRightInd w:val="0"/>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质疑事项1：</w:t>
      </w:r>
    </w:p>
    <w:p w14:paraId="02DC6F54">
      <w:pPr>
        <w:adjustRightInd w:val="0"/>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事实依据：</w:t>
      </w:r>
    </w:p>
    <w:p w14:paraId="68E37142">
      <w:pPr>
        <w:adjustRightInd w:val="0"/>
        <w:snapToGrid w:val="0"/>
        <w:spacing w:line="360" w:lineRule="auto"/>
        <w:rPr>
          <w:rFonts w:ascii="宋体" w:hAnsi="宋体" w:cs="宋体"/>
          <w:color w:val="auto"/>
          <w:sz w:val="24"/>
          <w:highlight w:val="none"/>
        </w:rPr>
      </w:pPr>
    </w:p>
    <w:p w14:paraId="708ACF1D">
      <w:pPr>
        <w:adjustRightInd w:val="0"/>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法律依据：</w:t>
      </w:r>
    </w:p>
    <w:p w14:paraId="4E3EAC12">
      <w:pPr>
        <w:adjustRightInd w:val="0"/>
        <w:snapToGrid w:val="0"/>
        <w:spacing w:line="360" w:lineRule="auto"/>
        <w:rPr>
          <w:rFonts w:ascii="宋体" w:hAnsi="宋体" w:cs="宋体"/>
          <w:color w:val="auto"/>
          <w:sz w:val="24"/>
          <w:highlight w:val="none"/>
          <w:u w:val="dotted"/>
        </w:rPr>
      </w:pPr>
    </w:p>
    <w:p w14:paraId="3BB81A39">
      <w:pPr>
        <w:adjustRightInd w:val="0"/>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质疑事项2</w:t>
      </w:r>
    </w:p>
    <w:p w14:paraId="46CBCCCD">
      <w:pPr>
        <w:adjustRightInd w:val="0"/>
        <w:snapToGrid w:val="0"/>
        <w:spacing w:line="360" w:lineRule="auto"/>
        <w:rPr>
          <w:rFonts w:ascii="宋体" w:hAnsi="宋体" w:cs="宋体"/>
          <w:color w:val="auto"/>
          <w:sz w:val="24"/>
          <w:highlight w:val="none"/>
        </w:rPr>
      </w:pPr>
      <w:r>
        <w:rPr>
          <w:rFonts w:hint="eastAsia" w:ascii="宋体" w:hAnsi="宋体" w:cs="宋体"/>
          <w:color w:val="auto"/>
          <w:sz w:val="24"/>
          <w:highlight w:val="none"/>
        </w:rPr>
        <w:t>……</w:t>
      </w:r>
    </w:p>
    <w:p w14:paraId="4D37719E">
      <w:pPr>
        <w:adjustRightInd w:val="0"/>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四、与质疑事项相关的质疑请求</w:t>
      </w:r>
    </w:p>
    <w:p w14:paraId="0F7079C1">
      <w:pPr>
        <w:adjustRightInd w:val="0"/>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请求：</w:t>
      </w:r>
    </w:p>
    <w:p w14:paraId="2715626B">
      <w:pPr>
        <w:rPr>
          <w:rFonts w:ascii="宋体" w:hAnsi="宋体" w:cs="宋体"/>
          <w:color w:val="auto"/>
          <w:sz w:val="24"/>
          <w:highlight w:val="none"/>
        </w:rPr>
      </w:pPr>
      <w:r>
        <w:rPr>
          <w:rFonts w:hint="eastAsia" w:ascii="宋体" w:hAnsi="宋体" w:cs="宋体"/>
          <w:color w:val="auto"/>
          <w:sz w:val="24"/>
          <w:highlight w:val="none"/>
        </w:rPr>
        <w:t xml:space="preserve">签字(签章)：                   公章：                      </w:t>
      </w:r>
    </w:p>
    <w:p w14:paraId="3EFCC14B">
      <w:pPr>
        <w:rPr>
          <w:rFonts w:ascii="宋体" w:hAnsi="宋体" w:cs="宋体"/>
          <w:color w:val="auto"/>
          <w:sz w:val="24"/>
          <w:highlight w:val="none"/>
        </w:rPr>
      </w:pPr>
      <w:r>
        <w:rPr>
          <w:rFonts w:hint="eastAsia" w:ascii="宋体" w:hAnsi="宋体" w:cs="宋体"/>
          <w:color w:val="auto"/>
          <w:sz w:val="24"/>
          <w:highlight w:val="none"/>
        </w:rPr>
        <w:t xml:space="preserve">日期：    </w:t>
      </w:r>
    </w:p>
    <w:p w14:paraId="5BE4804B">
      <w:pPr>
        <w:adjustRightInd w:val="0"/>
        <w:snapToGrid w:val="0"/>
        <w:spacing w:line="360" w:lineRule="auto"/>
        <w:rPr>
          <w:rFonts w:ascii="宋体" w:hAnsi="宋体" w:cs="宋体"/>
          <w:color w:val="auto"/>
          <w:sz w:val="24"/>
          <w:highlight w:val="none"/>
        </w:rPr>
      </w:pPr>
    </w:p>
    <w:p w14:paraId="3648F943">
      <w:pPr>
        <w:adjustRightInd w:val="0"/>
        <w:snapToGrid w:val="0"/>
        <w:spacing w:line="360" w:lineRule="auto"/>
        <w:rPr>
          <w:rFonts w:ascii="宋体" w:hAnsi="宋体" w:cs="宋体"/>
          <w:color w:val="auto"/>
          <w:sz w:val="24"/>
          <w:highlight w:val="none"/>
        </w:rPr>
      </w:pPr>
    </w:p>
    <w:p w14:paraId="1CBB94FE">
      <w:pPr>
        <w:jc w:val="center"/>
        <w:rPr>
          <w:rFonts w:ascii="宋体" w:hAnsi="宋体" w:cs="宋体"/>
          <w:b/>
          <w:bCs/>
          <w:color w:val="auto"/>
          <w:sz w:val="24"/>
          <w:highlight w:val="none"/>
        </w:rPr>
      </w:pPr>
    </w:p>
    <w:p w14:paraId="5080914A">
      <w:pPr>
        <w:spacing w:line="360" w:lineRule="auto"/>
        <w:jc w:val="center"/>
        <w:rPr>
          <w:rFonts w:ascii="宋体" w:hAnsi="宋体" w:cs="宋体"/>
          <w:b/>
          <w:bCs/>
          <w:color w:val="auto"/>
          <w:sz w:val="24"/>
          <w:highlight w:val="none"/>
        </w:rPr>
      </w:pPr>
    </w:p>
    <w:p w14:paraId="14DD6C12">
      <w:pPr>
        <w:spacing w:line="360" w:lineRule="auto"/>
        <w:rPr>
          <w:rFonts w:ascii="宋体" w:hAnsi="宋体" w:cs="宋体"/>
          <w:b/>
          <w:color w:val="auto"/>
          <w:sz w:val="24"/>
          <w:highlight w:val="none"/>
        </w:rPr>
      </w:pPr>
      <w:r>
        <w:rPr>
          <w:rFonts w:hint="eastAsia" w:ascii="宋体" w:hAnsi="宋体" w:cs="宋体"/>
          <w:b/>
          <w:color w:val="auto"/>
          <w:sz w:val="24"/>
          <w:highlight w:val="none"/>
        </w:rPr>
        <w:t>质疑函制作说明：</w:t>
      </w:r>
    </w:p>
    <w:p w14:paraId="4BF18073">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1.供应商提出质疑时，应提交质疑函和必要的证明材料。</w:t>
      </w:r>
    </w:p>
    <w:p w14:paraId="5F17022D">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2.质疑供应商若委托代理人进行质疑的，质疑函应按要求列明“授权代表”的有关内容，并在附件中提交由质疑</w:t>
      </w:r>
      <w:r>
        <w:rPr>
          <w:rFonts w:hint="eastAsia" w:ascii="宋体" w:hAnsi="宋体" w:cs="宋体"/>
          <w:color w:val="auto"/>
          <w:kern w:val="0"/>
          <w:sz w:val="24"/>
          <w:highlight w:val="none"/>
        </w:rPr>
        <w:t>供应商签署的授权委托书。授权委托书应载明代理人的姓名或者名称、代理事项、具体权限、期限和相关事项。</w:t>
      </w:r>
    </w:p>
    <w:p w14:paraId="1E538B49">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3.质疑供应商若对项目的某一分包进行质疑，质疑函中应列明具体分包号。</w:t>
      </w:r>
    </w:p>
    <w:p w14:paraId="122C5603">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4.质疑函的质疑事项应具体、明确，并有必要的事实依据和法律依据。</w:t>
      </w:r>
    </w:p>
    <w:p w14:paraId="1B50B43B">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5.质疑函的质疑请求应与质疑事项相关。</w:t>
      </w:r>
    </w:p>
    <w:p w14:paraId="5D7490D7">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6.质疑供应商为自然人的，质疑函应由本人签字；质疑供应商为法人或者其他组织的，质疑函应由法定代表人、主要负责人，或者其授权代表签字或者盖章，并加盖公章。</w:t>
      </w:r>
    </w:p>
    <w:p w14:paraId="4DCF3F8D">
      <w:pPr>
        <w:widowControl/>
        <w:spacing w:line="360" w:lineRule="auto"/>
        <w:ind w:firstLine="480" w:firstLineChars="200"/>
        <w:jc w:val="left"/>
        <w:rPr>
          <w:rFonts w:ascii="宋体" w:hAnsi="宋体" w:cs="宋体"/>
          <w:color w:val="auto"/>
          <w:sz w:val="24"/>
          <w:highlight w:val="none"/>
        </w:rPr>
      </w:pPr>
    </w:p>
    <w:p w14:paraId="3C84A0AC">
      <w:pPr>
        <w:widowControl/>
        <w:spacing w:line="360" w:lineRule="auto"/>
        <w:jc w:val="left"/>
        <w:rPr>
          <w:rFonts w:ascii="宋体" w:hAnsi="宋体" w:cs="宋体"/>
          <w:color w:val="auto"/>
          <w:kern w:val="0"/>
          <w:sz w:val="24"/>
          <w:highlight w:val="none"/>
        </w:rPr>
        <w:sectPr>
          <w:pgSz w:w="11911" w:h="16838"/>
          <w:pgMar w:top="1417" w:right="1417" w:bottom="1417" w:left="1417" w:header="720" w:footer="720" w:gutter="0"/>
          <w:cols w:space="0" w:num="1"/>
          <w:docGrid w:linePitch="331" w:charSpace="0"/>
        </w:sectPr>
      </w:pPr>
    </w:p>
    <w:p w14:paraId="4CF20F4D">
      <w:pPr>
        <w:pStyle w:val="3"/>
        <w:jc w:val="center"/>
        <w:rPr>
          <w:rFonts w:ascii="宋体" w:hAnsi="宋体" w:eastAsia="宋体" w:cs="宋体"/>
          <w:b w:val="0"/>
          <w:bCs w:val="0"/>
          <w:color w:val="auto"/>
          <w:highlight w:val="none"/>
        </w:rPr>
      </w:pPr>
      <w:bookmarkStart w:id="424" w:name="_Toc11428"/>
      <w:r>
        <w:rPr>
          <w:rFonts w:hint="eastAsia" w:ascii="宋体" w:hAnsi="宋体" w:eastAsia="宋体" w:cs="宋体"/>
          <w:b w:val="0"/>
          <w:bCs w:val="0"/>
          <w:color w:val="auto"/>
          <w:highlight w:val="none"/>
        </w:rPr>
        <w:t>第二节 投诉书（格式）</w:t>
      </w:r>
      <w:bookmarkEnd w:id="424"/>
    </w:p>
    <w:p w14:paraId="32319776">
      <w:pPr>
        <w:jc w:val="center"/>
        <w:rPr>
          <w:rFonts w:ascii="宋体" w:hAnsi="宋体" w:cs="宋体"/>
          <w:b/>
          <w:color w:val="auto"/>
          <w:sz w:val="24"/>
          <w:highlight w:val="none"/>
        </w:rPr>
      </w:pPr>
      <w:r>
        <w:rPr>
          <w:rFonts w:hint="eastAsia" w:ascii="宋体" w:hAnsi="宋体" w:cs="宋体"/>
          <w:b/>
          <w:color w:val="auto"/>
          <w:sz w:val="24"/>
          <w:highlight w:val="none"/>
        </w:rPr>
        <w:t>投诉书范本</w:t>
      </w:r>
    </w:p>
    <w:p w14:paraId="62C28CFA">
      <w:pPr>
        <w:rPr>
          <w:rFonts w:ascii="宋体" w:hAnsi="宋体" w:cs="宋体"/>
          <w:color w:val="auto"/>
          <w:sz w:val="24"/>
          <w:highlight w:val="none"/>
        </w:rPr>
      </w:pPr>
      <w:r>
        <w:rPr>
          <w:rFonts w:hint="eastAsia" w:ascii="宋体" w:hAnsi="宋体" w:cs="宋体"/>
          <w:color w:val="auto"/>
          <w:sz w:val="24"/>
          <w:highlight w:val="none"/>
        </w:rPr>
        <w:t>一、投诉相关主体基本情况</w:t>
      </w:r>
    </w:p>
    <w:p w14:paraId="12FD158E">
      <w:pPr>
        <w:rPr>
          <w:rFonts w:ascii="宋体" w:hAnsi="宋体" w:cs="宋体"/>
          <w:color w:val="auto"/>
          <w:sz w:val="24"/>
          <w:highlight w:val="none"/>
          <w:u w:val="dotted"/>
        </w:rPr>
      </w:pPr>
      <w:r>
        <w:rPr>
          <w:rFonts w:hint="eastAsia" w:ascii="宋体" w:hAnsi="宋体" w:cs="宋体"/>
          <w:color w:val="auto"/>
          <w:sz w:val="24"/>
          <w:highlight w:val="none"/>
        </w:rPr>
        <w:t>投诉人：</w:t>
      </w:r>
    </w:p>
    <w:p w14:paraId="2F50552F">
      <w:pPr>
        <w:rPr>
          <w:rFonts w:ascii="宋体" w:hAnsi="宋体" w:cs="宋体"/>
          <w:color w:val="auto"/>
          <w:sz w:val="24"/>
          <w:highlight w:val="none"/>
          <w:u w:val="single"/>
        </w:rPr>
      </w:pPr>
      <w:r>
        <w:rPr>
          <w:rFonts w:hint="eastAsia" w:ascii="宋体" w:hAnsi="宋体" w:cs="宋体"/>
          <w:color w:val="auto"/>
          <w:sz w:val="24"/>
          <w:highlight w:val="none"/>
        </w:rPr>
        <w:t>地     址：邮编：</w:t>
      </w:r>
    </w:p>
    <w:p w14:paraId="3AA2A8DB">
      <w:pPr>
        <w:tabs>
          <w:tab w:val="left" w:pos="6510"/>
        </w:tabs>
        <w:jc w:val="left"/>
        <w:rPr>
          <w:rFonts w:ascii="宋体" w:hAnsi="宋体" w:cs="宋体"/>
          <w:color w:val="auto"/>
          <w:sz w:val="24"/>
          <w:highlight w:val="none"/>
        </w:rPr>
      </w:pPr>
      <w:r>
        <w:rPr>
          <w:rFonts w:hint="eastAsia" w:ascii="宋体" w:hAnsi="宋体" w:cs="宋体"/>
          <w:color w:val="auto"/>
          <w:sz w:val="24"/>
          <w:highlight w:val="none"/>
        </w:rPr>
        <w:t>法定代表人/主要负责人：</w:t>
      </w:r>
    </w:p>
    <w:p w14:paraId="4D668F4E">
      <w:pPr>
        <w:tabs>
          <w:tab w:val="left" w:pos="6510"/>
        </w:tabs>
        <w:rPr>
          <w:rFonts w:ascii="宋体" w:hAnsi="宋体" w:cs="宋体"/>
          <w:color w:val="auto"/>
          <w:sz w:val="24"/>
          <w:highlight w:val="none"/>
          <w:u w:val="dotted"/>
        </w:rPr>
      </w:pPr>
      <w:r>
        <w:rPr>
          <w:rFonts w:hint="eastAsia" w:ascii="宋体" w:hAnsi="宋体" w:cs="宋体"/>
          <w:color w:val="auto"/>
          <w:sz w:val="24"/>
          <w:highlight w:val="none"/>
        </w:rPr>
        <w:t>联系电话：</w:t>
      </w:r>
    </w:p>
    <w:p w14:paraId="1FF46281">
      <w:pPr>
        <w:rPr>
          <w:rFonts w:ascii="宋体" w:hAnsi="宋体" w:cs="宋体"/>
          <w:color w:val="auto"/>
          <w:sz w:val="24"/>
          <w:highlight w:val="none"/>
          <w:u w:val="dotted"/>
        </w:rPr>
      </w:pPr>
      <w:r>
        <w:rPr>
          <w:rFonts w:hint="eastAsia" w:ascii="宋体" w:hAnsi="宋体" w:cs="宋体"/>
          <w:color w:val="auto"/>
          <w:sz w:val="24"/>
          <w:highlight w:val="none"/>
        </w:rPr>
        <w:t>授权代表：联系电话</w:t>
      </w:r>
      <w:r>
        <w:rPr>
          <w:rFonts w:hint="eastAsia" w:ascii="宋体" w:hAnsi="宋体" w:cs="宋体"/>
          <w:color w:val="auto"/>
          <w:sz w:val="24"/>
          <w:highlight w:val="none"/>
          <w:u w:val="dotted"/>
        </w:rPr>
        <w:t>：</w:t>
      </w:r>
    </w:p>
    <w:p w14:paraId="0743981E">
      <w:pPr>
        <w:rPr>
          <w:rFonts w:ascii="宋体" w:hAnsi="宋体" w:cs="宋体"/>
          <w:color w:val="auto"/>
          <w:sz w:val="24"/>
          <w:highlight w:val="none"/>
          <w:u w:val="dotted"/>
        </w:rPr>
      </w:pPr>
      <w:r>
        <w:rPr>
          <w:rFonts w:hint="eastAsia" w:ascii="宋体" w:hAnsi="宋体" w:cs="宋体"/>
          <w:color w:val="auto"/>
          <w:sz w:val="24"/>
          <w:highlight w:val="none"/>
        </w:rPr>
        <w:t>地     址：邮编：</w:t>
      </w:r>
    </w:p>
    <w:p w14:paraId="7B7957DD">
      <w:pPr>
        <w:rPr>
          <w:rFonts w:ascii="宋体" w:hAnsi="宋体" w:cs="宋体"/>
          <w:color w:val="auto"/>
          <w:sz w:val="24"/>
          <w:highlight w:val="none"/>
          <w:u w:val="single"/>
        </w:rPr>
      </w:pPr>
      <w:r>
        <w:rPr>
          <w:rFonts w:hint="eastAsia" w:ascii="宋体" w:hAnsi="宋体" w:cs="宋体"/>
          <w:color w:val="auto"/>
          <w:sz w:val="24"/>
          <w:highlight w:val="none"/>
        </w:rPr>
        <w:t>被投诉人1：</w:t>
      </w:r>
    </w:p>
    <w:p w14:paraId="7E67B7BC">
      <w:pPr>
        <w:rPr>
          <w:rFonts w:ascii="宋体" w:hAnsi="宋体" w:cs="宋体"/>
          <w:color w:val="auto"/>
          <w:sz w:val="24"/>
          <w:highlight w:val="none"/>
          <w:u w:val="single"/>
        </w:rPr>
      </w:pPr>
      <w:r>
        <w:rPr>
          <w:rFonts w:hint="eastAsia" w:ascii="宋体" w:hAnsi="宋体" w:cs="宋体"/>
          <w:color w:val="auto"/>
          <w:sz w:val="24"/>
          <w:highlight w:val="none"/>
        </w:rPr>
        <w:t>地     址：邮编：</w:t>
      </w:r>
    </w:p>
    <w:p w14:paraId="77219898">
      <w:pPr>
        <w:rPr>
          <w:rFonts w:ascii="宋体" w:hAnsi="宋体" w:cs="宋体"/>
          <w:color w:val="auto"/>
          <w:sz w:val="24"/>
          <w:highlight w:val="none"/>
          <w:u w:val="single"/>
        </w:rPr>
      </w:pPr>
      <w:r>
        <w:rPr>
          <w:rFonts w:hint="eastAsia" w:ascii="宋体" w:hAnsi="宋体" w:cs="宋体"/>
          <w:color w:val="auto"/>
          <w:sz w:val="24"/>
          <w:highlight w:val="none"/>
        </w:rPr>
        <w:t>联系人：联系电话：</w:t>
      </w:r>
    </w:p>
    <w:p w14:paraId="33E3441C">
      <w:pPr>
        <w:rPr>
          <w:rFonts w:ascii="宋体" w:hAnsi="宋体" w:cs="宋体"/>
          <w:color w:val="auto"/>
          <w:sz w:val="24"/>
          <w:highlight w:val="none"/>
        </w:rPr>
      </w:pPr>
      <w:r>
        <w:rPr>
          <w:rFonts w:hint="eastAsia" w:ascii="宋体" w:hAnsi="宋体" w:cs="宋体"/>
          <w:color w:val="auto"/>
          <w:sz w:val="24"/>
          <w:highlight w:val="none"/>
        </w:rPr>
        <w:t>被投诉人2</w:t>
      </w:r>
    </w:p>
    <w:p w14:paraId="67BA6828">
      <w:pPr>
        <w:rPr>
          <w:rFonts w:ascii="宋体" w:hAnsi="宋体" w:cs="宋体"/>
          <w:color w:val="auto"/>
          <w:sz w:val="24"/>
          <w:highlight w:val="none"/>
          <w:u w:val="dotted"/>
        </w:rPr>
      </w:pPr>
      <w:r>
        <w:rPr>
          <w:rFonts w:hint="eastAsia" w:ascii="宋体" w:hAnsi="宋体" w:cs="宋体"/>
          <w:color w:val="auto"/>
          <w:sz w:val="24"/>
          <w:highlight w:val="none"/>
        </w:rPr>
        <w:t>……</w:t>
      </w:r>
    </w:p>
    <w:p w14:paraId="21A39E57">
      <w:pPr>
        <w:rPr>
          <w:rFonts w:ascii="宋体" w:hAnsi="宋体" w:cs="宋体"/>
          <w:color w:val="auto"/>
          <w:sz w:val="24"/>
          <w:highlight w:val="none"/>
          <w:u w:val="single"/>
        </w:rPr>
      </w:pPr>
      <w:r>
        <w:rPr>
          <w:rFonts w:hint="eastAsia" w:ascii="宋体" w:hAnsi="宋体" w:cs="宋体"/>
          <w:color w:val="auto"/>
          <w:sz w:val="24"/>
          <w:highlight w:val="none"/>
        </w:rPr>
        <w:t>相关供应商：</w:t>
      </w:r>
    </w:p>
    <w:p w14:paraId="0C1BF79D">
      <w:pPr>
        <w:rPr>
          <w:rFonts w:ascii="宋体" w:hAnsi="宋体" w:cs="宋体"/>
          <w:color w:val="auto"/>
          <w:sz w:val="24"/>
          <w:highlight w:val="none"/>
          <w:u w:val="single"/>
        </w:rPr>
      </w:pPr>
      <w:r>
        <w:rPr>
          <w:rFonts w:hint="eastAsia" w:ascii="宋体" w:hAnsi="宋体" w:cs="宋体"/>
          <w:color w:val="auto"/>
          <w:sz w:val="24"/>
          <w:highlight w:val="none"/>
        </w:rPr>
        <w:t>地     址：邮编：</w:t>
      </w:r>
    </w:p>
    <w:p w14:paraId="4489255A">
      <w:pPr>
        <w:rPr>
          <w:rFonts w:ascii="宋体" w:hAnsi="宋体" w:cs="宋体"/>
          <w:color w:val="auto"/>
          <w:sz w:val="24"/>
          <w:highlight w:val="none"/>
          <w:u w:val="single"/>
        </w:rPr>
      </w:pPr>
      <w:r>
        <w:rPr>
          <w:rFonts w:hint="eastAsia" w:ascii="宋体" w:hAnsi="宋体" w:cs="宋体"/>
          <w:color w:val="auto"/>
          <w:sz w:val="24"/>
          <w:highlight w:val="none"/>
        </w:rPr>
        <w:t>联系人：联系电话：</w:t>
      </w:r>
    </w:p>
    <w:p w14:paraId="38FE1F38">
      <w:pPr>
        <w:rPr>
          <w:rFonts w:ascii="宋体" w:hAnsi="宋体" w:cs="宋体"/>
          <w:color w:val="auto"/>
          <w:sz w:val="24"/>
          <w:highlight w:val="none"/>
        </w:rPr>
      </w:pPr>
      <w:r>
        <w:rPr>
          <w:rFonts w:hint="eastAsia" w:ascii="宋体" w:hAnsi="宋体" w:cs="宋体"/>
          <w:color w:val="auto"/>
          <w:sz w:val="24"/>
          <w:highlight w:val="none"/>
        </w:rPr>
        <w:t>二、投诉项目基本情况</w:t>
      </w:r>
    </w:p>
    <w:p w14:paraId="29C9BE23">
      <w:pPr>
        <w:rPr>
          <w:rFonts w:ascii="宋体" w:hAnsi="宋体" w:cs="宋体"/>
          <w:color w:val="auto"/>
          <w:sz w:val="24"/>
          <w:highlight w:val="none"/>
          <w:u w:val="dotted"/>
        </w:rPr>
      </w:pPr>
      <w:r>
        <w:rPr>
          <w:rFonts w:hint="eastAsia" w:ascii="宋体" w:hAnsi="宋体" w:cs="宋体"/>
          <w:color w:val="auto"/>
          <w:sz w:val="24"/>
          <w:highlight w:val="none"/>
        </w:rPr>
        <w:t>采购项目名称：</w:t>
      </w:r>
    </w:p>
    <w:p w14:paraId="4EF8B4C1">
      <w:pPr>
        <w:rPr>
          <w:rFonts w:ascii="宋体" w:hAnsi="宋体" w:cs="宋体"/>
          <w:color w:val="auto"/>
          <w:sz w:val="24"/>
          <w:highlight w:val="none"/>
          <w:u w:val="single"/>
        </w:rPr>
      </w:pPr>
      <w:r>
        <w:rPr>
          <w:rFonts w:hint="eastAsia" w:ascii="宋体" w:hAnsi="宋体" w:cs="宋体"/>
          <w:color w:val="auto"/>
          <w:sz w:val="24"/>
          <w:highlight w:val="none"/>
        </w:rPr>
        <w:t>采购项目编号：包号：</w:t>
      </w:r>
    </w:p>
    <w:p w14:paraId="457A0C83">
      <w:pPr>
        <w:rPr>
          <w:rFonts w:ascii="宋体" w:hAnsi="宋体" w:cs="宋体"/>
          <w:color w:val="auto"/>
          <w:sz w:val="24"/>
          <w:highlight w:val="none"/>
        </w:rPr>
      </w:pPr>
      <w:r>
        <w:rPr>
          <w:rFonts w:hint="eastAsia" w:ascii="宋体" w:hAnsi="宋体" w:cs="宋体"/>
          <w:color w:val="auto"/>
          <w:sz w:val="24"/>
          <w:highlight w:val="none"/>
        </w:rPr>
        <w:t>采购人名称：</w:t>
      </w:r>
    </w:p>
    <w:p w14:paraId="6709F27E">
      <w:pPr>
        <w:rPr>
          <w:rFonts w:ascii="宋体" w:hAnsi="宋体" w:cs="宋体"/>
          <w:color w:val="auto"/>
          <w:sz w:val="24"/>
          <w:highlight w:val="none"/>
          <w:u w:val="single"/>
        </w:rPr>
      </w:pPr>
      <w:r>
        <w:rPr>
          <w:rFonts w:hint="eastAsia" w:ascii="宋体" w:hAnsi="宋体" w:cs="宋体"/>
          <w:color w:val="auto"/>
          <w:sz w:val="24"/>
          <w:highlight w:val="none"/>
        </w:rPr>
        <w:t>代理机构名称：</w:t>
      </w:r>
    </w:p>
    <w:p w14:paraId="27012A37">
      <w:pPr>
        <w:rPr>
          <w:rFonts w:ascii="宋体" w:hAnsi="宋体" w:cs="宋体"/>
          <w:color w:val="auto"/>
          <w:sz w:val="24"/>
          <w:highlight w:val="none"/>
          <w:u w:val="dotted"/>
        </w:rPr>
      </w:pPr>
      <w:r>
        <w:rPr>
          <w:rFonts w:hint="eastAsia" w:ascii="宋体" w:hAnsi="宋体" w:cs="宋体"/>
          <w:color w:val="auto"/>
          <w:sz w:val="24"/>
          <w:highlight w:val="none"/>
        </w:rPr>
        <w:t>磋商文件公告:</w:t>
      </w:r>
      <w:r>
        <w:rPr>
          <w:rFonts w:hint="eastAsia" w:ascii="宋体" w:hAnsi="宋体" w:cs="宋体"/>
          <w:color w:val="auto"/>
          <w:sz w:val="24"/>
          <w:highlight w:val="none"/>
          <w:u w:val="dotted"/>
        </w:rPr>
        <w:t xml:space="preserve">是/否 </w:t>
      </w:r>
      <w:r>
        <w:rPr>
          <w:rFonts w:hint="eastAsia" w:ascii="宋体" w:hAnsi="宋体" w:cs="宋体"/>
          <w:color w:val="auto"/>
          <w:sz w:val="24"/>
          <w:highlight w:val="none"/>
        </w:rPr>
        <w:t>公告期限：</w:t>
      </w:r>
    </w:p>
    <w:p w14:paraId="025B90CD">
      <w:pPr>
        <w:rPr>
          <w:rFonts w:ascii="宋体" w:hAnsi="宋体" w:cs="宋体"/>
          <w:color w:val="auto"/>
          <w:sz w:val="24"/>
          <w:highlight w:val="none"/>
          <w:u w:val="single"/>
        </w:rPr>
      </w:pPr>
      <w:r>
        <w:rPr>
          <w:rFonts w:hint="eastAsia" w:ascii="宋体" w:hAnsi="宋体" w:cs="宋体"/>
          <w:color w:val="auto"/>
          <w:sz w:val="24"/>
          <w:highlight w:val="none"/>
        </w:rPr>
        <w:t>采购结果公告:</w:t>
      </w:r>
      <w:r>
        <w:rPr>
          <w:rFonts w:hint="eastAsia" w:ascii="宋体" w:hAnsi="宋体" w:cs="宋体"/>
          <w:color w:val="auto"/>
          <w:sz w:val="24"/>
          <w:highlight w:val="none"/>
          <w:u w:val="dotted"/>
        </w:rPr>
        <w:t xml:space="preserve">是/否 </w:t>
      </w:r>
      <w:r>
        <w:rPr>
          <w:rFonts w:hint="eastAsia" w:ascii="宋体" w:hAnsi="宋体" w:cs="宋体"/>
          <w:color w:val="auto"/>
          <w:sz w:val="24"/>
          <w:highlight w:val="none"/>
        </w:rPr>
        <w:t>公告期限：</w:t>
      </w:r>
    </w:p>
    <w:p w14:paraId="63B51563">
      <w:pPr>
        <w:rPr>
          <w:rFonts w:ascii="宋体" w:hAnsi="宋体" w:cs="宋体"/>
          <w:color w:val="auto"/>
          <w:sz w:val="24"/>
          <w:highlight w:val="none"/>
        </w:rPr>
      </w:pPr>
      <w:r>
        <w:rPr>
          <w:rFonts w:hint="eastAsia" w:ascii="宋体" w:hAnsi="宋体" w:cs="宋体"/>
          <w:color w:val="auto"/>
          <w:sz w:val="24"/>
          <w:highlight w:val="none"/>
        </w:rPr>
        <w:t>三、质疑基本情况</w:t>
      </w:r>
    </w:p>
    <w:p w14:paraId="746A79C5">
      <w:pPr>
        <w:ind w:firstLine="480" w:firstLineChars="200"/>
        <w:rPr>
          <w:rFonts w:ascii="宋体" w:hAnsi="宋体" w:cs="宋体"/>
          <w:color w:val="auto"/>
          <w:sz w:val="24"/>
          <w:highlight w:val="none"/>
          <w:u w:val="dotted"/>
        </w:rPr>
      </w:pPr>
      <w:r>
        <w:rPr>
          <w:rFonts w:hint="eastAsia" w:ascii="宋体" w:hAnsi="宋体" w:cs="宋体"/>
          <w:color w:val="auto"/>
          <w:sz w:val="24"/>
          <w:highlight w:val="none"/>
        </w:rPr>
        <w:t>投诉人于年月日</w:t>
      </w:r>
      <w:r>
        <w:rPr>
          <w:rFonts w:hint="eastAsia" w:ascii="宋体" w:hAnsi="宋体" w:cs="宋体"/>
          <w:color w:val="auto"/>
          <w:sz w:val="24"/>
          <w:highlight w:val="none"/>
          <w:u w:val="single"/>
          <w:lang w:val="en-US" w:eastAsia="zh-CN"/>
        </w:rPr>
        <w:t>，</w:t>
      </w:r>
      <w:r>
        <w:rPr>
          <w:rFonts w:hint="eastAsia" w:ascii="宋体" w:hAnsi="宋体" w:cs="宋体"/>
          <w:color w:val="auto"/>
          <w:sz w:val="24"/>
          <w:highlight w:val="none"/>
        </w:rPr>
        <w:t>提出质疑，质疑事项为：</w:t>
      </w:r>
    </w:p>
    <w:p w14:paraId="498CBF9B">
      <w:pPr>
        <w:rPr>
          <w:rFonts w:ascii="宋体" w:hAnsi="宋体" w:cs="宋体"/>
          <w:color w:val="auto"/>
          <w:sz w:val="24"/>
          <w:highlight w:val="none"/>
          <w:u w:val="dotted"/>
        </w:rPr>
      </w:pPr>
    </w:p>
    <w:p w14:paraId="3D560452">
      <w:pPr>
        <w:ind w:firstLine="360" w:firstLineChars="150"/>
        <w:rPr>
          <w:rFonts w:ascii="宋体" w:hAnsi="宋体" w:cs="宋体"/>
          <w:color w:val="auto"/>
          <w:sz w:val="24"/>
          <w:highlight w:val="none"/>
        </w:rPr>
      </w:pPr>
      <w:r>
        <w:rPr>
          <w:rFonts w:hint="eastAsia" w:ascii="宋体" w:hAnsi="宋体" w:cs="宋体"/>
          <w:color w:val="auto"/>
          <w:sz w:val="24"/>
          <w:highlight w:val="none"/>
          <w:u w:val="dotted"/>
        </w:rPr>
        <w:t>采购人/代理机构</w:t>
      </w:r>
      <w:r>
        <w:rPr>
          <w:rFonts w:hint="eastAsia" w:ascii="宋体" w:hAnsi="宋体" w:cs="宋体"/>
          <w:color w:val="auto"/>
          <w:sz w:val="24"/>
          <w:highlight w:val="none"/>
        </w:rPr>
        <w:t>于年月日</w:t>
      </w:r>
      <w:r>
        <w:rPr>
          <w:rFonts w:hint="eastAsia" w:ascii="宋体" w:hAnsi="宋体" w:cs="宋体"/>
          <w:color w:val="auto"/>
          <w:sz w:val="24"/>
          <w:highlight w:val="none"/>
          <w:lang w:eastAsia="zh-CN"/>
        </w:rPr>
        <w:t>，</w:t>
      </w:r>
      <w:r>
        <w:rPr>
          <w:rFonts w:hint="eastAsia" w:ascii="宋体" w:hAnsi="宋体" w:cs="宋体"/>
          <w:color w:val="auto"/>
          <w:sz w:val="24"/>
          <w:highlight w:val="none"/>
        </w:rPr>
        <w:t>就质疑事项作出了答复/没有在法定期限内作出答复。</w:t>
      </w:r>
    </w:p>
    <w:p w14:paraId="09FA605A">
      <w:pPr>
        <w:rPr>
          <w:rFonts w:ascii="宋体" w:hAnsi="宋体" w:cs="宋体"/>
          <w:color w:val="auto"/>
          <w:sz w:val="24"/>
          <w:highlight w:val="none"/>
        </w:rPr>
      </w:pPr>
      <w:r>
        <w:rPr>
          <w:rFonts w:hint="eastAsia" w:ascii="宋体" w:hAnsi="宋体" w:cs="宋体"/>
          <w:color w:val="auto"/>
          <w:sz w:val="24"/>
          <w:highlight w:val="none"/>
        </w:rPr>
        <w:t>四、投诉事项具体内容</w:t>
      </w:r>
    </w:p>
    <w:p w14:paraId="5804843F">
      <w:pPr>
        <w:rPr>
          <w:rFonts w:ascii="宋体" w:hAnsi="宋体" w:cs="宋体"/>
          <w:color w:val="auto"/>
          <w:sz w:val="24"/>
          <w:highlight w:val="none"/>
          <w:u w:val="single"/>
        </w:rPr>
      </w:pPr>
      <w:r>
        <w:rPr>
          <w:rFonts w:hint="eastAsia" w:ascii="宋体" w:hAnsi="宋体" w:cs="宋体"/>
          <w:color w:val="auto"/>
          <w:sz w:val="24"/>
          <w:highlight w:val="none"/>
        </w:rPr>
        <w:t>投诉事项 1：</w:t>
      </w:r>
    </w:p>
    <w:p w14:paraId="55663BBE">
      <w:pPr>
        <w:rPr>
          <w:rFonts w:ascii="宋体" w:hAnsi="宋体" w:cs="宋体"/>
          <w:color w:val="auto"/>
          <w:sz w:val="24"/>
          <w:highlight w:val="none"/>
        </w:rPr>
      </w:pPr>
      <w:r>
        <w:rPr>
          <w:rFonts w:hint="eastAsia" w:ascii="宋体" w:hAnsi="宋体" w:cs="宋体"/>
          <w:color w:val="auto"/>
          <w:sz w:val="24"/>
          <w:highlight w:val="none"/>
        </w:rPr>
        <w:t>事实依据：</w:t>
      </w:r>
    </w:p>
    <w:p w14:paraId="4D4771C0">
      <w:pPr>
        <w:rPr>
          <w:rFonts w:ascii="宋体" w:hAnsi="宋体" w:cs="宋体"/>
          <w:color w:val="auto"/>
          <w:sz w:val="24"/>
          <w:highlight w:val="none"/>
          <w:u w:val="dotted"/>
        </w:rPr>
      </w:pPr>
    </w:p>
    <w:p w14:paraId="40919D49">
      <w:pPr>
        <w:rPr>
          <w:rFonts w:ascii="宋体" w:hAnsi="宋体" w:cs="宋体"/>
          <w:color w:val="auto"/>
          <w:sz w:val="24"/>
          <w:highlight w:val="none"/>
          <w:u w:val="single"/>
        </w:rPr>
      </w:pPr>
      <w:r>
        <w:rPr>
          <w:rFonts w:hint="eastAsia" w:ascii="宋体" w:hAnsi="宋体" w:cs="宋体"/>
          <w:color w:val="auto"/>
          <w:sz w:val="24"/>
          <w:highlight w:val="none"/>
        </w:rPr>
        <w:t>法律依据：</w:t>
      </w:r>
    </w:p>
    <w:p w14:paraId="160C8557">
      <w:pPr>
        <w:rPr>
          <w:rFonts w:ascii="宋体" w:hAnsi="宋体" w:cs="宋体"/>
          <w:color w:val="auto"/>
          <w:sz w:val="24"/>
          <w:highlight w:val="none"/>
          <w:u w:val="dotted"/>
        </w:rPr>
      </w:pPr>
    </w:p>
    <w:p w14:paraId="0C207452">
      <w:pPr>
        <w:rPr>
          <w:rFonts w:ascii="宋体" w:hAnsi="宋体" w:cs="宋体"/>
          <w:color w:val="auto"/>
          <w:sz w:val="24"/>
          <w:highlight w:val="none"/>
        </w:rPr>
      </w:pPr>
      <w:r>
        <w:rPr>
          <w:rFonts w:hint="eastAsia" w:ascii="宋体" w:hAnsi="宋体" w:cs="宋体"/>
          <w:color w:val="auto"/>
          <w:sz w:val="24"/>
          <w:highlight w:val="none"/>
        </w:rPr>
        <w:t>投诉事项2</w:t>
      </w:r>
    </w:p>
    <w:p w14:paraId="55E27182">
      <w:pPr>
        <w:rPr>
          <w:rFonts w:ascii="宋体" w:hAnsi="宋体" w:cs="宋体"/>
          <w:color w:val="auto"/>
          <w:sz w:val="24"/>
          <w:highlight w:val="none"/>
          <w:u w:val="dotted"/>
        </w:rPr>
      </w:pPr>
      <w:r>
        <w:rPr>
          <w:rFonts w:hint="eastAsia" w:ascii="宋体" w:hAnsi="宋体" w:cs="宋体"/>
          <w:color w:val="auto"/>
          <w:sz w:val="24"/>
          <w:highlight w:val="none"/>
        </w:rPr>
        <w:t>……</w:t>
      </w:r>
    </w:p>
    <w:p w14:paraId="4B1E70A0">
      <w:pPr>
        <w:rPr>
          <w:rFonts w:ascii="宋体" w:hAnsi="宋体" w:cs="宋体"/>
          <w:color w:val="auto"/>
          <w:sz w:val="24"/>
          <w:highlight w:val="none"/>
        </w:rPr>
      </w:pPr>
      <w:r>
        <w:rPr>
          <w:rFonts w:hint="eastAsia" w:ascii="宋体" w:hAnsi="宋体" w:cs="宋体"/>
          <w:color w:val="auto"/>
          <w:sz w:val="24"/>
          <w:highlight w:val="none"/>
        </w:rPr>
        <w:t>五、与投诉事项相关的投诉请求</w:t>
      </w:r>
    </w:p>
    <w:p w14:paraId="574639D9">
      <w:pPr>
        <w:rPr>
          <w:rFonts w:ascii="宋体" w:hAnsi="宋体" w:cs="宋体"/>
          <w:color w:val="auto"/>
          <w:sz w:val="24"/>
          <w:highlight w:val="none"/>
        </w:rPr>
      </w:pPr>
      <w:r>
        <w:rPr>
          <w:rFonts w:hint="eastAsia" w:ascii="宋体" w:hAnsi="宋体" w:cs="宋体"/>
          <w:color w:val="auto"/>
          <w:sz w:val="24"/>
          <w:highlight w:val="none"/>
        </w:rPr>
        <w:t>请求：</w:t>
      </w:r>
    </w:p>
    <w:p w14:paraId="26AB94FA">
      <w:pPr>
        <w:rPr>
          <w:rFonts w:ascii="宋体" w:hAnsi="宋体" w:cs="宋体"/>
          <w:color w:val="auto"/>
          <w:sz w:val="24"/>
          <w:highlight w:val="none"/>
          <w:u w:val="single"/>
        </w:rPr>
      </w:pPr>
    </w:p>
    <w:p w14:paraId="26E9CAB1">
      <w:pPr>
        <w:rPr>
          <w:rFonts w:ascii="宋体" w:hAnsi="宋体" w:cs="宋体"/>
          <w:color w:val="auto"/>
          <w:sz w:val="24"/>
          <w:highlight w:val="none"/>
        </w:rPr>
      </w:pPr>
      <w:r>
        <w:rPr>
          <w:rFonts w:hint="eastAsia" w:ascii="宋体" w:hAnsi="宋体" w:cs="宋体"/>
          <w:color w:val="auto"/>
          <w:sz w:val="24"/>
          <w:highlight w:val="none"/>
        </w:rPr>
        <w:t xml:space="preserve">签字(签章)：                   公章：                      </w:t>
      </w:r>
    </w:p>
    <w:p w14:paraId="6C1FE848">
      <w:pPr>
        <w:rPr>
          <w:rFonts w:ascii="宋体" w:hAnsi="宋体" w:cs="宋体"/>
          <w:color w:val="auto"/>
          <w:sz w:val="24"/>
          <w:highlight w:val="none"/>
        </w:rPr>
      </w:pPr>
      <w:r>
        <w:rPr>
          <w:rFonts w:hint="eastAsia" w:ascii="宋体" w:hAnsi="宋体" w:cs="宋体"/>
          <w:color w:val="auto"/>
          <w:sz w:val="24"/>
          <w:highlight w:val="none"/>
        </w:rPr>
        <w:t xml:space="preserve">日期：    </w:t>
      </w:r>
    </w:p>
    <w:p w14:paraId="424762F2">
      <w:pPr>
        <w:rPr>
          <w:rFonts w:ascii="宋体" w:hAnsi="宋体" w:cs="宋体"/>
          <w:b/>
          <w:color w:val="auto"/>
          <w:sz w:val="24"/>
          <w:highlight w:val="none"/>
        </w:rPr>
      </w:pPr>
    </w:p>
    <w:p w14:paraId="624E7779">
      <w:pPr>
        <w:spacing w:line="240" w:lineRule="auto"/>
        <w:rPr>
          <w:rFonts w:ascii="宋体" w:hAnsi="宋体" w:cs="宋体"/>
          <w:b/>
          <w:color w:val="auto"/>
          <w:sz w:val="24"/>
          <w:highlight w:val="none"/>
        </w:rPr>
      </w:pPr>
      <w:r>
        <w:rPr>
          <w:rFonts w:hint="eastAsia" w:ascii="宋体" w:hAnsi="宋体" w:cs="宋体"/>
          <w:b/>
          <w:color w:val="auto"/>
          <w:sz w:val="24"/>
          <w:highlight w:val="none"/>
        </w:rPr>
        <w:t>投诉书制作说明：</w:t>
      </w:r>
    </w:p>
    <w:p w14:paraId="36DEB75A">
      <w:pPr>
        <w:widowControl/>
        <w:spacing w:line="240" w:lineRule="auto"/>
        <w:ind w:firstLine="480" w:firstLineChars="200"/>
        <w:rPr>
          <w:rFonts w:ascii="宋体" w:hAnsi="宋体" w:cs="宋体"/>
          <w:color w:val="auto"/>
          <w:kern w:val="0"/>
          <w:sz w:val="24"/>
          <w:highlight w:val="none"/>
        </w:rPr>
      </w:pPr>
      <w:r>
        <w:rPr>
          <w:rFonts w:hint="eastAsia" w:ascii="宋体" w:hAnsi="宋体" w:cs="宋体"/>
          <w:color w:val="auto"/>
          <w:sz w:val="24"/>
          <w:highlight w:val="none"/>
        </w:rPr>
        <w:t>1.投诉人提起投诉时，应当提交投诉书和必要的证明材料，并按照被投诉人和与投诉事项有关的供应商数量提供投诉书副本。</w:t>
      </w:r>
    </w:p>
    <w:p w14:paraId="7D0C7003">
      <w:pPr>
        <w:widowControl/>
        <w:spacing w:line="240" w:lineRule="auto"/>
        <w:ind w:firstLine="480" w:firstLineChars="200"/>
        <w:jc w:val="left"/>
        <w:rPr>
          <w:rFonts w:ascii="宋体" w:hAnsi="宋体" w:cs="宋体"/>
          <w:color w:val="auto"/>
          <w:kern w:val="0"/>
          <w:sz w:val="24"/>
          <w:highlight w:val="none"/>
        </w:rPr>
      </w:pPr>
      <w:r>
        <w:rPr>
          <w:rFonts w:hint="eastAsia" w:ascii="宋体" w:hAnsi="宋体" w:cs="宋体"/>
          <w:color w:val="auto"/>
          <w:sz w:val="24"/>
          <w:highlight w:val="none"/>
        </w:rPr>
        <w:t>2.投诉人若委托代理人进行投诉的，投诉书应按照要求列明“授权代表”的有关内容，并在附件中提交由</w:t>
      </w:r>
      <w:r>
        <w:rPr>
          <w:rFonts w:hint="eastAsia" w:ascii="宋体" w:hAnsi="宋体" w:cs="宋体"/>
          <w:color w:val="auto"/>
          <w:kern w:val="0"/>
          <w:sz w:val="24"/>
          <w:highlight w:val="none"/>
        </w:rPr>
        <w:t>投诉人签署的授权委托书。授权委托书应当载明代理人的姓名或者名称、代理事项、具体权限、期限和相关事项。</w:t>
      </w:r>
    </w:p>
    <w:p w14:paraId="5D8F216E">
      <w:pPr>
        <w:widowControl/>
        <w:spacing w:line="24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3.投诉人若对项目的某一分包进行投诉，投诉书应列明具体分包号。</w:t>
      </w:r>
    </w:p>
    <w:p w14:paraId="626DA927">
      <w:pPr>
        <w:widowControl/>
        <w:spacing w:line="24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4.投诉书应简要列明质疑事项，质疑函、质疑答复等作为附件材料提供。</w:t>
      </w:r>
    </w:p>
    <w:p w14:paraId="596BB6E1">
      <w:pPr>
        <w:widowControl/>
        <w:spacing w:line="24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5.投诉书的投诉事项应具体、明确，并有必要的事实依据和法律依据。</w:t>
      </w:r>
    </w:p>
    <w:p w14:paraId="7824C6AB">
      <w:pPr>
        <w:widowControl/>
        <w:spacing w:line="24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6.投诉书的投诉请求应与投诉事项相关。</w:t>
      </w:r>
    </w:p>
    <w:p w14:paraId="72CD48D9">
      <w:pPr>
        <w:widowControl/>
        <w:spacing w:line="240" w:lineRule="auto"/>
        <w:ind w:firstLine="480" w:firstLineChars="200"/>
        <w:jc w:val="left"/>
        <w:rPr>
          <w:rFonts w:ascii="宋体" w:hAnsi="宋体" w:cs="宋体"/>
          <w:color w:val="auto"/>
          <w:kern w:val="0"/>
          <w:sz w:val="24"/>
          <w:highlight w:val="none"/>
        </w:rPr>
      </w:pPr>
      <w:r>
        <w:rPr>
          <w:rFonts w:hint="eastAsia" w:ascii="宋体" w:hAnsi="宋体" w:cs="宋体"/>
          <w:color w:val="auto"/>
          <w:sz w:val="24"/>
          <w:highlight w:val="none"/>
        </w:rPr>
        <w:t>7.投诉人为自然人的，投诉书应当由本人签字；投诉人为法人或者其他组织的，投诉书应当由法定代表人、主要负责人，或者其授权代表签字或者盖章，并加盖公章。</w:t>
      </w:r>
    </w:p>
    <w:sectPr>
      <w:footerReference r:id="rId7" w:type="default"/>
      <w:pgSz w:w="11911" w:h="16838"/>
      <w:pgMar w:top="1361" w:right="1134" w:bottom="1361" w:left="1134" w:header="720" w:footer="720" w:gutter="0"/>
      <w:cols w:space="0" w:num="1"/>
      <w:docGrid w:linePitch="33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4407CA36-2C07-495F-9D13-6C23B299D262}"/>
  </w:font>
  <w:font w:name="黑体">
    <w:panose1 w:val="02010609060101010101"/>
    <w:charset w:val="86"/>
    <w:family w:val="auto"/>
    <w:pitch w:val="default"/>
    <w:sig w:usb0="800002BF" w:usb1="38CF7CFA" w:usb2="00000016" w:usb3="00000000" w:csb0="00040001" w:csb1="00000000"/>
    <w:embedRegular r:id="rId2" w:fontKey="{1B67AA49-A928-4E1B-A9E2-731590F5082C}"/>
  </w:font>
  <w:font w:name="Courier New">
    <w:panose1 w:val="02070309020205020404"/>
    <w:charset w:val="01"/>
    <w:family w:val="modern"/>
    <w:pitch w:val="default"/>
    <w:sig w:usb0="E0002EFF" w:usb1="C0007843" w:usb2="00000009" w:usb3="00000000" w:csb0="400001FF" w:csb1="FFFF0000"/>
    <w:embedRegular r:id="rId3" w:fontKey="{398260C7-3A67-425D-9789-6038CB2DD69F}"/>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31206800-646A-4E4C-8210-28E817938A45}"/>
  </w:font>
  <w:font w:name="仿宋_GB2312">
    <w:altName w:val="仿宋"/>
    <w:panose1 w:val="02010609030101010101"/>
    <w:charset w:val="86"/>
    <w:family w:val="modern"/>
    <w:pitch w:val="default"/>
    <w:sig w:usb0="00000000" w:usb1="00000000" w:usb2="00000000" w:usb3="00000000" w:csb0="00040000" w:csb1="00000000"/>
    <w:embedRegular r:id="rId5" w:fontKey="{42EB2B5B-17FF-46D0-9BF6-BA06EEC23888}"/>
  </w:font>
  <w:font w:name="仿宋">
    <w:panose1 w:val="02010609060101010101"/>
    <w:charset w:val="86"/>
    <w:family w:val="modern"/>
    <w:pitch w:val="default"/>
    <w:sig w:usb0="800002BF" w:usb1="38CF7CFA" w:usb2="00000016" w:usb3="00000000" w:csb0="00040001" w:csb1="00000000"/>
    <w:embedRegular r:id="rId6" w:fontKey="{02CED04A-3F6B-47C4-9061-F4022FCD3F8A}"/>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方正公文小标宋">
    <w:altName w:val="宋体"/>
    <w:panose1 w:val="02000500000000000000"/>
    <w:charset w:val="86"/>
    <w:family w:val="auto"/>
    <w:pitch w:val="default"/>
    <w:sig w:usb0="00000000" w:usb1="00000000" w:usb2="00000016" w:usb3="00000000" w:csb0="00040001" w:csb1="00000000"/>
  </w:font>
  <w:font w:name="_x000B__x000C_">
    <w:altName w:val="微软雅黑"/>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elvetica">
    <w:altName w:val="Arial"/>
    <w:panose1 w:val="00000000000000000000"/>
    <w:charset w:val="00"/>
    <w:family w:val="swiss"/>
    <w:pitch w:val="default"/>
    <w:sig w:usb0="00000000" w:usb1="00000000" w:usb2="00000000" w:usb3="00000000" w:csb0="2000019F" w:csb1="4F010000"/>
    <w:embedRegular r:id="rId7" w:fontKey="{D5D7EB4A-ADF6-41AD-9800-303CFDE3A541}"/>
  </w:font>
  <w:font w:name="Arial Unicode MS">
    <w:altName w:val="宋体"/>
    <w:panose1 w:val="020B0604020202020204"/>
    <w:charset w:val="86"/>
    <w:family w:val="swiss"/>
    <w:pitch w:val="default"/>
    <w:sig w:usb0="00000000" w:usb1="00000000" w:usb2="0000003F" w:usb3="00000000" w:csb0="603F01FF" w:csb1="FFFF0000"/>
  </w:font>
  <w:font w:name="华文细黑">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00006FF" w:usb1="4000205B" w:usb2="00000010" w:usb3="00000000" w:csb0="2000019F" w:csb1="00000000"/>
  </w:font>
  <w:font w:name="Century">
    <w:panose1 w:val="02040604050505020304"/>
    <w:charset w:val="00"/>
    <w:family w:val="roman"/>
    <w:pitch w:val="default"/>
    <w:sig w:usb0="00000287" w:usb1="00000000" w:usb2="00000000" w:usb3="00000000" w:csb0="2000009F" w:csb1="DFD70000"/>
  </w:font>
  <w:font w:name="方正仿宋简体">
    <w:altName w:val="微软雅黑"/>
    <w:panose1 w:val="00000000000000000000"/>
    <w:charset w:val="00"/>
    <w:family w:val="auto"/>
    <w:pitch w:val="default"/>
    <w:sig w:usb0="00000000" w:usb1="00000000" w:usb2="00000010" w:usb3="00000000" w:csb0="00040000" w:csb1="00000000"/>
    <w:embedRegular r:id="rId8" w:fontKey="{FBD75A63-3F4D-4897-AA9A-DC46D868065C}"/>
  </w:font>
  <w:font w:name="MS Mincho">
    <w:panose1 w:val="02020609040205080304"/>
    <w:charset w:val="80"/>
    <w:family w:val="modern"/>
    <w:pitch w:val="default"/>
    <w:sig w:usb0="A00002BF" w:usb1="68C7FCFB" w:usb2="00000010" w:usb3="00000000" w:csb0="4002009F" w:csb1="DFD70000"/>
    <w:embedRegular r:id="rId9" w:fontKey="{A8EA44B4-8528-4E86-946A-96C399909831}"/>
  </w:font>
  <w:font w:name="Segoe UI Symbol">
    <w:panose1 w:val="020B0502040204020203"/>
    <w:charset w:val="00"/>
    <w:family w:val="swiss"/>
    <w:pitch w:val="default"/>
    <w:sig w:usb0="800001E3" w:usb1="1200FFEF" w:usb2="00040000" w:usb3="04000000" w:csb0="00000001" w:csb1="40000000"/>
    <w:embedRegular r:id="rId10" w:fontKey="{7A3D1709-DB29-44E9-8C82-3445654E5DFA}"/>
  </w:font>
  <w:font w:name="Wingdings 2">
    <w:panose1 w:val="05020102010507070707"/>
    <w:charset w:val="02"/>
    <w:family w:val="roman"/>
    <w:pitch w:val="default"/>
    <w:sig w:usb0="00000000" w:usb1="00000000" w:usb2="00000000" w:usb3="00000000" w:csb0="80000000" w:csb1="00000000"/>
    <w:embedRegular r:id="rId11" w:fontKey="{92A77A39-198E-4586-813C-653B2EC6E5B8}"/>
  </w:font>
  <w:font w:name="方正小标宋简体">
    <w:altName w:val="黑体"/>
    <w:panose1 w:val="02000000000000000000"/>
    <w:charset w:val="86"/>
    <w:family w:val="script"/>
    <w:pitch w:val="default"/>
    <w:sig w:usb0="00000000" w:usb1="00000000" w:usb2="00000000" w:usb3="00000000" w:csb0="00040000" w:csb1="00000000"/>
    <w:embedRegular r:id="rId12" w:fontKey="{7C062418-9D49-4DE2-85DC-D917E6CAA30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20475E">
    <w:pPr>
      <w:pStyle w:val="30"/>
      <w:ind w:firstLine="3682"/>
      <w:rPr>
        <w:szCs w:val="18"/>
      </w:rPr>
    </w:pPr>
    <w: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14:paraId="4F7A6036">
                          <w:pPr>
                            <w:pStyle w:val="30"/>
                            <w:ind w:firstLine="3682"/>
                          </w:pPr>
                        </w:p>
                        <w:p w14:paraId="622D7CA9"/>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GhpgkvTAAAABQEAAA8AAAAAAAAAAQAgAAAA&#10;IgAAAGRycy9kb3ducmV2LnhtbFBLAQIUABQAAAAIAIdO4kCnp16c1wEAALEDAAAOAAAAAAAAAAEA&#10;IAAAACIBAABkcnMvZTJvRG9jLnhtbFBLBQYAAAAABgAGAFkBAABrBQAAAAA=&#10;">
              <v:fill on="f" focussize="0,0"/>
              <v:stroke on="f" weight="1.25pt"/>
              <v:imagedata o:title=""/>
              <o:lock v:ext="edit" aspectratio="f"/>
              <v:textbox inset="0mm,0mm,0mm,0mm" style="mso-fit-shape-to-text:t;">
                <w:txbxContent>
                  <w:p w14:paraId="4F7A6036">
                    <w:pPr>
                      <w:pStyle w:val="30"/>
                      <w:ind w:firstLine="3682"/>
                    </w:pPr>
                  </w:p>
                  <w:p w14:paraId="622D7CA9"/>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79D9D3">
    <w:pPr>
      <w:pStyle w:val="30"/>
      <w:ind w:firstLine="3682"/>
      <w:rPr>
        <w:szCs w:val="18"/>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14:paraId="7037B2A7">
                          <w:pPr>
                            <w:pStyle w:val="30"/>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oaYJL0wAAAAUBAAAPAAAAAAAAAAEAIAAA&#10;ACIAAABkcnMvZG93bnJldi54bWxQSwECFAAUAAAACACHTuJABI3IJdgBAACyAwAADgAAAAAAAAAB&#10;ACAAAAAiAQAAZHJzL2Uyb0RvYy54bWxQSwUGAAAAAAYABgBZAQAAbAUAAAAA&#10;">
              <v:fill on="f" focussize="0,0"/>
              <v:stroke on="f" weight="1.25pt"/>
              <v:imagedata o:title=""/>
              <o:lock v:ext="edit" aspectratio="f"/>
              <v:textbox inset="0mm,0mm,0mm,0mm" style="mso-fit-shape-to-text:t;">
                <w:txbxContent>
                  <w:p w14:paraId="7037B2A7">
                    <w:pPr>
                      <w:pStyle w:val="30"/>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14:paraId="18AA255E">
                          <w:pPr>
                            <w:pStyle w:val="30"/>
                          </w:pP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GhpgkvTAAAABQEAAA8AAAAAAAAAAQAgAAAA&#10;IgAAAGRycy9kb3ducmV2LnhtbFBLAQIUABQAAAAIAIdO4kDfqUKt1wEAALEDAAAOAAAAAAAAAAEA&#10;IAAAACIBAABkcnMvZTJvRG9jLnhtbFBLBQYAAAAABgAGAFkBAABrBQAAAAA=&#10;">
              <v:fill on="f" focussize="0,0"/>
              <v:stroke on="f" weight="1.25pt"/>
              <v:imagedata o:title=""/>
              <o:lock v:ext="edit" aspectratio="f"/>
              <v:textbox inset="0mm,0mm,0mm,0mm" style="mso-fit-shape-to-text:t;">
                <w:txbxContent>
                  <w:p w14:paraId="18AA255E">
                    <w:pPr>
                      <w:pStyle w:val="30"/>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14:paraId="297E32F1">
                          <w:pPr>
                            <w:pStyle w:val="30"/>
                            <w:ind w:firstLine="3682"/>
                          </w:pP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oaYJL0wAAAAUBAAAPAAAAAAAAAAEAIAAA&#10;ACIAAABkcnMvZG93bnJldi54bWxQSwECFAAUAAAACACHTuJAryCyGdgBAACxAwAADgAAAAAAAAAB&#10;ACAAAAAiAQAAZHJzL2Uyb0RvYy54bWxQSwUGAAAAAAYABgBZAQAAbAUAAAAA&#10;">
              <v:fill on="f" focussize="0,0"/>
              <v:stroke on="f" weight="1.25pt"/>
              <v:imagedata o:title=""/>
              <o:lock v:ext="edit" aspectratio="f"/>
              <v:textbox inset="0mm,0mm,0mm,0mm" style="mso-fit-shape-to-text:t;">
                <w:txbxContent>
                  <w:p w14:paraId="297E32F1">
                    <w:pPr>
                      <w:pStyle w:val="30"/>
                      <w:ind w:firstLine="3682"/>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37DEB0">
    <w:pPr>
      <w:pStyle w:val="30"/>
      <w:ind w:firstLine="3682"/>
      <w:rPr>
        <w:szCs w:val="18"/>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14:paraId="43651EE4">
                          <w:pPr>
                            <w:pStyle w:val="30"/>
                          </w:pPr>
                          <w:r>
                            <w:rPr>
                              <w:rFonts w:hint="eastAsia"/>
                            </w:rPr>
                            <w:fldChar w:fldCharType="begin"/>
                          </w:r>
                          <w:r>
                            <w:rPr>
                              <w:rFonts w:hint="eastAsia"/>
                            </w:rPr>
                            <w:instrText xml:space="preserve"> PAGE  \* MERGEFORMAT </w:instrText>
                          </w:r>
                          <w:r>
                            <w:rPr>
                              <w:rFonts w:hint="eastAsia"/>
                            </w:rPr>
                            <w:fldChar w:fldCharType="separate"/>
                          </w:r>
                          <w:r>
                            <w:t>58</w:t>
                          </w:r>
                          <w:r>
                            <w:rPr>
                              <w:rFonts w:hint="eastAsia"/>
                            </w:rPr>
                            <w:fldChar w:fldCharType="end"/>
                          </w:r>
                        </w:p>
                      </w:txbxContent>
                    </wps:txbx>
                    <wps:bodyPr wrap="none" lIns="0" tIns="0" rIns="0" bIns="0" upright="0">
                      <a:spAutoFit/>
                    </wps:bodyPr>
                  </wps:wsp>
                </a:graphicData>
              </a:graphic>
            </wp:anchor>
          </w:drawing>
        </mc:Choice>
        <mc:Fallback>
          <w:pict>
            <v:shape id="文本框 2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oaYJL0wAAAAUBAAAPAAAAAAAAAAEAIAAA&#10;ACIAAABkcnMvZG93bnJldi54bWxQSwECFAAUAAAACACHTuJAqWvT4tgBAACyAwAADgAAAAAAAAAB&#10;ACAAAAAiAQAAZHJzL2Uyb0RvYy54bWxQSwUGAAAAAAYABgBZAQAAbAUAAAAA&#10;">
              <v:fill on="f" focussize="0,0"/>
              <v:stroke on="f" weight="1.25pt"/>
              <v:imagedata o:title=""/>
              <o:lock v:ext="edit" aspectratio="f"/>
              <v:textbox inset="0mm,0mm,0mm,0mm" style="mso-fit-shape-to-text:t;">
                <w:txbxContent>
                  <w:p w14:paraId="43651EE4">
                    <w:pPr>
                      <w:pStyle w:val="30"/>
                    </w:pPr>
                    <w:r>
                      <w:rPr>
                        <w:rFonts w:hint="eastAsia"/>
                      </w:rPr>
                      <w:fldChar w:fldCharType="begin"/>
                    </w:r>
                    <w:r>
                      <w:rPr>
                        <w:rFonts w:hint="eastAsia"/>
                      </w:rPr>
                      <w:instrText xml:space="preserve"> PAGE  \* MERGEFORMAT </w:instrText>
                    </w:r>
                    <w:r>
                      <w:rPr>
                        <w:rFonts w:hint="eastAsia"/>
                      </w:rPr>
                      <w:fldChar w:fldCharType="separate"/>
                    </w:r>
                    <w:r>
                      <w:t>58</w:t>
                    </w:r>
                    <w:r>
                      <w:rPr>
                        <w:rFonts w:hint="eastAsia"/>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14:paraId="4CB6390A">
                          <w:pPr>
                            <w:pStyle w:val="30"/>
                          </w:pPr>
                        </w:p>
                      </w:txbxContent>
                    </wps:txbx>
                    <wps:bodyPr wrap="none" lIns="0" tIns="0" rIns="0" bIns="0" upright="0">
                      <a:spAutoFit/>
                    </wps:bodyPr>
                  </wps:wsp>
                </a:graphicData>
              </a:graphic>
            </wp:anchor>
          </w:drawing>
        </mc:Choice>
        <mc:Fallback>
          <w:pict>
            <v:shape id="文本框 2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oaYJL0wAAAAUBAAAPAAAAAAAAAAEAIAAA&#10;ACIAAABkcnMvZG93bnJldi54bWxQSwECFAAUAAAACACHTuJApHEvjtgBAACyAwAADgAAAAAAAAAB&#10;ACAAAAAiAQAAZHJzL2Uyb0RvYy54bWxQSwUGAAAAAAYABgBZAQAAbAUAAAAA&#10;">
              <v:fill on="f" focussize="0,0"/>
              <v:stroke on="f" weight="1.25pt"/>
              <v:imagedata o:title=""/>
              <o:lock v:ext="edit" aspectratio="f"/>
              <v:textbox inset="0mm,0mm,0mm,0mm" style="mso-fit-shape-to-text:t;">
                <w:txbxContent>
                  <w:p w14:paraId="4CB6390A">
                    <w:pPr>
                      <w:pStyle w:val="30"/>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5"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14:paraId="5625FE16">
                          <w:pPr>
                            <w:pStyle w:val="30"/>
                            <w:ind w:firstLine="3682"/>
                          </w:pPr>
                        </w:p>
                      </w:txbxContent>
                    </wps:txbx>
                    <wps:bodyPr wrap="none" lIns="0" tIns="0" rIns="0" bIns="0" upright="0">
                      <a:spAutoFit/>
                    </wps:bodyPr>
                  </wps:wsp>
                </a:graphicData>
              </a:graphic>
            </wp:anchor>
          </w:drawing>
        </mc:Choice>
        <mc:Fallback>
          <w:pict>
            <v:shape id="文本框 23"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oaYJL0wAAAAUBAAAPAAAAAAAAAAEAIAAA&#10;ACIAAABkcnMvZG93bnJldi54bWxQSwECFAAUAAAACACHTuJATvJ/oNgBAACyAwAADgAAAAAAAAAB&#10;ACAAAAAiAQAAZHJzL2Uyb0RvYy54bWxQSwUGAAAAAAYABgBZAQAAbAUAAAAA&#10;">
              <v:fill on="f" focussize="0,0"/>
              <v:stroke on="f" weight="1.25pt"/>
              <v:imagedata o:title=""/>
              <o:lock v:ext="edit" aspectratio="f"/>
              <v:textbox inset="0mm,0mm,0mm,0mm" style="mso-fit-shape-to-text:t;">
                <w:txbxContent>
                  <w:p w14:paraId="5625FE16">
                    <w:pPr>
                      <w:pStyle w:val="30"/>
                      <w:ind w:firstLine="3682"/>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4F44F3">
    <w:pPr>
      <w:pStyle w:val="32"/>
      <w:pBdr>
        <w:bottom w:val="none" w:color="auto" w:sz="0" w:space="0"/>
      </w:pBdr>
      <w:jc w:val="left"/>
      <w:rPr>
        <w:rFonts w:ascii="方正仿宋简体" w:eastAsia="方正仿宋简体"/>
        <w:sz w:val="20"/>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91E36">
    <w:pPr>
      <w:pStyle w:val="32"/>
      <w:pBdr>
        <w:bottom w:val="none" w:color="auto" w:sz="0" w:space="0"/>
      </w:pBdr>
      <w:tabs>
        <w:tab w:val="center" w:pos="0"/>
        <w:tab w:val="left"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1A280E"/>
    <w:multiLevelType w:val="singleLevel"/>
    <w:tmpl w:val="A21A280E"/>
    <w:lvl w:ilvl="0" w:tentative="0">
      <w:start w:val="2"/>
      <w:numFmt w:val="chineseCounting"/>
      <w:suff w:val="nothing"/>
      <w:lvlText w:val="%1、"/>
      <w:lvlJc w:val="left"/>
      <w:rPr>
        <w:rFonts w:hint="eastAsia"/>
      </w:rPr>
    </w:lvl>
  </w:abstractNum>
  <w:abstractNum w:abstractNumId="1">
    <w:nsid w:val="B406A70B"/>
    <w:multiLevelType w:val="singleLevel"/>
    <w:tmpl w:val="B406A70B"/>
    <w:lvl w:ilvl="0" w:tentative="0">
      <w:start w:val="5"/>
      <w:numFmt w:val="chineseCounting"/>
      <w:suff w:val="nothing"/>
      <w:lvlText w:val="%1、"/>
      <w:lvlJc w:val="left"/>
      <w:rPr>
        <w:rFonts w:hint="eastAsia"/>
      </w:rPr>
    </w:lvl>
  </w:abstractNum>
  <w:abstractNum w:abstractNumId="2">
    <w:nsid w:val="B424B70A"/>
    <w:multiLevelType w:val="singleLevel"/>
    <w:tmpl w:val="B424B70A"/>
    <w:lvl w:ilvl="0" w:tentative="0">
      <w:start w:val="1"/>
      <w:numFmt w:val="decimal"/>
      <w:lvlText w:val="%1."/>
      <w:lvlJc w:val="left"/>
      <w:pPr>
        <w:ind w:left="425" w:hanging="425"/>
      </w:pPr>
      <w:rPr>
        <w:rFonts w:hint="default" w:ascii="宋体" w:hAnsi="宋体" w:eastAsia="宋体" w:cs="宋体"/>
        <w:b w:val="0"/>
        <w:bCs w:val="0"/>
        <w:color w:val="auto"/>
      </w:rPr>
    </w:lvl>
  </w:abstractNum>
  <w:abstractNum w:abstractNumId="3">
    <w:nsid w:val="0000000B"/>
    <w:multiLevelType w:val="multilevel"/>
    <w:tmpl w:val="0000000B"/>
    <w:lvl w:ilvl="0" w:tentative="0">
      <w:start w:val="1"/>
      <w:numFmt w:val="decimal"/>
      <w:lvlText w:val="（%1）"/>
      <w:lvlJc w:val="left"/>
      <w:pPr>
        <w:tabs>
          <w:tab w:val="left" w:pos="1140"/>
        </w:tabs>
        <w:ind w:left="1140" w:hanging="720"/>
      </w:pPr>
      <w:rPr>
        <w:rFonts w:ascii="宋体" w:hAnsi="宋体" w:eastAsia="宋体" w:cs="Times New Roman"/>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4">
    <w:nsid w:val="1B8657C5"/>
    <w:multiLevelType w:val="singleLevel"/>
    <w:tmpl w:val="1B8657C5"/>
    <w:lvl w:ilvl="0" w:tentative="0">
      <w:start w:val="2"/>
      <w:numFmt w:val="decimal"/>
      <w:pStyle w:val="20"/>
      <w:suff w:val="nothing"/>
      <w:lvlText w:val="（%1）"/>
      <w:lvlJc w:val="left"/>
    </w:lvl>
  </w:abstractNum>
  <w:num w:numId="1">
    <w:abstractNumId w:val="4"/>
  </w:num>
  <w:num w:numId="2">
    <w:abstractNumId w:val="0"/>
  </w:num>
  <w:num w:numId="3">
    <w:abstractNumId w:val="1"/>
  </w:num>
  <w:num w:numId="4">
    <w:abstractNumId w:val="2"/>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NotTrackMoves/>
  <w:documentProtection w:edit="readOnly" w:enforcement="0"/>
  <w:defaultTabStop w:val="420"/>
  <w:drawingGridHorizontalSpacing w:val="210"/>
  <w:drawingGridVerticalSpacing w:val="165"/>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yOGU1ZTI2MmFhYjllM2NkMmUwOTA3Y2ViMWFhMDEifQ=="/>
  </w:docVars>
  <w:rsids>
    <w:rsidRoot w:val="00172A27"/>
    <w:rsid w:val="0000058E"/>
    <w:rsid w:val="000034A8"/>
    <w:rsid w:val="00003C79"/>
    <w:rsid w:val="00010B60"/>
    <w:rsid w:val="0001483F"/>
    <w:rsid w:val="000213D7"/>
    <w:rsid w:val="000300E9"/>
    <w:rsid w:val="0003281C"/>
    <w:rsid w:val="00034ED9"/>
    <w:rsid w:val="00035DCA"/>
    <w:rsid w:val="00036CD3"/>
    <w:rsid w:val="000405F8"/>
    <w:rsid w:val="00041969"/>
    <w:rsid w:val="00043C75"/>
    <w:rsid w:val="00051950"/>
    <w:rsid w:val="00052EDA"/>
    <w:rsid w:val="00060AEF"/>
    <w:rsid w:val="000635FB"/>
    <w:rsid w:val="00066DD2"/>
    <w:rsid w:val="00080AA7"/>
    <w:rsid w:val="00084C43"/>
    <w:rsid w:val="00085245"/>
    <w:rsid w:val="00086ED6"/>
    <w:rsid w:val="00090947"/>
    <w:rsid w:val="0009098C"/>
    <w:rsid w:val="000910E3"/>
    <w:rsid w:val="00093DDF"/>
    <w:rsid w:val="0009618A"/>
    <w:rsid w:val="000A0B1E"/>
    <w:rsid w:val="000A47A1"/>
    <w:rsid w:val="000B65B6"/>
    <w:rsid w:val="000C0383"/>
    <w:rsid w:val="000C2DE6"/>
    <w:rsid w:val="000D06C0"/>
    <w:rsid w:val="000D31CD"/>
    <w:rsid w:val="000D3780"/>
    <w:rsid w:val="000D61FF"/>
    <w:rsid w:val="000D72FC"/>
    <w:rsid w:val="000D73D1"/>
    <w:rsid w:val="000E117D"/>
    <w:rsid w:val="000E339E"/>
    <w:rsid w:val="000E7159"/>
    <w:rsid w:val="000F1F5C"/>
    <w:rsid w:val="000F2735"/>
    <w:rsid w:val="000F2795"/>
    <w:rsid w:val="000F3CC7"/>
    <w:rsid w:val="000F4373"/>
    <w:rsid w:val="000F43DF"/>
    <w:rsid w:val="00103257"/>
    <w:rsid w:val="001132B7"/>
    <w:rsid w:val="0011587C"/>
    <w:rsid w:val="00115C9C"/>
    <w:rsid w:val="00120814"/>
    <w:rsid w:val="001218A4"/>
    <w:rsid w:val="001256A2"/>
    <w:rsid w:val="00132FF7"/>
    <w:rsid w:val="0013339A"/>
    <w:rsid w:val="00134243"/>
    <w:rsid w:val="0013475F"/>
    <w:rsid w:val="001359B2"/>
    <w:rsid w:val="00136BD1"/>
    <w:rsid w:val="00142BC8"/>
    <w:rsid w:val="001437C1"/>
    <w:rsid w:val="00153122"/>
    <w:rsid w:val="0015565B"/>
    <w:rsid w:val="00157239"/>
    <w:rsid w:val="001575D4"/>
    <w:rsid w:val="001663A9"/>
    <w:rsid w:val="00172A27"/>
    <w:rsid w:val="00177919"/>
    <w:rsid w:val="00182BD8"/>
    <w:rsid w:val="00183B51"/>
    <w:rsid w:val="001840AB"/>
    <w:rsid w:val="00185239"/>
    <w:rsid w:val="001879E4"/>
    <w:rsid w:val="00191901"/>
    <w:rsid w:val="00192009"/>
    <w:rsid w:val="001924C8"/>
    <w:rsid w:val="00195028"/>
    <w:rsid w:val="001A0AE7"/>
    <w:rsid w:val="001A2F99"/>
    <w:rsid w:val="001A4DEC"/>
    <w:rsid w:val="001B056E"/>
    <w:rsid w:val="001B6638"/>
    <w:rsid w:val="001C1A1C"/>
    <w:rsid w:val="001C2545"/>
    <w:rsid w:val="001C758C"/>
    <w:rsid w:val="001D32D2"/>
    <w:rsid w:val="001D4AB2"/>
    <w:rsid w:val="001E3586"/>
    <w:rsid w:val="001E4888"/>
    <w:rsid w:val="001E619F"/>
    <w:rsid w:val="001E6231"/>
    <w:rsid w:val="001E670F"/>
    <w:rsid w:val="001F382E"/>
    <w:rsid w:val="001F3E51"/>
    <w:rsid w:val="001F656D"/>
    <w:rsid w:val="001F71A5"/>
    <w:rsid w:val="001F7C34"/>
    <w:rsid w:val="0020290B"/>
    <w:rsid w:val="00203638"/>
    <w:rsid w:val="00205B5D"/>
    <w:rsid w:val="0021145C"/>
    <w:rsid w:val="00213338"/>
    <w:rsid w:val="002149BA"/>
    <w:rsid w:val="00214B2D"/>
    <w:rsid w:val="00215226"/>
    <w:rsid w:val="00215982"/>
    <w:rsid w:val="002166A9"/>
    <w:rsid w:val="00216D7B"/>
    <w:rsid w:val="00217135"/>
    <w:rsid w:val="002223A1"/>
    <w:rsid w:val="00224E1A"/>
    <w:rsid w:val="00230DC4"/>
    <w:rsid w:val="00232D4D"/>
    <w:rsid w:val="002355BC"/>
    <w:rsid w:val="0023773C"/>
    <w:rsid w:val="00244700"/>
    <w:rsid w:val="0024567D"/>
    <w:rsid w:val="00253C7A"/>
    <w:rsid w:val="002563CB"/>
    <w:rsid w:val="00256D09"/>
    <w:rsid w:val="00257582"/>
    <w:rsid w:val="0027080E"/>
    <w:rsid w:val="002709C4"/>
    <w:rsid w:val="00280346"/>
    <w:rsid w:val="002820FE"/>
    <w:rsid w:val="00282F0E"/>
    <w:rsid w:val="002837BD"/>
    <w:rsid w:val="00285186"/>
    <w:rsid w:val="00286E0C"/>
    <w:rsid w:val="00293CD3"/>
    <w:rsid w:val="0029418D"/>
    <w:rsid w:val="002950B7"/>
    <w:rsid w:val="00296C72"/>
    <w:rsid w:val="002C240C"/>
    <w:rsid w:val="002C2CFB"/>
    <w:rsid w:val="002C6608"/>
    <w:rsid w:val="002C757D"/>
    <w:rsid w:val="002D000B"/>
    <w:rsid w:val="002D0723"/>
    <w:rsid w:val="002D21FC"/>
    <w:rsid w:val="002D7C75"/>
    <w:rsid w:val="002E01C1"/>
    <w:rsid w:val="002E1317"/>
    <w:rsid w:val="002E590F"/>
    <w:rsid w:val="002E6325"/>
    <w:rsid w:val="002E710C"/>
    <w:rsid w:val="002F0AC7"/>
    <w:rsid w:val="002F2D2F"/>
    <w:rsid w:val="002F7CB8"/>
    <w:rsid w:val="00301A55"/>
    <w:rsid w:val="0030233E"/>
    <w:rsid w:val="00306034"/>
    <w:rsid w:val="003079E1"/>
    <w:rsid w:val="003178C2"/>
    <w:rsid w:val="0032400B"/>
    <w:rsid w:val="003259E2"/>
    <w:rsid w:val="00326C8F"/>
    <w:rsid w:val="00327B39"/>
    <w:rsid w:val="00331558"/>
    <w:rsid w:val="00331F06"/>
    <w:rsid w:val="00340882"/>
    <w:rsid w:val="00340F16"/>
    <w:rsid w:val="00344095"/>
    <w:rsid w:val="00346D07"/>
    <w:rsid w:val="00346DFC"/>
    <w:rsid w:val="00354CF3"/>
    <w:rsid w:val="0036122B"/>
    <w:rsid w:val="0036283A"/>
    <w:rsid w:val="00362850"/>
    <w:rsid w:val="00365165"/>
    <w:rsid w:val="00366B04"/>
    <w:rsid w:val="00372CCE"/>
    <w:rsid w:val="00375498"/>
    <w:rsid w:val="0037790C"/>
    <w:rsid w:val="00383C54"/>
    <w:rsid w:val="00383D06"/>
    <w:rsid w:val="00384A5C"/>
    <w:rsid w:val="00386B47"/>
    <w:rsid w:val="00390143"/>
    <w:rsid w:val="003A2DB1"/>
    <w:rsid w:val="003A4D01"/>
    <w:rsid w:val="003A4D87"/>
    <w:rsid w:val="003B0CE2"/>
    <w:rsid w:val="003B3EC8"/>
    <w:rsid w:val="003B5627"/>
    <w:rsid w:val="003C247C"/>
    <w:rsid w:val="003C4B2E"/>
    <w:rsid w:val="003C7163"/>
    <w:rsid w:val="003C71A5"/>
    <w:rsid w:val="003D3853"/>
    <w:rsid w:val="003D497B"/>
    <w:rsid w:val="003E22D1"/>
    <w:rsid w:val="003E4BF7"/>
    <w:rsid w:val="003E4DCB"/>
    <w:rsid w:val="003E7847"/>
    <w:rsid w:val="003F47FE"/>
    <w:rsid w:val="003F7BD5"/>
    <w:rsid w:val="004120C8"/>
    <w:rsid w:val="00427AA8"/>
    <w:rsid w:val="00431E86"/>
    <w:rsid w:val="00433259"/>
    <w:rsid w:val="00434630"/>
    <w:rsid w:val="00436FCB"/>
    <w:rsid w:val="004401D0"/>
    <w:rsid w:val="00441845"/>
    <w:rsid w:val="00443274"/>
    <w:rsid w:val="00444C33"/>
    <w:rsid w:val="00447AC8"/>
    <w:rsid w:val="00450A0D"/>
    <w:rsid w:val="00455BBD"/>
    <w:rsid w:val="00456666"/>
    <w:rsid w:val="00461801"/>
    <w:rsid w:val="004626A8"/>
    <w:rsid w:val="00465692"/>
    <w:rsid w:val="00465834"/>
    <w:rsid w:val="004672DB"/>
    <w:rsid w:val="00471939"/>
    <w:rsid w:val="00474F0E"/>
    <w:rsid w:val="004778C2"/>
    <w:rsid w:val="00477CDB"/>
    <w:rsid w:val="00477E99"/>
    <w:rsid w:val="00483967"/>
    <w:rsid w:val="00486140"/>
    <w:rsid w:val="00486D59"/>
    <w:rsid w:val="004930F8"/>
    <w:rsid w:val="004944D7"/>
    <w:rsid w:val="004959C4"/>
    <w:rsid w:val="00496FDC"/>
    <w:rsid w:val="004A0E6D"/>
    <w:rsid w:val="004A3D3E"/>
    <w:rsid w:val="004B1400"/>
    <w:rsid w:val="004B1B46"/>
    <w:rsid w:val="004B3498"/>
    <w:rsid w:val="004B3DD6"/>
    <w:rsid w:val="004C1E53"/>
    <w:rsid w:val="004C24F7"/>
    <w:rsid w:val="004C5925"/>
    <w:rsid w:val="004D1CFC"/>
    <w:rsid w:val="004D2233"/>
    <w:rsid w:val="004D2569"/>
    <w:rsid w:val="004D5B3D"/>
    <w:rsid w:val="004E3944"/>
    <w:rsid w:val="004E4D1C"/>
    <w:rsid w:val="004E5D0A"/>
    <w:rsid w:val="004E7FB5"/>
    <w:rsid w:val="004F2429"/>
    <w:rsid w:val="00502D90"/>
    <w:rsid w:val="00505524"/>
    <w:rsid w:val="00506385"/>
    <w:rsid w:val="00507E6C"/>
    <w:rsid w:val="005153A3"/>
    <w:rsid w:val="005168B9"/>
    <w:rsid w:val="005219CC"/>
    <w:rsid w:val="005240F3"/>
    <w:rsid w:val="005248BB"/>
    <w:rsid w:val="0053359F"/>
    <w:rsid w:val="005361C5"/>
    <w:rsid w:val="0053658B"/>
    <w:rsid w:val="00542E4A"/>
    <w:rsid w:val="00543297"/>
    <w:rsid w:val="005475D1"/>
    <w:rsid w:val="005640A4"/>
    <w:rsid w:val="00571305"/>
    <w:rsid w:val="00576193"/>
    <w:rsid w:val="00577D58"/>
    <w:rsid w:val="005803B6"/>
    <w:rsid w:val="005817EA"/>
    <w:rsid w:val="0059136E"/>
    <w:rsid w:val="00595D81"/>
    <w:rsid w:val="00595DCE"/>
    <w:rsid w:val="005A4733"/>
    <w:rsid w:val="005B11D7"/>
    <w:rsid w:val="005B22C5"/>
    <w:rsid w:val="005B246C"/>
    <w:rsid w:val="005B2B80"/>
    <w:rsid w:val="005B333E"/>
    <w:rsid w:val="005B4551"/>
    <w:rsid w:val="005B71E1"/>
    <w:rsid w:val="005B7FE9"/>
    <w:rsid w:val="005C31F6"/>
    <w:rsid w:val="005C4410"/>
    <w:rsid w:val="005D07DD"/>
    <w:rsid w:val="005D1137"/>
    <w:rsid w:val="005D4864"/>
    <w:rsid w:val="005D54F3"/>
    <w:rsid w:val="005D5A3B"/>
    <w:rsid w:val="005E2078"/>
    <w:rsid w:val="005E47BB"/>
    <w:rsid w:val="005E533B"/>
    <w:rsid w:val="005E6D15"/>
    <w:rsid w:val="005F0D52"/>
    <w:rsid w:val="005F2809"/>
    <w:rsid w:val="005F5129"/>
    <w:rsid w:val="005F5F92"/>
    <w:rsid w:val="00602C57"/>
    <w:rsid w:val="00602FD2"/>
    <w:rsid w:val="006075C8"/>
    <w:rsid w:val="0060768C"/>
    <w:rsid w:val="006076DA"/>
    <w:rsid w:val="00611AEF"/>
    <w:rsid w:val="00615C2A"/>
    <w:rsid w:val="0062257B"/>
    <w:rsid w:val="00623DA7"/>
    <w:rsid w:val="00624EFE"/>
    <w:rsid w:val="00625D95"/>
    <w:rsid w:val="00634D45"/>
    <w:rsid w:val="006353E8"/>
    <w:rsid w:val="0064387C"/>
    <w:rsid w:val="006451E1"/>
    <w:rsid w:val="00645297"/>
    <w:rsid w:val="00646E3E"/>
    <w:rsid w:val="006500D5"/>
    <w:rsid w:val="00653336"/>
    <w:rsid w:val="0065437B"/>
    <w:rsid w:val="00654776"/>
    <w:rsid w:val="006634C6"/>
    <w:rsid w:val="00664AC9"/>
    <w:rsid w:val="00667BB9"/>
    <w:rsid w:val="00670259"/>
    <w:rsid w:val="00670F44"/>
    <w:rsid w:val="00674C36"/>
    <w:rsid w:val="00676A57"/>
    <w:rsid w:val="00677820"/>
    <w:rsid w:val="0069304B"/>
    <w:rsid w:val="00694C3C"/>
    <w:rsid w:val="006A0567"/>
    <w:rsid w:val="006A48A3"/>
    <w:rsid w:val="006A5F2C"/>
    <w:rsid w:val="006B272D"/>
    <w:rsid w:val="006B3E13"/>
    <w:rsid w:val="006B6B57"/>
    <w:rsid w:val="006C2DD4"/>
    <w:rsid w:val="006C3EBC"/>
    <w:rsid w:val="006C46D8"/>
    <w:rsid w:val="006C4FD1"/>
    <w:rsid w:val="006C5014"/>
    <w:rsid w:val="006C5B66"/>
    <w:rsid w:val="006C7A90"/>
    <w:rsid w:val="006D6EC6"/>
    <w:rsid w:val="006E36BB"/>
    <w:rsid w:val="006E5EB5"/>
    <w:rsid w:val="006E784A"/>
    <w:rsid w:val="006F0C20"/>
    <w:rsid w:val="006F0E2E"/>
    <w:rsid w:val="006F2301"/>
    <w:rsid w:val="006F5380"/>
    <w:rsid w:val="00705D08"/>
    <w:rsid w:val="00705F39"/>
    <w:rsid w:val="00706CD5"/>
    <w:rsid w:val="00706F5C"/>
    <w:rsid w:val="007078E4"/>
    <w:rsid w:val="00710D2B"/>
    <w:rsid w:val="0071141F"/>
    <w:rsid w:val="0071378B"/>
    <w:rsid w:val="007205B7"/>
    <w:rsid w:val="00720BB6"/>
    <w:rsid w:val="0072115D"/>
    <w:rsid w:val="00732200"/>
    <w:rsid w:val="007336D5"/>
    <w:rsid w:val="00735585"/>
    <w:rsid w:val="00740DC6"/>
    <w:rsid w:val="00741B26"/>
    <w:rsid w:val="0074711C"/>
    <w:rsid w:val="00747358"/>
    <w:rsid w:val="00747879"/>
    <w:rsid w:val="00752D58"/>
    <w:rsid w:val="007638D0"/>
    <w:rsid w:val="007756F9"/>
    <w:rsid w:val="00775B5C"/>
    <w:rsid w:val="00776030"/>
    <w:rsid w:val="007803A6"/>
    <w:rsid w:val="0078119D"/>
    <w:rsid w:val="007822D4"/>
    <w:rsid w:val="00785325"/>
    <w:rsid w:val="007878A1"/>
    <w:rsid w:val="00787A96"/>
    <w:rsid w:val="007900F1"/>
    <w:rsid w:val="00793142"/>
    <w:rsid w:val="00794FDE"/>
    <w:rsid w:val="007A287C"/>
    <w:rsid w:val="007A3E8B"/>
    <w:rsid w:val="007A7967"/>
    <w:rsid w:val="007B3625"/>
    <w:rsid w:val="007B58B8"/>
    <w:rsid w:val="007B7287"/>
    <w:rsid w:val="007B77B6"/>
    <w:rsid w:val="007C08D0"/>
    <w:rsid w:val="007C2428"/>
    <w:rsid w:val="007C2D4A"/>
    <w:rsid w:val="007C3C23"/>
    <w:rsid w:val="007C435D"/>
    <w:rsid w:val="007D5815"/>
    <w:rsid w:val="007D6160"/>
    <w:rsid w:val="007D6425"/>
    <w:rsid w:val="0080164E"/>
    <w:rsid w:val="00801A1E"/>
    <w:rsid w:val="00802497"/>
    <w:rsid w:val="008036B9"/>
    <w:rsid w:val="00807BEB"/>
    <w:rsid w:val="00823875"/>
    <w:rsid w:val="00824628"/>
    <w:rsid w:val="00824A7F"/>
    <w:rsid w:val="00835886"/>
    <w:rsid w:val="00845398"/>
    <w:rsid w:val="00854A0F"/>
    <w:rsid w:val="0086224C"/>
    <w:rsid w:val="00866652"/>
    <w:rsid w:val="008666CA"/>
    <w:rsid w:val="0087300E"/>
    <w:rsid w:val="008731C3"/>
    <w:rsid w:val="008758F3"/>
    <w:rsid w:val="008769BD"/>
    <w:rsid w:val="00877005"/>
    <w:rsid w:val="00883194"/>
    <w:rsid w:val="00883726"/>
    <w:rsid w:val="00884634"/>
    <w:rsid w:val="0088718F"/>
    <w:rsid w:val="0089250B"/>
    <w:rsid w:val="0089287C"/>
    <w:rsid w:val="00892B71"/>
    <w:rsid w:val="008938AD"/>
    <w:rsid w:val="008957AC"/>
    <w:rsid w:val="008A43F5"/>
    <w:rsid w:val="008A580D"/>
    <w:rsid w:val="008A5E6C"/>
    <w:rsid w:val="008A5F9B"/>
    <w:rsid w:val="008B022D"/>
    <w:rsid w:val="008B0286"/>
    <w:rsid w:val="008B66B3"/>
    <w:rsid w:val="008C60E5"/>
    <w:rsid w:val="008C6C12"/>
    <w:rsid w:val="008C741C"/>
    <w:rsid w:val="008D0A07"/>
    <w:rsid w:val="008D0FD2"/>
    <w:rsid w:val="008D408D"/>
    <w:rsid w:val="008D6393"/>
    <w:rsid w:val="008E4B0C"/>
    <w:rsid w:val="008E703C"/>
    <w:rsid w:val="008E7AD5"/>
    <w:rsid w:val="008F1DEE"/>
    <w:rsid w:val="008F545A"/>
    <w:rsid w:val="008F774B"/>
    <w:rsid w:val="009022C9"/>
    <w:rsid w:val="00904086"/>
    <w:rsid w:val="00906448"/>
    <w:rsid w:val="009077DA"/>
    <w:rsid w:val="0091461D"/>
    <w:rsid w:val="0092112D"/>
    <w:rsid w:val="00921DBD"/>
    <w:rsid w:val="00923175"/>
    <w:rsid w:val="00923B95"/>
    <w:rsid w:val="009255CB"/>
    <w:rsid w:val="00927724"/>
    <w:rsid w:val="00941177"/>
    <w:rsid w:val="009415DC"/>
    <w:rsid w:val="00942236"/>
    <w:rsid w:val="00944943"/>
    <w:rsid w:val="00950789"/>
    <w:rsid w:val="00954D0A"/>
    <w:rsid w:val="00966CDC"/>
    <w:rsid w:val="009709F9"/>
    <w:rsid w:val="00970B21"/>
    <w:rsid w:val="00970F14"/>
    <w:rsid w:val="00971185"/>
    <w:rsid w:val="009763C3"/>
    <w:rsid w:val="00976519"/>
    <w:rsid w:val="009802E4"/>
    <w:rsid w:val="00981B8E"/>
    <w:rsid w:val="00981CBF"/>
    <w:rsid w:val="00982239"/>
    <w:rsid w:val="00982431"/>
    <w:rsid w:val="00984FB1"/>
    <w:rsid w:val="00985785"/>
    <w:rsid w:val="00990AD1"/>
    <w:rsid w:val="00990DA8"/>
    <w:rsid w:val="0099113A"/>
    <w:rsid w:val="009978BE"/>
    <w:rsid w:val="009B0B16"/>
    <w:rsid w:val="009B6113"/>
    <w:rsid w:val="009C1C75"/>
    <w:rsid w:val="009C3BA1"/>
    <w:rsid w:val="009C4248"/>
    <w:rsid w:val="009C4E65"/>
    <w:rsid w:val="009C5B61"/>
    <w:rsid w:val="009D427D"/>
    <w:rsid w:val="009D49D7"/>
    <w:rsid w:val="009D5981"/>
    <w:rsid w:val="009D6AA7"/>
    <w:rsid w:val="009E0DFF"/>
    <w:rsid w:val="009E1928"/>
    <w:rsid w:val="009E5CEA"/>
    <w:rsid w:val="009F05F6"/>
    <w:rsid w:val="009F2239"/>
    <w:rsid w:val="009F7134"/>
    <w:rsid w:val="00A02032"/>
    <w:rsid w:val="00A02F9E"/>
    <w:rsid w:val="00A05196"/>
    <w:rsid w:val="00A05EE1"/>
    <w:rsid w:val="00A0726E"/>
    <w:rsid w:val="00A07BFE"/>
    <w:rsid w:val="00A14892"/>
    <w:rsid w:val="00A14C7E"/>
    <w:rsid w:val="00A1690F"/>
    <w:rsid w:val="00A24F08"/>
    <w:rsid w:val="00A260B3"/>
    <w:rsid w:val="00A27D28"/>
    <w:rsid w:val="00A32042"/>
    <w:rsid w:val="00A34816"/>
    <w:rsid w:val="00A44F21"/>
    <w:rsid w:val="00A47F05"/>
    <w:rsid w:val="00A47F19"/>
    <w:rsid w:val="00A50A03"/>
    <w:rsid w:val="00A5558F"/>
    <w:rsid w:val="00A56EDE"/>
    <w:rsid w:val="00A64195"/>
    <w:rsid w:val="00A66702"/>
    <w:rsid w:val="00A75F42"/>
    <w:rsid w:val="00A75F90"/>
    <w:rsid w:val="00A80881"/>
    <w:rsid w:val="00A8378C"/>
    <w:rsid w:val="00A84EA3"/>
    <w:rsid w:val="00A8768F"/>
    <w:rsid w:val="00AA002B"/>
    <w:rsid w:val="00AA3BB3"/>
    <w:rsid w:val="00AA444B"/>
    <w:rsid w:val="00AA5DD9"/>
    <w:rsid w:val="00AA791F"/>
    <w:rsid w:val="00AB690F"/>
    <w:rsid w:val="00AC1587"/>
    <w:rsid w:val="00AC37D5"/>
    <w:rsid w:val="00AD28F6"/>
    <w:rsid w:val="00AD51FB"/>
    <w:rsid w:val="00AD546A"/>
    <w:rsid w:val="00AD71ED"/>
    <w:rsid w:val="00AE038A"/>
    <w:rsid w:val="00AE2F8E"/>
    <w:rsid w:val="00AE4978"/>
    <w:rsid w:val="00AE5A0B"/>
    <w:rsid w:val="00AE5F6A"/>
    <w:rsid w:val="00AF264B"/>
    <w:rsid w:val="00AF74D3"/>
    <w:rsid w:val="00B01A1E"/>
    <w:rsid w:val="00B07BF5"/>
    <w:rsid w:val="00B14667"/>
    <w:rsid w:val="00B15607"/>
    <w:rsid w:val="00B15A6E"/>
    <w:rsid w:val="00B21E78"/>
    <w:rsid w:val="00B22041"/>
    <w:rsid w:val="00B2783D"/>
    <w:rsid w:val="00B3387B"/>
    <w:rsid w:val="00B40488"/>
    <w:rsid w:val="00B423A8"/>
    <w:rsid w:val="00B53D1F"/>
    <w:rsid w:val="00B609EC"/>
    <w:rsid w:val="00B6188D"/>
    <w:rsid w:val="00B619FE"/>
    <w:rsid w:val="00B64AE9"/>
    <w:rsid w:val="00B66BAD"/>
    <w:rsid w:val="00B6768A"/>
    <w:rsid w:val="00B73800"/>
    <w:rsid w:val="00B76266"/>
    <w:rsid w:val="00B905F3"/>
    <w:rsid w:val="00B92181"/>
    <w:rsid w:val="00B9568F"/>
    <w:rsid w:val="00B95A5C"/>
    <w:rsid w:val="00B96BDB"/>
    <w:rsid w:val="00BA51A5"/>
    <w:rsid w:val="00BA5305"/>
    <w:rsid w:val="00BA5F87"/>
    <w:rsid w:val="00BA6975"/>
    <w:rsid w:val="00BB6151"/>
    <w:rsid w:val="00BB71CC"/>
    <w:rsid w:val="00BC1B4F"/>
    <w:rsid w:val="00BC45FC"/>
    <w:rsid w:val="00BD7A78"/>
    <w:rsid w:val="00BE1F77"/>
    <w:rsid w:val="00BE21F2"/>
    <w:rsid w:val="00BE33AE"/>
    <w:rsid w:val="00BE4C0B"/>
    <w:rsid w:val="00BE5B47"/>
    <w:rsid w:val="00BE5F01"/>
    <w:rsid w:val="00BE6C7D"/>
    <w:rsid w:val="00BF3E87"/>
    <w:rsid w:val="00BF4DD8"/>
    <w:rsid w:val="00C0741F"/>
    <w:rsid w:val="00C10990"/>
    <w:rsid w:val="00C117AF"/>
    <w:rsid w:val="00C13771"/>
    <w:rsid w:val="00C161AA"/>
    <w:rsid w:val="00C16530"/>
    <w:rsid w:val="00C16E25"/>
    <w:rsid w:val="00C206DE"/>
    <w:rsid w:val="00C22960"/>
    <w:rsid w:val="00C27723"/>
    <w:rsid w:val="00C27D5A"/>
    <w:rsid w:val="00C3471A"/>
    <w:rsid w:val="00C36D58"/>
    <w:rsid w:val="00C40159"/>
    <w:rsid w:val="00C403D4"/>
    <w:rsid w:val="00C442C0"/>
    <w:rsid w:val="00C4582F"/>
    <w:rsid w:val="00C5017D"/>
    <w:rsid w:val="00C53263"/>
    <w:rsid w:val="00C53DF8"/>
    <w:rsid w:val="00C54A41"/>
    <w:rsid w:val="00C5550F"/>
    <w:rsid w:val="00C55B3F"/>
    <w:rsid w:val="00C56B2C"/>
    <w:rsid w:val="00C644A6"/>
    <w:rsid w:val="00C65D30"/>
    <w:rsid w:val="00C80BF3"/>
    <w:rsid w:val="00C82370"/>
    <w:rsid w:val="00C82CCF"/>
    <w:rsid w:val="00C916E4"/>
    <w:rsid w:val="00C91977"/>
    <w:rsid w:val="00C952CD"/>
    <w:rsid w:val="00C957D1"/>
    <w:rsid w:val="00C978D7"/>
    <w:rsid w:val="00CA3FF4"/>
    <w:rsid w:val="00CA6891"/>
    <w:rsid w:val="00CA6E79"/>
    <w:rsid w:val="00CB2164"/>
    <w:rsid w:val="00CB44F6"/>
    <w:rsid w:val="00CB4765"/>
    <w:rsid w:val="00CC7CD6"/>
    <w:rsid w:val="00CD3856"/>
    <w:rsid w:val="00CE014F"/>
    <w:rsid w:val="00CE27FA"/>
    <w:rsid w:val="00CE2957"/>
    <w:rsid w:val="00CE5862"/>
    <w:rsid w:val="00CF6968"/>
    <w:rsid w:val="00D0134E"/>
    <w:rsid w:val="00D02E1E"/>
    <w:rsid w:val="00D05981"/>
    <w:rsid w:val="00D077BF"/>
    <w:rsid w:val="00D31C71"/>
    <w:rsid w:val="00D32DBB"/>
    <w:rsid w:val="00D32E01"/>
    <w:rsid w:val="00D373DB"/>
    <w:rsid w:val="00D41417"/>
    <w:rsid w:val="00D41D66"/>
    <w:rsid w:val="00D51F58"/>
    <w:rsid w:val="00D55BFE"/>
    <w:rsid w:val="00D5652C"/>
    <w:rsid w:val="00D56FB9"/>
    <w:rsid w:val="00D609C4"/>
    <w:rsid w:val="00D66656"/>
    <w:rsid w:val="00D72B4B"/>
    <w:rsid w:val="00D7374E"/>
    <w:rsid w:val="00D743D8"/>
    <w:rsid w:val="00D74C7B"/>
    <w:rsid w:val="00D77B43"/>
    <w:rsid w:val="00D80859"/>
    <w:rsid w:val="00D84378"/>
    <w:rsid w:val="00D913AD"/>
    <w:rsid w:val="00D94D1B"/>
    <w:rsid w:val="00D9605A"/>
    <w:rsid w:val="00DA0267"/>
    <w:rsid w:val="00DA5FFA"/>
    <w:rsid w:val="00DA6F80"/>
    <w:rsid w:val="00DA7D4D"/>
    <w:rsid w:val="00DB1A6F"/>
    <w:rsid w:val="00DC4190"/>
    <w:rsid w:val="00DC4ABA"/>
    <w:rsid w:val="00DC5A7D"/>
    <w:rsid w:val="00DC6147"/>
    <w:rsid w:val="00DC65F7"/>
    <w:rsid w:val="00DD3EFE"/>
    <w:rsid w:val="00DD6E6F"/>
    <w:rsid w:val="00DE0B87"/>
    <w:rsid w:val="00DE14D4"/>
    <w:rsid w:val="00DE2C51"/>
    <w:rsid w:val="00DE4A1A"/>
    <w:rsid w:val="00DE63B4"/>
    <w:rsid w:val="00DF0093"/>
    <w:rsid w:val="00DF701C"/>
    <w:rsid w:val="00E010D1"/>
    <w:rsid w:val="00E07D22"/>
    <w:rsid w:val="00E11C68"/>
    <w:rsid w:val="00E14029"/>
    <w:rsid w:val="00E155B6"/>
    <w:rsid w:val="00E17BD9"/>
    <w:rsid w:val="00E20DEC"/>
    <w:rsid w:val="00E2141F"/>
    <w:rsid w:val="00E24A7D"/>
    <w:rsid w:val="00E25323"/>
    <w:rsid w:val="00E31649"/>
    <w:rsid w:val="00E31DDD"/>
    <w:rsid w:val="00E32EF4"/>
    <w:rsid w:val="00E33E18"/>
    <w:rsid w:val="00E357C1"/>
    <w:rsid w:val="00E35C86"/>
    <w:rsid w:val="00E372F4"/>
    <w:rsid w:val="00E37711"/>
    <w:rsid w:val="00E42396"/>
    <w:rsid w:val="00E430B1"/>
    <w:rsid w:val="00E45D1F"/>
    <w:rsid w:val="00E47DD8"/>
    <w:rsid w:val="00E51E33"/>
    <w:rsid w:val="00E550FC"/>
    <w:rsid w:val="00E56417"/>
    <w:rsid w:val="00E62B8D"/>
    <w:rsid w:val="00E64B52"/>
    <w:rsid w:val="00E65CDF"/>
    <w:rsid w:val="00E719EB"/>
    <w:rsid w:val="00E72818"/>
    <w:rsid w:val="00E72F71"/>
    <w:rsid w:val="00E75FE1"/>
    <w:rsid w:val="00E75FFC"/>
    <w:rsid w:val="00E77CC2"/>
    <w:rsid w:val="00E80ED9"/>
    <w:rsid w:val="00E83A36"/>
    <w:rsid w:val="00E865C2"/>
    <w:rsid w:val="00E8739C"/>
    <w:rsid w:val="00E87C28"/>
    <w:rsid w:val="00E90700"/>
    <w:rsid w:val="00E92902"/>
    <w:rsid w:val="00E95A3D"/>
    <w:rsid w:val="00E97D6F"/>
    <w:rsid w:val="00EA171F"/>
    <w:rsid w:val="00EA2CC3"/>
    <w:rsid w:val="00EA442C"/>
    <w:rsid w:val="00EA6799"/>
    <w:rsid w:val="00EA7F44"/>
    <w:rsid w:val="00EB2AA1"/>
    <w:rsid w:val="00EB3BE4"/>
    <w:rsid w:val="00EB66BE"/>
    <w:rsid w:val="00EB7C96"/>
    <w:rsid w:val="00EC4C36"/>
    <w:rsid w:val="00EC5C42"/>
    <w:rsid w:val="00EC7EB3"/>
    <w:rsid w:val="00ED3151"/>
    <w:rsid w:val="00ED4C62"/>
    <w:rsid w:val="00EE1DB1"/>
    <w:rsid w:val="00EE76DD"/>
    <w:rsid w:val="00EF093F"/>
    <w:rsid w:val="00EF44D6"/>
    <w:rsid w:val="00EF5143"/>
    <w:rsid w:val="00EF5309"/>
    <w:rsid w:val="00F009C7"/>
    <w:rsid w:val="00F00A88"/>
    <w:rsid w:val="00F02421"/>
    <w:rsid w:val="00F04BE9"/>
    <w:rsid w:val="00F066D6"/>
    <w:rsid w:val="00F10F88"/>
    <w:rsid w:val="00F13B33"/>
    <w:rsid w:val="00F14744"/>
    <w:rsid w:val="00F22B80"/>
    <w:rsid w:val="00F24E36"/>
    <w:rsid w:val="00F26108"/>
    <w:rsid w:val="00F32AEB"/>
    <w:rsid w:val="00F331D6"/>
    <w:rsid w:val="00F36762"/>
    <w:rsid w:val="00F419A1"/>
    <w:rsid w:val="00F419D4"/>
    <w:rsid w:val="00F44E32"/>
    <w:rsid w:val="00F466BB"/>
    <w:rsid w:val="00F5107C"/>
    <w:rsid w:val="00F5575C"/>
    <w:rsid w:val="00F61950"/>
    <w:rsid w:val="00F61C65"/>
    <w:rsid w:val="00F63386"/>
    <w:rsid w:val="00F710CF"/>
    <w:rsid w:val="00F718BE"/>
    <w:rsid w:val="00F72A17"/>
    <w:rsid w:val="00F74F26"/>
    <w:rsid w:val="00F75103"/>
    <w:rsid w:val="00F76883"/>
    <w:rsid w:val="00F77F66"/>
    <w:rsid w:val="00F82D79"/>
    <w:rsid w:val="00F82EFA"/>
    <w:rsid w:val="00F84259"/>
    <w:rsid w:val="00F86C83"/>
    <w:rsid w:val="00F90691"/>
    <w:rsid w:val="00F964E6"/>
    <w:rsid w:val="00FA2878"/>
    <w:rsid w:val="00FC0041"/>
    <w:rsid w:val="00FC0D4C"/>
    <w:rsid w:val="00FC3924"/>
    <w:rsid w:val="00FC4258"/>
    <w:rsid w:val="00FE0BDE"/>
    <w:rsid w:val="00FE4132"/>
    <w:rsid w:val="00FE5ED9"/>
    <w:rsid w:val="00FF4683"/>
    <w:rsid w:val="00FF559F"/>
    <w:rsid w:val="00FF5679"/>
    <w:rsid w:val="010D7D69"/>
    <w:rsid w:val="012209F6"/>
    <w:rsid w:val="012B64AF"/>
    <w:rsid w:val="01386565"/>
    <w:rsid w:val="01505D58"/>
    <w:rsid w:val="01521BEE"/>
    <w:rsid w:val="016025FC"/>
    <w:rsid w:val="01944054"/>
    <w:rsid w:val="0198159D"/>
    <w:rsid w:val="01D9415D"/>
    <w:rsid w:val="0235141E"/>
    <w:rsid w:val="02377801"/>
    <w:rsid w:val="023C5046"/>
    <w:rsid w:val="0250093A"/>
    <w:rsid w:val="025925E5"/>
    <w:rsid w:val="02A32116"/>
    <w:rsid w:val="02A66735"/>
    <w:rsid w:val="02AE1145"/>
    <w:rsid w:val="02B47395"/>
    <w:rsid w:val="02C34B00"/>
    <w:rsid w:val="02ED4364"/>
    <w:rsid w:val="02F52C05"/>
    <w:rsid w:val="02FF7BF3"/>
    <w:rsid w:val="03101E00"/>
    <w:rsid w:val="031511C4"/>
    <w:rsid w:val="03541B71"/>
    <w:rsid w:val="03630182"/>
    <w:rsid w:val="037D56E7"/>
    <w:rsid w:val="03A80B77"/>
    <w:rsid w:val="03AE5D51"/>
    <w:rsid w:val="03BC56FA"/>
    <w:rsid w:val="03DF76DF"/>
    <w:rsid w:val="03E33071"/>
    <w:rsid w:val="03E47515"/>
    <w:rsid w:val="03F139E0"/>
    <w:rsid w:val="03F45FE6"/>
    <w:rsid w:val="040917F0"/>
    <w:rsid w:val="041C45D5"/>
    <w:rsid w:val="041D2A27"/>
    <w:rsid w:val="042518DB"/>
    <w:rsid w:val="04396DE5"/>
    <w:rsid w:val="043A3918"/>
    <w:rsid w:val="0443255A"/>
    <w:rsid w:val="044959C1"/>
    <w:rsid w:val="0450728A"/>
    <w:rsid w:val="04510B8C"/>
    <w:rsid w:val="046A36F3"/>
    <w:rsid w:val="04814D63"/>
    <w:rsid w:val="04AE367F"/>
    <w:rsid w:val="04CA1089"/>
    <w:rsid w:val="04E634AD"/>
    <w:rsid w:val="04FE1FD2"/>
    <w:rsid w:val="05021D32"/>
    <w:rsid w:val="050E558B"/>
    <w:rsid w:val="05170FF6"/>
    <w:rsid w:val="05176A5A"/>
    <w:rsid w:val="051F4750"/>
    <w:rsid w:val="052231A5"/>
    <w:rsid w:val="053648ED"/>
    <w:rsid w:val="053D7F95"/>
    <w:rsid w:val="05412429"/>
    <w:rsid w:val="056E36D4"/>
    <w:rsid w:val="057D0BC1"/>
    <w:rsid w:val="05860158"/>
    <w:rsid w:val="0595291C"/>
    <w:rsid w:val="05962A91"/>
    <w:rsid w:val="05A36D11"/>
    <w:rsid w:val="05C207C2"/>
    <w:rsid w:val="05DB66F5"/>
    <w:rsid w:val="05E3699D"/>
    <w:rsid w:val="05E530D0"/>
    <w:rsid w:val="05EC5CFB"/>
    <w:rsid w:val="05F72E03"/>
    <w:rsid w:val="060A0AE2"/>
    <w:rsid w:val="060D169F"/>
    <w:rsid w:val="06110369"/>
    <w:rsid w:val="06514E5D"/>
    <w:rsid w:val="065345F9"/>
    <w:rsid w:val="06625E33"/>
    <w:rsid w:val="06696373"/>
    <w:rsid w:val="066E70D8"/>
    <w:rsid w:val="067A7CBC"/>
    <w:rsid w:val="067D155B"/>
    <w:rsid w:val="067D1F78"/>
    <w:rsid w:val="068211CF"/>
    <w:rsid w:val="0683733C"/>
    <w:rsid w:val="068928DA"/>
    <w:rsid w:val="06950CBD"/>
    <w:rsid w:val="06D7510F"/>
    <w:rsid w:val="06EB2968"/>
    <w:rsid w:val="06F02166"/>
    <w:rsid w:val="06F03121"/>
    <w:rsid w:val="07211039"/>
    <w:rsid w:val="072F70AB"/>
    <w:rsid w:val="07373BE8"/>
    <w:rsid w:val="073F4A62"/>
    <w:rsid w:val="074B4321"/>
    <w:rsid w:val="074C287E"/>
    <w:rsid w:val="07612C2A"/>
    <w:rsid w:val="07636786"/>
    <w:rsid w:val="076C26A3"/>
    <w:rsid w:val="0774548E"/>
    <w:rsid w:val="077669B0"/>
    <w:rsid w:val="078828AD"/>
    <w:rsid w:val="07A70640"/>
    <w:rsid w:val="07AF4703"/>
    <w:rsid w:val="07B84EB4"/>
    <w:rsid w:val="07C17B6D"/>
    <w:rsid w:val="07F46924"/>
    <w:rsid w:val="080A1DD1"/>
    <w:rsid w:val="08144344"/>
    <w:rsid w:val="08162201"/>
    <w:rsid w:val="083E2F6B"/>
    <w:rsid w:val="08542D2B"/>
    <w:rsid w:val="08591A0C"/>
    <w:rsid w:val="08602EE2"/>
    <w:rsid w:val="087347F1"/>
    <w:rsid w:val="08762705"/>
    <w:rsid w:val="087D7F38"/>
    <w:rsid w:val="08836B77"/>
    <w:rsid w:val="08A30EFF"/>
    <w:rsid w:val="08A74FB5"/>
    <w:rsid w:val="08AC2638"/>
    <w:rsid w:val="08B65A87"/>
    <w:rsid w:val="08BD62F5"/>
    <w:rsid w:val="08C26091"/>
    <w:rsid w:val="08E24318"/>
    <w:rsid w:val="08F27278"/>
    <w:rsid w:val="08F273B5"/>
    <w:rsid w:val="08F66A75"/>
    <w:rsid w:val="09011582"/>
    <w:rsid w:val="09120B8D"/>
    <w:rsid w:val="091A12E3"/>
    <w:rsid w:val="09277734"/>
    <w:rsid w:val="09341BC5"/>
    <w:rsid w:val="0943701E"/>
    <w:rsid w:val="094D08A9"/>
    <w:rsid w:val="096B4801"/>
    <w:rsid w:val="09727371"/>
    <w:rsid w:val="09825F08"/>
    <w:rsid w:val="09B65D24"/>
    <w:rsid w:val="09C37BCC"/>
    <w:rsid w:val="09F27F5D"/>
    <w:rsid w:val="0A01600B"/>
    <w:rsid w:val="0A410924"/>
    <w:rsid w:val="0A6C4501"/>
    <w:rsid w:val="0A764C3F"/>
    <w:rsid w:val="0A80786B"/>
    <w:rsid w:val="0A925CFE"/>
    <w:rsid w:val="0A9B28F7"/>
    <w:rsid w:val="0AA2017E"/>
    <w:rsid w:val="0AB46885"/>
    <w:rsid w:val="0AB92CEC"/>
    <w:rsid w:val="0AE93662"/>
    <w:rsid w:val="0AF06485"/>
    <w:rsid w:val="0B013DC1"/>
    <w:rsid w:val="0B193961"/>
    <w:rsid w:val="0B380146"/>
    <w:rsid w:val="0B596C6E"/>
    <w:rsid w:val="0B6158EF"/>
    <w:rsid w:val="0B9838AC"/>
    <w:rsid w:val="0B9E3000"/>
    <w:rsid w:val="0BA675DA"/>
    <w:rsid w:val="0BAB5E11"/>
    <w:rsid w:val="0BD87EB4"/>
    <w:rsid w:val="0BDF4666"/>
    <w:rsid w:val="0BDF5576"/>
    <w:rsid w:val="0C000C64"/>
    <w:rsid w:val="0C0D1A6D"/>
    <w:rsid w:val="0C234F5B"/>
    <w:rsid w:val="0C265CFF"/>
    <w:rsid w:val="0C281FD9"/>
    <w:rsid w:val="0C323986"/>
    <w:rsid w:val="0C3E112E"/>
    <w:rsid w:val="0C500AD4"/>
    <w:rsid w:val="0C5856E0"/>
    <w:rsid w:val="0C600E0F"/>
    <w:rsid w:val="0C643B30"/>
    <w:rsid w:val="0C756B3F"/>
    <w:rsid w:val="0C763C58"/>
    <w:rsid w:val="0C7678E2"/>
    <w:rsid w:val="0C830B6E"/>
    <w:rsid w:val="0C9807F7"/>
    <w:rsid w:val="0CBC38F1"/>
    <w:rsid w:val="0CD10852"/>
    <w:rsid w:val="0CD67C16"/>
    <w:rsid w:val="0D033935"/>
    <w:rsid w:val="0D536C34"/>
    <w:rsid w:val="0DB80FF7"/>
    <w:rsid w:val="0DBD5C7E"/>
    <w:rsid w:val="0DEB3AC2"/>
    <w:rsid w:val="0DF962D1"/>
    <w:rsid w:val="0DF96DFD"/>
    <w:rsid w:val="0E110880"/>
    <w:rsid w:val="0E232287"/>
    <w:rsid w:val="0E2A021A"/>
    <w:rsid w:val="0E2D1AB8"/>
    <w:rsid w:val="0E2D6279"/>
    <w:rsid w:val="0E5201B2"/>
    <w:rsid w:val="0E6B3FC1"/>
    <w:rsid w:val="0E752117"/>
    <w:rsid w:val="0E7E2314"/>
    <w:rsid w:val="0E8C536C"/>
    <w:rsid w:val="0E9759B5"/>
    <w:rsid w:val="0E976F7B"/>
    <w:rsid w:val="0E9B2EC6"/>
    <w:rsid w:val="0EA21DA1"/>
    <w:rsid w:val="0EA7186A"/>
    <w:rsid w:val="0EC00B7E"/>
    <w:rsid w:val="0EE3661B"/>
    <w:rsid w:val="0EE464A7"/>
    <w:rsid w:val="0EF02A2D"/>
    <w:rsid w:val="0EF36BCE"/>
    <w:rsid w:val="0EF644A3"/>
    <w:rsid w:val="0F036945"/>
    <w:rsid w:val="0F192B3F"/>
    <w:rsid w:val="0F29227F"/>
    <w:rsid w:val="0F2F37DF"/>
    <w:rsid w:val="0F307991"/>
    <w:rsid w:val="0F515C7A"/>
    <w:rsid w:val="0F67724C"/>
    <w:rsid w:val="0F827BE2"/>
    <w:rsid w:val="0F99373B"/>
    <w:rsid w:val="0F997CEB"/>
    <w:rsid w:val="0FAD0414"/>
    <w:rsid w:val="0FB06AFE"/>
    <w:rsid w:val="0FC354A2"/>
    <w:rsid w:val="0FC43C33"/>
    <w:rsid w:val="1017657C"/>
    <w:rsid w:val="10433815"/>
    <w:rsid w:val="10765998"/>
    <w:rsid w:val="10811266"/>
    <w:rsid w:val="10A06D43"/>
    <w:rsid w:val="10A33A1A"/>
    <w:rsid w:val="10A428D8"/>
    <w:rsid w:val="10AA73F0"/>
    <w:rsid w:val="10BC3529"/>
    <w:rsid w:val="10CA1840"/>
    <w:rsid w:val="10FC657E"/>
    <w:rsid w:val="11051330"/>
    <w:rsid w:val="110C1862"/>
    <w:rsid w:val="112F4D1D"/>
    <w:rsid w:val="117D54DE"/>
    <w:rsid w:val="118903F8"/>
    <w:rsid w:val="119A3908"/>
    <w:rsid w:val="11C75F93"/>
    <w:rsid w:val="11CB3589"/>
    <w:rsid w:val="11E3705D"/>
    <w:rsid w:val="12044069"/>
    <w:rsid w:val="122175B8"/>
    <w:rsid w:val="125664A3"/>
    <w:rsid w:val="12810624"/>
    <w:rsid w:val="128D521B"/>
    <w:rsid w:val="12920B11"/>
    <w:rsid w:val="12936300"/>
    <w:rsid w:val="12B55B84"/>
    <w:rsid w:val="12E82DAB"/>
    <w:rsid w:val="12FA679C"/>
    <w:rsid w:val="12FB6BAB"/>
    <w:rsid w:val="130F0906"/>
    <w:rsid w:val="132D0C68"/>
    <w:rsid w:val="133631BD"/>
    <w:rsid w:val="133B4C77"/>
    <w:rsid w:val="134C0C32"/>
    <w:rsid w:val="136046DE"/>
    <w:rsid w:val="136A10B9"/>
    <w:rsid w:val="137D5290"/>
    <w:rsid w:val="1382519F"/>
    <w:rsid w:val="13826402"/>
    <w:rsid w:val="1384217A"/>
    <w:rsid w:val="13900C41"/>
    <w:rsid w:val="13936861"/>
    <w:rsid w:val="13A64911"/>
    <w:rsid w:val="13C133CE"/>
    <w:rsid w:val="13D22DBF"/>
    <w:rsid w:val="13D97742"/>
    <w:rsid w:val="13E349A3"/>
    <w:rsid w:val="13E55C7E"/>
    <w:rsid w:val="13F07CF9"/>
    <w:rsid w:val="141541A0"/>
    <w:rsid w:val="14227D83"/>
    <w:rsid w:val="14327E28"/>
    <w:rsid w:val="14386814"/>
    <w:rsid w:val="143A635F"/>
    <w:rsid w:val="14560D42"/>
    <w:rsid w:val="148C1FEA"/>
    <w:rsid w:val="14902DA1"/>
    <w:rsid w:val="149068D0"/>
    <w:rsid w:val="14994D88"/>
    <w:rsid w:val="14C13F71"/>
    <w:rsid w:val="14CA5A9E"/>
    <w:rsid w:val="14CF3090"/>
    <w:rsid w:val="14CF37E8"/>
    <w:rsid w:val="14DA11B3"/>
    <w:rsid w:val="14E804E7"/>
    <w:rsid w:val="14F96B98"/>
    <w:rsid w:val="151314BE"/>
    <w:rsid w:val="15227E9D"/>
    <w:rsid w:val="1533225A"/>
    <w:rsid w:val="157C23F9"/>
    <w:rsid w:val="1588725F"/>
    <w:rsid w:val="15946E78"/>
    <w:rsid w:val="159E329B"/>
    <w:rsid w:val="15AF6277"/>
    <w:rsid w:val="15BD5E17"/>
    <w:rsid w:val="15BF010C"/>
    <w:rsid w:val="15CB41CE"/>
    <w:rsid w:val="15D63CC3"/>
    <w:rsid w:val="16066CA6"/>
    <w:rsid w:val="162437A1"/>
    <w:rsid w:val="16472CCF"/>
    <w:rsid w:val="164F7073"/>
    <w:rsid w:val="165407C2"/>
    <w:rsid w:val="16757525"/>
    <w:rsid w:val="16773939"/>
    <w:rsid w:val="169F551D"/>
    <w:rsid w:val="16A77358"/>
    <w:rsid w:val="16A9130C"/>
    <w:rsid w:val="16AB1A0E"/>
    <w:rsid w:val="16B94831"/>
    <w:rsid w:val="16CE09BB"/>
    <w:rsid w:val="16F14194"/>
    <w:rsid w:val="17033CFE"/>
    <w:rsid w:val="17052FF3"/>
    <w:rsid w:val="171F772A"/>
    <w:rsid w:val="172A128B"/>
    <w:rsid w:val="174927D9"/>
    <w:rsid w:val="17624F1C"/>
    <w:rsid w:val="176F3BD1"/>
    <w:rsid w:val="177E15D6"/>
    <w:rsid w:val="17827E8F"/>
    <w:rsid w:val="17982698"/>
    <w:rsid w:val="17CE1BA5"/>
    <w:rsid w:val="17D66D7C"/>
    <w:rsid w:val="17E7717C"/>
    <w:rsid w:val="17F453F5"/>
    <w:rsid w:val="17F458CF"/>
    <w:rsid w:val="180A7D73"/>
    <w:rsid w:val="18351C95"/>
    <w:rsid w:val="18387CEB"/>
    <w:rsid w:val="183D4FEE"/>
    <w:rsid w:val="184E44BE"/>
    <w:rsid w:val="1859632F"/>
    <w:rsid w:val="185D2F9A"/>
    <w:rsid w:val="186743C0"/>
    <w:rsid w:val="188214BC"/>
    <w:rsid w:val="18860BB9"/>
    <w:rsid w:val="189B454F"/>
    <w:rsid w:val="189F1200"/>
    <w:rsid w:val="18B3705E"/>
    <w:rsid w:val="18C67FF5"/>
    <w:rsid w:val="18CF451A"/>
    <w:rsid w:val="18D05E62"/>
    <w:rsid w:val="18D170EC"/>
    <w:rsid w:val="18D6529E"/>
    <w:rsid w:val="18D8566B"/>
    <w:rsid w:val="19094ED0"/>
    <w:rsid w:val="19120228"/>
    <w:rsid w:val="191961B8"/>
    <w:rsid w:val="194102EF"/>
    <w:rsid w:val="19501B94"/>
    <w:rsid w:val="198C51B1"/>
    <w:rsid w:val="199A6995"/>
    <w:rsid w:val="19B66E06"/>
    <w:rsid w:val="19B72B7E"/>
    <w:rsid w:val="19BB441C"/>
    <w:rsid w:val="19EC64AB"/>
    <w:rsid w:val="19EF3926"/>
    <w:rsid w:val="19FF246C"/>
    <w:rsid w:val="1A0E4C54"/>
    <w:rsid w:val="1A1023DC"/>
    <w:rsid w:val="1A2A7D30"/>
    <w:rsid w:val="1A3F329F"/>
    <w:rsid w:val="1A4A5654"/>
    <w:rsid w:val="1A6525DA"/>
    <w:rsid w:val="1A6A2A32"/>
    <w:rsid w:val="1A6B0378"/>
    <w:rsid w:val="1A6D2C2F"/>
    <w:rsid w:val="1A705206"/>
    <w:rsid w:val="1A755AFF"/>
    <w:rsid w:val="1A7D2E18"/>
    <w:rsid w:val="1A894CDA"/>
    <w:rsid w:val="1AB507B1"/>
    <w:rsid w:val="1AB65610"/>
    <w:rsid w:val="1ACD08AB"/>
    <w:rsid w:val="1B085C30"/>
    <w:rsid w:val="1B3302C8"/>
    <w:rsid w:val="1B3721C8"/>
    <w:rsid w:val="1B4B7786"/>
    <w:rsid w:val="1B572B4C"/>
    <w:rsid w:val="1B6A187F"/>
    <w:rsid w:val="1B6B7C2C"/>
    <w:rsid w:val="1B762244"/>
    <w:rsid w:val="1B8060DD"/>
    <w:rsid w:val="1B8E2CF5"/>
    <w:rsid w:val="1B90024F"/>
    <w:rsid w:val="1BA86C22"/>
    <w:rsid w:val="1BAB7CC8"/>
    <w:rsid w:val="1BE21C92"/>
    <w:rsid w:val="1BE66805"/>
    <w:rsid w:val="1BF10D20"/>
    <w:rsid w:val="1BF706ED"/>
    <w:rsid w:val="1C0541EA"/>
    <w:rsid w:val="1C11051A"/>
    <w:rsid w:val="1C5823F6"/>
    <w:rsid w:val="1C76792F"/>
    <w:rsid w:val="1C8651B5"/>
    <w:rsid w:val="1C931680"/>
    <w:rsid w:val="1C986C96"/>
    <w:rsid w:val="1C9D244A"/>
    <w:rsid w:val="1C9D24FF"/>
    <w:rsid w:val="1CAA15D8"/>
    <w:rsid w:val="1CB4381E"/>
    <w:rsid w:val="1CB56179"/>
    <w:rsid w:val="1CB630D3"/>
    <w:rsid w:val="1CCD5A06"/>
    <w:rsid w:val="1CED0055"/>
    <w:rsid w:val="1CF9A652"/>
    <w:rsid w:val="1D040E6A"/>
    <w:rsid w:val="1D0D31E0"/>
    <w:rsid w:val="1D102CD1"/>
    <w:rsid w:val="1D2C54A4"/>
    <w:rsid w:val="1D3C3AC6"/>
    <w:rsid w:val="1D832DD7"/>
    <w:rsid w:val="1D8C327B"/>
    <w:rsid w:val="1D954C16"/>
    <w:rsid w:val="1D9C27B6"/>
    <w:rsid w:val="1DE1125A"/>
    <w:rsid w:val="1DEF0B38"/>
    <w:rsid w:val="1DFC3255"/>
    <w:rsid w:val="1E042355"/>
    <w:rsid w:val="1E0F7AA7"/>
    <w:rsid w:val="1E4326D4"/>
    <w:rsid w:val="1E5E181A"/>
    <w:rsid w:val="1E7D4396"/>
    <w:rsid w:val="1E8749F9"/>
    <w:rsid w:val="1EC03DBA"/>
    <w:rsid w:val="1EC91389"/>
    <w:rsid w:val="1ECB5101"/>
    <w:rsid w:val="1EDF0909"/>
    <w:rsid w:val="1EE61F3B"/>
    <w:rsid w:val="1F0B7BF4"/>
    <w:rsid w:val="1F2F5829"/>
    <w:rsid w:val="1F39342A"/>
    <w:rsid w:val="1F5321E4"/>
    <w:rsid w:val="1F937864"/>
    <w:rsid w:val="1FB10CD0"/>
    <w:rsid w:val="1FC36BE2"/>
    <w:rsid w:val="1FC53677"/>
    <w:rsid w:val="1FC97167"/>
    <w:rsid w:val="1FD471D8"/>
    <w:rsid w:val="1FF64400"/>
    <w:rsid w:val="1FF81DD1"/>
    <w:rsid w:val="2007660D"/>
    <w:rsid w:val="201E1991"/>
    <w:rsid w:val="2021465D"/>
    <w:rsid w:val="202D76F6"/>
    <w:rsid w:val="20405DEF"/>
    <w:rsid w:val="2046386B"/>
    <w:rsid w:val="204C68D8"/>
    <w:rsid w:val="206550E2"/>
    <w:rsid w:val="20A55FAC"/>
    <w:rsid w:val="20A83220"/>
    <w:rsid w:val="20B36E57"/>
    <w:rsid w:val="20BB2F53"/>
    <w:rsid w:val="20C06564"/>
    <w:rsid w:val="20D937E3"/>
    <w:rsid w:val="20E00C0C"/>
    <w:rsid w:val="20F15537"/>
    <w:rsid w:val="21044978"/>
    <w:rsid w:val="21066946"/>
    <w:rsid w:val="211434AE"/>
    <w:rsid w:val="2122286C"/>
    <w:rsid w:val="2127683B"/>
    <w:rsid w:val="2155128F"/>
    <w:rsid w:val="21622AD5"/>
    <w:rsid w:val="217D514B"/>
    <w:rsid w:val="219462AE"/>
    <w:rsid w:val="219536BB"/>
    <w:rsid w:val="21A460DD"/>
    <w:rsid w:val="21B87493"/>
    <w:rsid w:val="21BE0E1A"/>
    <w:rsid w:val="21CD288F"/>
    <w:rsid w:val="21D00AE9"/>
    <w:rsid w:val="21D267A7"/>
    <w:rsid w:val="21DE339D"/>
    <w:rsid w:val="21EB1616"/>
    <w:rsid w:val="21F24362"/>
    <w:rsid w:val="21F24B0D"/>
    <w:rsid w:val="21F42BC1"/>
    <w:rsid w:val="21FB45FD"/>
    <w:rsid w:val="22015883"/>
    <w:rsid w:val="220628F4"/>
    <w:rsid w:val="221A1EFC"/>
    <w:rsid w:val="221E6F5A"/>
    <w:rsid w:val="2228286B"/>
    <w:rsid w:val="22754179"/>
    <w:rsid w:val="22761828"/>
    <w:rsid w:val="2287718C"/>
    <w:rsid w:val="22A27754"/>
    <w:rsid w:val="22A7378F"/>
    <w:rsid w:val="22AA1706"/>
    <w:rsid w:val="22B60150"/>
    <w:rsid w:val="22C55C03"/>
    <w:rsid w:val="22CC31F6"/>
    <w:rsid w:val="22D222AA"/>
    <w:rsid w:val="22DB21F8"/>
    <w:rsid w:val="22E536AD"/>
    <w:rsid w:val="22F274AE"/>
    <w:rsid w:val="22F416F4"/>
    <w:rsid w:val="22F53D08"/>
    <w:rsid w:val="231B23CF"/>
    <w:rsid w:val="231F3C6E"/>
    <w:rsid w:val="232036C5"/>
    <w:rsid w:val="2334701B"/>
    <w:rsid w:val="23363B79"/>
    <w:rsid w:val="233A3AC1"/>
    <w:rsid w:val="236E7ACA"/>
    <w:rsid w:val="237245AC"/>
    <w:rsid w:val="23746A36"/>
    <w:rsid w:val="237B5B7C"/>
    <w:rsid w:val="237D224F"/>
    <w:rsid w:val="237E0093"/>
    <w:rsid w:val="2383762A"/>
    <w:rsid w:val="23FA1D31"/>
    <w:rsid w:val="241F248B"/>
    <w:rsid w:val="243E45C7"/>
    <w:rsid w:val="245E07C6"/>
    <w:rsid w:val="24606421"/>
    <w:rsid w:val="247D1AA1"/>
    <w:rsid w:val="24B0370A"/>
    <w:rsid w:val="24D80578"/>
    <w:rsid w:val="24DB2CA5"/>
    <w:rsid w:val="24E753F0"/>
    <w:rsid w:val="24EC62BB"/>
    <w:rsid w:val="25070E5D"/>
    <w:rsid w:val="252A68FA"/>
    <w:rsid w:val="25396B3D"/>
    <w:rsid w:val="253F24AD"/>
    <w:rsid w:val="25560A6D"/>
    <w:rsid w:val="2556149D"/>
    <w:rsid w:val="256E7DFB"/>
    <w:rsid w:val="2575279B"/>
    <w:rsid w:val="25A91F14"/>
    <w:rsid w:val="25AA4762"/>
    <w:rsid w:val="25BC39F6"/>
    <w:rsid w:val="25D21D06"/>
    <w:rsid w:val="25D23219"/>
    <w:rsid w:val="25EA4E6F"/>
    <w:rsid w:val="261455E0"/>
    <w:rsid w:val="2615266A"/>
    <w:rsid w:val="26323062"/>
    <w:rsid w:val="26415CA9"/>
    <w:rsid w:val="266A4467"/>
    <w:rsid w:val="2674059D"/>
    <w:rsid w:val="267C13D7"/>
    <w:rsid w:val="268022CF"/>
    <w:rsid w:val="26807D91"/>
    <w:rsid w:val="2695087C"/>
    <w:rsid w:val="2695319D"/>
    <w:rsid w:val="269B356B"/>
    <w:rsid w:val="26C42E09"/>
    <w:rsid w:val="26CC5EBA"/>
    <w:rsid w:val="26E33204"/>
    <w:rsid w:val="26E46E49"/>
    <w:rsid w:val="26EA27E4"/>
    <w:rsid w:val="270A00C0"/>
    <w:rsid w:val="272F405D"/>
    <w:rsid w:val="273677D8"/>
    <w:rsid w:val="273C335D"/>
    <w:rsid w:val="274E09BE"/>
    <w:rsid w:val="275C4513"/>
    <w:rsid w:val="2762699E"/>
    <w:rsid w:val="277E1F22"/>
    <w:rsid w:val="278767FC"/>
    <w:rsid w:val="278E4C92"/>
    <w:rsid w:val="27954AE7"/>
    <w:rsid w:val="279C5A95"/>
    <w:rsid w:val="27A04852"/>
    <w:rsid w:val="27A82CF3"/>
    <w:rsid w:val="27AE55C0"/>
    <w:rsid w:val="27B85D94"/>
    <w:rsid w:val="27BC27E0"/>
    <w:rsid w:val="27D306D5"/>
    <w:rsid w:val="27F21951"/>
    <w:rsid w:val="28134721"/>
    <w:rsid w:val="28165855"/>
    <w:rsid w:val="28270163"/>
    <w:rsid w:val="28355CE1"/>
    <w:rsid w:val="28400B00"/>
    <w:rsid w:val="2847529F"/>
    <w:rsid w:val="284E6F49"/>
    <w:rsid w:val="287265EE"/>
    <w:rsid w:val="287B05E7"/>
    <w:rsid w:val="28AE2472"/>
    <w:rsid w:val="28C12EFE"/>
    <w:rsid w:val="28CA642A"/>
    <w:rsid w:val="28E43417"/>
    <w:rsid w:val="290A2936"/>
    <w:rsid w:val="291400E1"/>
    <w:rsid w:val="291726A8"/>
    <w:rsid w:val="291865E2"/>
    <w:rsid w:val="291F53D2"/>
    <w:rsid w:val="2934305C"/>
    <w:rsid w:val="294D0BEE"/>
    <w:rsid w:val="294E2B3D"/>
    <w:rsid w:val="29791BFE"/>
    <w:rsid w:val="29AB22B6"/>
    <w:rsid w:val="29B64C0E"/>
    <w:rsid w:val="29DA08EE"/>
    <w:rsid w:val="2A092FA4"/>
    <w:rsid w:val="2A183A07"/>
    <w:rsid w:val="2A406A7D"/>
    <w:rsid w:val="2A5F0DF4"/>
    <w:rsid w:val="2A64363D"/>
    <w:rsid w:val="2A662182"/>
    <w:rsid w:val="2A706411"/>
    <w:rsid w:val="2A7F3901"/>
    <w:rsid w:val="2A9E4F62"/>
    <w:rsid w:val="2A9E6CF3"/>
    <w:rsid w:val="2AAE4142"/>
    <w:rsid w:val="2ACC7E8F"/>
    <w:rsid w:val="2AD06E15"/>
    <w:rsid w:val="2AF92990"/>
    <w:rsid w:val="2B182928"/>
    <w:rsid w:val="2B275D9D"/>
    <w:rsid w:val="2B3737E3"/>
    <w:rsid w:val="2B3F1F14"/>
    <w:rsid w:val="2B42603F"/>
    <w:rsid w:val="2B45448D"/>
    <w:rsid w:val="2B525912"/>
    <w:rsid w:val="2B597F39"/>
    <w:rsid w:val="2B6B5311"/>
    <w:rsid w:val="2B790490"/>
    <w:rsid w:val="2B7F78D7"/>
    <w:rsid w:val="2B810F1A"/>
    <w:rsid w:val="2B855E7E"/>
    <w:rsid w:val="2B88437A"/>
    <w:rsid w:val="2B9B22FF"/>
    <w:rsid w:val="2BB1529A"/>
    <w:rsid w:val="2BC730F4"/>
    <w:rsid w:val="2BCA3B2F"/>
    <w:rsid w:val="2BDE1364"/>
    <w:rsid w:val="2BE02720"/>
    <w:rsid w:val="2BEC66B7"/>
    <w:rsid w:val="2C083603"/>
    <w:rsid w:val="2C15335B"/>
    <w:rsid w:val="2C1E4C33"/>
    <w:rsid w:val="2C2220D9"/>
    <w:rsid w:val="2C23365F"/>
    <w:rsid w:val="2C390A8A"/>
    <w:rsid w:val="2C3B319A"/>
    <w:rsid w:val="2C425670"/>
    <w:rsid w:val="2C461B68"/>
    <w:rsid w:val="2C4C3D6A"/>
    <w:rsid w:val="2C697D08"/>
    <w:rsid w:val="2C6F4039"/>
    <w:rsid w:val="2C710C4D"/>
    <w:rsid w:val="2C846538"/>
    <w:rsid w:val="2C9D1306"/>
    <w:rsid w:val="2C9E6414"/>
    <w:rsid w:val="2CB606A2"/>
    <w:rsid w:val="2CC26223"/>
    <w:rsid w:val="2CC47634"/>
    <w:rsid w:val="2CC6515A"/>
    <w:rsid w:val="2CD337A9"/>
    <w:rsid w:val="2CE10BE8"/>
    <w:rsid w:val="2CF3049A"/>
    <w:rsid w:val="2CF32E40"/>
    <w:rsid w:val="2CF86B22"/>
    <w:rsid w:val="2D0839C4"/>
    <w:rsid w:val="2D1057CD"/>
    <w:rsid w:val="2D145EC5"/>
    <w:rsid w:val="2D152468"/>
    <w:rsid w:val="2D241E80"/>
    <w:rsid w:val="2D5C5ABE"/>
    <w:rsid w:val="2D630F91"/>
    <w:rsid w:val="2D664F5E"/>
    <w:rsid w:val="2D697EA3"/>
    <w:rsid w:val="2D7024A1"/>
    <w:rsid w:val="2D80355B"/>
    <w:rsid w:val="2D976D09"/>
    <w:rsid w:val="2DA516A0"/>
    <w:rsid w:val="2DB41456"/>
    <w:rsid w:val="2DE436DC"/>
    <w:rsid w:val="2DEC4A0C"/>
    <w:rsid w:val="2DEC5317"/>
    <w:rsid w:val="2DEC5F0B"/>
    <w:rsid w:val="2DFF6B75"/>
    <w:rsid w:val="2E01402E"/>
    <w:rsid w:val="2E0C3040"/>
    <w:rsid w:val="2E185C3D"/>
    <w:rsid w:val="2E2204C5"/>
    <w:rsid w:val="2E2E1663"/>
    <w:rsid w:val="2E4224AC"/>
    <w:rsid w:val="2E495DF1"/>
    <w:rsid w:val="2E59009A"/>
    <w:rsid w:val="2E6B75AF"/>
    <w:rsid w:val="2E750BA9"/>
    <w:rsid w:val="2E806CBB"/>
    <w:rsid w:val="2EA772A9"/>
    <w:rsid w:val="2EAE500C"/>
    <w:rsid w:val="2EBA1C40"/>
    <w:rsid w:val="2EC1207D"/>
    <w:rsid w:val="2ED26038"/>
    <w:rsid w:val="2EDC691C"/>
    <w:rsid w:val="2EDD0FB3"/>
    <w:rsid w:val="2EE1089C"/>
    <w:rsid w:val="2F0E652E"/>
    <w:rsid w:val="2F104DB2"/>
    <w:rsid w:val="2F1321AD"/>
    <w:rsid w:val="2F132A17"/>
    <w:rsid w:val="2F266D15"/>
    <w:rsid w:val="2F2919D0"/>
    <w:rsid w:val="2F314BFD"/>
    <w:rsid w:val="2F320D47"/>
    <w:rsid w:val="2F3B2664"/>
    <w:rsid w:val="2F454A5C"/>
    <w:rsid w:val="2F5E29F1"/>
    <w:rsid w:val="2F6611CD"/>
    <w:rsid w:val="2F8310E0"/>
    <w:rsid w:val="2F926BFE"/>
    <w:rsid w:val="2FAA3DC6"/>
    <w:rsid w:val="2FCC01E2"/>
    <w:rsid w:val="2FD14541"/>
    <w:rsid w:val="2FDD009C"/>
    <w:rsid w:val="2FEC348A"/>
    <w:rsid w:val="2FFC7BB4"/>
    <w:rsid w:val="3014682A"/>
    <w:rsid w:val="30201103"/>
    <w:rsid w:val="302C13C2"/>
    <w:rsid w:val="30370977"/>
    <w:rsid w:val="30386386"/>
    <w:rsid w:val="305108E1"/>
    <w:rsid w:val="306F6AB8"/>
    <w:rsid w:val="3082583C"/>
    <w:rsid w:val="30913CD1"/>
    <w:rsid w:val="309317F7"/>
    <w:rsid w:val="30A07FC3"/>
    <w:rsid w:val="30B923E9"/>
    <w:rsid w:val="30BA3CF2"/>
    <w:rsid w:val="30BD4AC6"/>
    <w:rsid w:val="30C74E1A"/>
    <w:rsid w:val="30D616E4"/>
    <w:rsid w:val="30F53C57"/>
    <w:rsid w:val="30F544AA"/>
    <w:rsid w:val="31380A01"/>
    <w:rsid w:val="313E79B5"/>
    <w:rsid w:val="31580C96"/>
    <w:rsid w:val="31607E6D"/>
    <w:rsid w:val="31662A68"/>
    <w:rsid w:val="318D33AD"/>
    <w:rsid w:val="31A87524"/>
    <w:rsid w:val="31AB491E"/>
    <w:rsid w:val="31C12394"/>
    <w:rsid w:val="31CC3212"/>
    <w:rsid w:val="31F40673"/>
    <w:rsid w:val="3201033B"/>
    <w:rsid w:val="32047151"/>
    <w:rsid w:val="320D55D9"/>
    <w:rsid w:val="32452FC5"/>
    <w:rsid w:val="3255342B"/>
    <w:rsid w:val="32713DBA"/>
    <w:rsid w:val="3276317E"/>
    <w:rsid w:val="329E1820"/>
    <w:rsid w:val="32B12408"/>
    <w:rsid w:val="32CD25D9"/>
    <w:rsid w:val="32D560F7"/>
    <w:rsid w:val="32D74951"/>
    <w:rsid w:val="32D83D9A"/>
    <w:rsid w:val="32DC0EB2"/>
    <w:rsid w:val="32E26A66"/>
    <w:rsid w:val="32F02F60"/>
    <w:rsid w:val="32F522F5"/>
    <w:rsid w:val="32F61101"/>
    <w:rsid w:val="330C2E13"/>
    <w:rsid w:val="330F1DDA"/>
    <w:rsid w:val="33150BE9"/>
    <w:rsid w:val="33174961"/>
    <w:rsid w:val="333B75B5"/>
    <w:rsid w:val="33641229"/>
    <w:rsid w:val="336507A3"/>
    <w:rsid w:val="336B36C3"/>
    <w:rsid w:val="33A3566F"/>
    <w:rsid w:val="33A873C8"/>
    <w:rsid w:val="33D66B1D"/>
    <w:rsid w:val="33EB5DB9"/>
    <w:rsid w:val="340624B2"/>
    <w:rsid w:val="340B2542"/>
    <w:rsid w:val="346516FC"/>
    <w:rsid w:val="3467465C"/>
    <w:rsid w:val="346F4CA2"/>
    <w:rsid w:val="348002E4"/>
    <w:rsid w:val="34915666"/>
    <w:rsid w:val="3492696B"/>
    <w:rsid w:val="34A04D6A"/>
    <w:rsid w:val="34AB28AE"/>
    <w:rsid w:val="34BF0E0C"/>
    <w:rsid w:val="34C53ECE"/>
    <w:rsid w:val="34E0341D"/>
    <w:rsid w:val="34E04289"/>
    <w:rsid w:val="34E2756F"/>
    <w:rsid w:val="34F14D3E"/>
    <w:rsid w:val="350C1B78"/>
    <w:rsid w:val="352436C2"/>
    <w:rsid w:val="352B2A66"/>
    <w:rsid w:val="35415CC5"/>
    <w:rsid w:val="354F32F4"/>
    <w:rsid w:val="35607A75"/>
    <w:rsid w:val="35611EC4"/>
    <w:rsid w:val="357716E7"/>
    <w:rsid w:val="357864AF"/>
    <w:rsid w:val="358A5474"/>
    <w:rsid w:val="35A5140F"/>
    <w:rsid w:val="35B42F1C"/>
    <w:rsid w:val="35CD7559"/>
    <w:rsid w:val="35DB18E9"/>
    <w:rsid w:val="35F761F0"/>
    <w:rsid w:val="36045A7B"/>
    <w:rsid w:val="36054F45"/>
    <w:rsid w:val="36176A26"/>
    <w:rsid w:val="362353CB"/>
    <w:rsid w:val="362B060A"/>
    <w:rsid w:val="3636170A"/>
    <w:rsid w:val="363F76E9"/>
    <w:rsid w:val="36405307"/>
    <w:rsid w:val="364A0BAA"/>
    <w:rsid w:val="36636EDD"/>
    <w:rsid w:val="36673DA9"/>
    <w:rsid w:val="368F03E4"/>
    <w:rsid w:val="36A612A5"/>
    <w:rsid w:val="36B16132"/>
    <w:rsid w:val="36E83F1F"/>
    <w:rsid w:val="36F338D4"/>
    <w:rsid w:val="36FA6498"/>
    <w:rsid w:val="370A241D"/>
    <w:rsid w:val="370C4BC0"/>
    <w:rsid w:val="370F51A2"/>
    <w:rsid w:val="3723497E"/>
    <w:rsid w:val="37272C99"/>
    <w:rsid w:val="372B743D"/>
    <w:rsid w:val="372E2279"/>
    <w:rsid w:val="374876D5"/>
    <w:rsid w:val="375F2433"/>
    <w:rsid w:val="377401A1"/>
    <w:rsid w:val="37793825"/>
    <w:rsid w:val="377A726D"/>
    <w:rsid w:val="377F23E5"/>
    <w:rsid w:val="378A16E7"/>
    <w:rsid w:val="379522F8"/>
    <w:rsid w:val="37A2419B"/>
    <w:rsid w:val="37A50D97"/>
    <w:rsid w:val="37A662B4"/>
    <w:rsid w:val="37AC125D"/>
    <w:rsid w:val="37AE58D5"/>
    <w:rsid w:val="37B74505"/>
    <w:rsid w:val="37C21648"/>
    <w:rsid w:val="37CC466D"/>
    <w:rsid w:val="37D4759C"/>
    <w:rsid w:val="37E00CFB"/>
    <w:rsid w:val="37E07E0E"/>
    <w:rsid w:val="37F05781"/>
    <w:rsid w:val="381A4615"/>
    <w:rsid w:val="381C47C8"/>
    <w:rsid w:val="38213B8C"/>
    <w:rsid w:val="38251E5A"/>
    <w:rsid w:val="38502FE8"/>
    <w:rsid w:val="38532533"/>
    <w:rsid w:val="385B0E4C"/>
    <w:rsid w:val="385E64E4"/>
    <w:rsid w:val="386079B4"/>
    <w:rsid w:val="386C18DD"/>
    <w:rsid w:val="386D77F5"/>
    <w:rsid w:val="386E4E5E"/>
    <w:rsid w:val="38797597"/>
    <w:rsid w:val="388E5DAF"/>
    <w:rsid w:val="38AA6BA6"/>
    <w:rsid w:val="38AA794E"/>
    <w:rsid w:val="38D469AB"/>
    <w:rsid w:val="38DF2727"/>
    <w:rsid w:val="38F20066"/>
    <w:rsid w:val="38F82B3F"/>
    <w:rsid w:val="390503C5"/>
    <w:rsid w:val="39142E84"/>
    <w:rsid w:val="39194863"/>
    <w:rsid w:val="39552110"/>
    <w:rsid w:val="39565AB7"/>
    <w:rsid w:val="395D6E46"/>
    <w:rsid w:val="39796755"/>
    <w:rsid w:val="397F6DBC"/>
    <w:rsid w:val="398048E2"/>
    <w:rsid w:val="39A61652"/>
    <w:rsid w:val="39B20F40"/>
    <w:rsid w:val="39B9705F"/>
    <w:rsid w:val="39E11825"/>
    <w:rsid w:val="39FA4695"/>
    <w:rsid w:val="3A361B71"/>
    <w:rsid w:val="3A490B50"/>
    <w:rsid w:val="3A520E19"/>
    <w:rsid w:val="3A575D3F"/>
    <w:rsid w:val="3A712BA9"/>
    <w:rsid w:val="3A803893"/>
    <w:rsid w:val="3A803B7C"/>
    <w:rsid w:val="3A83468A"/>
    <w:rsid w:val="3A9D217D"/>
    <w:rsid w:val="3AB95F3F"/>
    <w:rsid w:val="3AB962FE"/>
    <w:rsid w:val="3AC23405"/>
    <w:rsid w:val="3ACB58A9"/>
    <w:rsid w:val="3ACF78CF"/>
    <w:rsid w:val="3ADF02DC"/>
    <w:rsid w:val="3AF13CEA"/>
    <w:rsid w:val="3B1479D8"/>
    <w:rsid w:val="3B196E09"/>
    <w:rsid w:val="3B24690F"/>
    <w:rsid w:val="3B267C5F"/>
    <w:rsid w:val="3B274A2D"/>
    <w:rsid w:val="3B3F6A1E"/>
    <w:rsid w:val="3BB172E1"/>
    <w:rsid w:val="3BBA2DF4"/>
    <w:rsid w:val="3BCA5C37"/>
    <w:rsid w:val="3BCD59D0"/>
    <w:rsid w:val="3BD11425"/>
    <w:rsid w:val="3BF375EE"/>
    <w:rsid w:val="3BFB6AAC"/>
    <w:rsid w:val="3C0B3F3E"/>
    <w:rsid w:val="3C351D28"/>
    <w:rsid w:val="3C3968C3"/>
    <w:rsid w:val="3C4D13F4"/>
    <w:rsid w:val="3C5A58BF"/>
    <w:rsid w:val="3C6127A9"/>
    <w:rsid w:val="3C6C2C0E"/>
    <w:rsid w:val="3C814BF9"/>
    <w:rsid w:val="3C9012E0"/>
    <w:rsid w:val="3C920BB5"/>
    <w:rsid w:val="3C9241AF"/>
    <w:rsid w:val="3C98219B"/>
    <w:rsid w:val="3CB11983"/>
    <w:rsid w:val="3CC77D50"/>
    <w:rsid w:val="3CE037FA"/>
    <w:rsid w:val="3CE23692"/>
    <w:rsid w:val="3CE7625B"/>
    <w:rsid w:val="3CFB086E"/>
    <w:rsid w:val="3D006466"/>
    <w:rsid w:val="3D125A40"/>
    <w:rsid w:val="3D150B5A"/>
    <w:rsid w:val="3D193C7F"/>
    <w:rsid w:val="3D2263DC"/>
    <w:rsid w:val="3D3A1978"/>
    <w:rsid w:val="3D567E34"/>
    <w:rsid w:val="3D785FFC"/>
    <w:rsid w:val="3D937190"/>
    <w:rsid w:val="3DA45043"/>
    <w:rsid w:val="3DA50DB0"/>
    <w:rsid w:val="3DCA78A7"/>
    <w:rsid w:val="3DD86A9B"/>
    <w:rsid w:val="3DEE4511"/>
    <w:rsid w:val="3DFC7A35"/>
    <w:rsid w:val="3E2E0DB1"/>
    <w:rsid w:val="3E3276A2"/>
    <w:rsid w:val="3E3A1504"/>
    <w:rsid w:val="3E3A7736"/>
    <w:rsid w:val="3E4F2B56"/>
    <w:rsid w:val="3E542AEA"/>
    <w:rsid w:val="3E6D498B"/>
    <w:rsid w:val="3E733DA1"/>
    <w:rsid w:val="3E8B6203"/>
    <w:rsid w:val="3EA06EF0"/>
    <w:rsid w:val="3EA846BF"/>
    <w:rsid w:val="3EAE5A4E"/>
    <w:rsid w:val="3ECC3D0A"/>
    <w:rsid w:val="3ED5122D"/>
    <w:rsid w:val="3ED6060B"/>
    <w:rsid w:val="3ED91649"/>
    <w:rsid w:val="3EE826B5"/>
    <w:rsid w:val="3EEC7BC8"/>
    <w:rsid w:val="3EF452BB"/>
    <w:rsid w:val="3F164A83"/>
    <w:rsid w:val="3F316CDE"/>
    <w:rsid w:val="3F400AEF"/>
    <w:rsid w:val="3F8C5D8F"/>
    <w:rsid w:val="3F8E28E2"/>
    <w:rsid w:val="3FBA4802"/>
    <w:rsid w:val="3FC07697"/>
    <w:rsid w:val="3FDA0845"/>
    <w:rsid w:val="3FDA0E04"/>
    <w:rsid w:val="3FDC15EA"/>
    <w:rsid w:val="3FDD11CF"/>
    <w:rsid w:val="3FE51960"/>
    <w:rsid w:val="3FE93F43"/>
    <w:rsid w:val="3FEF3F0D"/>
    <w:rsid w:val="3FF35A91"/>
    <w:rsid w:val="400B75FC"/>
    <w:rsid w:val="401A458F"/>
    <w:rsid w:val="401E123E"/>
    <w:rsid w:val="401F4E55"/>
    <w:rsid w:val="402C12DE"/>
    <w:rsid w:val="406F01F1"/>
    <w:rsid w:val="40904741"/>
    <w:rsid w:val="409969B6"/>
    <w:rsid w:val="40A47F47"/>
    <w:rsid w:val="40AB2CDD"/>
    <w:rsid w:val="40B71B53"/>
    <w:rsid w:val="40C7098A"/>
    <w:rsid w:val="40E479EF"/>
    <w:rsid w:val="40F02B7E"/>
    <w:rsid w:val="40F57964"/>
    <w:rsid w:val="4108086F"/>
    <w:rsid w:val="4114428E"/>
    <w:rsid w:val="4114603C"/>
    <w:rsid w:val="41236EBE"/>
    <w:rsid w:val="412A5860"/>
    <w:rsid w:val="413125D0"/>
    <w:rsid w:val="41326E0A"/>
    <w:rsid w:val="414F176A"/>
    <w:rsid w:val="415154E2"/>
    <w:rsid w:val="41765D26"/>
    <w:rsid w:val="417E788E"/>
    <w:rsid w:val="41AF06D0"/>
    <w:rsid w:val="41BD2B78"/>
    <w:rsid w:val="41C4585A"/>
    <w:rsid w:val="41C63D9B"/>
    <w:rsid w:val="41E579D9"/>
    <w:rsid w:val="41F8105C"/>
    <w:rsid w:val="420845E2"/>
    <w:rsid w:val="420D1D39"/>
    <w:rsid w:val="42180040"/>
    <w:rsid w:val="422C32C1"/>
    <w:rsid w:val="422C3859"/>
    <w:rsid w:val="426C21A0"/>
    <w:rsid w:val="426D3EB9"/>
    <w:rsid w:val="42864F65"/>
    <w:rsid w:val="429C453B"/>
    <w:rsid w:val="42A772EB"/>
    <w:rsid w:val="42C6780A"/>
    <w:rsid w:val="42C72C47"/>
    <w:rsid w:val="42DB2E8D"/>
    <w:rsid w:val="43075A87"/>
    <w:rsid w:val="43236A0A"/>
    <w:rsid w:val="43362BE2"/>
    <w:rsid w:val="433C7ACC"/>
    <w:rsid w:val="43441DF7"/>
    <w:rsid w:val="43445388"/>
    <w:rsid w:val="435C7E7F"/>
    <w:rsid w:val="436F39FE"/>
    <w:rsid w:val="43777C7B"/>
    <w:rsid w:val="439B43D9"/>
    <w:rsid w:val="43A7221E"/>
    <w:rsid w:val="43B06F1C"/>
    <w:rsid w:val="43B6412B"/>
    <w:rsid w:val="43C27FD1"/>
    <w:rsid w:val="43C87B0B"/>
    <w:rsid w:val="44070867"/>
    <w:rsid w:val="442F1492"/>
    <w:rsid w:val="4434109D"/>
    <w:rsid w:val="444035EC"/>
    <w:rsid w:val="44675A79"/>
    <w:rsid w:val="446F12F2"/>
    <w:rsid w:val="4484502F"/>
    <w:rsid w:val="44917E38"/>
    <w:rsid w:val="44A201F4"/>
    <w:rsid w:val="44AA1A66"/>
    <w:rsid w:val="44B453B7"/>
    <w:rsid w:val="44C63AF1"/>
    <w:rsid w:val="44CB5FF8"/>
    <w:rsid w:val="44DD1657"/>
    <w:rsid w:val="44EA1B73"/>
    <w:rsid w:val="44FC39B7"/>
    <w:rsid w:val="44FD2C55"/>
    <w:rsid w:val="44FE432F"/>
    <w:rsid w:val="450809FA"/>
    <w:rsid w:val="45162866"/>
    <w:rsid w:val="451F1453"/>
    <w:rsid w:val="4527323E"/>
    <w:rsid w:val="453727C7"/>
    <w:rsid w:val="454809AA"/>
    <w:rsid w:val="455235D7"/>
    <w:rsid w:val="4577128F"/>
    <w:rsid w:val="4594183E"/>
    <w:rsid w:val="45D448D6"/>
    <w:rsid w:val="45F4468E"/>
    <w:rsid w:val="45FB77CB"/>
    <w:rsid w:val="45FC3543"/>
    <w:rsid w:val="45FD7118"/>
    <w:rsid w:val="45FE184B"/>
    <w:rsid w:val="460F14C8"/>
    <w:rsid w:val="461969FA"/>
    <w:rsid w:val="462A00B0"/>
    <w:rsid w:val="462B7D2E"/>
    <w:rsid w:val="46685BD7"/>
    <w:rsid w:val="466C06C8"/>
    <w:rsid w:val="466D10C5"/>
    <w:rsid w:val="46827EEC"/>
    <w:rsid w:val="46A77952"/>
    <w:rsid w:val="46BC7EE0"/>
    <w:rsid w:val="46BE0E3A"/>
    <w:rsid w:val="47001F3F"/>
    <w:rsid w:val="470F0C1F"/>
    <w:rsid w:val="47226FD9"/>
    <w:rsid w:val="47554E59"/>
    <w:rsid w:val="47615D53"/>
    <w:rsid w:val="47637D1D"/>
    <w:rsid w:val="47775577"/>
    <w:rsid w:val="47BF359D"/>
    <w:rsid w:val="47E470D8"/>
    <w:rsid w:val="47F1630A"/>
    <w:rsid w:val="47FA3E9F"/>
    <w:rsid w:val="480344C7"/>
    <w:rsid w:val="48196DB1"/>
    <w:rsid w:val="481B0DBC"/>
    <w:rsid w:val="48313FEA"/>
    <w:rsid w:val="48382F33"/>
    <w:rsid w:val="484336AB"/>
    <w:rsid w:val="484B6A2E"/>
    <w:rsid w:val="486E0837"/>
    <w:rsid w:val="4871646A"/>
    <w:rsid w:val="48943F06"/>
    <w:rsid w:val="48F72D2E"/>
    <w:rsid w:val="49002006"/>
    <w:rsid w:val="490177EE"/>
    <w:rsid w:val="49203F9B"/>
    <w:rsid w:val="49325BF9"/>
    <w:rsid w:val="49430E64"/>
    <w:rsid w:val="4964427B"/>
    <w:rsid w:val="496D298B"/>
    <w:rsid w:val="49714AB5"/>
    <w:rsid w:val="49787384"/>
    <w:rsid w:val="49810EDA"/>
    <w:rsid w:val="498E762B"/>
    <w:rsid w:val="49A859B5"/>
    <w:rsid w:val="49B84156"/>
    <w:rsid w:val="49BE1547"/>
    <w:rsid w:val="49C431E2"/>
    <w:rsid w:val="49C64D08"/>
    <w:rsid w:val="49CC64A2"/>
    <w:rsid w:val="49D15412"/>
    <w:rsid w:val="49DF639B"/>
    <w:rsid w:val="49F50543"/>
    <w:rsid w:val="4A1078EC"/>
    <w:rsid w:val="4A212D72"/>
    <w:rsid w:val="4A227E4B"/>
    <w:rsid w:val="4A2F038B"/>
    <w:rsid w:val="4A3537EB"/>
    <w:rsid w:val="4A443111"/>
    <w:rsid w:val="4A477482"/>
    <w:rsid w:val="4A640920"/>
    <w:rsid w:val="4A762D08"/>
    <w:rsid w:val="4A7A3548"/>
    <w:rsid w:val="4AB51D83"/>
    <w:rsid w:val="4AB97C71"/>
    <w:rsid w:val="4AC932C5"/>
    <w:rsid w:val="4AD11B57"/>
    <w:rsid w:val="4AEF5A2D"/>
    <w:rsid w:val="4AFF1E6B"/>
    <w:rsid w:val="4B15132F"/>
    <w:rsid w:val="4B1D6435"/>
    <w:rsid w:val="4B38501D"/>
    <w:rsid w:val="4B3C494D"/>
    <w:rsid w:val="4B3D1FDD"/>
    <w:rsid w:val="4B6814D6"/>
    <w:rsid w:val="4B6C3299"/>
    <w:rsid w:val="4B6E4EE3"/>
    <w:rsid w:val="4B78366B"/>
    <w:rsid w:val="4BA10E14"/>
    <w:rsid w:val="4BC14583"/>
    <w:rsid w:val="4BC201EE"/>
    <w:rsid w:val="4BDA71EA"/>
    <w:rsid w:val="4BEF09EE"/>
    <w:rsid w:val="4C075441"/>
    <w:rsid w:val="4C0A2EB2"/>
    <w:rsid w:val="4C0C2812"/>
    <w:rsid w:val="4C0F2222"/>
    <w:rsid w:val="4C17123B"/>
    <w:rsid w:val="4C1E06B7"/>
    <w:rsid w:val="4C5B0661"/>
    <w:rsid w:val="4C6E2D73"/>
    <w:rsid w:val="4C7107E7"/>
    <w:rsid w:val="4C7160FB"/>
    <w:rsid w:val="4CA276AB"/>
    <w:rsid w:val="4CB21F76"/>
    <w:rsid w:val="4CDA3541"/>
    <w:rsid w:val="4D074956"/>
    <w:rsid w:val="4D0E70B3"/>
    <w:rsid w:val="4D252BA2"/>
    <w:rsid w:val="4D381304"/>
    <w:rsid w:val="4D3C52C6"/>
    <w:rsid w:val="4D4828C8"/>
    <w:rsid w:val="4D4948F7"/>
    <w:rsid w:val="4D750307"/>
    <w:rsid w:val="4D7C5695"/>
    <w:rsid w:val="4D8515C9"/>
    <w:rsid w:val="4DAE2738"/>
    <w:rsid w:val="4DB56D8D"/>
    <w:rsid w:val="4DD52468"/>
    <w:rsid w:val="4DDF3E76"/>
    <w:rsid w:val="4DF73F52"/>
    <w:rsid w:val="4E0064A3"/>
    <w:rsid w:val="4E035F95"/>
    <w:rsid w:val="4E0B200F"/>
    <w:rsid w:val="4E181CA0"/>
    <w:rsid w:val="4E2D4BE1"/>
    <w:rsid w:val="4E371075"/>
    <w:rsid w:val="4E4519C3"/>
    <w:rsid w:val="4E4B53C1"/>
    <w:rsid w:val="4E5B45E0"/>
    <w:rsid w:val="4E5C4B26"/>
    <w:rsid w:val="4E675DBB"/>
    <w:rsid w:val="4E6A47F5"/>
    <w:rsid w:val="4E854A1D"/>
    <w:rsid w:val="4E8C5DAC"/>
    <w:rsid w:val="4E976359"/>
    <w:rsid w:val="4EBA2D91"/>
    <w:rsid w:val="4ECF3EEA"/>
    <w:rsid w:val="4EDE7C20"/>
    <w:rsid w:val="4F080877"/>
    <w:rsid w:val="4F245FE4"/>
    <w:rsid w:val="4F275AD4"/>
    <w:rsid w:val="4F2C30EB"/>
    <w:rsid w:val="4F3471FE"/>
    <w:rsid w:val="4F363F69"/>
    <w:rsid w:val="4F3F1E21"/>
    <w:rsid w:val="4F473A81"/>
    <w:rsid w:val="4F5B577E"/>
    <w:rsid w:val="4F6E3F54"/>
    <w:rsid w:val="4F954F03"/>
    <w:rsid w:val="4F9B4980"/>
    <w:rsid w:val="4FA82CC7"/>
    <w:rsid w:val="4FFF2E42"/>
    <w:rsid w:val="500373A2"/>
    <w:rsid w:val="500928E8"/>
    <w:rsid w:val="50131DD0"/>
    <w:rsid w:val="501716A5"/>
    <w:rsid w:val="501A48FB"/>
    <w:rsid w:val="50235868"/>
    <w:rsid w:val="503E1327"/>
    <w:rsid w:val="50460EDF"/>
    <w:rsid w:val="5051172E"/>
    <w:rsid w:val="506F14E1"/>
    <w:rsid w:val="50E13401"/>
    <w:rsid w:val="50E3604F"/>
    <w:rsid w:val="50EA5EA6"/>
    <w:rsid w:val="50F22E6D"/>
    <w:rsid w:val="5119769F"/>
    <w:rsid w:val="51286228"/>
    <w:rsid w:val="5132203B"/>
    <w:rsid w:val="51364090"/>
    <w:rsid w:val="51453FF0"/>
    <w:rsid w:val="514A5AAA"/>
    <w:rsid w:val="518824B6"/>
    <w:rsid w:val="51B82A14"/>
    <w:rsid w:val="51C71E07"/>
    <w:rsid w:val="51E15F95"/>
    <w:rsid w:val="51E665F7"/>
    <w:rsid w:val="51ED6B61"/>
    <w:rsid w:val="51F900B7"/>
    <w:rsid w:val="51FC6DA4"/>
    <w:rsid w:val="521B12F0"/>
    <w:rsid w:val="524538FA"/>
    <w:rsid w:val="52466271"/>
    <w:rsid w:val="52867CFB"/>
    <w:rsid w:val="528A0854"/>
    <w:rsid w:val="528A2602"/>
    <w:rsid w:val="52900B84"/>
    <w:rsid w:val="52A66D10"/>
    <w:rsid w:val="52AB0BBA"/>
    <w:rsid w:val="52DF5114"/>
    <w:rsid w:val="530C1F27"/>
    <w:rsid w:val="530D6D8F"/>
    <w:rsid w:val="532760A3"/>
    <w:rsid w:val="532A5B93"/>
    <w:rsid w:val="532D1ACF"/>
    <w:rsid w:val="534327B1"/>
    <w:rsid w:val="53586B16"/>
    <w:rsid w:val="53763034"/>
    <w:rsid w:val="539306AE"/>
    <w:rsid w:val="53A5346C"/>
    <w:rsid w:val="53A817EE"/>
    <w:rsid w:val="53BA0CC5"/>
    <w:rsid w:val="53D22A7B"/>
    <w:rsid w:val="53DC1622"/>
    <w:rsid w:val="53E54925"/>
    <w:rsid w:val="53E73A84"/>
    <w:rsid w:val="54320037"/>
    <w:rsid w:val="54324CFF"/>
    <w:rsid w:val="54333F12"/>
    <w:rsid w:val="54686973"/>
    <w:rsid w:val="54907C78"/>
    <w:rsid w:val="54C54A1B"/>
    <w:rsid w:val="54C55B73"/>
    <w:rsid w:val="54C764D1"/>
    <w:rsid w:val="54CE4645"/>
    <w:rsid w:val="54D062C6"/>
    <w:rsid w:val="54DB0410"/>
    <w:rsid w:val="54E67898"/>
    <w:rsid w:val="54E92385"/>
    <w:rsid w:val="54F6036C"/>
    <w:rsid w:val="5504377C"/>
    <w:rsid w:val="550A5A41"/>
    <w:rsid w:val="5527753F"/>
    <w:rsid w:val="5540169E"/>
    <w:rsid w:val="555111B5"/>
    <w:rsid w:val="55567759"/>
    <w:rsid w:val="555E525B"/>
    <w:rsid w:val="55681123"/>
    <w:rsid w:val="556D1D67"/>
    <w:rsid w:val="556F0D87"/>
    <w:rsid w:val="55866B25"/>
    <w:rsid w:val="559B4B26"/>
    <w:rsid w:val="559E4404"/>
    <w:rsid w:val="55A05A1B"/>
    <w:rsid w:val="55AB0490"/>
    <w:rsid w:val="55CE0A58"/>
    <w:rsid w:val="55D6254E"/>
    <w:rsid w:val="55DD7CED"/>
    <w:rsid w:val="55E2360E"/>
    <w:rsid w:val="55F41017"/>
    <w:rsid w:val="56117E33"/>
    <w:rsid w:val="56446F6C"/>
    <w:rsid w:val="56497870"/>
    <w:rsid w:val="56633896"/>
    <w:rsid w:val="56685F42"/>
    <w:rsid w:val="56825BFB"/>
    <w:rsid w:val="56841D0B"/>
    <w:rsid w:val="56940758"/>
    <w:rsid w:val="56A25A40"/>
    <w:rsid w:val="56C02F00"/>
    <w:rsid w:val="56D019B8"/>
    <w:rsid w:val="56D976B4"/>
    <w:rsid w:val="56FA51D0"/>
    <w:rsid w:val="56FC64B2"/>
    <w:rsid w:val="57030BD5"/>
    <w:rsid w:val="57032983"/>
    <w:rsid w:val="570D7111"/>
    <w:rsid w:val="570F7743"/>
    <w:rsid w:val="57162FB3"/>
    <w:rsid w:val="57174680"/>
    <w:rsid w:val="573151BB"/>
    <w:rsid w:val="57342B3C"/>
    <w:rsid w:val="5738789B"/>
    <w:rsid w:val="573C7FAA"/>
    <w:rsid w:val="574865E8"/>
    <w:rsid w:val="57576C63"/>
    <w:rsid w:val="577253CB"/>
    <w:rsid w:val="57991466"/>
    <w:rsid w:val="57A137EC"/>
    <w:rsid w:val="57A6691E"/>
    <w:rsid w:val="57A82F18"/>
    <w:rsid w:val="57AE25DF"/>
    <w:rsid w:val="57BE68AA"/>
    <w:rsid w:val="57CB1AF2"/>
    <w:rsid w:val="57CE2F91"/>
    <w:rsid w:val="57E023A0"/>
    <w:rsid w:val="57EC0678"/>
    <w:rsid w:val="57EE5F65"/>
    <w:rsid w:val="57F26BB6"/>
    <w:rsid w:val="580D3D8A"/>
    <w:rsid w:val="58255412"/>
    <w:rsid w:val="583F74C1"/>
    <w:rsid w:val="585B059D"/>
    <w:rsid w:val="58695A9C"/>
    <w:rsid w:val="5892018C"/>
    <w:rsid w:val="58B36D5C"/>
    <w:rsid w:val="58E25AD7"/>
    <w:rsid w:val="58EB4789"/>
    <w:rsid w:val="58F06F37"/>
    <w:rsid w:val="58F36090"/>
    <w:rsid w:val="592138DC"/>
    <w:rsid w:val="59244D48"/>
    <w:rsid w:val="593F26F5"/>
    <w:rsid w:val="595C08FA"/>
    <w:rsid w:val="59660645"/>
    <w:rsid w:val="59845573"/>
    <w:rsid w:val="598853C1"/>
    <w:rsid w:val="59BF7281"/>
    <w:rsid w:val="59C53F20"/>
    <w:rsid w:val="59D6437F"/>
    <w:rsid w:val="59D67831"/>
    <w:rsid w:val="59F35D36"/>
    <w:rsid w:val="59F61230"/>
    <w:rsid w:val="5A1D59BD"/>
    <w:rsid w:val="5A4E2167"/>
    <w:rsid w:val="5A5431C8"/>
    <w:rsid w:val="5A7122F9"/>
    <w:rsid w:val="5A80324E"/>
    <w:rsid w:val="5AA61FA3"/>
    <w:rsid w:val="5AA81FF6"/>
    <w:rsid w:val="5ABD16D5"/>
    <w:rsid w:val="5AC468CD"/>
    <w:rsid w:val="5B191B05"/>
    <w:rsid w:val="5B1C4E96"/>
    <w:rsid w:val="5B2A2BD4"/>
    <w:rsid w:val="5B3413EF"/>
    <w:rsid w:val="5B395C72"/>
    <w:rsid w:val="5B3C6463"/>
    <w:rsid w:val="5B5511BF"/>
    <w:rsid w:val="5B593839"/>
    <w:rsid w:val="5B642893"/>
    <w:rsid w:val="5B8203DA"/>
    <w:rsid w:val="5B993B5A"/>
    <w:rsid w:val="5BA61778"/>
    <w:rsid w:val="5BB21F7D"/>
    <w:rsid w:val="5BB35530"/>
    <w:rsid w:val="5BBC75A4"/>
    <w:rsid w:val="5BBF782B"/>
    <w:rsid w:val="5BD77759"/>
    <w:rsid w:val="5BDD10CF"/>
    <w:rsid w:val="5BEE6662"/>
    <w:rsid w:val="5BFC5BF3"/>
    <w:rsid w:val="5C0C22DA"/>
    <w:rsid w:val="5C217F1D"/>
    <w:rsid w:val="5C315B13"/>
    <w:rsid w:val="5C5A17F2"/>
    <w:rsid w:val="5C66400A"/>
    <w:rsid w:val="5C776EDC"/>
    <w:rsid w:val="5C797243"/>
    <w:rsid w:val="5C9522CF"/>
    <w:rsid w:val="5CA53BDA"/>
    <w:rsid w:val="5CA644DC"/>
    <w:rsid w:val="5CB32755"/>
    <w:rsid w:val="5CF05758"/>
    <w:rsid w:val="5D300649"/>
    <w:rsid w:val="5D4355F8"/>
    <w:rsid w:val="5D440F1B"/>
    <w:rsid w:val="5D56277F"/>
    <w:rsid w:val="5D5E09AD"/>
    <w:rsid w:val="5D5F2696"/>
    <w:rsid w:val="5D830265"/>
    <w:rsid w:val="5D845EA0"/>
    <w:rsid w:val="5DC618A9"/>
    <w:rsid w:val="5DE4453F"/>
    <w:rsid w:val="5DE828D3"/>
    <w:rsid w:val="5DF5102F"/>
    <w:rsid w:val="5DF9063C"/>
    <w:rsid w:val="5DF9358F"/>
    <w:rsid w:val="5E1636E9"/>
    <w:rsid w:val="5E165456"/>
    <w:rsid w:val="5E272D79"/>
    <w:rsid w:val="5E29716A"/>
    <w:rsid w:val="5E2A4056"/>
    <w:rsid w:val="5E45073D"/>
    <w:rsid w:val="5E4B3051"/>
    <w:rsid w:val="5E59753E"/>
    <w:rsid w:val="5E67523D"/>
    <w:rsid w:val="5E7B3747"/>
    <w:rsid w:val="5E85260C"/>
    <w:rsid w:val="5E9F70BA"/>
    <w:rsid w:val="5EA061D9"/>
    <w:rsid w:val="5EA5070E"/>
    <w:rsid w:val="5EA64025"/>
    <w:rsid w:val="5EA6515F"/>
    <w:rsid w:val="5EC647B4"/>
    <w:rsid w:val="5EC676EC"/>
    <w:rsid w:val="5ED00811"/>
    <w:rsid w:val="5EF62948"/>
    <w:rsid w:val="5F21609C"/>
    <w:rsid w:val="5F3A3E94"/>
    <w:rsid w:val="5F3A715E"/>
    <w:rsid w:val="5F3F6522"/>
    <w:rsid w:val="5F4411C4"/>
    <w:rsid w:val="5F8C14A5"/>
    <w:rsid w:val="5F8D1984"/>
    <w:rsid w:val="5F9525E6"/>
    <w:rsid w:val="5FA62405"/>
    <w:rsid w:val="5FAC52A4"/>
    <w:rsid w:val="5FBA3DFB"/>
    <w:rsid w:val="5FD01FD9"/>
    <w:rsid w:val="5FD2329E"/>
    <w:rsid w:val="5FD333DB"/>
    <w:rsid w:val="5FD36911"/>
    <w:rsid w:val="5FEB5DCD"/>
    <w:rsid w:val="5FF217E7"/>
    <w:rsid w:val="5FF57F2A"/>
    <w:rsid w:val="60047F2B"/>
    <w:rsid w:val="60113286"/>
    <w:rsid w:val="60162667"/>
    <w:rsid w:val="602120CC"/>
    <w:rsid w:val="60470EFE"/>
    <w:rsid w:val="606A43B3"/>
    <w:rsid w:val="607154CE"/>
    <w:rsid w:val="608764A5"/>
    <w:rsid w:val="60B62814"/>
    <w:rsid w:val="60C5514D"/>
    <w:rsid w:val="60CF1B28"/>
    <w:rsid w:val="60D809DC"/>
    <w:rsid w:val="60DF60FA"/>
    <w:rsid w:val="60E70180"/>
    <w:rsid w:val="60F030CB"/>
    <w:rsid w:val="60FB0A03"/>
    <w:rsid w:val="61215E8C"/>
    <w:rsid w:val="61493688"/>
    <w:rsid w:val="61587814"/>
    <w:rsid w:val="619033B2"/>
    <w:rsid w:val="619B27CE"/>
    <w:rsid w:val="61DA0784"/>
    <w:rsid w:val="62255EA3"/>
    <w:rsid w:val="622C3B9E"/>
    <w:rsid w:val="622C5E39"/>
    <w:rsid w:val="62464282"/>
    <w:rsid w:val="624E4302"/>
    <w:rsid w:val="62571DD5"/>
    <w:rsid w:val="626F3EF3"/>
    <w:rsid w:val="6273795D"/>
    <w:rsid w:val="62897FF7"/>
    <w:rsid w:val="629918C2"/>
    <w:rsid w:val="62AD0AE1"/>
    <w:rsid w:val="62B17737"/>
    <w:rsid w:val="62B72E38"/>
    <w:rsid w:val="62B80AC5"/>
    <w:rsid w:val="62D74414"/>
    <w:rsid w:val="62E73159"/>
    <w:rsid w:val="62F54502"/>
    <w:rsid w:val="630F1C94"/>
    <w:rsid w:val="63183579"/>
    <w:rsid w:val="63225AEA"/>
    <w:rsid w:val="633F3E3A"/>
    <w:rsid w:val="63424833"/>
    <w:rsid w:val="634549E6"/>
    <w:rsid w:val="63522436"/>
    <w:rsid w:val="63544E30"/>
    <w:rsid w:val="6358060E"/>
    <w:rsid w:val="636E73D6"/>
    <w:rsid w:val="63B404A1"/>
    <w:rsid w:val="63BE65AF"/>
    <w:rsid w:val="63D31303"/>
    <w:rsid w:val="63D450BF"/>
    <w:rsid w:val="63E55D34"/>
    <w:rsid w:val="6402190C"/>
    <w:rsid w:val="641B4762"/>
    <w:rsid w:val="64383846"/>
    <w:rsid w:val="643C5726"/>
    <w:rsid w:val="64405216"/>
    <w:rsid w:val="64520AA6"/>
    <w:rsid w:val="646C7BDC"/>
    <w:rsid w:val="646F78AA"/>
    <w:rsid w:val="648A46E4"/>
    <w:rsid w:val="648F1CFA"/>
    <w:rsid w:val="64A40989"/>
    <w:rsid w:val="64B91D62"/>
    <w:rsid w:val="64D531B6"/>
    <w:rsid w:val="64D771FD"/>
    <w:rsid w:val="64D95473"/>
    <w:rsid w:val="64EB7911"/>
    <w:rsid w:val="650A2486"/>
    <w:rsid w:val="651739E9"/>
    <w:rsid w:val="65271330"/>
    <w:rsid w:val="652B1847"/>
    <w:rsid w:val="653560F4"/>
    <w:rsid w:val="65717652"/>
    <w:rsid w:val="657333CA"/>
    <w:rsid w:val="6586269B"/>
    <w:rsid w:val="659F2866"/>
    <w:rsid w:val="65AC1891"/>
    <w:rsid w:val="65AE152B"/>
    <w:rsid w:val="65D379C4"/>
    <w:rsid w:val="6604186B"/>
    <w:rsid w:val="662D5327"/>
    <w:rsid w:val="662E03D6"/>
    <w:rsid w:val="664D3C1B"/>
    <w:rsid w:val="66582E5A"/>
    <w:rsid w:val="668318FF"/>
    <w:rsid w:val="6683763C"/>
    <w:rsid w:val="66A26462"/>
    <w:rsid w:val="66AA3E90"/>
    <w:rsid w:val="66C832A1"/>
    <w:rsid w:val="66D04383"/>
    <w:rsid w:val="66D87988"/>
    <w:rsid w:val="66DC69A0"/>
    <w:rsid w:val="66F127F8"/>
    <w:rsid w:val="670B0923"/>
    <w:rsid w:val="671309C0"/>
    <w:rsid w:val="67226E55"/>
    <w:rsid w:val="674212A6"/>
    <w:rsid w:val="6759214B"/>
    <w:rsid w:val="676E0F22"/>
    <w:rsid w:val="67904F99"/>
    <w:rsid w:val="67A1421E"/>
    <w:rsid w:val="67A755AC"/>
    <w:rsid w:val="67B850C4"/>
    <w:rsid w:val="67E22141"/>
    <w:rsid w:val="6801360A"/>
    <w:rsid w:val="68147DD3"/>
    <w:rsid w:val="682D01D6"/>
    <w:rsid w:val="68352BB8"/>
    <w:rsid w:val="684B1423"/>
    <w:rsid w:val="68541290"/>
    <w:rsid w:val="685F19E3"/>
    <w:rsid w:val="68622980"/>
    <w:rsid w:val="687A3238"/>
    <w:rsid w:val="68A11FFC"/>
    <w:rsid w:val="68D66127"/>
    <w:rsid w:val="68F465CF"/>
    <w:rsid w:val="68FC3697"/>
    <w:rsid w:val="69012A9A"/>
    <w:rsid w:val="690A7BA1"/>
    <w:rsid w:val="69117181"/>
    <w:rsid w:val="69257A51"/>
    <w:rsid w:val="692B4588"/>
    <w:rsid w:val="693167E8"/>
    <w:rsid w:val="69391761"/>
    <w:rsid w:val="694A2E20"/>
    <w:rsid w:val="6954706E"/>
    <w:rsid w:val="69604F54"/>
    <w:rsid w:val="696A0640"/>
    <w:rsid w:val="69867D5A"/>
    <w:rsid w:val="69A753F0"/>
    <w:rsid w:val="69AF0B76"/>
    <w:rsid w:val="69AF1EB6"/>
    <w:rsid w:val="69BA247D"/>
    <w:rsid w:val="69E04D5B"/>
    <w:rsid w:val="69F745C9"/>
    <w:rsid w:val="6A033600"/>
    <w:rsid w:val="6A097E59"/>
    <w:rsid w:val="6A411F99"/>
    <w:rsid w:val="6A4315BC"/>
    <w:rsid w:val="6A4C4051"/>
    <w:rsid w:val="6A5300EC"/>
    <w:rsid w:val="6A586FFA"/>
    <w:rsid w:val="6A675BE7"/>
    <w:rsid w:val="6A785C66"/>
    <w:rsid w:val="6A7F011B"/>
    <w:rsid w:val="6A8073C8"/>
    <w:rsid w:val="6A8917B4"/>
    <w:rsid w:val="6A8F772D"/>
    <w:rsid w:val="6AAB53B4"/>
    <w:rsid w:val="6AB57FE0"/>
    <w:rsid w:val="6ABC2ECE"/>
    <w:rsid w:val="6AE27644"/>
    <w:rsid w:val="6AE87EC6"/>
    <w:rsid w:val="6AFF300A"/>
    <w:rsid w:val="6B081F98"/>
    <w:rsid w:val="6B3A1955"/>
    <w:rsid w:val="6B4A3035"/>
    <w:rsid w:val="6B637BEB"/>
    <w:rsid w:val="6B735383"/>
    <w:rsid w:val="6B7463A0"/>
    <w:rsid w:val="6BAC13E3"/>
    <w:rsid w:val="6BDD159D"/>
    <w:rsid w:val="6BDD62BA"/>
    <w:rsid w:val="6BF250A7"/>
    <w:rsid w:val="6BFB359D"/>
    <w:rsid w:val="6C007039"/>
    <w:rsid w:val="6C0D76BF"/>
    <w:rsid w:val="6C2A7026"/>
    <w:rsid w:val="6C2D1FAE"/>
    <w:rsid w:val="6C3513D9"/>
    <w:rsid w:val="6C3A0D04"/>
    <w:rsid w:val="6C4B4434"/>
    <w:rsid w:val="6C4C04D0"/>
    <w:rsid w:val="6C7041BF"/>
    <w:rsid w:val="6C832144"/>
    <w:rsid w:val="6CAE6A95"/>
    <w:rsid w:val="6CB936F7"/>
    <w:rsid w:val="6D064B23"/>
    <w:rsid w:val="6D176D30"/>
    <w:rsid w:val="6D205BE5"/>
    <w:rsid w:val="6D30394E"/>
    <w:rsid w:val="6D3276C6"/>
    <w:rsid w:val="6D360494"/>
    <w:rsid w:val="6D3E2288"/>
    <w:rsid w:val="6D3F41E1"/>
    <w:rsid w:val="6D62102F"/>
    <w:rsid w:val="6D806140"/>
    <w:rsid w:val="6DAF5865"/>
    <w:rsid w:val="6DBA46E5"/>
    <w:rsid w:val="6DBC3063"/>
    <w:rsid w:val="6DBD1A6B"/>
    <w:rsid w:val="6DCE3893"/>
    <w:rsid w:val="6DD070A3"/>
    <w:rsid w:val="6DDE0681"/>
    <w:rsid w:val="6DE650EB"/>
    <w:rsid w:val="6DF8446C"/>
    <w:rsid w:val="6E14384D"/>
    <w:rsid w:val="6E3D5B03"/>
    <w:rsid w:val="6E731D44"/>
    <w:rsid w:val="6E843F52"/>
    <w:rsid w:val="6E981AFA"/>
    <w:rsid w:val="6EAD1141"/>
    <w:rsid w:val="6EB97178"/>
    <w:rsid w:val="6EBE032E"/>
    <w:rsid w:val="6ECB7DD2"/>
    <w:rsid w:val="6ECC76A7"/>
    <w:rsid w:val="6ECF78C3"/>
    <w:rsid w:val="6EEE210B"/>
    <w:rsid w:val="6EF94940"/>
    <w:rsid w:val="6F04416D"/>
    <w:rsid w:val="6F0D03EB"/>
    <w:rsid w:val="6F165AE6"/>
    <w:rsid w:val="6F231CCC"/>
    <w:rsid w:val="6F327E52"/>
    <w:rsid w:val="6F334B69"/>
    <w:rsid w:val="6F345978"/>
    <w:rsid w:val="6F6D2C38"/>
    <w:rsid w:val="6F7464D1"/>
    <w:rsid w:val="6F893832"/>
    <w:rsid w:val="6F8B4DDF"/>
    <w:rsid w:val="6FA50623"/>
    <w:rsid w:val="6FA70BF0"/>
    <w:rsid w:val="6FB46AB9"/>
    <w:rsid w:val="6FB91E88"/>
    <w:rsid w:val="6FC548EC"/>
    <w:rsid w:val="6FD94274"/>
    <w:rsid w:val="6FE61B76"/>
    <w:rsid w:val="70034A21"/>
    <w:rsid w:val="701C22F7"/>
    <w:rsid w:val="701D7B54"/>
    <w:rsid w:val="7025201F"/>
    <w:rsid w:val="70357BF9"/>
    <w:rsid w:val="703A6FBE"/>
    <w:rsid w:val="704F4E30"/>
    <w:rsid w:val="7054747B"/>
    <w:rsid w:val="705A3551"/>
    <w:rsid w:val="708B1550"/>
    <w:rsid w:val="709149DD"/>
    <w:rsid w:val="709D3F39"/>
    <w:rsid w:val="70B36DC5"/>
    <w:rsid w:val="70C1148D"/>
    <w:rsid w:val="70E8780D"/>
    <w:rsid w:val="710D6480"/>
    <w:rsid w:val="71175551"/>
    <w:rsid w:val="712A47A1"/>
    <w:rsid w:val="71733D7C"/>
    <w:rsid w:val="71BB219B"/>
    <w:rsid w:val="71C7694D"/>
    <w:rsid w:val="71CC5135"/>
    <w:rsid w:val="71D451F0"/>
    <w:rsid w:val="71F118FE"/>
    <w:rsid w:val="71F364B8"/>
    <w:rsid w:val="72070439"/>
    <w:rsid w:val="724E4FA2"/>
    <w:rsid w:val="72550E1D"/>
    <w:rsid w:val="72BC63B0"/>
    <w:rsid w:val="72F0605A"/>
    <w:rsid w:val="72F1701E"/>
    <w:rsid w:val="730222B6"/>
    <w:rsid w:val="7306762B"/>
    <w:rsid w:val="730D6B39"/>
    <w:rsid w:val="731C41B1"/>
    <w:rsid w:val="732B4325"/>
    <w:rsid w:val="73337CF4"/>
    <w:rsid w:val="73457F21"/>
    <w:rsid w:val="73463ECB"/>
    <w:rsid w:val="73577E87"/>
    <w:rsid w:val="737C57CE"/>
    <w:rsid w:val="7386251A"/>
    <w:rsid w:val="73A6627D"/>
    <w:rsid w:val="73AB4ED8"/>
    <w:rsid w:val="73BA4A21"/>
    <w:rsid w:val="73BF123E"/>
    <w:rsid w:val="73CF2113"/>
    <w:rsid w:val="73DB15FB"/>
    <w:rsid w:val="73E01E73"/>
    <w:rsid w:val="73E3171A"/>
    <w:rsid w:val="73F73418"/>
    <w:rsid w:val="73FB6A64"/>
    <w:rsid w:val="7402690F"/>
    <w:rsid w:val="74076EA4"/>
    <w:rsid w:val="740F42BD"/>
    <w:rsid w:val="741B0EB4"/>
    <w:rsid w:val="742326A7"/>
    <w:rsid w:val="742F2BB2"/>
    <w:rsid w:val="743A4BB8"/>
    <w:rsid w:val="7442520A"/>
    <w:rsid w:val="744A79EB"/>
    <w:rsid w:val="745D327B"/>
    <w:rsid w:val="745F3497"/>
    <w:rsid w:val="74615559"/>
    <w:rsid w:val="7465554B"/>
    <w:rsid w:val="74750EA9"/>
    <w:rsid w:val="74850A91"/>
    <w:rsid w:val="74956A8E"/>
    <w:rsid w:val="74AF5AA0"/>
    <w:rsid w:val="74B03CF2"/>
    <w:rsid w:val="74BD640F"/>
    <w:rsid w:val="74C0527D"/>
    <w:rsid w:val="74DB5323"/>
    <w:rsid w:val="74E63114"/>
    <w:rsid w:val="74F33BDF"/>
    <w:rsid w:val="74F63BEC"/>
    <w:rsid w:val="74F87D45"/>
    <w:rsid w:val="750541CF"/>
    <w:rsid w:val="750B0E95"/>
    <w:rsid w:val="75177EFD"/>
    <w:rsid w:val="75263FB5"/>
    <w:rsid w:val="75265D63"/>
    <w:rsid w:val="753650CC"/>
    <w:rsid w:val="753A180E"/>
    <w:rsid w:val="75416DEC"/>
    <w:rsid w:val="75577DC1"/>
    <w:rsid w:val="757A7E5C"/>
    <w:rsid w:val="758E5BC1"/>
    <w:rsid w:val="759159D7"/>
    <w:rsid w:val="759260E8"/>
    <w:rsid w:val="75941D71"/>
    <w:rsid w:val="75BC0475"/>
    <w:rsid w:val="75BC184C"/>
    <w:rsid w:val="75C872E8"/>
    <w:rsid w:val="75CE1FA9"/>
    <w:rsid w:val="75D36AE9"/>
    <w:rsid w:val="75DB69E8"/>
    <w:rsid w:val="7610256F"/>
    <w:rsid w:val="7631219F"/>
    <w:rsid w:val="76467FEC"/>
    <w:rsid w:val="765406AD"/>
    <w:rsid w:val="76580CCF"/>
    <w:rsid w:val="767B5F1E"/>
    <w:rsid w:val="76902C5C"/>
    <w:rsid w:val="769A0227"/>
    <w:rsid w:val="76AA651F"/>
    <w:rsid w:val="76BD3BF5"/>
    <w:rsid w:val="76C16E90"/>
    <w:rsid w:val="76C24DFF"/>
    <w:rsid w:val="76D67314"/>
    <w:rsid w:val="76E170A9"/>
    <w:rsid w:val="76EE0B02"/>
    <w:rsid w:val="76F51E90"/>
    <w:rsid w:val="77100A78"/>
    <w:rsid w:val="771C1FEB"/>
    <w:rsid w:val="771C5D73"/>
    <w:rsid w:val="77222ACC"/>
    <w:rsid w:val="779F6518"/>
    <w:rsid w:val="77B05DB7"/>
    <w:rsid w:val="77C2145D"/>
    <w:rsid w:val="77D01FB6"/>
    <w:rsid w:val="77D959A0"/>
    <w:rsid w:val="77F4039A"/>
    <w:rsid w:val="77F57471"/>
    <w:rsid w:val="781142EF"/>
    <w:rsid w:val="7820259C"/>
    <w:rsid w:val="78342545"/>
    <w:rsid w:val="78653F68"/>
    <w:rsid w:val="786951E9"/>
    <w:rsid w:val="786F3088"/>
    <w:rsid w:val="78743289"/>
    <w:rsid w:val="78745037"/>
    <w:rsid w:val="78802C29"/>
    <w:rsid w:val="7892370F"/>
    <w:rsid w:val="789600C6"/>
    <w:rsid w:val="789E20B4"/>
    <w:rsid w:val="789F7398"/>
    <w:rsid w:val="78AB4124"/>
    <w:rsid w:val="78C37D6C"/>
    <w:rsid w:val="78CE7EFA"/>
    <w:rsid w:val="78DF4BA6"/>
    <w:rsid w:val="78FB5758"/>
    <w:rsid w:val="78FE60EF"/>
    <w:rsid w:val="79013E72"/>
    <w:rsid w:val="792E168A"/>
    <w:rsid w:val="79354F25"/>
    <w:rsid w:val="793C7CFC"/>
    <w:rsid w:val="793D367B"/>
    <w:rsid w:val="794F6FB7"/>
    <w:rsid w:val="796B6ACE"/>
    <w:rsid w:val="797848AB"/>
    <w:rsid w:val="79927294"/>
    <w:rsid w:val="79C04953"/>
    <w:rsid w:val="79C27EA4"/>
    <w:rsid w:val="79DC69E4"/>
    <w:rsid w:val="79DC7338"/>
    <w:rsid w:val="79F92C88"/>
    <w:rsid w:val="7A0128FA"/>
    <w:rsid w:val="7A2913CB"/>
    <w:rsid w:val="7A622A67"/>
    <w:rsid w:val="7A680C9D"/>
    <w:rsid w:val="7A811C8D"/>
    <w:rsid w:val="7A8B3341"/>
    <w:rsid w:val="7A9C6053"/>
    <w:rsid w:val="7AA56E09"/>
    <w:rsid w:val="7AA72EB4"/>
    <w:rsid w:val="7AAC4B61"/>
    <w:rsid w:val="7AB160CE"/>
    <w:rsid w:val="7AC83418"/>
    <w:rsid w:val="7AD13152"/>
    <w:rsid w:val="7AD72F0D"/>
    <w:rsid w:val="7AF63A99"/>
    <w:rsid w:val="7AFD47E1"/>
    <w:rsid w:val="7AFF5489"/>
    <w:rsid w:val="7B0F54EB"/>
    <w:rsid w:val="7B166EFD"/>
    <w:rsid w:val="7B19676D"/>
    <w:rsid w:val="7B2B0ECF"/>
    <w:rsid w:val="7B2D56A6"/>
    <w:rsid w:val="7B462CB9"/>
    <w:rsid w:val="7B75534E"/>
    <w:rsid w:val="7B7D1A3A"/>
    <w:rsid w:val="7B871525"/>
    <w:rsid w:val="7BC43E86"/>
    <w:rsid w:val="7BDA5C19"/>
    <w:rsid w:val="7BDD4F47"/>
    <w:rsid w:val="7C015F1F"/>
    <w:rsid w:val="7C0B69B5"/>
    <w:rsid w:val="7C2219B6"/>
    <w:rsid w:val="7C312C50"/>
    <w:rsid w:val="7C4C2B73"/>
    <w:rsid w:val="7C5E2286"/>
    <w:rsid w:val="7C71701B"/>
    <w:rsid w:val="7C7575D0"/>
    <w:rsid w:val="7C757ED7"/>
    <w:rsid w:val="7C930571"/>
    <w:rsid w:val="7CA3413D"/>
    <w:rsid w:val="7CAC0530"/>
    <w:rsid w:val="7CB2612E"/>
    <w:rsid w:val="7CCF4F32"/>
    <w:rsid w:val="7CE12DB7"/>
    <w:rsid w:val="7CF85CA1"/>
    <w:rsid w:val="7CFD384D"/>
    <w:rsid w:val="7D285D72"/>
    <w:rsid w:val="7D292541"/>
    <w:rsid w:val="7D7B3519"/>
    <w:rsid w:val="7D7C7566"/>
    <w:rsid w:val="7DB530BC"/>
    <w:rsid w:val="7DC3727D"/>
    <w:rsid w:val="7DCF5583"/>
    <w:rsid w:val="7DD95848"/>
    <w:rsid w:val="7DEC0AF1"/>
    <w:rsid w:val="7DF90D1A"/>
    <w:rsid w:val="7E07770D"/>
    <w:rsid w:val="7E0B1F99"/>
    <w:rsid w:val="7E114A86"/>
    <w:rsid w:val="7E24305B"/>
    <w:rsid w:val="7E2A7C56"/>
    <w:rsid w:val="7E331D9E"/>
    <w:rsid w:val="7EB663A9"/>
    <w:rsid w:val="7EC0071D"/>
    <w:rsid w:val="7EF42A2E"/>
    <w:rsid w:val="7F0E47A7"/>
    <w:rsid w:val="7F17671C"/>
    <w:rsid w:val="7F21759B"/>
    <w:rsid w:val="7F314C43"/>
    <w:rsid w:val="7F3379FA"/>
    <w:rsid w:val="7F452304"/>
    <w:rsid w:val="7F4A6AF1"/>
    <w:rsid w:val="7F4C286A"/>
    <w:rsid w:val="7F597575"/>
    <w:rsid w:val="7F5B7FCE"/>
    <w:rsid w:val="7F5E434B"/>
    <w:rsid w:val="7F9F6897"/>
    <w:rsid w:val="7FA469D5"/>
    <w:rsid w:val="7FDB7369"/>
    <w:rsid w:val="7FE814B8"/>
    <w:rsid w:val="7FF9299E"/>
    <w:rsid w:val="B9B299CA"/>
    <w:rsid w:val="CB2FE2AD"/>
    <w:rsid w:val="E7EF3F4E"/>
    <w:rsid w:val="EBFF3747"/>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1"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0" w:semiHidden="0" w:name="caption"/>
    <w:lsdException w:qFormat="1" w:uiPriority="0" w:semiHidden="0" w:name="table of figures"/>
    <w:lsdException w:unhideWhenUsed="0" w:uiPriority="0" w:semiHidden="0" w:name="envelope address"/>
    <w:lsdException w:qFormat="1" w:unhideWhenUsed="0" w:uiPriority="0" w:semiHidden="0" w:name="envelope return"/>
    <w:lsdException w:qFormat="1" w:uiPriority="99"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iPriority="99" w:semiHidden="0" w:name="endnote reference"/>
    <w:lsdException w:qFormat="1"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8"/>
    <w:autoRedefine/>
    <w:qFormat/>
    <w:uiPriority w:val="0"/>
    <w:pPr>
      <w:keepNext/>
      <w:outlineLvl w:val="0"/>
    </w:pPr>
    <w:rPr>
      <w:b/>
    </w:rPr>
  </w:style>
  <w:style w:type="paragraph" w:styleId="3">
    <w:name w:val="heading 2"/>
    <w:basedOn w:val="1"/>
    <w:next w:val="1"/>
    <w:link w:val="69"/>
    <w:autoRedefine/>
    <w:qFormat/>
    <w:uiPriority w:val="0"/>
    <w:pPr>
      <w:keepNext/>
      <w:keepLines/>
      <w:spacing w:line="416" w:lineRule="auto"/>
      <w:outlineLvl w:val="1"/>
    </w:pPr>
    <w:rPr>
      <w:rFonts w:ascii="Arial" w:hAnsi="Arial" w:eastAsia="黑体"/>
      <w:b/>
      <w:bCs/>
      <w:sz w:val="32"/>
      <w:szCs w:val="32"/>
    </w:rPr>
  </w:style>
  <w:style w:type="paragraph" w:styleId="4">
    <w:name w:val="heading 3"/>
    <w:basedOn w:val="1"/>
    <w:next w:val="1"/>
    <w:link w:val="70"/>
    <w:autoRedefine/>
    <w:qFormat/>
    <w:uiPriority w:val="0"/>
    <w:pPr>
      <w:keepNext/>
      <w:keepLines/>
      <w:spacing w:before="260" w:after="260" w:line="416" w:lineRule="auto"/>
      <w:outlineLvl w:val="2"/>
    </w:pPr>
    <w:rPr>
      <w:rFonts w:ascii="仿宋_GB2312" w:eastAsia="仿宋_GB2312"/>
      <w:b/>
      <w:bCs/>
      <w:sz w:val="32"/>
      <w:szCs w:val="32"/>
    </w:rPr>
  </w:style>
  <w:style w:type="paragraph" w:styleId="5">
    <w:name w:val="heading 4"/>
    <w:basedOn w:val="1"/>
    <w:next w:val="1"/>
    <w:link w:val="71"/>
    <w:autoRedefine/>
    <w:qFormat/>
    <w:uiPriority w:val="1"/>
    <w:pPr>
      <w:keepNext/>
      <w:keepLines/>
      <w:spacing w:before="280" w:after="290" w:line="376" w:lineRule="auto"/>
      <w:outlineLvl w:val="3"/>
    </w:pPr>
    <w:rPr>
      <w:rFonts w:ascii="Cambria" w:hAnsi="Cambria"/>
      <w:b/>
      <w:bCs/>
      <w:sz w:val="28"/>
      <w:szCs w:val="28"/>
    </w:rPr>
  </w:style>
  <w:style w:type="paragraph" w:styleId="6">
    <w:name w:val="heading 5"/>
    <w:basedOn w:val="1"/>
    <w:next w:val="7"/>
    <w:link w:val="72"/>
    <w:autoRedefine/>
    <w:qFormat/>
    <w:uiPriority w:val="0"/>
    <w:pPr>
      <w:keepNext/>
      <w:keepLines/>
      <w:tabs>
        <w:tab w:val="left" w:pos="312"/>
      </w:tabs>
      <w:spacing w:before="280" w:after="290" w:line="376" w:lineRule="auto"/>
      <w:outlineLvl w:val="4"/>
    </w:pPr>
    <w:rPr>
      <w:b/>
      <w:sz w:val="28"/>
    </w:rPr>
  </w:style>
  <w:style w:type="paragraph" w:styleId="8">
    <w:name w:val="heading 6"/>
    <w:basedOn w:val="1"/>
    <w:next w:val="1"/>
    <w:link w:val="74"/>
    <w:autoRedefine/>
    <w:qFormat/>
    <w:uiPriority w:val="0"/>
    <w:pPr>
      <w:keepNext/>
      <w:keepLines/>
      <w:tabs>
        <w:tab w:val="left" w:pos="312"/>
      </w:tabs>
      <w:spacing w:before="240" w:after="64" w:line="320" w:lineRule="auto"/>
      <w:outlineLvl w:val="5"/>
    </w:pPr>
    <w:rPr>
      <w:rFonts w:ascii="Arial" w:hAnsi="Arial" w:eastAsia="黑体"/>
      <w:b/>
      <w:sz w:val="24"/>
    </w:rPr>
  </w:style>
  <w:style w:type="paragraph" w:styleId="9">
    <w:name w:val="heading 7"/>
    <w:basedOn w:val="1"/>
    <w:next w:val="7"/>
    <w:link w:val="75"/>
    <w:autoRedefine/>
    <w:qFormat/>
    <w:uiPriority w:val="0"/>
    <w:pPr>
      <w:keepNext/>
      <w:keepLines/>
      <w:tabs>
        <w:tab w:val="left" w:pos="312"/>
      </w:tabs>
      <w:spacing w:before="240" w:after="64" w:line="320" w:lineRule="auto"/>
      <w:outlineLvl w:val="6"/>
    </w:pPr>
    <w:rPr>
      <w:b/>
      <w:sz w:val="24"/>
    </w:rPr>
  </w:style>
  <w:style w:type="paragraph" w:styleId="10">
    <w:name w:val="heading 8"/>
    <w:basedOn w:val="1"/>
    <w:next w:val="1"/>
    <w:link w:val="76"/>
    <w:autoRedefine/>
    <w:qFormat/>
    <w:uiPriority w:val="0"/>
    <w:pPr>
      <w:keepNext/>
      <w:keepLines/>
      <w:spacing w:before="240" w:after="64" w:line="320" w:lineRule="auto"/>
      <w:outlineLvl w:val="7"/>
    </w:pPr>
    <w:rPr>
      <w:rFonts w:ascii="Cambria" w:hAnsi="Cambria"/>
      <w:b/>
      <w:sz w:val="24"/>
    </w:rPr>
  </w:style>
  <w:style w:type="paragraph" w:styleId="11">
    <w:name w:val="heading 9"/>
    <w:basedOn w:val="1"/>
    <w:next w:val="1"/>
    <w:link w:val="77"/>
    <w:autoRedefine/>
    <w:qFormat/>
    <w:uiPriority w:val="0"/>
    <w:pPr>
      <w:keepNext/>
      <w:keepLines/>
      <w:tabs>
        <w:tab w:val="left" w:pos="312"/>
      </w:tabs>
      <w:spacing w:before="240" w:after="64" w:line="320" w:lineRule="auto"/>
      <w:outlineLvl w:val="8"/>
    </w:pPr>
    <w:rPr>
      <w:rFonts w:ascii="Arial" w:hAnsi="Arial" w:eastAsia="黑体"/>
    </w:rPr>
  </w:style>
  <w:style w:type="character" w:default="1" w:styleId="52">
    <w:name w:val="Default Paragraph Font"/>
    <w:autoRedefine/>
    <w:semiHidden/>
    <w:unhideWhenUsed/>
    <w:qFormat/>
    <w:uiPriority w:val="1"/>
  </w:style>
  <w:style w:type="table" w:default="1" w:styleId="50">
    <w:name w:val="Normal Table"/>
    <w:autoRedefine/>
    <w:semiHidden/>
    <w:unhideWhenUsed/>
    <w:qFormat/>
    <w:uiPriority w:val="99"/>
    <w:tblPr>
      <w:tblCellMar>
        <w:top w:w="0" w:type="dxa"/>
        <w:left w:w="108" w:type="dxa"/>
        <w:bottom w:w="0" w:type="dxa"/>
        <w:right w:w="108" w:type="dxa"/>
      </w:tblCellMar>
    </w:tblPr>
  </w:style>
  <w:style w:type="paragraph" w:styleId="7">
    <w:name w:val="Normal Indent"/>
    <w:basedOn w:val="1"/>
    <w:link w:val="73"/>
    <w:autoRedefine/>
    <w:qFormat/>
    <w:uiPriority w:val="0"/>
    <w:pPr>
      <w:ind w:firstLine="420"/>
    </w:pPr>
    <w:rPr>
      <w:rFonts w:ascii="仿宋_GB2312"/>
      <w:b/>
      <w:szCs w:val="32"/>
    </w:rPr>
  </w:style>
  <w:style w:type="paragraph" w:styleId="12">
    <w:name w:val="toc 7"/>
    <w:basedOn w:val="1"/>
    <w:next w:val="1"/>
    <w:autoRedefine/>
    <w:unhideWhenUsed/>
    <w:qFormat/>
    <w:uiPriority w:val="39"/>
    <w:pPr>
      <w:ind w:left="2520" w:leftChars="1200"/>
    </w:pPr>
    <w:rPr>
      <w:rFonts w:ascii="Calibri" w:hAnsi="Calibri"/>
      <w:szCs w:val="22"/>
    </w:rPr>
  </w:style>
  <w:style w:type="paragraph" w:styleId="13">
    <w:name w:val="List Number"/>
    <w:basedOn w:val="1"/>
    <w:autoRedefine/>
    <w:qFormat/>
    <w:uiPriority w:val="0"/>
    <w:pPr>
      <w:widowControl/>
      <w:tabs>
        <w:tab w:val="left" w:pos="454"/>
        <w:tab w:val="left" w:pos="720"/>
        <w:tab w:val="left" w:pos="840"/>
      </w:tabs>
      <w:spacing w:afterLines="50"/>
      <w:ind w:left="454" w:hanging="284"/>
      <w:jc w:val="left"/>
    </w:pPr>
    <w:rPr>
      <w:rFonts w:ascii="Calibri" w:hAnsi="Calibri"/>
      <w:kern w:val="0"/>
      <w:sz w:val="24"/>
      <w:szCs w:val="20"/>
    </w:rPr>
  </w:style>
  <w:style w:type="paragraph" w:styleId="14">
    <w:name w:val="caption"/>
    <w:basedOn w:val="1"/>
    <w:next w:val="1"/>
    <w:autoRedefine/>
    <w:qFormat/>
    <w:uiPriority w:val="0"/>
    <w:pPr>
      <w:spacing w:before="152" w:after="160"/>
    </w:pPr>
    <w:rPr>
      <w:rFonts w:ascii="Arial" w:hAnsi="Arial" w:eastAsia="黑体" w:cs="Arial"/>
      <w:sz w:val="20"/>
      <w:szCs w:val="20"/>
    </w:rPr>
  </w:style>
  <w:style w:type="paragraph" w:styleId="15">
    <w:name w:val="Document Map"/>
    <w:basedOn w:val="1"/>
    <w:autoRedefine/>
    <w:semiHidden/>
    <w:qFormat/>
    <w:uiPriority w:val="0"/>
    <w:pPr>
      <w:shd w:val="clear" w:color="auto" w:fill="000080"/>
    </w:pPr>
  </w:style>
  <w:style w:type="paragraph" w:styleId="16">
    <w:name w:val="annotation text"/>
    <w:basedOn w:val="1"/>
    <w:link w:val="78"/>
    <w:autoRedefine/>
    <w:qFormat/>
    <w:uiPriority w:val="0"/>
    <w:pPr>
      <w:jc w:val="left"/>
    </w:pPr>
  </w:style>
  <w:style w:type="paragraph" w:styleId="17">
    <w:name w:val="Body Text 3"/>
    <w:basedOn w:val="1"/>
    <w:link w:val="79"/>
    <w:autoRedefine/>
    <w:qFormat/>
    <w:uiPriority w:val="0"/>
    <w:pPr>
      <w:spacing w:after="120"/>
    </w:pPr>
    <w:rPr>
      <w:rFonts w:ascii="Calibri" w:hAnsi="Calibri" w:eastAsia="仿宋_GB2312"/>
      <w:b/>
      <w:sz w:val="16"/>
      <w:szCs w:val="16"/>
    </w:rPr>
  </w:style>
  <w:style w:type="paragraph" w:styleId="18">
    <w:name w:val="Body Text"/>
    <w:basedOn w:val="1"/>
    <w:link w:val="80"/>
    <w:autoRedefine/>
    <w:qFormat/>
    <w:uiPriority w:val="99"/>
    <w:pPr>
      <w:spacing w:after="120"/>
    </w:pPr>
    <w:rPr>
      <w:rFonts w:ascii="仿宋_GB2312" w:eastAsia="仿宋_GB2312"/>
    </w:rPr>
  </w:style>
  <w:style w:type="paragraph" w:styleId="19">
    <w:name w:val="Body Text Indent"/>
    <w:basedOn w:val="1"/>
    <w:link w:val="81"/>
    <w:autoRedefine/>
    <w:qFormat/>
    <w:uiPriority w:val="0"/>
    <w:pPr>
      <w:spacing w:line="200" w:lineRule="exact"/>
      <w:ind w:firstLine="301"/>
    </w:pPr>
    <w:rPr>
      <w:rFonts w:ascii="宋体" w:hAnsi="Courier New" w:eastAsia="仿宋_GB2312"/>
      <w:spacing w:val="-4"/>
      <w:sz w:val="18"/>
      <w:szCs w:val="32"/>
    </w:rPr>
  </w:style>
  <w:style w:type="paragraph" w:styleId="20">
    <w:name w:val="List Number 3"/>
    <w:basedOn w:val="1"/>
    <w:autoRedefine/>
    <w:qFormat/>
    <w:uiPriority w:val="0"/>
    <w:pPr>
      <w:numPr>
        <w:ilvl w:val="0"/>
        <w:numId w:val="1"/>
      </w:numPr>
      <w:tabs>
        <w:tab w:val="left" w:pos="1200"/>
      </w:tabs>
    </w:pPr>
    <w:rPr>
      <w:rFonts w:ascii="Calibri" w:hAnsi="Calibri"/>
    </w:rPr>
  </w:style>
  <w:style w:type="paragraph" w:styleId="21">
    <w:name w:val="List 2"/>
    <w:basedOn w:val="1"/>
    <w:autoRedefine/>
    <w:qFormat/>
    <w:uiPriority w:val="0"/>
    <w:pPr>
      <w:ind w:left="100" w:leftChars="200" w:hanging="200" w:hangingChars="200"/>
    </w:pPr>
    <w:rPr>
      <w:rFonts w:ascii="Calibri" w:hAnsi="Calibri"/>
      <w:sz w:val="28"/>
    </w:rPr>
  </w:style>
  <w:style w:type="paragraph" w:styleId="22">
    <w:name w:val="toc 5"/>
    <w:basedOn w:val="1"/>
    <w:next w:val="1"/>
    <w:autoRedefine/>
    <w:unhideWhenUsed/>
    <w:qFormat/>
    <w:uiPriority w:val="39"/>
    <w:pPr>
      <w:ind w:left="1680" w:leftChars="800"/>
    </w:pPr>
    <w:rPr>
      <w:rFonts w:ascii="Calibri" w:hAnsi="Calibri"/>
      <w:szCs w:val="22"/>
    </w:rPr>
  </w:style>
  <w:style w:type="paragraph" w:styleId="23">
    <w:name w:val="toc 3"/>
    <w:basedOn w:val="1"/>
    <w:next w:val="1"/>
    <w:autoRedefine/>
    <w:qFormat/>
    <w:uiPriority w:val="39"/>
    <w:pPr>
      <w:ind w:left="840" w:leftChars="400"/>
    </w:pPr>
  </w:style>
  <w:style w:type="paragraph" w:styleId="24">
    <w:name w:val="Plain Text"/>
    <w:basedOn w:val="1"/>
    <w:next w:val="1"/>
    <w:link w:val="82"/>
    <w:autoRedefine/>
    <w:qFormat/>
    <w:uiPriority w:val="99"/>
    <w:rPr>
      <w:rFonts w:ascii="宋体" w:hAnsi="Courier New"/>
      <w:b/>
      <w:szCs w:val="32"/>
    </w:rPr>
  </w:style>
  <w:style w:type="paragraph" w:styleId="25">
    <w:name w:val="toc 8"/>
    <w:basedOn w:val="1"/>
    <w:next w:val="1"/>
    <w:autoRedefine/>
    <w:unhideWhenUsed/>
    <w:qFormat/>
    <w:uiPriority w:val="39"/>
    <w:pPr>
      <w:ind w:left="2940" w:leftChars="1400"/>
    </w:pPr>
    <w:rPr>
      <w:rFonts w:ascii="Calibri" w:hAnsi="Calibri"/>
      <w:szCs w:val="22"/>
    </w:rPr>
  </w:style>
  <w:style w:type="paragraph" w:styleId="26">
    <w:name w:val="Date"/>
    <w:basedOn w:val="1"/>
    <w:next w:val="1"/>
    <w:link w:val="83"/>
    <w:autoRedefine/>
    <w:qFormat/>
    <w:uiPriority w:val="0"/>
    <w:pPr>
      <w:ind w:left="100" w:leftChars="2500"/>
    </w:pPr>
  </w:style>
  <w:style w:type="paragraph" w:styleId="27">
    <w:name w:val="Body Text Indent 2"/>
    <w:basedOn w:val="1"/>
    <w:link w:val="84"/>
    <w:autoRedefine/>
    <w:qFormat/>
    <w:uiPriority w:val="0"/>
    <w:pPr>
      <w:ind w:firstLine="412" w:firstLineChars="196"/>
    </w:pPr>
  </w:style>
  <w:style w:type="paragraph" w:styleId="28">
    <w:name w:val="endnote text"/>
    <w:basedOn w:val="1"/>
    <w:link w:val="85"/>
    <w:autoRedefine/>
    <w:unhideWhenUsed/>
    <w:qFormat/>
    <w:uiPriority w:val="99"/>
    <w:pPr>
      <w:snapToGrid w:val="0"/>
      <w:jc w:val="left"/>
    </w:pPr>
    <w:rPr>
      <w:rFonts w:ascii="仿宋_GB2312"/>
    </w:rPr>
  </w:style>
  <w:style w:type="paragraph" w:styleId="29">
    <w:name w:val="Balloon Text"/>
    <w:basedOn w:val="1"/>
    <w:link w:val="86"/>
    <w:autoRedefine/>
    <w:semiHidden/>
    <w:qFormat/>
    <w:uiPriority w:val="0"/>
    <w:rPr>
      <w:sz w:val="18"/>
      <w:szCs w:val="18"/>
    </w:rPr>
  </w:style>
  <w:style w:type="paragraph" w:styleId="30">
    <w:name w:val="footer"/>
    <w:basedOn w:val="1"/>
    <w:next w:val="1"/>
    <w:link w:val="87"/>
    <w:autoRedefine/>
    <w:qFormat/>
    <w:uiPriority w:val="99"/>
    <w:pPr>
      <w:tabs>
        <w:tab w:val="center" w:pos="4153"/>
        <w:tab w:val="right" w:pos="8306"/>
      </w:tabs>
      <w:snapToGrid w:val="0"/>
      <w:jc w:val="left"/>
    </w:pPr>
    <w:rPr>
      <w:rFonts w:ascii="宋体" w:hAnsi="Courier New"/>
      <w:sz w:val="18"/>
      <w:szCs w:val="20"/>
    </w:rPr>
  </w:style>
  <w:style w:type="paragraph" w:styleId="31">
    <w:name w:val="envelope return"/>
    <w:basedOn w:val="1"/>
    <w:autoRedefine/>
    <w:qFormat/>
    <w:uiPriority w:val="0"/>
    <w:pPr>
      <w:adjustRightInd w:val="0"/>
      <w:snapToGrid w:val="0"/>
      <w:spacing w:line="360" w:lineRule="atLeast"/>
      <w:ind w:firstLine="640" w:firstLineChars="200"/>
    </w:pPr>
    <w:rPr>
      <w:rFonts w:ascii="Arial" w:hAnsi="Arial"/>
    </w:rPr>
  </w:style>
  <w:style w:type="paragraph" w:styleId="32">
    <w:name w:val="header"/>
    <w:basedOn w:val="1"/>
    <w:link w:val="88"/>
    <w:autoRedefine/>
    <w:qFormat/>
    <w:uiPriority w:val="99"/>
    <w:pPr>
      <w:pBdr>
        <w:bottom w:val="single" w:color="auto" w:sz="6" w:space="1"/>
      </w:pBdr>
      <w:tabs>
        <w:tab w:val="center" w:pos="4153"/>
        <w:tab w:val="right" w:pos="8306"/>
      </w:tabs>
      <w:snapToGrid w:val="0"/>
      <w:jc w:val="center"/>
    </w:pPr>
    <w:rPr>
      <w:rFonts w:ascii="宋体" w:hAnsi="Courier New"/>
      <w:sz w:val="18"/>
      <w:szCs w:val="20"/>
    </w:rPr>
  </w:style>
  <w:style w:type="paragraph" w:styleId="33">
    <w:name w:val="toc 1"/>
    <w:basedOn w:val="1"/>
    <w:next w:val="1"/>
    <w:autoRedefine/>
    <w:qFormat/>
    <w:uiPriority w:val="39"/>
    <w:pPr>
      <w:tabs>
        <w:tab w:val="right" w:leader="dot" w:pos="8820"/>
      </w:tabs>
      <w:ind w:left="540"/>
      <w:jc w:val="left"/>
    </w:pPr>
    <w:rPr>
      <w:rFonts w:ascii="宋体" w:hAnsi="宋体"/>
      <w:b/>
      <w:bCs/>
      <w:caps/>
      <w:szCs w:val="21"/>
    </w:rPr>
  </w:style>
  <w:style w:type="paragraph" w:styleId="34">
    <w:name w:val="toc 4"/>
    <w:basedOn w:val="1"/>
    <w:next w:val="1"/>
    <w:autoRedefine/>
    <w:unhideWhenUsed/>
    <w:qFormat/>
    <w:uiPriority w:val="39"/>
    <w:pPr>
      <w:ind w:left="1260" w:leftChars="600"/>
    </w:pPr>
    <w:rPr>
      <w:rFonts w:ascii="Calibri" w:hAnsi="Calibri"/>
      <w:szCs w:val="22"/>
    </w:rPr>
  </w:style>
  <w:style w:type="paragraph" w:styleId="35">
    <w:name w:val="List"/>
    <w:basedOn w:val="1"/>
    <w:autoRedefine/>
    <w:qFormat/>
    <w:uiPriority w:val="0"/>
    <w:pPr>
      <w:ind w:left="200" w:hanging="200" w:hangingChars="200"/>
    </w:pPr>
    <w:rPr>
      <w:rFonts w:ascii="Calibri" w:hAnsi="Calibri"/>
      <w:sz w:val="28"/>
    </w:rPr>
  </w:style>
  <w:style w:type="paragraph" w:styleId="36">
    <w:name w:val="footnote text"/>
    <w:basedOn w:val="1"/>
    <w:link w:val="89"/>
    <w:autoRedefine/>
    <w:unhideWhenUsed/>
    <w:qFormat/>
    <w:uiPriority w:val="99"/>
    <w:pPr>
      <w:snapToGrid w:val="0"/>
      <w:jc w:val="left"/>
    </w:pPr>
    <w:rPr>
      <w:rFonts w:ascii="仿宋_GB2312"/>
      <w:sz w:val="18"/>
      <w:szCs w:val="18"/>
    </w:rPr>
  </w:style>
  <w:style w:type="paragraph" w:styleId="37">
    <w:name w:val="toc 6"/>
    <w:basedOn w:val="1"/>
    <w:next w:val="1"/>
    <w:autoRedefine/>
    <w:unhideWhenUsed/>
    <w:qFormat/>
    <w:uiPriority w:val="39"/>
    <w:pPr>
      <w:ind w:left="2100" w:leftChars="1000"/>
    </w:pPr>
    <w:rPr>
      <w:rFonts w:ascii="Calibri" w:hAnsi="Calibri"/>
      <w:szCs w:val="22"/>
    </w:rPr>
  </w:style>
  <w:style w:type="paragraph" w:styleId="38">
    <w:name w:val="Body Text Indent 3"/>
    <w:basedOn w:val="1"/>
    <w:link w:val="90"/>
    <w:autoRedefine/>
    <w:qFormat/>
    <w:uiPriority w:val="0"/>
    <w:pPr>
      <w:spacing w:after="120"/>
      <w:ind w:left="420" w:leftChars="200"/>
    </w:pPr>
    <w:rPr>
      <w:rFonts w:ascii="仿宋_GB2312"/>
      <w:kern w:val="0"/>
      <w:sz w:val="16"/>
      <w:szCs w:val="16"/>
    </w:rPr>
  </w:style>
  <w:style w:type="paragraph" w:styleId="39">
    <w:name w:val="table of figures"/>
    <w:basedOn w:val="1"/>
    <w:next w:val="1"/>
    <w:autoRedefine/>
    <w:unhideWhenUsed/>
    <w:qFormat/>
    <w:uiPriority w:val="0"/>
    <w:pPr>
      <w:autoSpaceDE w:val="0"/>
      <w:autoSpaceDN w:val="0"/>
      <w:ind w:left="200" w:leftChars="200" w:hanging="200" w:hangingChars="200"/>
      <w:jc w:val="left"/>
    </w:pPr>
    <w:rPr>
      <w:rFonts w:ascii="宋体" w:hAnsi="宋体" w:cs="宋体"/>
      <w:kern w:val="0"/>
      <w:sz w:val="22"/>
      <w:szCs w:val="22"/>
    </w:rPr>
  </w:style>
  <w:style w:type="paragraph" w:styleId="40">
    <w:name w:val="toc 2"/>
    <w:basedOn w:val="1"/>
    <w:next w:val="1"/>
    <w:autoRedefine/>
    <w:qFormat/>
    <w:uiPriority w:val="39"/>
    <w:pPr>
      <w:tabs>
        <w:tab w:val="right" w:leader="dot" w:pos="8280"/>
      </w:tabs>
      <w:ind w:left="1080"/>
      <w:jc w:val="left"/>
    </w:pPr>
    <w:rPr>
      <w:smallCaps/>
      <w:sz w:val="20"/>
      <w:szCs w:val="20"/>
    </w:rPr>
  </w:style>
  <w:style w:type="paragraph" w:styleId="41">
    <w:name w:val="toc 9"/>
    <w:basedOn w:val="1"/>
    <w:next w:val="1"/>
    <w:autoRedefine/>
    <w:unhideWhenUsed/>
    <w:qFormat/>
    <w:uiPriority w:val="39"/>
    <w:pPr>
      <w:ind w:left="3360" w:leftChars="1600"/>
    </w:pPr>
    <w:rPr>
      <w:rFonts w:ascii="Calibri" w:hAnsi="Calibri"/>
      <w:szCs w:val="22"/>
    </w:rPr>
  </w:style>
  <w:style w:type="paragraph" w:styleId="42">
    <w:name w:val="Body Text 2"/>
    <w:basedOn w:val="1"/>
    <w:link w:val="91"/>
    <w:autoRedefine/>
    <w:qFormat/>
    <w:uiPriority w:val="0"/>
    <w:pPr>
      <w:spacing w:after="120" w:line="480" w:lineRule="auto"/>
    </w:pPr>
    <w:rPr>
      <w:rFonts w:ascii="仿宋_GB2312"/>
      <w:kern w:val="0"/>
      <w:sz w:val="32"/>
    </w:rPr>
  </w:style>
  <w:style w:type="paragraph" w:styleId="43">
    <w:name w:val="HTML Preformatted"/>
    <w:basedOn w:val="1"/>
    <w:link w:val="92"/>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b/>
      <w:kern w:val="0"/>
      <w:sz w:val="32"/>
      <w:szCs w:val="32"/>
    </w:rPr>
  </w:style>
  <w:style w:type="paragraph" w:styleId="44">
    <w:name w:val="Normal (Web)"/>
    <w:basedOn w:val="1"/>
    <w:autoRedefine/>
    <w:qFormat/>
    <w:uiPriority w:val="99"/>
    <w:pPr>
      <w:spacing w:before="100" w:beforeAutospacing="1" w:after="100" w:afterAutospacing="1"/>
      <w:jc w:val="left"/>
    </w:pPr>
    <w:rPr>
      <w:kern w:val="0"/>
      <w:sz w:val="24"/>
    </w:rPr>
  </w:style>
  <w:style w:type="paragraph" w:styleId="45">
    <w:name w:val="index 1"/>
    <w:basedOn w:val="1"/>
    <w:next w:val="1"/>
    <w:autoRedefine/>
    <w:semiHidden/>
    <w:qFormat/>
    <w:uiPriority w:val="0"/>
    <w:pPr>
      <w:spacing w:line="360" w:lineRule="auto"/>
    </w:pPr>
    <w:rPr>
      <w:rFonts w:ascii="宋体" w:hAnsi="宋体"/>
      <w:bCs/>
      <w:szCs w:val="21"/>
    </w:rPr>
  </w:style>
  <w:style w:type="paragraph" w:styleId="46">
    <w:name w:val="Title"/>
    <w:basedOn w:val="1"/>
    <w:next w:val="1"/>
    <w:link w:val="93"/>
    <w:autoRedefine/>
    <w:qFormat/>
    <w:uiPriority w:val="10"/>
    <w:pPr>
      <w:spacing w:before="240" w:after="60"/>
      <w:jc w:val="center"/>
      <w:outlineLvl w:val="0"/>
    </w:pPr>
    <w:rPr>
      <w:rFonts w:ascii="Cambria" w:hAnsi="Cambria"/>
      <w:b/>
      <w:bCs/>
      <w:sz w:val="32"/>
      <w:szCs w:val="32"/>
    </w:rPr>
  </w:style>
  <w:style w:type="paragraph" w:styleId="47">
    <w:name w:val="annotation subject"/>
    <w:basedOn w:val="16"/>
    <w:next w:val="16"/>
    <w:link w:val="94"/>
    <w:autoRedefine/>
    <w:qFormat/>
    <w:uiPriority w:val="99"/>
    <w:rPr>
      <w:b/>
      <w:bCs/>
    </w:rPr>
  </w:style>
  <w:style w:type="paragraph" w:styleId="48">
    <w:name w:val="Body Text First Indent"/>
    <w:basedOn w:val="18"/>
    <w:next w:val="1"/>
    <w:link w:val="95"/>
    <w:autoRedefine/>
    <w:qFormat/>
    <w:uiPriority w:val="0"/>
    <w:pPr>
      <w:spacing w:after="0" w:line="380" w:lineRule="exact"/>
      <w:ind w:firstLine="420" w:firstLineChars="100"/>
    </w:pPr>
    <w:rPr>
      <w:rFonts w:ascii="宋体" w:hAnsi="Courier New" w:eastAsia="宋体"/>
      <w:szCs w:val="21"/>
    </w:rPr>
  </w:style>
  <w:style w:type="paragraph" w:styleId="49">
    <w:name w:val="Body Text First Indent 2"/>
    <w:basedOn w:val="19"/>
    <w:link w:val="96"/>
    <w:autoRedefine/>
    <w:qFormat/>
    <w:uiPriority w:val="0"/>
    <w:pPr>
      <w:spacing w:after="120" w:line="240" w:lineRule="auto"/>
      <w:ind w:left="420" w:leftChars="200" w:firstLine="420" w:firstLineChars="200"/>
    </w:pPr>
    <w:rPr>
      <w:sz w:val="21"/>
      <w:szCs w:val="24"/>
    </w:rPr>
  </w:style>
  <w:style w:type="table" w:styleId="51">
    <w:name w:val="Table Grid"/>
    <w:basedOn w:val="50"/>
    <w:autoRedefine/>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3">
    <w:name w:val="Strong"/>
    <w:autoRedefine/>
    <w:qFormat/>
    <w:uiPriority w:val="22"/>
    <w:rPr>
      <w:rFonts w:ascii="仿宋_GB2312" w:eastAsia="仿宋_GB2312"/>
      <w:b/>
      <w:bCs/>
      <w:sz w:val="32"/>
      <w:szCs w:val="32"/>
    </w:rPr>
  </w:style>
  <w:style w:type="character" w:styleId="54">
    <w:name w:val="endnote reference"/>
    <w:autoRedefine/>
    <w:unhideWhenUsed/>
    <w:qFormat/>
    <w:uiPriority w:val="99"/>
    <w:rPr>
      <w:vertAlign w:val="superscript"/>
    </w:rPr>
  </w:style>
  <w:style w:type="character" w:styleId="55">
    <w:name w:val="page number"/>
    <w:autoRedefine/>
    <w:qFormat/>
    <w:uiPriority w:val="0"/>
  </w:style>
  <w:style w:type="character" w:styleId="56">
    <w:name w:val="FollowedHyperlink"/>
    <w:autoRedefine/>
    <w:qFormat/>
    <w:uiPriority w:val="0"/>
    <w:rPr>
      <w:rFonts w:ascii="仿宋_GB2312" w:eastAsia="仿宋_GB2312"/>
      <w:b/>
      <w:color w:val="16377C"/>
      <w:sz w:val="32"/>
      <w:szCs w:val="32"/>
      <w:u w:val="none"/>
    </w:rPr>
  </w:style>
  <w:style w:type="character" w:styleId="57">
    <w:name w:val="HTML Definition"/>
    <w:autoRedefine/>
    <w:qFormat/>
    <w:uiPriority w:val="0"/>
  </w:style>
  <w:style w:type="character" w:styleId="58">
    <w:name w:val="HTML Typewriter"/>
    <w:autoRedefine/>
    <w:qFormat/>
    <w:uiPriority w:val="0"/>
    <w:rPr>
      <w:rFonts w:ascii="monospace" w:hAnsi="monospace" w:eastAsia="monospace" w:cs="monospace"/>
      <w:sz w:val="20"/>
    </w:rPr>
  </w:style>
  <w:style w:type="character" w:styleId="59">
    <w:name w:val="HTML Acronym"/>
    <w:autoRedefine/>
    <w:qFormat/>
    <w:uiPriority w:val="0"/>
  </w:style>
  <w:style w:type="character" w:styleId="60">
    <w:name w:val="HTML Variable"/>
    <w:autoRedefine/>
    <w:qFormat/>
    <w:uiPriority w:val="0"/>
  </w:style>
  <w:style w:type="character" w:styleId="61">
    <w:name w:val="Hyperlink"/>
    <w:autoRedefine/>
    <w:qFormat/>
    <w:uiPriority w:val="99"/>
    <w:rPr>
      <w:rFonts w:ascii="仿宋_GB2312" w:eastAsia="仿宋_GB2312"/>
      <w:b/>
      <w:color w:val="0000FF"/>
      <w:sz w:val="32"/>
      <w:szCs w:val="32"/>
      <w:u w:val="single"/>
    </w:rPr>
  </w:style>
  <w:style w:type="character" w:styleId="62">
    <w:name w:val="HTML Code"/>
    <w:autoRedefine/>
    <w:qFormat/>
    <w:uiPriority w:val="0"/>
    <w:rPr>
      <w:rFonts w:hint="default" w:ascii="monospace" w:hAnsi="monospace" w:eastAsia="monospace" w:cs="monospace"/>
      <w:sz w:val="20"/>
    </w:rPr>
  </w:style>
  <w:style w:type="character" w:styleId="63">
    <w:name w:val="annotation reference"/>
    <w:autoRedefine/>
    <w:qFormat/>
    <w:uiPriority w:val="0"/>
    <w:rPr>
      <w:rFonts w:ascii="仿宋_GB2312" w:eastAsia="仿宋_GB2312"/>
      <w:b/>
      <w:sz w:val="21"/>
      <w:szCs w:val="21"/>
    </w:rPr>
  </w:style>
  <w:style w:type="character" w:styleId="64">
    <w:name w:val="HTML Cite"/>
    <w:autoRedefine/>
    <w:qFormat/>
    <w:uiPriority w:val="0"/>
  </w:style>
  <w:style w:type="character" w:styleId="65">
    <w:name w:val="footnote reference"/>
    <w:autoRedefine/>
    <w:unhideWhenUsed/>
    <w:qFormat/>
    <w:uiPriority w:val="99"/>
    <w:rPr>
      <w:vertAlign w:val="superscript"/>
    </w:rPr>
  </w:style>
  <w:style w:type="character" w:styleId="66">
    <w:name w:val="HTML Keyboard"/>
    <w:autoRedefine/>
    <w:qFormat/>
    <w:uiPriority w:val="0"/>
    <w:rPr>
      <w:rFonts w:hint="default" w:ascii="monospace" w:hAnsi="monospace" w:eastAsia="monospace" w:cs="monospace"/>
      <w:sz w:val="20"/>
    </w:rPr>
  </w:style>
  <w:style w:type="character" w:styleId="67">
    <w:name w:val="HTML Sample"/>
    <w:autoRedefine/>
    <w:qFormat/>
    <w:uiPriority w:val="0"/>
    <w:rPr>
      <w:rFonts w:hint="default" w:ascii="monospace" w:hAnsi="monospace" w:eastAsia="monospace" w:cs="monospace"/>
    </w:rPr>
  </w:style>
  <w:style w:type="character" w:customStyle="1" w:styleId="68">
    <w:name w:val="标题 1 Char"/>
    <w:link w:val="2"/>
    <w:autoRedefine/>
    <w:qFormat/>
    <w:uiPriority w:val="0"/>
    <w:rPr>
      <w:b/>
      <w:kern w:val="2"/>
      <w:sz w:val="21"/>
      <w:szCs w:val="24"/>
    </w:rPr>
  </w:style>
  <w:style w:type="character" w:customStyle="1" w:styleId="69">
    <w:name w:val="标题 2 Char"/>
    <w:link w:val="3"/>
    <w:autoRedefine/>
    <w:qFormat/>
    <w:uiPriority w:val="0"/>
    <w:rPr>
      <w:rFonts w:ascii="Arial" w:hAnsi="Arial" w:eastAsia="黑体"/>
      <w:b/>
      <w:bCs/>
      <w:kern w:val="2"/>
      <w:sz w:val="32"/>
      <w:szCs w:val="32"/>
    </w:rPr>
  </w:style>
  <w:style w:type="character" w:customStyle="1" w:styleId="70">
    <w:name w:val="标题 3 Char"/>
    <w:link w:val="4"/>
    <w:autoRedefine/>
    <w:qFormat/>
    <w:uiPriority w:val="0"/>
    <w:rPr>
      <w:rFonts w:ascii="仿宋_GB2312" w:eastAsia="仿宋_GB2312"/>
      <w:b/>
      <w:bCs/>
      <w:kern w:val="2"/>
      <w:sz w:val="32"/>
      <w:szCs w:val="32"/>
    </w:rPr>
  </w:style>
  <w:style w:type="character" w:customStyle="1" w:styleId="71">
    <w:name w:val="标题 4 Char"/>
    <w:link w:val="5"/>
    <w:autoRedefine/>
    <w:semiHidden/>
    <w:qFormat/>
    <w:uiPriority w:val="1"/>
    <w:rPr>
      <w:rFonts w:ascii="Cambria" w:hAnsi="Cambria" w:eastAsia="宋体" w:cs="Times New Roman"/>
      <w:b/>
      <w:bCs/>
      <w:kern w:val="2"/>
      <w:sz w:val="28"/>
      <w:szCs w:val="28"/>
    </w:rPr>
  </w:style>
  <w:style w:type="character" w:customStyle="1" w:styleId="72">
    <w:name w:val="标题 5 Char"/>
    <w:link w:val="6"/>
    <w:autoRedefine/>
    <w:qFormat/>
    <w:uiPriority w:val="0"/>
    <w:rPr>
      <w:b/>
      <w:kern w:val="2"/>
      <w:sz w:val="28"/>
      <w:szCs w:val="24"/>
    </w:rPr>
  </w:style>
  <w:style w:type="character" w:customStyle="1" w:styleId="73">
    <w:name w:val="正文缩进 Char"/>
    <w:link w:val="7"/>
    <w:autoRedefine/>
    <w:qFormat/>
    <w:uiPriority w:val="0"/>
    <w:rPr>
      <w:rFonts w:ascii="仿宋_GB2312" w:eastAsia="宋体"/>
      <w:b/>
      <w:kern w:val="2"/>
      <w:sz w:val="21"/>
      <w:szCs w:val="32"/>
      <w:lang w:val="en-US" w:eastAsia="zh-CN" w:bidi="ar-SA"/>
    </w:rPr>
  </w:style>
  <w:style w:type="character" w:customStyle="1" w:styleId="74">
    <w:name w:val="标题 6 Char"/>
    <w:link w:val="8"/>
    <w:autoRedefine/>
    <w:qFormat/>
    <w:uiPriority w:val="0"/>
    <w:rPr>
      <w:rFonts w:ascii="Arial" w:hAnsi="Arial" w:eastAsia="黑体"/>
      <w:b/>
      <w:kern w:val="2"/>
      <w:sz w:val="24"/>
      <w:szCs w:val="24"/>
    </w:rPr>
  </w:style>
  <w:style w:type="character" w:customStyle="1" w:styleId="75">
    <w:name w:val="标题 7 Char"/>
    <w:link w:val="9"/>
    <w:autoRedefine/>
    <w:qFormat/>
    <w:uiPriority w:val="0"/>
    <w:rPr>
      <w:b/>
      <w:kern w:val="2"/>
      <w:sz w:val="24"/>
      <w:szCs w:val="24"/>
    </w:rPr>
  </w:style>
  <w:style w:type="character" w:customStyle="1" w:styleId="76">
    <w:name w:val="标题 8 Char"/>
    <w:link w:val="10"/>
    <w:autoRedefine/>
    <w:qFormat/>
    <w:uiPriority w:val="0"/>
    <w:rPr>
      <w:rFonts w:ascii="Cambria" w:hAnsi="Cambria" w:eastAsia="宋体" w:cs="Times New Roman"/>
      <w:b/>
      <w:kern w:val="2"/>
      <w:sz w:val="24"/>
      <w:szCs w:val="24"/>
    </w:rPr>
  </w:style>
  <w:style w:type="character" w:customStyle="1" w:styleId="77">
    <w:name w:val="标题 9 Char"/>
    <w:link w:val="11"/>
    <w:autoRedefine/>
    <w:qFormat/>
    <w:uiPriority w:val="0"/>
    <w:rPr>
      <w:rFonts w:ascii="Arial" w:hAnsi="Arial" w:eastAsia="黑体"/>
      <w:kern w:val="2"/>
      <w:sz w:val="21"/>
      <w:szCs w:val="24"/>
    </w:rPr>
  </w:style>
  <w:style w:type="character" w:customStyle="1" w:styleId="78">
    <w:name w:val="批注文字 Char"/>
    <w:link w:val="16"/>
    <w:autoRedefine/>
    <w:qFormat/>
    <w:uiPriority w:val="0"/>
    <w:rPr>
      <w:rFonts w:eastAsia="宋体"/>
      <w:kern w:val="2"/>
      <w:sz w:val="21"/>
      <w:szCs w:val="24"/>
      <w:lang w:val="en-US" w:eastAsia="zh-CN" w:bidi="ar-SA"/>
    </w:rPr>
  </w:style>
  <w:style w:type="character" w:customStyle="1" w:styleId="79">
    <w:name w:val="正文文本 3 Char"/>
    <w:link w:val="17"/>
    <w:autoRedefine/>
    <w:qFormat/>
    <w:uiPriority w:val="0"/>
    <w:rPr>
      <w:rFonts w:ascii="Calibri" w:hAnsi="Calibri" w:eastAsia="仿宋_GB2312"/>
      <w:b/>
      <w:kern w:val="2"/>
      <w:sz w:val="16"/>
      <w:szCs w:val="16"/>
    </w:rPr>
  </w:style>
  <w:style w:type="character" w:customStyle="1" w:styleId="80">
    <w:name w:val="正文文本 Char"/>
    <w:link w:val="18"/>
    <w:autoRedefine/>
    <w:qFormat/>
    <w:uiPriority w:val="99"/>
    <w:rPr>
      <w:rFonts w:ascii="仿宋_GB2312" w:eastAsia="仿宋_GB2312"/>
      <w:kern w:val="2"/>
      <w:sz w:val="21"/>
      <w:szCs w:val="24"/>
    </w:rPr>
  </w:style>
  <w:style w:type="character" w:customStyle="1" w:styleId="81">
    <w:name w:val="正文文本缩进 Char"/>
    <w:link w:val="19"/>
    <w:autoRedefine/>
    <w:qFormat/>
    <w:uiPriority w:val="0"/>
    <w:rPr>
      <w:rFonts w:ascii="宋体" w:hAnsi="Courier New" w:eastAsia="仿宋_GB2312"/>
      <w:spacing w:val="-4"/>
      <w:kern w:val="2"/>
      <w:sz w:val="18"/>
      <w:szCs w:val="32"/>
    </w:rPr>
  </w:style>
  <w:style w:type="character" w:customStyle="1" w:styleId="82">
    <w:name w:val="纯文本 Char2"/>
    <w:link w:val="24"/>
    <w:autoRedefine/>
    <w:qFormat/>
    <w:locked/>
    <w:uiPriority w:val="99"/>
    <w:rPr>
      <w:rFonts w:ascii="宋体" w:hAnsi="Courier New" w:eastAsia="宋体"/>
      <w:b/>
      <w:kern w:val="2"/>
      <w:sz w:val="21"/>
      <w:szCs w:val="32"/>
      <w:lang w:val="en-US" w:eastAsia="zh-CN" w:bidi="ar-SA"/>
    </w:rPr>
  </w:style>
  <w:style w:type="character" w:customStyle="1" w:styleId="83">
    <w:name w:val="日期 Char"/>
    <w:link w:val="26"/>
    <w:autoRedefine/>
    <w:qFormat/>
    <w:uiPriority w:val="0"/>
    <w:rPr>
      <w:kern w:val="2"/>
      <w:sz w:val="21"/>
      <w:szCs w:val="24"/>
    </w:rPr>
  </w:style>
  <w:style w:type="character" w:customStyle="1" w:styleId="84">
    <w:name w:val="正文文本缩进 2 Char"/>
    <w:link w:val="27"/>
    <w:autoRedefine/>
    <w:qFormat/>
    <w:uiPriority w:val="0"/>
    <w:rPr>
      <w:kern w:val="2"/>
      <w:sz w:val="21"/>
      <w:szCs w:val="24"/>
    </w:rPr>
  </w:style>
  <w:style w:type="character" w:customStyle="1" w:styleId="85">
    <w:name w:val="尾注文本 Char"/>
    <w:link w:val="28"/>
    <w:autoRedefine/>
    <w:qFormat/>
    <w:uiPriority w:val="99"/>
    <w:rPr>
      <w:rFonts w:ascii="仿宋_GB2312" w:eastAsia="宋体"/>
      <w:kern w:val="2"/>
      <w:sz w:val="21"/>
      <w:szCs w:val="24"/>
    </w:rPr>
  </w:style>
  <w:style w:type="character" w:customStyle="1" w:styleId="86">
    <w:name w:val="批注框文本 Char"/>
    <w:link w:val="29"/>
    <w:autoRedefine/>
    <w:semiHidden/>
    <w:qFormat/>
    <w:uiPriority w:val="0"/>
    <w:rPr>
      <w:kern w:val="2"/>
      <w:sz w:val="18"/>
      <w:szCs w:val="18"/>
    </w:rPr>
  </w:style>
  <w:style w:type="character" w:customStyle="1" w:styleId="87">
    <w:name w:val="页脚 Char"/>
    <w:link w:val="30"/>
    <w:autoRedefine/>
    <w:qFormat/>
    <w:uiPriority w:val="99"/>
    <w:rPr>
      <w:rFonts w:ascii="宋体" w:hAnsi="Courier New"/>
      <w:kern w:val="2"/>
      <w:sz w:val="18"/>
    </w:rPr>
  </w:style>
  <w:style w:type="character" w:customStyle="1" w:styleId="88">
    <w:name w:val="页眉 Char"/>
    <w:link w:val="32"/>
    <w:autoRedefine/>
    <w:qFormat/>
    <w:uiPriority w:val="99"/>
    <w:rPr>
      <w:rFonts w:ascii="宋体" w:hAnsi="Courier New"/>
      <w:kern w:val="2"/>
      <w:sz w:val="18"/>
    </w:rPr>
  </w:style>
  <w:style w:type="character" w:customStyle="1" w:styleId="89">
    <w:name w:val="脚注文本 Char"/>
    <w:link w:val="36"/>
    <w:autoRedefine/>
    <w:qFormat/>
    <w:uiPriority w:val="99"/>
    <w:rPr>
      <w:rFonts w:ascii="仿宋_GB2312" w:eastAsia="宋体"/>
      <w:kern w:val="2"/>
      <w:sz w:val="18"/>
      <w:szCs w:val="18"/>
    </w:rPr>
  </w:style>
  <w:style w:type="character" w:customStyle="1" w:styleId="90">
    <w:name w:val="正文文本缩进 3 Char"/>
    <w:link w:val="38"/>
    <w:autoRedefine/>
    <w:qFormat/>
    <w:uiPriority w:val="0"/>
    <w:rPr>
      <w:rFonts w:ascii="仿宋_GB2312" w:eastAsia="宋体"/>
      <w:sz w:val="16"/>
      <w:szCs w:val="16"/>
    </w:rPr>
  </w:style>
  <w:style w:type="character" w:customStyle="1" w:styleId="91">
    <w:name w:val="正文文本 2 Char"/>
    <w:link w:val="42"/>
    <w:autoRedefine/>
    <w:qFormat/>
    <w:uiPriority w:val="0"/>
    <w:rPr>
      <w:rFonts w:ascii="仿宋_GB2312" w:eastAsia="宋体"/>
      <w:sz w:val="32"/>
      <w:szCs w:val="24"/>
    </w:rPr>
  </w:style>
  <w:style w:type="character" w:customStyle="1" w:styleId="92">
    <w:name w:val="HTML 预设格式 Char"/>
    <w:link w:val="43"/>
    <w:autoRedefine/>
    <w:qFormat/>
    <w:uiPriority w:val="0"/>
    <w:rPr>
      <w:rFonts w:ascii="黑体" w:hAnsi="Courier New" w:eastAsia="黑体" w:cs="Courier New"/>
      <w:b/>
      <w:sz w:val="32"/>
      <w:szCs w:val="32"/>
      <w:lang w:val="en-US" w:eastAsia="zh-CN" w:bidi="ar-SA"/>
    </w:rPr>
  </w:style>
  <w:style w:type="character" w:customStyle="1" w:styleId="93">
    <w:name w:val="标题 Char"/>
    <w:link w:val="46"/>
    <w:autoRedefine/>
    <w:qFormat/>
    <w:uiPriority w:val="10"/>
    <w:rPr>
      <w:rFonts w:ascii="Cambria" w:hAnsi="Cambria" w:eastAsia="宋体"/>
      <w:b/>
      <w:bCs/>
      <w:kern w:val="2"/>
      <w:sz w:val="32"/>
      <w:szCs w:val="32"/>
    </w:rPr>
  </w:style>
  <w:style w:type="character" w:customStyle="1" w:styleId="94">
    <w:name w:val="批注主题 Char"/>
    <w:link w:val="47"/>
    <w:autoRedefine/>
    <w:qFormat/>
    <w:uiPriority w:val="99"/>
    <w:rPr>
      <w:b/>
      <w:bCs/>
      <w:kern w:val="2"/>
      <w:sz w:val="21"/>
      <w:szCs w:val="24"/>
    </w:rPr>
  </w:style>
  <w:style w:type="character" w:customStyle="1" w:styleId="95">
    <w:name w:val="正文首行缩进 Char"/>
    <w:link w:val="48"/>
    <w:autoRedefine/>
    <w:qFormat/>
    <w:uiPriority w:val="0"/>
    <w:rPr>
      <w:rFonts w:ascii="宋体" w:hAnsi="Courier New" w:eastAsia="宋体"/>
      <w:kern w:val="2"/>
      <w:sz w:val="21"/>
      <w:szCs w:val="21"/>
    </w:rPr>
  </w:style>
  <w:style w:type="character" w:customStyle="1" w:styleId="96">
    <w:name w:val="正文首行缩进 2 Char"/>
    <w:link w:val="49"/>
    <w:autoRedefine/>
    <w:qFormat/>
    <w:uiPriority w:val="0"/>
    <w:rPr>
      <w:rFonts w:ascii="宋体" w:hAnsi="Courier New" w:eastAsia="仿宋_GB2312"/>
      <w:spacing w:val="-4"/>
      <w:kern w:val="2"/>
      <w:sz w:val="21"/>
      <w:szCs w:val="24"/>
    </w:rPr>
  </w:style>
  <w:style w:type="character" w:customStyle="1" w:styleId="97">
    <w:name w:val="_Style 96"/>
    <w:autoRedefine/>
    <w:unhideWhenUsed/>
    <w:qFormat/>
    <w:uiPriority w:val="99"/>
    <w:rPr>
      <w:rFonts w:ascii="仿宋_GB2312" w:eastAsia="仿宋_GB2312"/>
      <w:b/>
      <w:color w:val="808080"/>
      <w:sz w:val="32"/>
      <w:szCs w:val="32"/>
      <w:shd w:val="clear" w:color="auto" w:fill="E6E6E6"/>
    </w:rPr>
  </w:style>
  <w:style w:type="character" w:customStyle="1" w:styleId="98">
    <w:name w:val="tcnt3"/>
    <w:autoRedefine/>
    <w:qFormat/>
    <w:uiPriority w:val="99"/>
    <w:rPr>
      <w:rFonts w:ascii="仿宋_GB2312" w:eastAsia="仿宋_GB2312" w:cs="Times New Roman"/>
      <w:b/>
      <w:sz w:val="32"/>
      <w:szCs w:val="32"/>
    </w:rPr>
  </w:style>
  <w:style w:type="character" w:customStyle="1" w:styleId="99">
    <w:name w:val="apple-style-span"/>
    <w:autoRedefine/>
    <w:qFormat/>
    <w:uiPriority w:val="0"/>
    <w:rPr>
      <w:rFonts w:ascii="仿宋_GB2312" w:eastAsia="仿宋_GB2312"/>
      <w:sz w:val="32"/>
      <w:szCs w:val="32"/>
    </w:rPr>
  </w:style>
  <w:style w:type="character" w:customStyle="1" w:styleId="100">
    <w:name w:val="apple-converted-space"/>
    <w:autoRedefine/>
    <w:qFormat/>
    <w:uiPriority w:val="0"/>
  </w:style>
  <w:style w:type="character" w:customStyle="1" w:styleId="101">
    <w:name w:val="纯文本 Char"/>
    <w:autoRedefine/>
    <w:qFormat/>
    <w:locked/>
    <w:uiPriority w:val="0"/>
    <w:rPr>
      <w:rFonts w:ascii="宋体" w:hAnsi="Courier New" w:eastAsia="宋体"/>
      <w:b/>
      <w:kern w:val="2"/>
      <w:sz w:val="21"/>
      <w:szCs w:val="32"/>
      <w:lang w:val="en-US" w:eastAsia="zh-CN" w:bidi="ar-SA"/>
    </w:rPr>
  </w:style>
  <w:style w:type="character" w:customStyle="1" w:styleId="102">
    <w:name w:val="first-child"/>
    <w:autoRedefine/>
    <w:qFormat/>
    <w:uiPriority w:val="0"/>
  </w:style>
  <w:style w:type="character" w:customStyle="1" w:styleId="103">
    <w:name w:val="headline-content4"/>
    <w:autoRedefine/>
    <w:qFormat/>
    <w:uiPriority w:val="0"/>
    <w:rPr>
      <w:rFonts w:ascii="仿宋_GB2312" w:eastAsia="仿宋_GB2312"/>
      <w:sz w:val="32"/>
      <w:szCs w:val="32"/>
    </w:rPr>
  </w:style>
  <w:style w:type="character" w:customStyle="1" w:styleId="104">
    <w:name w:val="textcontents"/>
    <w:autoRedefine/>
    <w:qFormat/>
    <w:uiPriority w:val="0"/>
  </w:style>
  <w:style w:type="character" w:customStyle="1" w:styleId="105">
    <w:name w:val="批注文字 Char1"/>
    <w:autoRedefine/>
    <w:semiHidden/>
    <w:qFormat/>
    <w:locked/>
    <w:uiPriority w:val="0"/>
    <w:rPr>
      <w:rFonts w:ascii="Times New Roman" w:hAnsi="Times New Roman"/>
      <w:kern w:val="2"/>
      <w:sz w:val="21"/>
      <w:szCs w:val="24"/>
    </w:rPr>
  </w:style>
  <w:style w:type="character" w:customStyle="1" w:styleId="106">
    <w:name w:val="纯文本 Char1"/>
    <w:autoRedefine/>
    <w:qFormat/>
    <w:uiPriority w:val="99"/>
    <w:rPr>
      <w:rFonts w:ascii="宋体" w:hAnsi="Courier New" w:eastAsia="宋体"/>
      <w:b/>
      <w:kern w:val="2"/>
      <w:sz w:val="21"/>
      <w:szCs w:val="32"/>
      <w:lang w:val="en-US" w:eastAsia="zh-CN" w:bidi="ar-SA"/>
    </w:rPr>
  </w:style>
  <w:style w:type="character" w:customStyle="1" w:styleId="107">
    <w:name w:val="layui-layer-tabnow"/>
    <w:autoRedefine/>
    <w:qFormat/>
    <w:uiPriority w:val="0"/>
    <w:rPr>
      <w:bdr w:val="single" w:color="CCCCCC" w:sz="6" w:space="0"/>
      <w:shd w:val="clear" w:color="auto" w:fill="FFFFFF"/>
    </w:rPr>
  </w:style>
  <w:style w:type="character" w:customStyle="1" w:styleId="108">
    <w:name w:val="NormalCharacter"/>
    <w:autoRedefine/>
    <w:qFormat/>
    <w:uiPriority w:val="0"/>
    <w:rPr>
      <w:rFonts w:ascii="Times New Roman" w:hAnsi="Times New Roman" w:eastAsia="宋体" w:cs="Times New Roman"/>
    </w:rPr>
  </w:style>
  <w:style w:type="character" w:customStyle="1" w:styleId="109">
    <w:name w:val="case31"/>
    <w:autoRedefine/>
    <w:qFormat/>
    <w:uiPriority w:val="0"/>
    <w:rPr>
      <w:rFonts w:hint="default" w:ascii="_x000B__x000C_" w:hAnsi="_x000B__x000C_"/>
      <w:sz w:val="21"/>
      <w:szCs w:val="21"/>
    </w:rPr>
  </w:style>
  <w:style w:type="character" w:customStyle="1" w:styleId="110">
    <w:name w:val="sect2title1"/>
    <w:autoRedefine/>
    <w:qFormat/>
    <w:uiPriority w:val="0"/>
    <w:rPr>
      <w:rFonts w:hint="eastAsia" w:ascii="微软雅黑" w:hAnsi="微软雅黑" w:eastAsia="微软雅黑"/>
      <w:b/>
      <w:bCs/>
      <w:sz w:val="21"/>
      <w:szCs w:val="21"/>
    </w:rPr>
  </w:style>
  <w:style w:type="paragraph" w:customStyle="1" w:styleId="111">
    <w:name w:val="Char1"/>
    <w:basedOn w:val="1"/>
    <w:autoRedefine/>
    <w:qFormat/>
    <w:uiPriority w:val="0"/>
    <w:rPr>
      <w:rFonts w:ascii="Calibri" w:hAnsi="Calibri"/>
      <w:szCs w:val="21"/>
    </w:rPr>
  </w:style>
  <w:style w:type="paragraph" w:customStyle="1" w:styleId="112">
    <w:name w:val="表格文字"/>
    <w:basedOn w:val="1"/>
    <w:autoRedefine/>
    <w:qFormat/>
    <w:uiPriority w:val="0"/>
    <w:pPr>
      <w:spacing w:before="25" w:after="25"/>
      <w:jc w:val="left"/>
    </w:pPr>
    <w:rPr>
      <w:rFonts w:ascii="Calibri" w:hAnsi="Calibri"/>
      <w:bCs/>
      <w:spacing w:val="10"/>
      <w:kern w:val="0"/>
      <w:sz w:val="24"/>
    </w:rPr>
  </w:style>
  <w:style w:type="paragraph" w:customStyle="1" w:styleId="113">
    <w:name w:val="样式 标题 2 + Times New Roman 四号 非加粗 段前: 5 磅 段后: 0 磅 行距: 固定值 20..."/>
    <w:basedOn w:val="3"/>
    <w:autoRedefine/>
    <w:qFormat/>
    <w:uiPriority w:val="0"/>
    <w:pPr>
      <w:spacing w:before="100" w:line="400" w:lineRule="exact"/>
    </w:pPr>
    <w:rPr>
      <w:rFonts w:ascii="Times New Roman" w:hAnsi="Times New Roman" w:cs="宋体"/>
      <w:b w:val="0"/>
      <w:bCs w:val="0"/>
      <w:kern w:val="0"/>
      <w:sz w:val="28"/>
      <w:szCs w:val="20"/>
      <w:lang w:val="en-US" w:eastAsia="zh-CN"/>
    </w:rPr>
  </w:style>
  <w:style w:type="paragraph" w:customStyle="1" w:styleId="114">
    <w:name w:val="Char2 Char Char Char"/>
    <w:basedOn w:val="1"/>
    <w:autoRedefine/>
    <w:qFormat/>
    <w:uiPriority w:val="0"/>
    <w:rPr>
      <w:rFonts w:ascii="Tahoma" w:hAnsi="Tahoma"/>
      <w:sz w:val="24"/>
      <w:szCs w:val="20"/>
    </w:rPr>
  </w:style>
  <w:style w:type="paragraph" w:customStyle="1" w:styleId="115">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16">
    <w:name w:val="表内文字"/>
    <w:basedOn w:val="1"/>
    <w:autoRedefine/>
    <w:qFormat/>
    <w:uiPriority w:val="0"/>
    <w:pPr>
      <w:snapToGrid w:val="0"/>
      <w:spacing w:before="50" w:after="50"/>
      <w:jc w:val="center"/>
    </w:pPr>
    <w:rPr>
      <w:rFonts w:ascii="仿宋_GB2312" w:hAnsi="宋体" w:eastAsia="仿宋_GB2312"/>
      <w:b/>
      <w:color w:val="000000"/>
      <w:sz w:val="32"/>
      <w:szCs w:val="32"/>
    </w:rPr>
  </w:style>
  <w:style w:type="paragraph" w:customStyle="1" w:styleId="117">
    <w:name w:val="默认"/>
    <w:autoRedefine/>
    <w:qFormat/>
    <w:uiPriority w:val="0"/>
    <w:pPr>
      <w:pBdr>
        <w:top w:val="none" w:color="FFFFFF" w:sz="0" w:space="31"/>
        <w:left w:val="none" w:color="FFFFFF" w:sz="0" w:space="31"/>
        <w:bottom w:val="none" w:color="FFFFFF" w:sz="0" w:space="31"/>
        <w:right w:val="none" w:color="FFFFFF" w:sz="0" w:space="31"/>
      </w:pBdr>
    </w:pPr>
    <w:rPr>
      <w:rFonts w:ascii="Helvetica" w:hAnsi="Arial Unicode MS" w:eastAsia="Times New Roman" w:cs="Arial Unicode MS"/>
      <w:color w:val="000000"/>
      <w:sz w:val="22"/>
      <w:szCs w:val="22"/>
      <w:lang w:val="zh-TW" w:eastAsia="zh-TW" w:bidi="ar-SA"/>
    </w:rPr>
  </w:style>
  <w:style w:type="paragraph" w:customStyle="1" w:styleId="118">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宋体" w:hAnsi="宋体"/>
      <w:kern w:val="0"/>
      <w:sz w:val="24"/>
    </w:rPr>
  </w:style>
  <w:style w:type="paragraph" w:customStyle="1" w:styleId="119">
    <w:name w:val="明显引用1"/>
    <w:basedOn w:val="1"/>
    <w:next w:val="1"/>
    <w:autoRedefine/>
    <w:qFormat/>
    <w:uiPriority w:val="0"/>
    <w:pPr>
      <w:spacing w:line="360" w:lineRule="auto"/>
      <w:jc w:val="center"/>
    </w:pPr>
    <w:rPr>
      <w:rFonts w:ascii="宋体" w:hAnsi="华文细黑"/>
      <w:bCs/>
      <w:iCs/>
      <w:color w:val="000000"/>
      <w:szCs w:val="20"/>
    </w:rPr>
  </w:style>
  <w:style w:type="paragraph" w:customStyle="1" w:styleId="120">
    <w:name w:val="样式 标题 3 + (中文) 黑体 小四 非加粗 段前: 7.8 磅 段后: 0 磅 行距: 固定值 20 磅"/>
    <w:basedOn w:val="4"/>
    <w:autoRedefine/>
    <w:qFormat/>
    <w:uiPriority w:val="0"/>
    <w:pPr>
      <w:spacing w:before="0" w:after="0" w:line="400" w:lineRule="exact"/>
    </w:pPr>
    <w:rPr>
      <w:rFonts w:ascii="Times New Roman" w:eastAsia="黑体" w:cs="宋体"/>
      <w:b w:val="0"/>
      <w:bCs w:val="0"/>
      <w:kern w:val="0"/>
      <w:sz w:val="24"/>
      <w:szCs w:val="20"/>
      <w:lang w:val="en-US" w:eastAsia="zh-CN"/>
    </w:rPr>
  </w:style>
  <w:style w:type="paragraph" w:customStyle="1" w:styleId="121">
    <w:name w:val="p16"/>
    <w:basedOn w:val="1"/>
    <w:autoRedefine/>
    <w:qFormat/>
    <w:uiPriority w:val="0"/>
    <w:pPr>
      <w:widowControl/>
    </w:pPr>
    <w:rPr>
      <w:rFonts w:ascii="宋体" w:hAnsi="宋体" w:cs="宋体"/>
      <w:kern w:val="0"/>
      <w:szCs w:val="21"/>
    </w:rPr>
  </w:style>
  <w:style w:type="paragraph" w:customStyle="1" w:styleId="122">
    <w:name w:val="2"/>
    <w:basedOn w:val="1"/>
    <w:next w:val="24"/>
    <w:autoRedefine/>
    <w:qFormat/>
    <w:uiPriority w:val="0"/>
    <w:rPr>
      <w:rFonts w:ascii="宋体" w:hAnsi="Courier New"/>
      <w:szCs w:val="20"/>
    </w:rPr>
  </w:style>
  <w:style w:type="paragraph" w:customStyle="1" w:styleId="123">
    <w:name w:val="default"/>
    <w:basedOn w:val="1"/>
    <w:autoRedefine/>
    <w:qFormat/>
    <w:uiPriority w:val="0"/>
    <w:pPr>
      <w:spacing w:line="360" w:lineRule="auto"/>
    </w:pPr>
  </w:style>
  <w:style w:type="paragraph" w:styleId="124">
    <w:name w:val="List Paragraph"/>
    <w:basedOn w:val="1"/>
    <w:autoRedefine/>
    <w:qFormat/>
    <w:uiPriority w:val="34"/>
    <w:pPr>
      <w:ind w:firstLine="420" w:firstLineChars="200"/>
    </w:pPr>
  </w:style>
  <w:style w:type="paragraph" w:customStyle="1" w:styleId="125">
    <w:name w:val="正文首行缩进两字符"/>
    <w:basedOn w:val="1"/>
    <w:autoRedefine/>
    <w:qFormat/>
    <w:uiPriority w:val="0"/>
    <w:pPr>
      <w:spacing w:line="360" w:lineRule="auto"/>
      <w:ind w:firstLine="200" w:firstLineChars="200"/>
    </w:pPr>
    <w:rPr>
      <w:rFonts w:ascii="Calibri" w:hAnsi="Calibri"/>
    </w:rPr>
  </w:style>
  <w:style w:type="paragraph" w:customStyle="1" w:styleId="126">
    <w:name w:val="_Style 37"/>
    <w:basedOn w:val="1"/>
    <w:next w:val="124"/>
    <w:autoRedefine/>
    <w:qFormat/>
    <w:uiPriority w:val="34"/>
    <w:pPr>
      <w:ind w:firstLine="420" w:firstLineChars="200"/>
    </w:pPr>
    <w:rPr>
      <w:rFonts w:ascii="Calibri" w:hAnsi="Calibri"/>
    </w:rPr>
  </w:style>
  <w:style w:type="paragraph" w:customStyle="1" w:styleId="127">
    <w:name w:val="Char"/>
    <w:basedOn w:val="1"/>
    <w:autoRedefine/>
    <w:qFormat/>
    <w:uiPriority w:val="0"/>
    <w:pPr>
      <w:widowControl/>
      <w:spacing w:line="240" w:lineRule="exact"/>
      <w:jc w:val="left"/>
    </w:pPr>
    <w:rPr>
      <w:rFonts w:ascii="Verdana" w:hAnsi="Verdana"/>
      <w:kern w:val="0"/>
      <w:szCs w:val="20"/>
      <w:lang w:eastAsia="en-US"/>
    </w:rPr>
  </w:style>
  <w:style w:type="paragraph" w:customStyle="1" w:styleId="128">
    <w:name w:val="默认段落字体 Para Char Char Char Char Char Char Char Char Char1 Char Char Char Char"/>
    <w:basedOn w:val="1"/>
    <w:autoRedefine/>
    <w:qFormat/>
    <w:uiPriority w:val="0"/>
    <w:rPr>
      <w:rFonts w:ascii="Tahoma" w:hAnsi="Tahoma"/>
      <w:sz w:val="24"/>
      <w:szCs w:val="20"/>
    </w:rPr>
  </w:style>
  <w:style w:type="paragraph" w:customStyle="1" w:styleId="129">
    <w:name w:val="样式 首行缩进:  2 字符"/>
    <w:basedOn w:val="1"/>
    <w:autoRedefine/>
    <w:qFormat/>
    <w:uiPriority w:val="0"/>
    <w:pPr>
      <w:spacing w:line="400" w:lineRule="exact"/>
      <w:ind w:firstLine="200" w:firstLineChars="200"/>
    </w:pPr>
    <w:rPr>
      <w:rFonts w:ascii="Calibri" w:hAnsi="Calibri" w:cs="宋体"/>
      <w:sz w:val="24"/>
    </w:rPr>
  </w:style>
  <w:style w:type="paragraph" w:customStyle="1" w:styleId="130">
    <w:name w:val="样式1"/>
    <w:basedOn w:val="1"/>
    <w:autoRedefine/>
    <w:qFormat/>
    <w:uiPriority w:val="0"/>
    <w:pPr>
      <w:tabs>
        <w:tab w:val="left" w:pos="709"/>
      </w:tabs>
      <w:adjustRightInd w:val="0"/>
      <w:ind w:left="709" w:hanging="709"/>
    </w:pPr>
    <w:rPr>
      <w:rFonts w:ascii="宋体" w:hAnsi="宋体"/>
      <w:kern w:val="0"/>
      <w:szCs w:val="21"/>
    </w:rPr>
  </w:style>
  <w:style w:type="paragraph" w:customStyle="1" w:styleId="131">
    <w:name w:val="样式 标题 2 + 宋体"/>
    <w:basedOn w:val="3"/>
    <w:autoRedefine/>
    <w:qFormat/>
    <w:uiPriority w:val="99"/>
    <w:rPr>
      <w:rFonts w:ascii="宋体" w:hAnsi="宋体"/>
      <w:sz w:val="30"/>
    </w:rPr>
  </w:style>
  <w:style w:type="paragraph" w:customStyle="1" w:styleId="132">
    <w:name w:val="Char Char Char"/>
    <w:basedOn w:val="1"/>
    <w:autoRedefine/>
    <w:qFormat/>
    <w:uiPriority w:val="0"/>
    <w:pPr>
      <w:widowControl/>
      <w:spacing w:after="160" w:line="240" w:lineRule="exact"/>
      <w:jc w:val="left"/>
    </w:pPr>
    <w:rPr>
      <w:rFonts w:ascii="仿宋_GB2312" w:eastAsia="仿宋_GB2312"/>
      <w:b/>
      <w:kern w:val="0"/>
      <w:sz w:val="32"/>
      <w:szCs w:val="32"/>
    </w:rPr>
  </w:style>
  <w:style w:type="paragraph" w:customStyle="1" w:styleId="133">
    <w:name w:val="正文首行缩进 21"/>
    <w:basedOn w:val="134"/>
    <w:next w:val="1"/>
    <w:autoRedefine/>
    <w:qFormat/>
    <w:uiPriority w:val="0"/>
    <w:pPr>
      <w:ind w:firstLine="420"/>
    </w:pPr>
    <w:rPr>
      <w:rFonts w:ascii="Times New Roman" w:hAnsi="Courier New" w:eastAsia="宋体"/>
    </w:rPr>
  </w:style>
  <w:style w:type="paragraph" w:customStyle="1" w:styleId="134">
    <w:name w:val="正文文本缩进1"/>
    <w:basedOn w:val="1"/>
    <w:autoRedefine/>
    <w:qFormat/>
    <w:uiPriority w:val="0"/>
    <w:pPr>
      <w:pBdr>
        <w:top w:val="none" w:color="000000" w:sz="0" w:space="3"/>
        <w:left w:val="none" w:color="000000" w:sz="0" w:space="3"/>
        <w:bottom w:val="none" w:color="000000" w:sz="0" w:space="3"/>
        <w:right w:val="none" w:color="000000" w:sz="0" w:space="3"/>
        <w:between w:val="none" w:color="000000" w:sz="0" w:space="0"/>
      </w:pBdr>
      <w:spacing w:line="200" w:lineRule="exact"/>
      <w:ind w:firstLine="301"/>
    </w:pPr>
    <w:rPr>
      <w:rFonts w:ascii="宋体" w:hAnsi="宋体" w:eastAsia="Calibri"/>
      <w:spacing w:val="-4"/>
      <w:kern w:val="1"/>
      <w:sz w:val="18"/>
      <w:szCs w:val="22"/>
    </w:rPr>
  </w:style>
  <w:style w:type="paragraph" w:customStyle="1" w:styleId="135">
    <w:name w:val="无间隔1"/>
    <w:autoRedefine/>
    <w:qFormat/>
    <w:uiPriority w:val="99"/>
    <w:pPr>
      <w:widowControl w:val="0"/>
      <w:jc w:val="both"/>
    </w:pPr>
    <w:rPr>
      <w:rFonts w:ascii="Times New Roman" w:hAnsi="Times New Roman" w:eastAsia="宋体" w:cs="Times New Roman"/>
      <w:kern w:val="2"/>
      <w:sz w:val="21"/>
      <w:szCs w:val="22"/>
      <w:lang w:val="en-US" w:eastAsia="zh-CN" w:bidi="ar-SA"/>
    </w:rPr>
  </w:style>
  <w:style w:type="paragraph" w:customStyle="1" w:styleId="136">
    <w:name w:val="正文段"/>
    <w:basedOn w:val="1"/>
    <w:autoRedefine/>
    <w:qFormat/>
    <w:uiPriority w:val="0"/>
    <w:pPr>
      <w:widowControl/>
      <w:snapToGrid w:val="0"/>
      <w:spacing w:afterLines="50"/>
      <w:ind w:firstLine="200" w:firstLineChars="200"/>
    </w:pPr>
    <w:rPr>
      <w:rFonts w:ascii="Calibri" w:hAnsi="Calibri"/>
      <w:kern w:val="0"/>
      <w:sz w:val="24"/>
      <w:szCs w:val="20"/>
    </w:rPr>
  </w:style>
  <w:style w:type="paragraph" w:customStyle="1" w:styleId="137">
    <w:name w:val="Table Paragraph"/>
    <w:basedOn w:val="1"/>
    <w:autoRedefine/>
    <w:qFormat/>
    <w:uiPriority w:val="1"/>
    <w:pPr>
      <w:autoSpaceDE w:val="0"/>
      <w:autoSpaceDN w:val="0"/>
      <w:jc w:val="left"/>
    </w:pPr>
    <w:rPr>
      <w:rFonts w:ascii="宋体" w:hAnsi="宋体" w:cs="宋体"/>
      <w:kern w:val="0"/>
      <w:sz w:val="22"/>
      <w:szCs w:val="22"/>
    </w:rPr>
  </w:style>
  <w:style w:type="paragraph" w:customStyle="1" w:styleId="138">
    <w:name w:val="_Style 3"/>
    <w:basedOn w:val="1"/>
    <w:autoRedefine/>
    <w:qFormat/>
    <w:uiPriority w:val="34"/>
    <w:pPr>
      <w:ind w:firstLine="420" w:firstLineChars="200"/>
    </w:pPr>
    <w:rPr>
      <w:rFonts w:ascii="Calibri" w:hAnsi="Calibri"/>
      <w:szCs w:val="22"/>
    </w:rPr>
  </w:style>
  <w:style w:type="paragraph" w:customStyle="1" w:styleId="139">
    <w:name w:val="xl22"/>
    <w:basedOn w:val="1"/>
    <w:autoRedefine/>
    <w:qFormat/>
    <w:uiPriority w:val="0"/>
    <w:pPr>
      <w:widowControl/>
      <w:spacing w:before="100" w:beforeAutospacing="1" w:after="100" w:afterAutospacing="1"/>
      <w:jc w:val="left"/>
    </w:pPr>
    <w:rPr>
      <w:rFonts w:ascii="Arial Unicode MS" w:hAnsi="Arial Unicode MS" w:eastAsia="Arial Unicode MS" w:cs="Arial Unicode MS"/>
      <w:kern w:val="0"/>
      <w:sz w:val="20"/>
      <w:szCs w:val="20"/>
    </w:rPr>
  </w:style>
  <w:style w:type="paragraph" w:customStyle="1" w:styleId="140">
    <w:name w:val="Char Char"/>
    <w:basedOn w:val="1"/>
    <w:autoRedefine/>
    <w:qFormat/>
    <w:uiPriority w:val="0"/>
    <w:rPr>
      <w:rFonts w:ascii="仿宋_GB2312" w:eastAsia="仿宋_GB2312"/>
      <w:b/>
      <w:sz w:val="32"/>
      <w:szCs w:val="32"/>
    </w:rPr>
  </w:style>
  <w:style w:type="paragraph" w:customStyle="1" w:styleId="141">
    <w:name w:val="列出段落1"/>
    <w:basedOn w:val="1"/>
    <w:autoRedefine/>
    <w:qFormat/>
    <w:uiPriority w:val="99"/>
    <w:pPr>
      <w:autoSpaceDE w:val="0"/>
      <w:autoSpaceDN w:val="0"/>
      <w:ind w:firstLine="420" w:firstLineChars="200"/>
      <w:jc w:val="left"/>
    </w:pPr>
    <w:rPr>
      <w:rFonts w:ascii="宋体" w:hAnsi="宋体" w:cs="宋体"/>
      <w:kern w:val="0"/>
      <w:sz w:val="22"/>
      <w:szCs w:val="22"/>
    </w:rPr>
  </w:style>
  <w:style w:type="paragraph" w:customStyle="1" w:styleId="142">
    <w:name w:val="纯文本1"/>
    <w:basedOn w:val="1"/>
    <w:autoRedefine/>
    <w:qFormat/>
    <w:uiPriority w:val="0"/>
    <w:rPr>
      <w:rFonts w:ascii="宋体" w:hAnsi="Courier New" w:cs="Century"/>
      <w:szCs w:val="21"/>
    </w:rPr>
  </w:style>
  <w:style w:type="paragraph" w:customStyle="1" w:styleId="143">
    <w:name w:val="Char Char Char Char"/>
    <w:basedOn w:val="1"/>
    <w:autoRedefine/>
    <w:qFormat/>
    <w:uiPriority w:val="0"/>
    <w:rPr>
      <w:rFonts w:ascii="Tahoma" w:hAnsi="Tahoma"/>
      <w:sz w:val="24"/>
      <w:szCs w:val="20"/>
    </w:rPr>
  </w:style>
  <w:style w:type="paragraph" w:customStyle="1" w:styleId="144">
    <w:name w:val="_Style 143"/>
    <w:autoRedefine/>
    <w:unhideWhenUsed/>
    <w:qFormat/>
    <w:uiPriority w:val="99"/>
    <w:rPr>
      <w:rFonts w:ascii="Times New Roman" w:hAnsi="Times New Roman" w:eastAsia="宋体" w:cs="Times New Roman"/>
      <w:kern w:val="2"/>
      <w:sz w:val="21"/>
      <w:szCs w:val="24"/>
      <w:lang w:val="en-US" w:eastAsia="zh-CN" w:bidi="ar-SA"/>
    </w:rPr>
  </w:style>
  <w:style w:type="paragraph" w:customStyle="1" w:styleId="145">
    <w:name w:val="Char Char Char Char1"/>
    <w:basedOn w:val="1"/>
    <w:autoRedefine/>
    <w:qFormat/>
    <w:uiPriority w:val="0"/>
    <w:rPr>
      <w:rFonts w:ascii="Tahoma" w:hAnsi="Tahoma"/>
      <w:sz w:val="24"/>
      <w:szCs w:val="20"/>
    </w:rPr>
  </w:style>
  <w:style w:type="paragraph" w:customStyle="1" w:styleId="146">
    <w:name w:val="样式"/>
    <w:autoRedefine/>
    <w:qFormat/>
    <w:uiPriority w:val="0"/>
    <w:pPr>
      <w:widowControl w:val="0"/>
      <w:autoSpaceDE w:val="0"/>
      <w:autoSpaceDN w:val="0"/>
      <w:adjustRightInd w:val="0"/>
      <w:jc w:val="center"/>
    </w:pPr>
    <w:rPr>
      <w:rFonts w:ascii="宋体" w:hAnsi="宋体" w:eastAsia="宋体" w:cs="宋体"/>
      <w:sz w:val="24"/>
      <w:szCs w:val="24"/>
      <w:lang w:val="en-US" w:eastAsia="zh-CN" w:bidi="ar-SA"/>
    </w:rPr>
  </w:style>
  <w:style w:type="paragraph" w:customStyle="1" w:styleId="147">
    <w:name w:val="表格"/>
    <w:basedOn w:val="1"/>
    <w:autoRedefine/>
    <w:qFormat/>
    <w:uiPriority w:val="0"/>
    <w:pPr>
      <w:spacing w:line="400" w:lineRule="exact"/>
    </w:pPr>
    <w:rPr>
      <w:rFonts w:ascii="Calibri" w:hAnsi="Calibri"/>
      <w:sz w:val="24"/>
    </w:rPr>
  </w:style>
  <w:style w:type="paragraph" w:customStyle="1" w:styleId="148">
    <w:name w:val="List Paragraph1"/>
    <w:basedOn w:val="1"/>
    <w:autoRedefine/>
    <w:qFormat/>
    <w:uiPriority w:val="0"/>
    <w:pPr>
      <w:ind w:firstLine="420" w:firstLineChars="200"/>
    </w:pPr>
    <w:rPr>
      <w:rFonts w:ascii="Calibri" w:hAnsi="Calibri"/>
      <w:sz w:val="24"/>
      <w:szCs w:val="22"/>
    </w:rPr>
  </w:style>
  <w:style w:type="paragraph" w:customStyle="1" w:styleId="149">
    <w:name w:val="纯文本11"/>
    <w:basedOn w:val="1"/>
    <w:next w:val="1"/>
    <w:autoRedefine/>
    <w:qFormat/>
    <w:uiPriority w:val="0"/>
    <w:rPr>
      <w:rFonts w:ascii="宋体" w:hAnsi="宋体"/>
      <w:sz w:val="20"/>
      <w:szCs w:val="21"/>
    </w:rPr>
  </w:style>
  <w:style w:type="table" w:customStyle="1" w:styleId="150">
    <w:name w:val="Table Normal"/>
    <w:autoRedefine/>
    <w:unhideWhenUsed/>
    <w:qFormat/>
    <w:uiPriority w:val="0"/>
    <w:tblPr>
      <w:tblCellMar>
        <w:top w:w="0" w:type="dxa"/>
        <w:left w:w="0" w:type="dxa"/>
        <w:bottom w:w="0" w:type="dxa"/>
        <w:right w:w="0" w:type="dxa"/>
      </w:tblCellMar>
    </w:tblPr>
  </w:style>
  <w:style w:type="paragraph" w:customStyle="1" w:styleId="151">
    <w:name w:val="WPSOffice手动目录 1"/>
    <w:autoRedefine/>
    <w:qFormat/>
    <w:uiPriority w:val="0"/>
    <w:rPr>
      <w:rFonts w:ascii="Times New Roman" w:hAnsi="Times New Roman" w:eastAsia="宋体" w:cs="Times New Roman"/>
      <w:lang w:val="en-US" w:eastAsia="zh-CN" w:bidi="ar-SA"/>
    </w:rPr>
  </w:style>
  <w:style w:type="paragraph" w:customStyle="1" w:styleId="152">
    <w:name w:val="正文2"/>
    <w:basedOn w:val="1"/>
    <w:autoRedefine/>
    <w:qFormat/>
    <w:uiPriority w:val="0"/>
    <w:pPr>
      <w:adjustRightInd w:val="0"/>
      <w:spacing w:before="156" w:line="360" w:lineRule="auto"/>
      <w:ind w:firstLine="510" w:firstLineChars="2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b1255377-a29b-4e36-bd9b-344847b6991c</errorID>
      <errorWord>《</errorWord>
      <group>L1_AI</group>
      <groupName>深度校对</groupName>
      <ability>L2_AI_Punc</ability>
      <abilityName>标点纠错</abilityName>
      <candidateList>
        <item/>
      </candidateList>
      <explain/>
      <paraID>3CA63126</paraID>
      <start>22</start>
      <end>23</end>
      <status>unmodified</status>
      <modifiedWord/>
      <trackRevisions>false</trackRevisions>
    </reviewItem>
    <reviewItem>
      <errorID>199a5572-600b-4042-9957-ac2397b2c2f0</errorID>
      <errorWord>》</errorWord>
      <group>L1_AI</group>
      <groupName>深度校对</groupName>
      <ability>L2_AI_Punc</ability>
      <abilityName>标点纠错</abilityName>
      <candidateList>
        <item/>
      </candidateList>
      <explain/>
      <paraID>3CA63126</paraID>
      <start>30</start>
      <end>31</end>
      <status>unmodified</status>
      <modifiedWord/>
      <trackRevisions>false</trackRevisions>
    </reviewItem>
    <reviewItem>
      <errorID>e3f72cde-4d3d-4431-90fe-53ea0dab9539</errorID>
      <errorWord>：/。</errorWord>
      <group>L1_Punc</group>
      <groupName>标点问题</groupName>
      <ability>L2_Punc</ability>
      <abilityName>标点符号检查</abilityName>
      <candidateList>
        <item>：</item>
      </candidateList>
      <explain/>
      <paraID>2F7C370F</paraID>
      <start>2</start>
      <end>5</end>
      <status>unmodified</status>
      <modifiedWord/>
      <trackRevisions>false</trackRevisions>
    </reviewItem>
    <reviewItem>
      <errorID>9dea78d5-cc72-4bb8-a346-173040ea87df</errorID>
      <errorWord>上午00:00</errorWord>
      <group>L1_Knowledge</group>
      <groupName>知识性问题</groupName>
      <ability>L2_Time</ability>
      <abilityName>日期时间</abilityName>
      <candidateList/>
      <explain>时间与前缀不匹配，可能的时间前缀有“下午、晚上、凌晨、午夜”。</explain>
      <paraID>71A238BE</paraID>
      <start>29</start>
      <end>36</end>
      <status>unmodified</status>
      <modifiedWord/>
      <trackRevisions>false</trackRevisions>
    </reviewItem>
    <reviewItem>
      <errorID>217c043f-2409-4410-8e5c-50396599a61d</errorID>
      <errorWord>分截标后</errorWord>
      <group>L1_AI</group>
      <groupName>深度校对</groupName>
      <ability>L2_AI_Grammar</ability>
      <abilityName>语法纠错</abilityName>
      <candidateList>
        <item>分</item>
      </candidateList>
      <explain/>
      <paraID>648A59FB</paraID>
      <start>19</start>
      <end>23</end>
      <status>unmodified</status>
      <modifiedWord/>
      <trackRevisions>false</trackRevisions>
    </reviewItem>
    <reviewItem>
      <errorID>047d5d36-5e9f-4037-aee4-79b1fd71cd7e</errorID>
      <errorWord>）</errorWord>
      <group>L1_AI</group>
      <groupName>深度校对</groupName>
      <ability>L2_AI_Grammar</ability>
      <abilityName>语法纠错</abilityName>
      <candidateList>
        <item>）截标后开启</item>
      </candidateList>
      <explain/>
      <paraID>648A59FB</paraID>
      <start>28</start>
      <end>29</end>
      <status>unmodified</status>
      <modifiedWord/>
      <trackRevisions>false</trackRevisions>
    </reviewItem>
    <reviewItem>
      <errorID>f5a43d12-028f-42ac-af40-7818080ffc2c</errorID>
      <errorWord>支行</errorWord>
      <group>L1_AI</group>
      <groupName>深度校对</groupName>
      <ability>L2_AI_Word</ability>
      <abilityName>字词纠错</abilityName>
      <candidateList>
        <item>路支行</item>
      </candidateList>
      <explain/>
      <paraID>69020AD5</paraID>
      <start>21</start>
      <end>23</end>
      <status>unmodified</status>
      <modifiedWord/>
      <trackRevisions>false</trackRevisions>
    </reviewItem>
    <reviewItem>
      <errorID>e4f4fbcc-be87-48c7-8e40-18abcde095c1</errorID>
      <errorWord>-</errorWord>
      <group>L1_Format</group>
      <groupName>格式问题</groupName>
      <ability>L2_HalfPunc</ability>
      <abilityName>全半角检查</abilityName>
      <candidateList>
        <item>－</item>
      </candidateList>
      <explain>文本全半角错误。</explain>
      <paraID>2BEFB06E</paraID>
      <start>278</start>
      <end>279</end>
      <status>unmodified</status>
      <modifiedWord/>
      <trackRevisions>false</trackRevisions>
    </reviewItem>
    <reviewItem>
      <errorID>f6105b13-b09f-4349-aa2b-906e3666564c</errorID>
      <errorWord>，</errorWord>
      <group>L1_AI</group>
      <groupName>深度校对</groupName>
      <ability>L2_AI_Punc</ability>
      <abilityName>标点纠错</abilityName>
      <candidateList>
        <item>。</item>
      </candidateList>
      <explain/>
      <paraID>2A7969A5</paraID>
      <start>41</start>
      <end>42</end>
      <status>unmodified</status>
      <modifiedWord/>
      <trackRevisions>false</trackRevisions>
    </reviewItem>
    <reviewItem>
      <errorID>c5eb3904-5579-4140-b7b8-3bcf4221028b</errorID>
      <errorWord>（</errorWord>
      <group>L1_Punc</group>
      <groupName>标点问题</groupName>
      <ability>L2_Punc</ability>
      <abilityName>标点符号检查</abilityName>
      <candidateList/>
      <explain>此处标点可能未正确匹配，请检查句子中是否存在标点冗余、缺失或使用错误的情况。</explain>
      <paraID>2A7969A5</paraID>
      <start>80</start>
      <end>81</end>
      <status>unmodified</status>
      <modifiedWord/>
      <trackRevisions>false</trackRevisions>
    </reviewItem>
    <reviewItem>
      <errorID>1cf8c90c-68a7-43dd-b3e3-32bf178e27ed</errorID>
      <errorWord>见</errorWord>
      <group>L1_AI</group>
      <groupName>深度校对</groupName>
      <ability>L2_AI_Word</ability>
      <abilityName>字词纠错</abilityName>
      <candidateList>
        <item>：</item>
      </candidateList>
      <explain/>
      <paraID>2A7969A5</paraID>
      <start>85</start>
      <end>86</end>
      <status>unmodified</status>
      <modifiedWord/>
      <trackRevisions>false</trackRevisions>
    </reviewItem>
    <reviewItem>
      <errorID>d14bac21-0af5-4327-b12b-89ff3182635a</errorID>
      <errorWord>-</errorWord>
      <group>L1_Format</group>
      <groupName>格式问题</groupName>
      <ability>L2_HalfPunc</ability>
      <abilityName>全半角检查</abilityName>
      <candidateList>
        <item>－</item>
      </candidateList>
      <explain>文本全半角错误。</explain>
      <paraID>2A7969A5</paraID>
      <start>111</start>
      <end>112</end>
      <status>unmodified</status>
      <modifiedWord/>
      <trackRevisions>false</trackRevisions>
    </reviewItem>
    <reviewItem>
      <errorID>1c7456cc-0211-4c15-a7c7-319e0747f4c1</errorID>
      <errorWord>-</errorWord>
      <group>L1_Format</group>
      <groupName>格式问题</groupName>
      <ability>L2_HalfPunc</ability>
      <abilityName>全半角检查</abilityName>
      <candidateList>
        <item>－</item>
      </candidateList>
      <explain>文本全半角错误。</explain>
      <paraID>2A7969A5</paraID>
      <start>142</start>
      <end>143</end>
      <status>unmodified</status>
      <modifiedWord/>
      <trackRevisions>false</trackRevisions>
    </reviewItem>
    <reviewItem>
      <errorID>7dfafa88-2193-4dfa-9038-ec34af1386d2</errorID>
      <errorWord>”中</errorWord>
      <group>L1_AI</group>
      <groupName>深度校对</groupName>
      <ability>L2_AI_Word</ability>
      <abilityName>字词纠错</abilityName>
      <candidateList>
        <item>”</item>
      </candidateList>
      <explain/>
      <paraID>2A7969A5</paraID>
      <start>148</start>
      <end>150</end>
      <status>unmodified</status>
      <modifiedWord/>
      <trackRevisions>false</trackRevisions>
    </reviewItem>
    <reviewItem>
      <errorID>d4531a9e-0d77-49e9-9d27-a4727058492c</errorID>
      <errorWord>。</errorWord>
      <group>L1_AI</group>
      <groupName>深度校对</groupName>
      <ability>L2_AI_Punc</ability>
      <abilityName>标点纠错</abilityName>
      <candidateList>
        <item>）。</item>
      </candidateList>
      <explain/>
      <paraID>2A7969A5</paraID>
      <start>164</start>
      <end>165</end>
      <status>unmodified</status>
      <modifiedWord/>
      <trackRevisions>false</trackRevisions>
    </reviewItem>
    <reviewItem>
      <errorID>e3f66153-b179-4d20-aaa8-016ad3e8adcb</errorID>
      <errorWord>操作合</errorWord>
      <group>L1_Word</group>
      <groupName>字词问题</groupName>
      <ability>L2_Typo</ability>
      <abilityName>字词错误</abilityName>
      <candidateList>
        <item>操作台</item>
      </candidateList>
      <explain/>
      <paraID>638B2FA2</paraID>
      <start>8</start>
      <end>11</end>
      <status>unmodified</status>
      <modifiedWord/>
      <trackRevisions>false</trackRevisions>
    </reviewItem>
    <reviewItem>
      <errorID>89b1af63-bd9f-4f33-b2eb-46ebe7ad5471</errorID>
      <errorWord>，</errorWord>
      <group>L1_Word</group>
      <groupName>字词问题</groupName>
      <ability>L2_Typo</ability>
      <abilityName>字词错误</abilityName>
      <candidateList>
        <item>，在</item>
      </candidateList>
      <explain/>
      <paraID>5CF973F3</paraID>
      <start>34</start>
      <end>35</end>
      <status>unmodified</status>
      <modifiedWord/>
      <trackRevisions>false</trackRevisions>
    </reviewItem>
    <reviewItem>
      <errorID>0a8b17d8-4706-47c3-b486-dec3b19400a5</errorID>
      <errorWord>具备有</errorWord>
      <group>L1_Word</group>
      <groupName>字词问题</groupName>
      <ability>L2_Typo</ability>
      <abilityName>字词错误</abilityName>
      <candidateList>
        <item>具备</item>
      </candidateList>
      <explain/>
      <paraID>67360CF9</paraID>
      <start>9</start>
      <end>12</end>
      <status>unmodified</status>
      <modifiedWord/>
      <trackRevisions>false</trackRevisions>
    </reviewItem>
    <reviewItem>
      <errorID>75d5b0d9-525e-4b5b-9ca1-4e6591aa13da</errorID>
      <errorWord>，</errorWord>
      <group>L1_Word</group>
      <groupName>字词问题</groupName>
      <ability>L2_Typo</ability>
      <abilityName>字词错误</abilityName>
      <candidateList>
        <item>，具</item>
      </candidateList>
      <explain/>
      <paraID>26D56FB8</paraID>
      <start>27</start>
      <end>28</end>
      <status>unmodified</status>
      <modifiedWord/>
      <trackRevisions>false</trackRevisions>
    </reviewItem>
    <reviewItem>
      <errorID>69fb1dbd-9b8f-46a1-ae95-eaada8ac1840</errorID>
      <errorWord>（</errorWord>
      <group>L1_Word</group>
      <groupName>字词问题</groupName>
      <ability>L2_Typo</ability>
      <abilityName>字词错误</abilityName>
      <candidateList>
        <item>（具</item>
      </candidateList>
      <explain/>
      <paraID> 830AA6D</paraID>
      <start>174</start>
      <end>175</end>
      <status>unmodified</status>
      <modifiedWord/>
      <trackRevisions>false</trackRevisions>
    </reviewItem>
    <reviewItem>
      <errorID>92989833-8c00-4a49-bb25-4d231da890e9</errorID>
      <errorWord>值勤</errorWord>
      <group>L1_Word</group>
      <groupName>字词问题</groupName>
      <ability>L2_Typo</ability>
      <abilityName>字词错误</abilityName>
      <candidateList>
        <item>执勤</item>
      </candidateList>
      <explain>〈动〉执行勤务：～民警。</explain>
      <paraID>1D5D9E08</paraID>
      <start>10</start>
      <end>12</end>
      <status>unmodified</status>
      <modifiedWord/>
      <trackRevisions>false</trackRevisions>
    </reviewItem>
    <reviewItem>
      <errorID>fc47e67e-6c75-4636-83c2-52d12f9e21bc</errorID>
      <errorWord>法制</errorWord>
      <group>L1_Word</group>
      <groupName>字词问题</groupName>
      <ability>L2_Typo</ability>
      <abilityName>字词错误</abilityName>
      <candidateList>
        <item>法治</item>
      </candidateList>
      <explain>❶〈名〉先秦时期法家的政治思想，主张以法为准则，统治人民，处理国事。❷〈动〉指根据法律治理国家和社会。</explain>
      <paraID>506CE494</paraID>
      <start>95</start>
      <end>97</end>
      <status>unmodified</status>
      <modifiedWord/>
      <trackRevisions>false</trackRevisions>
    </reviewItem>
    <reviewItem>
      <errorID>9425b04c-330f-4906-b012-fec05a569595</errorID>
      <errorWord>防暴</errorWord>
      <group>L1_Word</group>
      <groupName>字词问题</groupName>
      <ability>L2_Typo</ability>
      <abilityName>字词错误</abilityName>
      <candidateList>
        <item>防爆</item>
      </candidateList>
      <explain>存在发音相同字词的误用。</explain>
      <paraID> AFB4C2D</paraID>
      <start>56</start>
      <end>58</end>
      <status>unmodified</status>
      <modifiedWord/>
      <trackRevisions>false</trackRevisions>
    </reviewItem>
    <reviewItem>
      <errorID>d5922021-445e-496c-9e56-d3e38c9a6f53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7DEB5811</paraID>
      <start>0</start>
      <end>2</end>
      <status>unmodified</status>
      <modifiedWord/>
      <trackRevisions>false</trackRevisions>
    </reviewItem>
    <reviewItem>
      <errorID>1214c919-1e8e-4a68-b7ca-0cd6479001de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12F0FBE1</paraID>
      <start>0</start>
      <end>2</end>
      <status>unmodified</status>
      <modifiedWord/>
      <trackRevisions>false</trackRevisions>
    </reviewItem>
    <reviewItem>
      <errorID>766dab10-76c0-4ee7-afa2-b2a117085ec6</errorID>
      <errorWord>品</errorWord>
      <group>L1_Word</group>
      <groupName>字词问题</groupName>
      <ability>L2_Typo</ability>
      <abilityName>字词错误</abilityName>
      <candidateList>
        <item>品和</item>
      </candidateList>
      <explain/>
      <paraID>71F48319</paraID>
      <start>59</start>
      <end>60</end>
      <status>unmodified</status>
      <modifiedWord/>
      <trackRevisions>false</trackRevisions>
    </reviewItem>
    <reviewItem>
      <errorID>7f25c71c-b9f4-4198-a2f9-fefb9b8ab539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512F4DF8</paraID>
      <start>0</start>
      <end>2</end>
      <status>unmodified</status>
      <modifiedWord/>
      <trackRevisions>false</trackRevisions>
    </reviewItem>
    <reviewItem>
      <errorID>ad0ccc9e-6893-4916-960e-c97d3e742f6d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4105BE9B</paraID>
      <start>0</start>
      <end>2</end>
      <status>unmodified</status>
      <modifiedWord/>
      <trackRevisions>false</trackRevisions>
    </reviewItem>
    <reviewItem>
      <errorID>308289dc-3fe2-4894-a094-4c45ac34092e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5482B7D4</paraID>
      <start>0</start>
      <end>2</end>
      <status>unmodified</status>
      <modifiedWord/>
      <trackRevisions>false</trackRevisions>
    </reviewItem>
    <reviewItem>
      <errorID>b40b6933-525d-44d2-9f54-c7bcc830d8f0</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15FAFF1</paraID>
      <start>0</start>
      <end>2</end>
      <status>unmodified</status>
      <modifiedWord/>
      <trackRevisions>false</trackRevisions>
    </reviewItem>
    <reviewItem>
      <errorID>28b473ba-1a26-4873-8643-30bbb53c9fdf</errorID>
      <errorWord>器械</errorWord>
      <group>L1_Word</group>
      <groupName>字词问题</groupName>
      <ability>L2_Typo</ability>
      <abilityName>字词错误</abilityName>
      <candidateList>
        <item>器材</item>
      </candidateList>
      <explain/>
      <paraID> 15FAFF1</paraID>
      <start>8</start>
      <end>10</end>
      <status>unmodified</status>
      <modifiedWord/>
      <trackRevisions>false</trackRevisions>
    </reviewItem>
    <reviewItem>
      <errorID>4c91a777-6adb-4ea9-951c-8be9f38ad56d</errorID>
      <errorWord>消防器械</errorWord>
      <group>L1_Word</group>
      <groupName>字词问题</groupName>
      <ability>L2_Typo</ability>
      <abilityName>字词错误</abilityName>
      <candidateList>
        <item>消防器材</item>
      </candidateList>
      <explain>存在字形相近字词的误用。</explain>
      <paraID> 15FAFF1</paraID>
      <start>16</start>
      <end>20</end>
      <status>unmodified</status>
      <modifiedWord/>
      <trackRevisions>false</trackRevisions>
    </reviewItem>
    <reviewItem>
      <errorID>7b8aae0f-bf61-4d0e-b2a0-566e7b85ad83</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37302736</paraID>
      <start>0</start>
      <end>2</end>
      <status>unmodified</status>
      <modifiedWord/>
      <trackRevisions>false</trackRevisions>
    </reviewItem>
    <reviewItem>
      <errorID>dce57b42-8036-421a-886b-e8e7a5d0fce3</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7B0EDA7D</paraID>
      <start>0</start>
      <end>2</end>
      <status>unmodified</status>
      <modifiedWord/>
      <trackRevisions>false</trackRevisions>
    </reviewItem>
    <reviewItem>
      <errorID>5d111f48-3b1b-4a2e-88c3-893b16b6bc53</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59310704</paraID>
      <start>0</start>
      <end>2</end>
      <status>unmodified</status>
      <modifiedWord/>
      <trackRevisions>false</trackRevisions>
    </reviewItem>
    <reviewItem>
      <errorID>62461c61-216a-4cb6-9999-85cd10ed74f5</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1CFE6602</paraID>
      <start>0</start>
      <end>2</end>
      <status>unmodified</status>
      <modifiedWord/>
      <trackRevisions>false</trackRevisions>
    </reviewItem>
    <reviewItem>
      <errorID>63f88076-9061-496f-882d-b745e1edd888</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6975A720</paraID>
      <start>0</start>
      <end>2</end>
      <status>unmodified</status>
      <modifiedWord/>
      <trackRevisions>false</trackRevisions>
    </reviewItem>
    <reviewItem>
      <errorID>dd9e87e9-5308-44ff-b7e8-2ad246b81e57</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69437C6E</paraID>
      <start>0</start>
      <end>3</end>
      <status>unmodified</status>
      <modifiedWord/>
      <trackRevisions>false</trackRevisions>
    </reviewItem>
    <reviewItem>
      <errorID>b2f2dae9-1d29-4108-be64-d80ea16c8bca</errorID>
      <errorWord>11、</errorWord>
      <group>L1_Format</group>
      <groupName>格式问题</groupName>
      <ability>L2_Ordinal</ability>
      <abilityName>序号格式</abilityName>
      <candidateList>
        <item>11.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14A3811D</paraID>
      <start>0</start>
      <end>3</end>
      <status>unmodified</status>
      <modifiedWord/>
      <trackRevisions>false</trackRevisions>
    </reviewItem>
    <reviewItem>
      <errorID>026a2971-fa99-4dcb-8dbd-72eb1f024829</errorID>
      <errorWord>其它时间</errorWord>
      <group>L1_Word</group>
      <groupName>字词问题</groupName>
      <ability>L2_Alias</ability>
      <abilityName>也作/曾用词</abilityName>
      <candidateList>
        <item>其他时间</item>
      </candidateList>
      <explain>词汇[其它时间]为不规范表述或旧称，其规范书面表述为[其他时间]。</explain>
      <paraID>14A3811D</paraID>
      <start>18</start>
      <end>22</end>
      <status>unmodified</status>
      <modifiedWord/>
      <trackRevisions>false</trackRevisions>
    </reviewItem>
    <reviewItem>
      <errorID>83264304-ea0c-4bbf-8278-3c803f968ba2</errorID>
      <errorWord>12、</errorWord>
      <group>L1_Format</group>
      <groupName>格式问题</groupName>
      <ability>L2_Ordinal</ability>
      <abilityName>序号格式</abilityName>
      <candidateList>
        <item>12.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3F21C930</paraID>
      <start>0</start>
      <end>3</end>
      <status>unmodified</status>
      <modifiedWord/>
      <trackRevisions>false</trackRevisions>
    </reviewItem>
    <reviewItem>
      <errorID>0c75ee51-72f0-4732-90bc-9de1409cebfd</errorID>
      <errorWord>(</errorWord>
      <group>L1_Format</group>
      <groupName>格式问题</groupName>
      <ability>L2_HalfPunc</ability>
      <abilityName>全半角检查</abilityName>
      <candidateList>
        <item>（</item>
      </candidateList>
      <explain>文本全半角错误。</explain>
      <paraID>3F21C930</paraID>
      <start>23</start>
      <end>24</end>
      <status>unmodified</status>
      <modifiedWord/>
      <trackRevisions>false</trackRevisions>
    </reviewItem>
    <reviewItem>
      <errorID>5922cdd1-5fa2-4833-bb82-e385c2e65e7d</errorID>
      <errorWord>)</errorWord>
      <group>L1_Format</group>
      <groupName>格式问题</groupName>
      <ability>L2_HalfPunc</ability>
      <abilityName>全半角检查</abilityName>
      <candidateList>
        <item>）</item>
      </candidateList>
      <explain>文本全半角错误。</explain>
      <paraID>3F21C930</paraID>
      <start>30</start>
      <end>31</end>
      <status>unmodified</status>
      <modifiedWord/>
      <trackRevisions>false</trackRevisions>
    </reviewItem>
    <reviewItem>
      <errorID>ea94e65f-e9e6-4a69-9ceb-40cdfbc1846b</errorID>
      <errorWord>13、</errorWord>
      <group>L1_Format</group>
      <groupName>格式问题</groupName>
      <ability>L2_Ordinal</ability>
      <abilityName>序号格式</abilityName>
      <candidateList>
        <item>13.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19112C03</paraID>
      <start>0</start>
      <end>3</end>
      <status>unmodified</status>
      <modifiedWord/>
      <trackRevisions>false</trackRevisions>
    </reviewItem>
    <reviewItem>
      <errorID>919fd0a1-8874-4fe4-ad9d-532cdde2c5f4</errorID>
      <errorWord>(</errorWord>
      <group>L1_Format</group>
      <groupName>格式问题</groupName>
      <ability>L2_HalfPunc</ability>
      <abilityName>全半角检查</abilityName>
      <candidateList>
        <item>（</item>
      </candidateList>
      <explain>文本全半角错误。</explain>
      <paraID>19112C03</paraID>
      <start>20</start>
      <end>21</end>
      <status>unmodified</status>
      <modifiedWord/>
      <trackRevisions>false</trackRevisions>
    </reviewItem>
    <reviewItem>
      <errorID>d0f4c503-d661-4f2f-88ac-f4b4142f190e</errorID>
      <errorWord>)</errorWord>
      <group>L1_Format</group>
      <groupName>格式问题</groupName>
      <ability>L2_HalfPunc</ability>
      <abilityName>全半角检查</abilityName>
      <candidateList>
        <item>）</item>
      </candidateList>
      <explain>文本全半角错误。</explain>
      <paraID>19112C03</paraID>
      <start>29</start>
      <end>30</end>
      <status>unmodified</status>
      <modifiedWord/>
      <trackRevisions>false</trackRevisions>
    </reviewItem>
    <reviewItem>
      <errorID>994c1e31-1508-4ecc-b154-eff89dac542d</errorID>
      <errorWord>14、</errorWord>
      <group>L1_Format</group>
      <groupName>格式问题</groupName>
      <ability>L2_Ordinal</ability>
      <abilityName>序号格式</abilityName>
      <candidateList>
        <item>14.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312510DC</paraID>
      <start>0</start>
      <end>3</end>
      <status>unmodified</status>
      <modifiedWord/>
      <trackRevisions>false</trackRevisions>
    </reviewItem>
    <reviewItem>
      <errorID>9cfd303e-e456-489f-9b30-46d2fa2e813f</errorID>
      <errorWord>15、</errorWord>
      <group>L1_Format</group>
      <groupName>格式问题</groupName>
      <ability>L2_Ordinal</ability>
      <abilityName>序号格式</abilityName>
      <candidateList>
        <item>15.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5BF21551</paraID>
      <start>0</start>
      <end>3</end>
      <status>unmodified</status>
      <modifiedWord/>
      <trackRevisions>false</trackRevisions>
    </reviewItem>
    <reviewItem>
      <errorID>33fed041-d94b-4080-a8de-199044f1a3c5</errorID>
      <errorWord>16、</errorWord>
      <group>L1_Format</group>
      <groupName>格式问题</groupName>
      <ability>L2_Ordinal</ability>
      <abilityName>序号格式</abilityName>
      <candidateList>
        <item>16.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D818E49</paraID>
      <start>0</start>
      <end>3</end>
      <status>unmodified</status>
      <modifiedWord/>
      <trackRevisions>false</trackRevisions>
    </reviewItem>
    <reviewItem>
      <errorID>a95dd292-a741-4b98-b102-c43eb80a9a64</errorID>
      <errorWord>17、</errorWord>
      <group>L1_Format</group>
      <groupName>格式问题</groupName>
      <ability>L2_Ordinal</ability>
      <abilityName>序号格式</abilityName>
      <candidateList>
        <item>17.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7D8298C3</paraID>
      <start>0</start>
      <end>3</end>
      <status>unmodified</status>
      <modifiedWord/>
      <trackRevisions>false</trackRevisions>
    </reviewItem>
    <reviewItem>
      <errorID>5af1c85e-d12c-4f4a-bd24-ea339f69f199</errorID>
      <errorWord>18、</errorWord>
      <group>L1_Format</group>
      <groupName>格式问题</groupName>
      <ability>L2_Ordinal</ability>
      <abilityName>序号格式</abilityName>
      <candidateList>
        <item>18.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5E3B218E</paraID>
      <start>0</start>
      <end>3</end>
      <status>unmodified</status>
      <modifiedWord/>
      <trackRevisions>false</trackRevisions>
    </reviewItem>
    <reviewItem>
      <errorID>25e72e07-eae6-4faf-872e-cd6eeb4594f8</errorID>
      <errorWord>19、</errorWord>
      <group>L1_Format</group>
      <groupName>格式问题</groupName>
      <ability>L2_Ordinal</ability>
      <abilityName>序号格式</abilityName>
      <candidateList>
        <item>19.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574F4EF</paraID>
      <start>0</start>
      <end>3</end>
      <status>unmodified</status>
      <modifiedWord/>
      <trackRevisions>false</trackRevisions>
    </reviewItem>
    <reviewItem>
      <errorID>2112c4f9-6b87-41f5-9b40-87168f4f9c92</errorID>
      <errorWord>20、</errorWord>
      <group>L1_Format</group>
      <groupName>格式问题</groupName>
      <ability>L2_Ordinal</ability>
      <abilityName>序号格式</abilityName>
      <candidateList>
        <item>20.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2CF37FCC</paraID>
      <start>0</start>
      <end>3</end>
      <status>unmodified</status>
      <modifiedWord/>
      <trackRevisions>false</trackRevisions>
    </reviewItem>
    <reviewItem>
      <errorID>339f8b60-a303-4528-aead-7e19bd549b75</errorID>
      <errorWord>21、</errorWord>
      <group>L1_Format</group>
      <groupName>格式问题</groupName>
      <ability>L2_Ordinal</ability>
      <abilityName>序号格式</abilityName>
      <candidateList>
        <item>21.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2166C2B6</paraID>
      <start>0</start>
      <end>3</end>
      <status>unmodified</status>
      <modifiedWord/>
      <trackRevisions>false</trackRevisions>
    </reviewItem>
    <reviewItem>
      <errorID>16151425-3a36-4689-9fd7-89bdc600f554</errorID>
      <errorWord>22、</errorWord>
      <group>L1_Format</group>
      <groupName>格式问题</groupName>
      <ability>L2_Ordinal</ability>
      <abilityName>序号格式</abilityName>
      <candidateList>
        <item>22.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20A7D2CB</paraID>
      <start>0</start>
      <end>3</end>
      <status>unmodified</status>
      <modifiedWord/>
      <trackRevisions>false</trackRevisions>
    </reviewItem>
    <reviewItem>
      <errorID>699ab274-7573-4156-bb15-2b1c4c69693c</errorID>
      <errorWord>遇到有</errorWord>
      <group>L1_Word</group>
      <groupName>字词问题</groupName>
      <ability>L2_Typo</ability>
      <abilityName>字词错误</abilityName>
      <candidateList>
        <item>遇到</item>
      </candidateList>
      <explain/>
      <paraID>20A7D2CB</paraID>
      <start>115</start>
      <end>118</end>
      <status>unmodified</status>
      <modifiedWord/>
      <trackRevisions>false</trackRevisions>
    </reviewItem>
    <reviewItem>
      <errorID>c5653e4b-f1e5-436a-b890-fabde07f7845</errorID>
      <errorWord>23、</errorWord>
      <group>L1_Format</group>
      <groupName>格式问题</groupName>
      <ability>L2_Ordinal</ability>
      <abilityName>序号格式</abilityName>
      <candidateList>
        <item>23.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26BED834</paraID>
      <start>0</start>
      <end>3</end>
      <status>unmodified</status>
      <modifiedWord/>
      <trackRevisions>false</trackRevisions>
    </reviewItem>
    <reviewItem>
      <errorID>dc0e563d-faeb-4809-ba20-011faa07ee9c</errorID>
      <errorWord>各</errorWord>
      <group>L1_Word</group>
      <groupName>字词问题</groupName>
      <ability>L2_Typo</ability>
      <abilityName>字词错误</abilityName>
      <candidateList>
        <item>各项</item>
      </candidateList>
      <explain/>
      <paraID>7D92BC93</paraID>
      <start>6</start>
      <end>7</end>
      <status>unmodified</status>
      <modifiedWord/>
      <trackRevisions>false</trackRevisions>
    </reviewItem>
    <reviewItem>
      <errorID>229bfa91-176e-4cdf-a364-2ac3be582c9e</errorID>
      <errorWord>法制</errorWord>
      <group>L1_Word</group>
      <groupName>字词问题</groupName>
      <ability>L2_Typo</ability>
      <abilityName>字词错误</abilityName>
      <candidateList>
        <item>法治</item>
      </candidateList>
      <explain>❶〈名〉先秦时期法家的政治思想，主张以法为准则，统治人民，处理国事。❷〈动〉指根据法律治理国家和社会。</explain>
      <paraID>46C71736</paraID>
      <start>63</start>
      <end>65</end>
      <status>unmodified</status>
      <modifiedWord/>
      <trackRevisions>false</trackRevisions>
    </reviewItem>
    <reviewItem>
      <errorID>66687da2-d711-45e7-af4f-32d5c85a5305</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5644EA91</paraID>
      <start>0</start>
      <end>2</end>
      <status>unmodified</status>
      <modifiedWord/>
      <trackRevisions>false</trackRevisions>
    </reviewItem>
    <reviewItem>
      <errorID>433e226c-5866-4365-9a40-3ff00adfa366</errorID>
      <errorWord>员</errorWord>
      <group>L1_Word</group>
      <groupName>字词问题</groupName>
      <ability>L2_Typo</ability>
      <abilityName>字词错误</abilityName>
      <candidateList>
        <item>员在</item>
      </candidateList>
      <explain/>
      <paraID>5644EA91</paraID>
      <start>102</start>
      <end>103</end>
      <status>unmodified</status>
      <modifiedWord/>
      <trackRevisions>false</trackRevisions>
    </reviewItem>
    <reviewItem>
      <errorID>b6956d16-3a0d-45e7-936e-ea676b31c862</errorID>
      <errorWord>生</errorWord>
      <group>L1_Word</group>
      <groupName>字词问题</groupName>
      <ability>L2_Typo</ability>
      <abilityName>字词错误</abilityName>
      <candidateList>
        <item>生和</item>
      </candidateList>
      <explain/>
      <paraID>6E573CB9</paraID>
      <start>19</start>
      <end>20</end>
      <status>unmodified</status>
      <modifiedWord/>
      <trackRevisions>false</trackRevisions>
    </reviewItem>
    <reviewItem>
      <errorID>9415c15c-b3f1-475a-9099-dad64644a820</errorID>
      <errorWord>其它</errorWord>
      <group>L1_Word</group>
      <groupName>字词问题</groupName>
      <ability>L2_Typo</ability>
      <abilityName>字词错误</abilityName>
      <candidateList>
        <item>其他</item>
      </candidateList>
      <explain>〈代〉指示代词。别的：今天的文娱晚会，除了京剧、曲艺以外，还有～精彩节目。</explain>
      <paraID>2499B351</paraID>
      <start>9</start>
      <end>11</end>
      <status>unmodified</status>
      <modifiedWord/>
      <trackRevisions>false</trackRevisions>
    </reviewItem>
    <reviewItem>
      <errorID>63e4f1f5-589a-42ce-893a-19ebdc7a6888</errorID>
      <errorWord>做</errorWord>
      <group>L1_Word</group>
      <groupName>字词问题</groupName>
      <ability>L2_Typo</ability>
      <abilityName>字词错误</abilityName>
      <candidateList>
        <item>作</item>
      </candidateList>
      <explain>❶起：振～｜日出而～｜一鼓～气｜枪声大～。❷〈动〉从事某种活动：～孽｜～报告｜自～自受。❸〈动〉写作：著～｜～曲｜～书（写信）。❹作品：佳～｜杰～｜成功之～。❺装：～态｜装模～样。❻〈动〉当成；作为：～保｜～废｜认贼～父。❼发作：～呕｜～怪。</explain>
      <paraID>30A28039</paraID>
      <start>58</start>
      <end>59</end>
      <status>unmodified</status>
      <modifiedWord/>
      <trackRevisions>false</trackRevisions>
    </reviewItem>
    <reviewItem>
      <errorID>31eb45f5-ea61-46cd-9ea2-beff34dab2be</errorID>
      <errorWord>[2020]46号</errorWord>
      <group>L1_Knowledge</group>
      <groupName>知识性问题</groupName>
      <ability>L2_Knowledge</ability>
      <abilityName>其他知识</abilityName>
      <candidateList>
        <item>〔2020〕46号</item>
      </candidateList>
      <explain>发文字号格式错误。</explain>
      <paraID>6C507697</paraID>
      <start>83</start>
      <end>92</end>
      <status>unmodified</status>
      <modifiedWord/>
      <trackRevisions>false</trackRevisions>
    </reviewItem>
    <reviewItem>
      <errorID>e7f13313-3e83-4ac7-8d9f-d8b5d328adc1</errorID>
      <errorWord>，</errorWord>
      <group>L1_Word</group>
      <groupName>字词问题</groupName>
      <ability>L2_Typo</ability>
      <abilityName>字词错误</abilityName>
      <candidateList>
        <item>，在</item>
      </candidateList>
      <explain/>
      <paraID>487FD454</paraID>
      <start>27</start>
      <end>28</end>
      <status>unmodified</status>
      <modifiedWord/>
      <trackRevisions>false</trackRevisions>
    </reviewItem>
    <reviewItem>
      <errorID>ab8192db-a695-46b8-9206-6d8ba5dc8d2d</errorID>
      <errorWord>，</errorWord>
      <group>L1_Word</group>
      <groupName>字词问题</groupName>
      <ability>L2_Typo</ability>
      <abilityName>字词错误</abilityName>
      <candidateList>
        <item>，在</item>
      </candidateList>
      <explain/>
      <paraID>2044C5E8</paraID>
      <start>27</start>
      <end>28</end>
      <status>unmodified</status>
      <modifiedWord/>
      <trackRevisions>false</trackRevisions>
    </reviewItem>
    <reviewItem>
      <errorID>01dc3eef-9b88-4dfd-a697-612667bed491</errorID>
      <errorWord>品</errorWord>
      <group>L1_Word</group>
      <groupName>字词问题</groupName>
      <ability>L2_Typo</ability>
      <abilityName>字词错误</abilityName>
      <candidateList>
        <item>品和</item>
      </candidateList>
      <explain/>
      <paraID>75E3D125</paraID>
      <start>87</start>
      <end>88</end>
      <status>unmodified</status>
      <modifiedWord/>
      <trackRevisions>false</trackRevisions>
    </reviewItem>
    <reviewItem>
      <errorID>37744dbe-bf4e-4de3-98bd-ec4e43e04115</errorID>
      <errorWord>格</errorWord>
      <group>L1_Word</group>
      <groupName>字词问题</groupName>
      <ability>L2_Typo</ability>
      <abilityName>字词错误</abilityName>
      <candidateList>
        <item>格后</item>
      </candidateList>
      <explain/>
      <paraID>329BEE89</paraID>
      <start>96</start>
      <end>97</end>
      <status>unmodified</status>
      <modifiedWord/>
      <trackRevisions>false</trackRevisions>
    </reviewItem>
    <reviewItem>
      <errorID>0fab1886-fd83-459a-b043-bb90a7f00cf6</errorID>
      <errorWord>，</errorWord>
      <group>L1_Word</group>
      <groupName>字词问题</groupName>
      <ability>L2_Typo</ability>
      <abilityName>字词错误</abilityName>
      <candidateList>
        <item>，使</item>
      </candidateList>
      <explain/>
      <paraID>5C8A1F96</paraID>
      <start>32</start>
      <end>33</end>
      <status>unmodified</status>
      <modifiedWord/>
      <trackRevisions>false</trackRevisions>
    </reviewItem>
    <reviewItem>
      <errorID>cc77eab8-5694-44e3-ad43-a741a4046ad8</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4A932158</paraID>
      <start>15</start>
      <end>18</end>
      <status>unmodified</status>
      <modifiedWord/>
      <trackRevisions>false</trackRevisions>
    </reviewItem>
    <reviewItem>
      <errorID>2c03fbae-2bb5-4b3f-be07-6196799e331d</errorID>
      <errorWord>法律、法规</errorWord>
      <group>L1_Word</group>
      <groupName>字词问题</groupName>
      <ability>L2_Typo</ability>
      <abilityName>字词错误</abilityName>
      <candidateList>
        <item>法律法规</item>
      </candidateList>
      <explain/>
      <paraID>533202A1</paraID>
      <start>38</start>
      <end>43</end>
      <status>unmodified</status>
      <modifiedWord/>
      <trackRevisions>false</trackRevisions>
    </reviewItem>
    <reviewItem>
      <errorID>c73d90c7-9c5d-4a6d-a667-8b4f76170f1a</errorID>
      <errorWord>4%-6%</errorWord>
      <group>L1_Knowledge</group>
      <groupName>知识性问题</groupName>
      <ability>L2_Knowledge</ability>
      <abilityName>其他知识</abilityName>
      <candidateList>
        <item>4%—6%</item>
      </candidateList>
      <explain>1. “4%-6%”中的单位“%”仅出现在后一个数字上，容易引起歧义；根据《现代汉语标点符号数字用法规范手册》，数字表示范围两边需要使用统一的格式。2. 根据标点国标 4.13 中的规则，数字、时间或地域连接符应使用（视觉上更长的）“—”或“～”。</explain>
      <paraID>639558C8</paraID>
      <start>209</start>
      <end>214</end>
      <status>unmodified</status>
      <modifiedWord/>
      <trackRevisions>false</trackRevisions>
    </reviewItem>
    <reviewItem>
      <errorID>b97a43c9-c707-489e-bfac-20cf8e387062</errorID>
      <errorWord>操作合</errorWord>
      <group>L1_Word</group>
      <groupName>字词问题</groupName>
      <ability>L2_Typo</ability>
      <abilityName>字词错误</abilityName>
      <candidateList>
        <item>操作台</item>
      </candidateList>
      <explain/>
      <paraID> 9CF249F</paraID>
      <start>9</start>
      <end>12</end>
      <status>unmodified</status>
      <modifiedWord/>
      <trackRevisions>false</trackRevisions>
    </reviewItem>
    <reviewItem>
      <errorID>9f007229-1225-4cc8-b1e7-f17735b2eca3</errorID>
      <errorWord>接受</errorWord>
      <group>L1_Word</group>
      <groupName>字词问题</groupName>
      <ability>L2_Typo</ability>
      <abilityName>字词错误</abilityName>
      <candidateList>
        <item>接收</item>
      </candidateList>
      <explain>存在发音相同字词的误用。</explain>
      <paraID>1415F9DE</paraID>
      <start>53</start>
      <end>55</end>
      <status>unmodified</status>
      <modifiedWord/>
      <trackRevisions>false</trackRevisions>
    </reviewItem>
    <reviewItem>
      <errorID>633cb937-1def-4054-9227-b88769cea584</errorID>
      <errorWord>详见在</errorWord>
      <group>L1_Word</group>
      <groupName>字词问题</groupName>
      <ability>L2_Typo</ability>
      <abilityName>字词错误</abilityName>
      <candidateList>
        <item>详见</item>
      </candidateList>
      <explain/>
      <paraID>1415F9DE</paraID>
      <start>63</start>
      <end>66</end>
      <status>unmodified</status>
      <modifiedWord/>
      <trackRevisions>false</trackRevisions>
    </reviewItem>
    <reviewItem>
      <errorID>a44c6e1e-6154-4591-97dd-58f785313a99</errorID>
      <errorWord>，</errorWord>
      <group>L1_Word</group>
      <groupName>字词问题</groupName>
      <ability>L2_Typo</ability>
      <abilityName>字词错误</abilityName>
      <candidateList>
        <item>，在</item>
      </candidateList>
      <explain/>
      <paraID>48064220</paraID>
      <start>36</start>
      <end>37</end>
      <status>unmodified</status>
      <modifiedWord/>
      <trackRevisions>false</trackRevisions>
    </reviewItem>
    <reviewItem>
      <errorID>33348475-2a52-47a3-8c72-1c3c2eb08948</errorID>
      <errorWord>间</errorWord>
      <group>L1_Word</group>
      <groupName>字词问题</groupName>
      <ability>L2_Typo</ability>
      <abilityName>字词错误</abilityName>
      <candidateList>
        <item>间之</item>
      </candidateList>
      <explain/>
      <paraID>6B6810D3</paraID>
      <start>14</start>
      <end>15</end>
      <status>unmodified</status>
      <modifiedWord/>
      <trackRevisions>false</trackRevisions>
    </reviewItem>
    <reviewItem>
      <errorID>d7aea16a-904b-4812-b26d-c56199242680</errorID>
      <errorWord>做出</errorWord>
      <group>L1_Word</group>
      <groupName>字词问题</groupName>
      <ability>L2_Typo</ability>
      <abilityName>字词错误</abilityName>
      <candidateList>
        <item>作出</item>
      </candidateList>
      <explain/>
      <paraID>3BBE848F</paraID>
      <start>64</start>
      <end>66</end>
      <status>unmodified</status>
      <modifiedWord/>
      <trackRevisions>false</trackRevisions>
    </reviewItem>
    <reviewItem>
      <errorID>78c57618-701a-491c-b7c4-a050bab838e6</errorID>
      <errorWord>100～500万</errorWord>
      <group>L1_Knowledge</group>
      <groupName>知识性问题</groupName>
      <ability>L2_Knowledge</ability>
      <abilityName>其他知识</abilityName>
      <candidateList>
        <item>100万～500万</item>
      </candidateList>
      <explain>1. “100～500万”中的单位“万”仅出现在后一个数字上，容易引起歧义；根据《现代汉语标点符号数字用法规范手册》，数字表示范围两边需要使用统一的格式。2. 根据标点国标 4.13 中的规则，数字、时间或地域连接符应使用（视觉上更长的）“—”或“～”。</explain>
      <paraID>38E11D0C</paraID>
      <start>0</start>
      <end>8</end>
      <status>unmodified</status>
      <modifiedWord/>
      <trackRevisions>false</trackRevisions>
    </reviewItem>
    <reviewItem>
      <errorID>e3329980-9ee9-4e09-b837-1048010945d8</errorID>
      <errorWord>500～1000万</errorWord>
      <group>L1_Knowledge</group>
      <groupName>知识性问题</groupName>
      <ability>L2_Knowledge</ability>
      <abilityName>其他知识</abilityName>
      <candidateList>
        <item>500万～1000万</item>
      </candidateList>
      <explain>1. “500～1000万”中的单位“万”仅出现在后一个数字上，容易引起歧义；根据《现代汉语标点符号数字用法规范手册》，数字表示范围两边需要使用统一的格式。2. 根据标点国标 4.13 中的规则，数字、时间或地域连接符应使用（视觉上更长的）“—”或“～”。</explain>
      <paraID>1B5C277A</paraID>
      <start>0</start>
      <end>9</end>
      <status>unmodified</status>
      <modifiedWord/>
      <trackRevisions>false</trackRevisions>
    </reviewItem>
    <reviewItem>
      <errorID>0f05fbbb-81e0-4fcc-aba5-f79555d364ab</errorID>
      <errorWord>1000～5000万</errorWord>
      <group>L1_Knowledge</group>
      <groupName>知识性问题</groupName>
      <ability>L2_Knowledge</ability>
      <abilityName>其他知识</abilityName>
      <candidateList>
        <item>1000万～5000万</item>
      </candidateList>
      <explain>1. “1000～5000万”中的单位“万”仅出现在后一个数字上，容易引起歧义；根据《现代汉语标点符号数字用法规范手册》，数字表示范围两边需要使用统一的格式。2. 根据标点国标 4.13 中的规则，数字、时间或地域连接符应使用（视觉上更长的）“—”或“～”。</explain>
      <paraID>1F567928</paraID>
      <start>0</start>
      <end>10</end>
      <status>unmodified</status>
      <modifiedWord/>
      <trackRevisions>false</trackRevisions>
    </reviewItem>
    <reviewItem>
      <errorID>c7adba2d-b254-4401-bb92-7ea6cb3f6172</errorID>
      <errorWord>1～5亿</errorWord>
      <group>L1_Knowledge</group>
      <groupName>知识性问题</groupName>
      <ability>L2_Knowledge</ability>
      <abilityName>其他知识</abilityName>
      <candidateList>
        <item>1亿～5亿</item>
      </candidateList>
      <explain>1. “1～5亿”中的单位“亿”仅出现在后一个数字上，容易引起歧义；根据《现代汉语标点符号数字用法规范手册》，数字表示范围两边需要使用统一的格式。2. 根据标点国标 4.13 中的规则，数字、时间或地域连接符应使用（视觉上更长的）“—”或“～”。</explain>
      <paraID>438F85A4</paraID>
      <start>0</start>
      <end>4</end>
      <status>unmodified</status>
      <modifiedWord/>
      <trackRevisions>false</trackRevisions>
    </reviewItem>
    <reviewItem>
      <errorID>a9d8cc12-8430-45af-a6ee-710efa0e261b</errorID>
      <errorWord>5～10亿</errorWord>
      <group>L1_Knowledge</group>
      <groupName>知识性问题</groupName>
      <ability>L2_Knowledge</ability>
      <abilityName>其他知识</abilityName>
      <candidateList>
        <item>5亿～10亿</item>
      </candidateList>
      <explain>1. “5～10亿”中的单位“亿”仅出现在后一个数字上，容易引起歧义；根据《现代汉语标点符号数字用法规范手册》，数字表示范围两边需要使用统一的格式。2. 根据标点国标 4.13 中的规则，数字、时间或地域连接符应使用（视觉上更长的）“—”或“～”。</explain>
      <paraID>3CA85C91</paraID>
      <start>0</start>
      <end>5</end>
      <status>unmodified</status>
      <modifiedWord/>
      <trackRevisions>false</trackRevisions>
    </reviewItem>
    <reviewItem>
      <errorID>19d5152d-a530-44c7-a167-1c648cf11276</errorID>
      <errorWord>10～50亿</errorWord>
      <group>L1_Knowledge</group>
      <groupName>知识性问题</groupName>
      <ability>L2_Knowledge</ability>
      <abilityName>其他知识</abilityName>
      <candidateList>
        <item>10亿～50亿</item>
      </candidateList>
      <explain>1. “10～50亿”中的单位“亿”仅出现在后一个数字上，容易引起歧义；根据《现代汉语标点符号数字用法规范手册》，数字表示范围两边需要使用统一的格式。2. 根据标点国标 4.13 中的规则，数字、时间或地域连接符应使用（视觉上更长的）“—”或“～”。</explain>
      <paraID>2BF49245</paraID>
      <start>0</start>
      <end>6</end>
      <status>unmodified</status>
      <modifiedWord/>
      <trackRevisions>false</trackRevisions>
    </reviewItem>
    <reviewItem>
      <errorID>bd4774ba-600c-454e-bd23-b37ce6c75ec0</errorID>
      <errorWord>50～100亿</errorWord>
      <group>L1_Knowledge</group>
      <groupName>知识性问题</groupName>
      <ability>L2_Knowledge</ability>
      <abilityName>其他知识</abilityName>
      <candidateList>
        <item>50亿～100亿</item>
      </candidateList>
      <explain>1. “50～100亿”中的单位“亿”仅出现在后一个数字上，容易引起歧义；根据《现代汉语标点符号数字用法规范手册》，数字表示范围两边需要使用统一的格式。2. 根据标点国标 4.13 中的规则，数字、时间或地域连接符应使用（视觉上更长的）“—”或“～”。</explain>
      <paraID>754EB3AE</paraID>
      <start>0</start>
      <end>7</end>
      <status>unmodified</status>
      <modifiedWord/>
      <trackRevisions>false</trackRevisions>
    </reviewItem>
    <reviewItem>
      <errorID>01ce0f23-484b-4d8d-b87c-32134d4ed73a</errorID>
      <errorWord>亿</errorWord>
      <group>L1_Word</group>
      <groupName>字词问题</groupName>
      <ability>L2_Typo</ability>
      <abilityName>字词错误</abilityName>
      <candidateList>
        <item>亿元</item>
      </candidateList>
      <explain/>
      <paraID>4CEF7D24</paraID>
      <start>3</start>
      <end>4</end>
      <status>unmodified</status>
      <modifiedWord/>
      <trackRevisions>false</trackRevisions>
    </reviewItem>
    <reviewItem>
      <errorID>115608dc-695e-4d51-817a-8d01486a5ecb</errorID>
      <errorWord>：）</errorWord>
      <group>L1_Punc</group>
      <groupName>标点问题</groupName>
      <ability>L2_Punc</ability>
      <abilityName>标点符号检查</abilityName>
      <candidateList>
        <item>）</item>
      </candidateList>
      <explain/>
      <paraID>5E4C70A9</paraID>
      <start>15</start>
      <end>17</end>
      <status>unmodified</status>
      <modifiedWord/>
      <trackRevisions>false</trackRevisions>
    </reviewItem>
    <reviewItem>
      <errorID>670d1424-0176-4a28-947a-81535caef027</errorID>
      <errorWord>可附件</errorWord>
      <group>L1_Word</group>
      <groupName>字词问题</groupName>
      <ability>L2_Typo</ability>
      <abilityName>字词错误</abilityName>
      <candidateList>
        <item>见附件</item>
      </candidateList>
      <explain/>
      <paraID>226F4644</paraID>
      <start>98</start>
      <end>101</end>
      <status>unmodified</status>
      <modifiedWord/>
      <trackRevisions>false</trackRevisions>
    </reviewItem>
    <reviewItem>
      <errorID>969fe42b-2c03-4c2b-8330-bac704eb97c3</errorID>
      <errorWord>)</errorWord>
      <group>L1_Format</group>
      <groupName>格式问题</groupName>
      <ability>L2_HalfPunc</ability>
      <abilityName>全半角检查</abilityName>
      <candidateList>
        <item>）</item>
      </candidateList>
      <explain>文本全半角错误。</explain>
      <paraID>226F4644</paraID>
      <start>101</start>
      <end>102</end>
      <status>unmodified</status>
      <modifiedWord/>
      <trackRevisions>false</trackRevisions>
    </reviewItem>
    <reviewItem>
      <errorID>561a7aa2-7560-49ca-ade3-9fa2c21e3212</errorID>
      <errorWord>:</errorWord>
      <group>L1_Format</group>
      <groupName>格式问题</groupName>
      <ability>L2_HalfPunc</ability>
      <abilityName>全半角检查</abilityName>
      <candidateList>
        <item>：</item>
      </candidateList>
      <explain>文本全半角错误。</explain>
      <paraID>7480D43D</paraID>
      <start>4</start>
      <end>5</end>
      <status>unmodified</status>
      <modifiedWord/>
      <trackRevisions>false</trackRevisions>
    </reviewItem>
    <reviewItem>
      <errorID>3759bfc1-9946-426e-acec-77b8494232e4</errorID>
      <errorWord>(</errorWord>
      <group>L1_Format</group>
      <groupName>格式问题</groupName>
      <ability>L2_HalfPunc</ability>
      <abilityName>全半角检查</abilityName>
      <candidateList>
        <item>（</item>
      </candidateList>
      <explain>文本全半角错误。</explain>
      <paraID>717FF0DB</paraID>
      <start>25</start>
      <end>26</end>
      <status>unmodified</status>
      <modifiedWord/>
      <trackRevisions>false</trackRevisions>
    </reviewItem>
    <reviewItem>
      <errorID>5ef71f4a-ce3c-4cff-9e04-0174d8c9b00d</errorID>
      <errorWord>)</errorWord>
      <group>L1_Format</group>
      <groupName>格式问题</groupName>
      <ability>L2_HalfPunc</ability>
      <abilityName>全半角检查</abilityName>
      <candidateList>
        <item>）</item>
      </candidateList>
      <explain>文本全半角错误。</explain>
      <paraID>717FF0DB</paraID>
      <start>48</start>
      <end>49</end>
      <status>unmodified</status>
      <modifiedWord/>
      <trackRevisions>false</trackRevisions>
    </reviewItem>
    <reviewItem>
      <errorID>a9bf7862-ee49-48db-8cf2-807df7e2061c</errorID>
      <errorWord>(</errorWord>
      <group>L1_Format</group>
      <groupName>格式问题</groupName>
      <ability>L2_HalfPunc</ability>
      <abilityName>全半角检查</abilityName>
      <candidateList>
        <item>（</item>
      </candidateList>
      <explain>文本全半角错误。</explain>
      <paraID>717FF0DB</paraID>
      <start>57</start>
      <end>58</end>
      <status>unmodified</status>
      <modifiedWord/>
      <trackRevisions>false</trackRevisions>
    </reviewItem>
    <reviewItem>
      <errorID>bae3d389-fe3b-441f-a79f-080ae760512b</errorID>
      <errorWord>)</errorWord>
      <group>L1_Format</group>
      <groupName>格式问题</groupName>
      <ability>L2_HalfPunc</ability>
      <abilityName>全半角检查</abilityName>
      <candidateList>
        <item>）</item>
      </candidateList>
      <explain>文本全半角错误。</explain>
      <paraID>717FF0DB</paraID>
      <start>73</start>
      <end>74</end>
      <status>unmodified</status>
      <modifiedWord/>
      <trackRevisions>false</trackRevisions>
    </reviewItem>
    <reviewItem>
      <errorID>d7e61847-d327-4e21-bc74-20c5d534ecbf</errorID>
      <errorWord>(</errorWord>
      <group>L1_Format</group>
      <groupName>格式问题</groupName>
      <ability>L2_HalfPunc</ability>
      <abilityName>全半角检查</abilityName>
      <candidateList>
        <item>（</item>
      </candidateList>
      <explain>文本全半角错误。</explain>
      <paraID>45664197</paraID>
      <start>22</start>
      <end>23</end>
      <status>unmodified</status>
      <modifiedWord/>
      <trackRevisions>false</trackRevisions>
    </reviewItem>
    <reviewItem>
      <errorID>6aa8b4c2-068d-40e5-8d52-c4d6322fcd06</errorID>
      <errorWord>)</errorWord>
      <group>L1_Format</group>
      <groupName>格式问题</groupName>
      <ability>L2_HalfPunc</ability>
      <abilityName>全半角检查</abilityName>
      <candidateList>
        <item>）</item>
      </candidateList>
      <explain>文本全半角错误。</explain>
      <paraID>45664197</paraID>
      <start>45</start>
      <end>46</end>
      <status>unmodified</status>
      <modifiedWord/>
      <trackRevisions>false</trackRevisions>
    </reviewItem>
    <reviewItem>
      <errorID>1b9ea5de-5ec4-4546-adc1-abd820c5fede</errorID>
      <errorWord>(</errorWord>
      <group>L1_Format</group>
      <groupName>格式问题</groupName>
      <ability>L2_HalfPunc</ability>
      <abilityName>全半角检查</abilityName>
      <candidateList>
        <item>（</item>
      </candidateList>
      <explain>文本全半角错误。</explain>
      <paraID>45664197</paraID>
      <start>56</start>
      <end>57</end>
      <status>unmodified</status>
      <modifiedWord/>
      <trackRevisions>false</trackRevisions>
    </reviewItem>
    <reviewItem>
      <errorID>7c0caa8a-c921-4e16-94a9-642a9e0de082</errorID>
      <errorWord>)</errorWord>
      <group>L1_Format</group>
      <groupName>格式问题</groupName>
      <ability>L2_HalfPunc</ability>
      <abilityName>全半角检查</abilityName>
      <candidateList>
        <item>）</item>
      </candidateList>
      <explain>文本全半角错误。</explain>
      <paraID>45664197</paraID>
      <start>72</start>
      <end>73</end>
      <status>unmodified</status>
      <modifiedWord/>
      <trackRevisions>false</trackRevisions>
    </reviewItem>
    <reviewItem>
      <errorID>d570d0c3-ceb0-4bf8-a2c6-c4aa5ad9d312</errorID>
      <errorWord>已</errorWord>
      <group>L1_Word</group>
      <groupName>字词问题</groupName>
      <ability>L2_Typo</ability>
      <abilityName>字词错误</abilityName>
      <candidateList>
        <item>以</item>
      </candidateList>
      <explain>用在单纯的方位词前，组成合成的方位词或方位结构，表示时间、方位、数量的界限：～前｜～上｜三日～后｜县级～上｜长江～南｜五千～内｜二十岁～下。</explain>
      <paraID> E502566</paraID>
      <start>54</start>
      <end>55</end>
      <status>unmodified</status>
      <modifiedWord/>
      <trackRevisions>false</trackRevisions>
    </reviewItem>
    <reviewItem>
      <errorID>2ee92c56-1ec8-4b15-80e5-526cfb8c4297</errorID>
      <errorWord>相应</errorWord>
      <group>L1_Word</group>
      <groupName>字词问题</groupName>
      <ability>L2_Typo</ability>
      <abilityName>字词错误</abilityName>
      <candidateList>
        <item>响应</item>
      </candidateList>
      <explain>〈动〉回声相应，比喻用言语行动表示赞同、支持某种号召或倡议：～号召。</explain>
      <paraID>3BAEAD9F</paraID>
      <start>19</start>
      <end>21</end>
      <status>unmodified</status>
      <modifiedWord/>
      <trackRevisions>false</trackRevisions>
    </reviewItem>
    <reviewItem>
      <errorID>24aeed24-e467-4935-b9aa-497a2c2c8f46</errorID>
      <errorWord>-</errorWord>
      <group>L1_Format</group>
      <groupName>格式问题</groupName>
      <ability>L2_HalfPunc</ability>
      <abilityName>全半角检查</abilityName>
      <candidateList>
        <item>－</item>
      </candidateList>
      <explain>文本全半角错误。</explain>
      <paraID>6A4172BF</paraID>
      <start>20</start>
      <end>21</end>
      <status>unmodified</status>
      <modifiedWord/>
      <trackRevisions>false</trackRevisions>
    </reviewItem>
    <reviewItem>
      <errorID>0827c791-6e85-44ae-a778-0792de9c8c2a</errorID>
      <errorWord>法律、法规</errorWord>
      <group>L1_Word</group>
      <groupName>字词问题</groupName>
      <ability>L2_Typo</ability>
      <abilityName>字词错误</abilityName>
      <candidateList>
        <item>法律法规</item>
      </candidateList>
      <explain/>
      <paraID> 444ADB0</paraID>
      <start>3</start>
      <end>8</end>
      <status>unmodified</status>
      <modifiedWord/>
      <trackRevisions>false</trackRevisions>
    </reviewItem>
    <reviewItem>
      <errorID>69203ea5-7aef-4b4c-a3d5-d0dd3f77e415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17493357</paraID>
      <start>0</start>
      <end>2</end>
      <status>unmodified</status>
      <modifiedWord/>
      <trackRevisions>false</trackRevisions>
    </reviewItem>
    <reviewItem>
      <errorID>c8bc2de8-4fa8-440a-83ba-3db9e54fe8e3</errorID>
      <errorWord>(</errorWord>
      <group>L1_Format</group>
      <groupName>格式问题</groupName>
      <ability>L2_HalfPunc</ability>
      <abilityName>全半角检查</abilityName>
      <candidateList>
        <item>（</item>
      </candidateList>
      <explain>文本全半角错误。</explain>
      <paraID>3B90749C</paraID>
      <start>11</start>
      <end>12</end>
      <status>unmodified</status>
      <modifiedWord/>
      <trackRevisions>false</trackRevisions>
    </reviewItem>
    <reviewItem>
      <errorID>a0fe17f1-77b4-4c1d-8814-3e9c39996fca</errorID>
      <errorWord>)</errorWord>
      <group>L1_Format</group>
      <groupName>格式问题</groupName>
      <ability>L2_HalfPunc</ability>
      <abilityName>全半角检查</abilityName>
      <candidateList>
        <item>）</item>
      </candidateList>
      <explain>文本全半角错误。</explain>
      <paraID>3B90749C</paraID>
      <start>21</start>
      <end>22</end>
      <status>unmodified</status>
      <modifiedWord/>
      <trackRevisions>false</trackRevisions>
    </reviewItem>
    <reviewItem>
      <errorID>986e1728-fa51-42eb-a1d8-61268efe383b</errorID>
      <errorWord>包含有</errorWord>
      <group>L1_Word</group>
      <groupName>字词问题</groupName>
      <ability>L2_Typo</ability>
      <abilityName>字词错误</abilityName>
      <candidateList>
        <item>包含</item>
      </candidateList>
      <explain>〈动〉里边含有：这句话～好几层意思。</explain>
      <paraID>427FAFE7</paraID>
      <start>28</start>
      <end>31</end>
      <status>unmodified</status>
      <modifiedWord/>
      <trackRevisions>false</trackRevisions>
    </reviewItem>
    <reviewItem>
      <errorID>8a4aa35c-4e78-45d5-8c5d-29d761791c5b</errorID>
      <errorWord>构架</errorWord>
      <group>L1_Word</group>
      <groupName>字词问题</groupName>
      <ability>L2_Typo</ability>
      <abilityName>字词错误</abilityName>
      <candidateList>
        <item>架构</item>
      </candidateList>
      <explain/>
      <paraID>427FAFE7</paraID>
      <start>37</start>
      <end>39</end>
      <status>unmodified</status>
      <modifiedWord/>
      <trackRevisions>false</trackRevisions>
    </reviewItem>
    <reviewItem>
      <errorID>033b1528-ea5e-4e9b-826f-44adf6084d08</errorID>
      <errorWord>包含有</errorWord>
      <group>L1_Word</group>
      <groupName>字词问题</groupName>
      <ability>L2_Typo</ability>
      <abilityName>字词错误</abilityName>
      <candidateList>
        <item>包含</item>
      </candidateList>
      <explain>〈动〉里边含有：这句话～好几层意思。</explain>
      <paraID>427FAFE7</paraID>
      <start>135</start>
      <end>138</end>
      <status>unmodified</status>
      <modifiedWord/>
      <trackRevisions>false</trackRevisions>
    </reviewItem>
    <reviewItem>
      <errorID>13660690-936d-4bab-97ad-94f1decd559b</errorID>
      <errorWord>晰</errorWord>
      <group>L1_Word</group>
      <groupName>字词问题</groupName>
      <ability>L2_Typo</ability>
      <abilityName>字词错误</abilityName>
      <candidateList>
        <item>晰地</item>
      </candidateList>
      <explain/>
      <paraID>49AEC33C</paraID>
      <start>142</start>
      <end>143</end>
      <status>unmodified</status>
      <modifiedWord/>
      <trackRevisions>false</trackRevisions>
    </reviewItem>
    <reviewItem>
      <errorID>9dfd218c-d7b0-499e-a1a3-30c0eb8f67a1</errorID>
      <errorWord>(</errorWord>
      <group>L1_Format</group>
      <groupName>格式问题</groupName>
      <ability>L2_HalfPunc</ability>
      <abilityName>全半角检查</abilityName>
      <candidateList>
        <item>（</item>
      </candidateList>
      <explain>文本全半角错误。</explain>
      <paraID>10BB11DC</paraID>
      <start>27</start>
      <end>28</end>
      <status>unmodified</status>
      <modifiedWord/>
      <trackRevisions>false</trackRevisions>
    </reviewItem>
    <reviewItem>
      <errorID>4998f5cf-84b6-434e-9cf6-4443a9117d95</errorID>
      <errorWord>)</errorWord>
      <group>L1_Format</group>
      <groupName>格式问题</groupName>
      <ability>L2_HalfPunc</ability>
      <abilityName>全半角检查</abilityName>
      <candidateList>
        <item>）</item>
      </candidateList>
      <explain>文本全半角错误。</explain>
      <paraID>10BB11DC</paraID>
      <start>35</start>
      <end>36</end>
      <status>unmodified</status>
      <modifiedWord/>
      <trackRevisions>false</trackRevisions>
    </reviewItem>
    <reviewItem>
      <errorID>0f560036-ec2f-460a-94e6-7222b4a6b78c</errorID>
      <errorWord>(</errorWord>
      <group>L1_Format</group>
      <groupName>格式问题</groupName>
      <ability>L2_HalfPunc</ability>
      <abilityName>全半角检查</abilityName>
      <candidateList>
        <item>（</item>
      </candidateList>
      <explain>文本全半角错误。</explain>
      <paraID>10BB11DC</paraID>
      <start>99</start>
      <end>100</end>
      <status>unmodified</status>
      <modifiedWord/>
      <trackRevisions>false</trackRevisions>
    </reviewItem>
    <reviewItem>
      <errorID>7376fa53-37d4-42eb-b353-eb3184b4b2c4</errorID>
      <errorWord>)</errorWord>
      <group>L1_Format</group>
      <groupName>格式问题</groupName>
      <ability>L2_HalfPunc</ability>
      <abilityName>全半角检查</abilityName>
      <candidateList>
        <item>）</item>
      </candidateList>
      <explain>文本全半角错误。</explain>
      <paraID>10BB11DC</paraID>
      <start>107</start>
      <end>108</end>
      <status>unmodified</status>
      <modifiedWord/>
      <trackRevisions>false</trackRevisions>
    </reviewItem>
    <reviewItem>
      <errorID>6c2e5f74-b54b-412a-8edc-4f46b60ce85a</errorID>
      <errorWord>件</errorWord>
      <group>L1_Word</group>
      <groupName>字词问题</groupName>
      <ability>L2_Typo</ability>
      <abilityName>字词错误</abilityName>
      <candidateList>
        <item>件中</item>
      </candidateList>
      <explain/>
      <paraID>52FA3C3F</paraID>
      <start>17</start>
      <end>18</end>
      <status>unmodified</status>
      <modifiedWord/>
      <trackRevisions>false</trackRevisions>
    </reviewItem>
    <reviewItem>
      <errorID>613b6ed7-8aff-414e-b6e4-49cd3ce72b66</errorID>
      <errorWord>(</errorWord>
      <group>L1_Format</group>
      <groupName>格式问题</groupName>
      <ability>L2_HalfPunc</ability>
      <abilityName>全半角检查</abilityName>
      <candidateList>
        <item>（</item>
      </candidateList>
      <explain>文本全半角错误。</explain>
      <paraID>52FA3C3F</paraID>
      <start>32</start>
      <end>33</end>
      <status>unmodified</status>
      <modifiedWord/>
      <trackRevisions>false</trackRevisions>
    </reviewItem>
    <reviewItem>
      <errorID>e19d9514-4455-4f90-abdb-17856a6a1ac1</errorID>
      <errorWord>)</errorWord>
      <group>L1_Format</group>
      <groupName>格式问题</groupName>
      <ability>L2_HalfPunc</ability>
      <abilityName>全半角检查</abilityName>
      <candidateList>
        <item>）</item>
      </candidateList>
      <explain>文本全半角错误。</explain>
      <paraID>52FA3C3F</paraID>
      <start>38</start>
      <end>39</end>
      <status>unmodified</status>
      <modifiedWord/>
      <trackRevisions>false</trackRevisions>
    </reviewItem>
    <reviewItem>
      <errorID>d43cabd1-ecc1-4829-a0c9-b7e8a4a09127</errorID>
      <errorWord>(</errorWord>
      <group>L1_Format</group>
      <groupName>格式问题</groupName>
      <ability>L2_HalfPunc</ability>
      <abilityName>全半角检查</abilityName>
      <candidateList>
        <item>（</item>
      </candidateList>
      <explain>文本全半角错误。</explain>
      <paraID>52FA3C3F</paraID>
      <start>48</start>
      <end>49</end>
      <status>unmodified</status>
      <modifiedWord/>
      <trackRevisions>false</trackRevisions>
    </reviewItem>
    <reviewItem>
      <errorID>06fd9bf7-7b72-4653-86aa-32d6f00ab5e4</errorID>
      <errorWord>)</errorWord>
      <group>L1_Format</group>
      <groupName>格式问题</groupName>
      <ability>L2_HalfPunc</ability>
      <abilityName>全半角检查</abilityName>
      <candidateList>
        <item>）</item>
      </candidateList>
      <explain>文本全半角错误。</explain>
      <paraID>52FA3C3F</paraID>
      <start>58</start>
      <end>59</end>
      <status>unmodified</status>
      <modifiedWord/>
      <trackRevisions>false</trackRevisions>
    </reviewItem>
    <reviewItem>
      <errorID>736d9cef-e4f5-4e06-b344-efb5ff84b302</errorID>
      <errorWord>壹</errorWord>
      <group>L1_Word</group>
      <groupName>字词问题</groupName>
      <ability>L2_Typo</ability>
      <abilityName>字词错误</abilityName>
      <candidateList>
        <item>一</item>
      </candidateList>
      <explain>存在发音相同字词的误用。</explain>
      <paraID>6B01CDA7</paraID>
      <start>3</start>
      <end>4</end>
      <status>unmodified</status>
      <modifiedWord/>
      <trackRevisions>false</trackRevisions>
    </reviewItem>
    <reviewItem>
      <errorID>ba16a98e-cc72-4186-b6c2-3ab49086bfe2</errorID>
      <errorWord>：。</errorWord>
      <group>L1_Punc</group>
      <groupName>标点问题</groupName>
      <ability>L2_Punc</ability>
      <abilityName>标点符号检查</abilityName>
      <candidateList>
        <item>：</item>
      </candidateList>
      <explain/>
      <paraID>427D1B17</paraID>
      <start>16</start>
      <end>18</end>
      <status>unmodified</status>
      <modifiedWord/>
      <trackRevisions>false</trackRevisions>
    </reviewItem>
    <reviewItem>
      <errorID>3cf87ea3-fc02-4f51-aa64-2c079a1d46cd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3D841B8B</paraID>
      <start>0</start>
      <end>2</end>
      <status>unmodified</status>
      <modifiedWord/>
      <trackRevisions>false</trackRevisions>
    </reviewItem>
    <reviewItem>
      <errorID>12df8dd7-cc3b-45ab-9fd6-6931f08c0699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3624D3FA</paraID>
      <start>0</start>
      <end>2</end>
      <status>unmodified</status>
      <modifiedWord/>
      <trackRevisions>false</trackRevisions>
    </reviewItem>
    <reviewItem>
      <errorID>3ddcd621-4725-4686-8422-f0581fcde5ef</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3C10B3E2</paraID>
      <start>0</start>
      <end>2</end>
      <status>unmodified</status>
      <modifiedWord/>
      <trackRevisions>false</trackRevisions>
    </reviewItem>
    <reviewItem>
      <errorID>0b7996e8-e771-4948-a5c6-4421ee54bec0</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7A147669</paraID>
      <start>0</start>
      <end>2</end>
      <status>unmodified</status>
      <modifiedWord/>
      <trackRevisions>false</trackRevisions>
    </reviewItem>
    <reviewItem>
      <errorID>61f83b4a-5900-4791-8de8-191935f65cd7</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29405CAA</paraID>
      <start>0</start>
      <end>2</end>
      <status>unmodified</status>
      <modifiedWord/>
      <trackRevisions>false</trackRevisions>
    </reviewItem>
    <reviewItem>
      <errorID>d0df4e65-05ec-4ee3-9c9c-65a18e0491f5</errorID>
      <errorWord>股东大会</errorWord>
      <group>L1_Word</group>
      <groupName>字词问题</groupName>
      <ability>L2_Typo</ability>
      <abilityName>字词错误</abilityName>
      <candidateList>
        <item>股东会</item>
      </candidateList>
      <explain/>
      <paraID>375AF1A6</paraID>
      <start>113</start>
      <end>117</end>
      <status>unmodified</status>
      <modifiedWord/>
      <trackRevisions>false</trackRevisions>
    </reviewItem>
    <reviewItem>
      <errorID>a32f3bda-9304-4511-8b15-a1161dc4f582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17277D9B</paraID>
      <start>0</start>
      <end>2</end>
      <status>unmodified</status>
      <modifiedWord/>
      <trackRevisions>false</trackRevisions>
    </reviewItem>
    <reviewItem>
      <errorID>861ea556-8ac3-47e3-99d2-ffa55b38b524</errorID>
      <errorWord>)</errorWord>
      <group>L1_Format</group>
      <groupName>格式问题</groupName>
      <ability>L2_HalfPunc</ability>
      <abilityName>全半角检查</abilityName>
      <candidateList>
        <item>）</item>
      </candidateList>
      <explain>文本全半角错误。</explain>
      <paraID>17277D9B</paraID>
      <start>41</start>
      <end>42</end>
      <status>unmodified</status>
      <modifiedWord/>
      <trackRevisions>false</trackRevisions>
    </reviewItem>
    <reviewItem>
      <errorID>9177e7b8-1698-4af9-bdd9-b10f22cfbf0b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45D9A7A7</paraID>
      <start>0</start>
      <end>2</end>
      <status>unmodified</status>
      <modifiedWord/>
      <trackRevisions>false</trackRevisions>
    </reviewItem>
    <reviewItem>
      <errorID>afa6f72d-91a2-44ab-a480-76a6ea349d4d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1B774D26</paraID>
      <start>0</start>
      <end>2</end>
      <status>unmodified</status>
      <modifiedWord/>
      <trackRevisions>false</trackRevisions>
    </reviewItem>
    <reviewItem>
      <errorID>e2c6ba7f-451d-44d4-862c-d11ba69777e7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5EBA3AB7</paraID>
      <start>0</start>
      <end>2</end>
      <status>unmodified</status>
      <modifiedWord/>
      <trackRevisions>false</trackRevisions>
    </reviewItem>
    <reviewItem>
      <errorID>ccdcb748-d550-4eb1-a5c3-8e1b92464ce4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27397943</paraID>
      <start>0</start>
      <end>2</end>
      <status>unmodified</status>
      <modifiedWord/>
      <trackRevisions>false</trackRevisions>
    </reviewItem>
    <reviewItem>
      <errorID>fd47a833-b9d0-4dbf-9169-a08bcbacfa44</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59BB29F1</paraID>
      <start>0</start>
      <end>2</end>
      <status>unmodified</status>
      <modifiedWord/>
      <trackRevisions>false</trackRevisions>
    </reviewItem>
    <reviewItem>
      <errorID>86bcd847-5831-4bdf-ab26-c8bffea7270d</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19D28E8</paraID>
      <start>0</start>
      <end>2</end>
      <status>unmodified</status>
      <modifiedWord/>
      <trackRevisions>false</trackRevisions>
    </reviewItem>
    <reviewItem>
      <errorID>0c813a62-1b09-4c66-9c32-5ed7334d26bc</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16A50804</paraID>
      <start>0</start>
      <end>2</end>
      <status>unmodified</status>
      <modifiedWord/>
      <trackRevisions>false</trackRevisions>
    </reviewItem>
    <reviewItem>
      <errorID>ae538603-a4d5-4bba-81e1-308e9f7f22db</errorID>
      <errorWord>本</errorWord>
      <group>L1_Word</group>
      <groupName>字词问题</groupName>
      <ability>L2_Typo</ability>
      <abilityName>字词错误</abilityName>
      <candidateList>
        <item>本次</item>
      </candidateList>
      <explain/>
      <paraID>16A50804</paraID>
      <start>14</start>
      <end>15</end>
      <status>unmodified</status>
      <modifiedWord/>
      <trackRevisions>false</trackRevisions>
    </reviewItem>
    <reviewItem>
      <errorID>745cd76b-87b1-4c7c-9370-c6881147d8ef</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4B84CE51</paraID>
      <start>0</start>
      <end>2</end>
      <status>unmodified</status>
      <modifiedWord/>
      <trackRevisions>false</trackRevisions>
    </reviewItem>
    <reviewItem>
      <errorID>d57be873-8147-4b10-9002-a37ede6b97d7</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559A1CF</paraID>
      <start>0</start>
      <end>3</end>
      <status>unmodified</status>
      <modifiedWord/>
      <trackRevisions>false</trackRevisions>
    </reviewItem>
    <reviewItem>
      <errorID>bdd9da38-adc9-4870-b47a-1f0b32f3c676</errorID>
      <errorWord>(</errorWord>
      <group>L1_Format</group>
      <groupName>格式问题</groupName>
      <ability>L2_HalfPunc</ability>
      <abilityName>全半角检查</abilityName>
      <candidateList>
        <item>（</item>
      </candidateList>
      <explain>文本全半角错误。</explain>
      <paraID>4F6B00D3</paraID>
      <start>4</start>
      <end>5</end>
      <status>unmodified</status>
      <modifiedWord/>
      <trackRevisions>false</trackRevisions>
    </reviewItem>
    <reviewItem>
      <errorID>8a2da106-3371-47de-9112-796c1139059f</errorID>
      <errorWord>)</errorWord>
      <group>L1_Format</group>
      <groupName>格式问题</groupName>
      <ability>L2_HalfPunc</ability>
      <abilityName>全半角检查</abilityName>
      <candidateList>
        <item>）</item>
      </candidateList>
      <explain>文本全半角错误。</explain>
      <paraID>4F6B00D3</paraID>
      <start>6</start>
      <end>7</end>
      <status>unmodified</status>
      <modifiedWord/>
      <trackRevisions>false</trackRevisions>
    </reviewItem>
    <reviewItem>
      <errorID>eb122097-91b9-4295-affa-4d4020a03d3e</errorID>
      <errorWord>:</errorWord>
      <group>L1_Format</group>
      <groupName>格式问题</groupName>
      <ability>L2_HalfPunc</ability>
      <abilityName>全半角检查</abilityName>
      <candidateList>
        <item>：</item>
      </candidateList>
      <explain>文本全半角错误。</explain>
      <paraID> 196DCEC</paraID>
      <start>1</start>
      <end>2</end>
      <status>unmodified</status>
      <modifiedWord/>
      <trackRevisions>false</trackRevisions>
    </reviewItem>
    <reviewItem>
      <errorID>51d69add-5784-44f5-aa6f-a24b8cc8ca6b</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15DF896A</paraID>
      <start>36</start>
      <end>39</end>
      <status>unmodified</status>
      <modifiedWord/>
      <trackRevisions>false</trackRevisions>
    </reviewItem>
    <reviewItem>
      <errorID>8bd07136-4f0c-4908-8e67-8776aa268b4d</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7E5BACCE</paraID>
      <start>37</start>
      <end>40</end>
      <status>unmodified</status>
      <modifiedWord/>
      <trackRevisions>false</trackRevisions>
    </reviewItem>
    <reviewItem>
      <errorID>65cc0482-7309-48bb-9580-24ab6e68a74a</errorID>
      <errorWord>[2011]300号</errorWord>
      <group>L1_Knowledge</group>
      <groupName>知识性问题</groupName>
      <ability>L2_Knowledge</ability>
      <abilityName>其他知识</abilityName>
      <candidateList>
        <item>〔2011〕300号</item>
      </candidateList>
      <explain>发文字号格式错误。</explain>
      <paraID>4E0D0DAB</paraID>
      <start>35</start>
      <end>45</end>
      <status>unmodified</status>
      <modifiedWord/>
      <trackRevisions>false</trackRevisions>
    </reviewItem>
    <reviewItem>
      <errorID>16ca0773-c986-4ceb-a17c-2050b168e468</errorID>
      <errorWord>须</errorWord>
      <group>L1_Word</group>
      <groupName>字词问题</groupName>
      <ability>L2_Typo</ability>
      <abilityName>字词错误</abilityName>
      <candidateList>
        <item>需</item>
      </candidateList>
      <explain>存在发音相同字词的误用。</explain>
      <paraID>4E0D0DAB</paraID>
      <start>82</start>
      <end>83</end>
      <status>unmodified</status>
      <modifiedWord/>
      <trackRevisions>false</trackRevisions>
    </reviewItem>
    <reviewItem>
      <errorID>d45a68e4-8018-4f8b-bbc1-0085875e91f9</errorID>
      <errorWord>(</errorWord>
      <group>L1_Format</group>
      <groupName>格式问题</groupName>
      <ability>L2_HalfPunc</ability>
      <abilityName>全半角检查</abilityName>
      <candidateList>
        <item>（</item>
      </candidateList>
      <explain>文本全半角错误。</explain>
      <paraID>2715626B</paraID>
      <start>2</start>
      <end>3</end>
      <status>unmodified</status>
      <modifiedWord/>
      <trackRevisions>false</trackRevisions>
    </reviewItem>
    <reviewItem>
      <errorID>f978bd8b-5363-4667-88ab-1bad9217de6c</errorID>
      <errorWord>)</errorWord>
      <group>L1_Format</group>
      <groupName>格式问题</groupName>
      <ability>L2_HalfPunc</ability>
      <abilityName>全半角检查</abilityName>
      <candidateList>
        <item>）</item>
      </candidateList>
      <explain>文本全半角错误。</explain>
      <paraID>2715626B</paraID>
      <start>5</start>
      <end>6</end>
      <status>unmodified</status>
      <modifiedWord/>
      <trackRevisions>false</trackRevisions>
    </reviewItem>
    <reviewItem>
      <errorID>a135d0e8-f7fb-4440-a95e-0efb775f4ac4</errorID>
      <errorWord>:</errorWord>
      <group>L1_Format</group>
      <groupName>格式问题</groupName>
      <ability>L2_HalfPunc</ability>
      <abilityName>全半角检查</abilityName>
      <candidateList>
        <item>：</item>
      </candidateList>
      <explain>文本全半角错误。</explain>
      <paraID>27012A37</paraID>
      <start>6</start>
      <end>7</end>
      <status>unmodified</status>
      <modifiedWord/>
      <trackRevisions>false</trackRevisions>
    </reviewItem>
    <reviewItem>
      <errorID>59705a21-263a-4686-9d10-2d6f377cbd2b</errorID>
      <errorWord>:</errorWord>
      <group>L1_Format</group>
      <groupName>格式问题</groupName>
      <ability>L2_HalfPunc</ability>
      <abilityName>全半角检查</abilityName>
      <candidateList>
        <item>：</item>
      </candidateList>
      <explain>文本全半角错误。</explain>
      <paraID> 25B90CD</paraID>
      <start>6</start>
      <end>7</end>
      <status>unmodified</status>
      <modifiedWord/>
      <trackRevisions>false</trackRevisions>
    </reviewItem>
    <reviewItem>
      <errorID>894ebb19-5bdb-44ec-8775-a0010fe0f3f6</errorID>
      <errorWord>提出质疑</errorWord>
      <group>L1_Grammar</group>
      <groupName>语法问题</groupName>
      <ability>L2_Grammar</ability>
      <abilityName>语法错误</abilityName>
      <candidateList>
        <item>质疑</item>
      </candidateList>
      <explain>〈动〉提出疑问：～问难。</explain>
      <paraID>746A79C5</paraID>
      <start>8</start>
      <end>12</end>
      <status>unmodified</status>
      <modifiedWord/>
      <trackRevisions>false</trackRevisions>
    </reviewItem>
    <reviewItem>
      <errorID>92bf9576-2ff0-4d4e-8a09-2533dcbd2f19</errorID>
      <errorWord>(</errorWord>
      <group>L1_Format</group>
      <groupName>格式问题</groupName>
      <ability>L2_HalfPunc</ability>
      <abilityName>全半角检查</abilityName>
      <candidateList>
        <item>（</item>
      </candidateList>
      <explain>文本全半角错误。</explain>
      <paraID>26E9CAB1</paraID>
      <start>2</start>
      <end>3</end>
      <status>unmodified</status>
      <modifiedWord/>
      <trackRevisions>false</trackRevisions>
    </reviewItem>
    <reviewItem>
      <errorID>dc0fafa9-0c32-4d32-b3a8-1040be73b2a0</errorID>
      <errorWord>)</errorWord>
      <group>L1_Format</group>
      <groupName>格式问题</groupName>
      <ability>L2_HalfPunc</ability>
      <abilityName>全半角检查</abilityName>
      <candidateList>
        <item>）</item>
      </candidateList>
      <explain>文本全半角错误。</explain>
      <paraID>26E9CAB1</paraID>
      <start>5</start>
      <end>6</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457085f-f2bb-4066-b570-3a06362801f3}">
  <ds:schemaRefs/>
</ds:datastoreItem>
</file>

<file path=docProps/app.xml><?xml version="1.0" encoding="utf-8"?>
<Properties xmlns="http://schemas.openxmlformats.org/officeDocument/2006/extended-properties" xmlns:vt="http://schemas.openxmlformats.org/officeDocument/2006/docPropsVTypes">
  <Template>Normal</Template>
  <Pages>94</Pages>
  <Words>36440</Words>
  <Characters>38276</Characters>
  <Lines>244</Lines>
  <Paragraphs>68</Paragraphs>
  <TotalTime>56</TotalTime>
  <ScaleCrop>false</ScaleCrop>
  <LinksUpToDate>false</LinksUpToDate>
  <CharactersWithSpaces>38756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2021-06-26T04:27:00Z</dcterms:created>
  <dc:creator>Administrator</dc:creator>
  <cp:lastModifiedBy>机构1</cp:lastModifiedBy>
  <cp:lastPrinted>2023-03-11T08:29:00Z</cp:lastPrinted>
  <dcterms:modified xsi:type="dcterms:W3CDTF">2026-04-10T11:05:57Z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229EB280595CC994FD7ED369C1805EEA_43</vt:lpwstr>
  </property>
  <property fmtid="{D5CDD505-2E9C-101B-9397-08002B2CF9AE}" pid="4" name="KSOTemplateDocerSaveRecord">
    <vt:lpwstr>eyJoZGlkIjoiYmJhNTM5ZmIzMTc1NDg1MmVkNDkwYzFmMmVmNjg3YTIiLCJ1c2VySWQiOiIxMTQ4NjA5NjAxIn0=</vt:lpwstr>
  </property>
</Properties>
</file>